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jc w:val="center"/>
        <w:rPr>
          <w:rFonts w:ascii="Calibri" w:hAnsi="Calibri" w:cs="Calibri"/>
          <w:i w:val="0"/>
          <w:iCs w:val="0"/>
          <w:caps w:val="0"/>
          <w:color w:val="333333"/>
          <w:spacing w:val="0"/>
          <w:sz w:val="21"/>
          <w:szCs w:val="21"/>
        </w:rPr>
      </w:pPr>
      <w:r>
        <w:rPr>
          <w:rFonts w:ascii="仿宋" w:hAnsi="仿宋" w:eastAsia="仿宋" w:cs="仿宋"/>
          <w:i w:val="0"/>
          <w:iCs w:val="0"/>
          <w:caps w:val="0"/>
          <w:color w:val="333333"/>
          <w:spacing w:val="0"/>
          <w:sz w:val="44"/>
          <w:szCs w:val="44"/>
          <w:shd w:val="clear" w:color="auto" w:fill="ffffff"/>
        </w:rPr>
        <w:t xml:space="preserve">关于</w:t>
      </w:r>
      <w:r>
        <w:rPr>
          <w:rFonts w:hint="eastAsia" w:ascii="仿宋" w:hAnsi="仿宋" w:eastAsia="仿宋" w:cs="仿宋"/>
          <w:i w:val="0"/>
          <w:iCs w:val="0"/>
          <w:caps w:val="0"/>
          <w:color w:val="333333"/>
          <w:spacing w:val="0"/>
          <w:sz w:val="44"/>
          <w:szCs w:val="44"/>
          <w:shd w:val="clear" w:color="auto" w:fill="ffffff"/>
        </w:rPr>
        <w:t xml:space="preserve">2024年衔接资金项目结余资金分配结果的公告</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jc w:val="both"/>
        <w:rPr>
          <w:rFonts w:ascii="Calibri" w:hAnsi="Calibri" w:cs="Calibri"/>
          <w:i w:val="0"/>
          <w:iCs w:val="0"/>
          <w:caps w:val="0"/>
          <w:color w:val="333333"/>
          <w:spacing w:val="0"/>
          <w:sz w:val="21"/>
          <w:szCs w:val="21"/>
        </w:rPr>
      </w:pPr>
      <w:r>
        <w:rPr>
          <w:rFonts w:ascii="Calibri" w:hAnsi="Calibri" w:cs="Calibri"/>
          <w:i w:val="0"/>
          <w:iCs w:val="0"/>
          <w:caps w:val="0"/>
          <w:color w:val="333333"/>
          <w:spacing w:val="0"/>
          <w:sz w:val="21"/>
          <w:szCs w:val="21"/>
          <w:shd w:val="clear" w:color="auto" w:fill="ffffff"/>
        </w:rPr>
        <w:t xml:space="preserve"> </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2024年衔接资金项目结余资金分配方案经中共灵璧县委农村工作领导小组会议研究通过，根据安徽省扶贫办、安徽财政厅《关于完善扶贫资金项目公告公示制定的实施意见》（皖扶办〔</w:t>
      </w:r>
      <w:r>
        <w:rPr>
          <w:rFonts w:ascii="Times New Roman" w:hAnsi="Times New Roman" w:eastAsia="仿宋" w:cs="Times New Roman"/>
          <w:i w:val="0"/>
          <w:iCs w:val="0"/>
          <w:caps w:val="0"/>
          <w:color w:val="333333"/>
          <w:spacing w:val="0"/>
          <w:sz w:val="32"/>
          <w:szCs w:val="32"/>
          <w:shd w:val="clear" w:color="auto" w:fill="ffffff"/>
        </w:rPr>
        <w:t xml:space="preserve">201</w:t>
      </w:r>
      <w:r>
        <w:rPr>
          <w:rFonts w:hint="eastAsia" w:ascii="仿宋" w:hAnsi="仿宋" w:eastAsia="仿宋" w:cs="仿宋"/>
          <w:i w:val="0"/>
          <w:iCs w:val="0"/>
          <w:caps w:val="0"/>
          <w:color w:val="333333"/>
          <w:spacing w:val="0"/>
          <w:sz w:val="32"/>
          <w:szCs w:val="32"/>
          <w:shd w:val="clear" w:color="auto" w:fill="ffffff"/>
        </w:rPr>
        <w:t xml:space="preserve">8〕</w:t>
      </w:r>
      <w:r>
        <w:rPr>
          <w:rFonts w:ascii="Times New Roman" w:hAnsi="Times New Roman" w:eastAsia="仿宋" w:cs="Times New Roman"/>
          <w:i w:val="0"/>
          <w:iCs w:val="0"/>
          <w:caps w:val="0"/>
          <w:color w:val="333333"/>
          <w:spacing w:val="0"/>
          <w:sz w:val="32"/>
          <w:szCs w:val="32"/>
          <w:shd w:val="clear" w:color="auto" w:fill="ffffff"/>
        </w:rPr>
        <w:t xml:space="preserve">118</w:t>
      </w:r>
      <w:r>
        <w:rPr>
          <w:rFonts w:hint="eastAsia" w:ascii="仿宋" w:hAnsi="仿宋" w:eastAsia="仿宋" w:cs="仿宋"/>
          <w:i w:val="0"/>
          <w:iCs w:val="0"/>
          <w:caps w:val="0"/>
          <w:color w:val="333333"/>
          <w:spacing w:val="0"/>
          <w:sz w:val="32"/>
          <w:szCs w:val="32"/>
          <w:shd w:val="clear" w:color="auto" w:fill="ffffff"/>
        </w:rPr>
        <w:t xml:space="preserve">号）精神，现将2024年衔接资金项目结余资金分配结果公告如下：</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一、资金来源</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本资金来源于2024年衔接资金项目结余资金3316.477723万元（其中水利局项目结余资金294.6万元，林业发展中心项目结余资金5.831万元，发改委项目结余资金16.186452万元，畜牧兽医水产中心项目结余资金261.667035万元，农业农村局项目结余资金2738.193236万元），主要用于产业发展类、基础设施类等项目。</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shd w:val="clear" w:color="auto" w:fill="ffffff"/>
        </w:rPr>
        <w:t xml:space="preserve">二、分配结果</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2024年衔接资金项目结余资金3316.477723万元，其中555.474236万元用于产业提升项目，由县农业农村局组织实施；261.667035万元用于产业提升项目，由县畜牧兽医水产中心组织实施；294.6万元用于小型农田水利建设项目，由县水利局组织实施；16.186452万元用于以工代赈项目，由县发改委组织实施；688.55万元用于和美乡村建设项目，由县农业农村局组织实施;1500万元用于人居环境提升项目，由县农业农村局组织实施。（具体见附件）</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三、公告时间</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长期公告</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如对该上述内容有异议，请向以下部门提出意见。</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投诉监督单位名称：</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灵璧县农业农村局</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监督举报电话、电子邮箱及通讯地址：</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left"/>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灵璧县农业农村局监督举报电话：0557-6039602，邮箱：</w:t>
      </w:r>
      <w:r>
        <w:rPr>
          <w:rFonts w:ascii="Calibri" w:hAnsi="Calibri" w:cs="Calibri"/>
          <w:b w:val="0"/>
          <w:bCs w:val="0"/>
          <w:i w:val="0"/>
          <w:iCs w:val="0"/>
          <w:caps w:val="0"/>
          <w:color w:val="333333"/>
          <w:spacing w:val="0"/>
          <w:sz w:val="21"/>
          <w:szCs w:val="21"/>
          <w:u w:val="none"/>
          <w:shd w:val="clear" w:color="auto" w:fill="ffffff"/>
        </w:rPr>
        <w:fldChar w:fldCharType="begin"/>
      </w:r>
      <w:r>
        <w:rPr>
          <w:rFonts w:ascii="Calibri" w:hAnsi="Calibri" w:cs="Calibri"/>
          <w:b w:val="0"/>
          <w:bCs w:val="0"/>
          <w:i w:val="0"/>
          <w:iCs w:val="0"/>
          <w:caps w:val="0"/>
          <w:color w:val="333333"/>
          <w:spacing w:val="0"/>
          <w:sz w:val="21"/>
          <w:szCs w:val="21"/>
          <w:u w:val="none"/>
          <w:shd w:val="clear" w:color="auto" w:fill="ffffff"/>
        </w:rPr>
        <w:instrText xml:space="preserve"> HYPERLINK "mailto:lfpfzzx@163.com" </w:instrText>
      </w:r>
      <w:r>
        <w:rPr>
          <w:rFonts w:ascii="Calibri" w:hAnsi="Calibri" w:cs="Calibri"/>
          <w:b w:val="0"/>
          <w:bCs w:val="0"/>
          <w:i w:val="0"/>
          <w:iCs w:val="0"/>
          <w:caps w:val="0"/>
          <w:color w:val="333333"/>
          <w:spacing w:val="0"/>
          <w:sz w:val="21"/>
          <w:szCs w:val="21"/>
          <w:u w:val="none"/>
          <w:shd w:val="clear" w:color="auto" w:fill="ffffff"/>
        </w:rPr>
        <w:fldChar w:fldCharType="separate"/>
      </w:r>
      <w:r>
        <w:rPr>
          <w:rStyle w:val="620"/>
          <w:rFonts w:hint="eastAsia" w:ascii="仿宋" w:hAnsi="仿宋" w:eastAsia="仿宋" w:cs="仿宋"/>
          <w:b w:val="0"/>
          <w:bCs w:val="0"/>
          <w:i w:val="0"/>
          <w:iCs w:val="0"/>
          <w:caps w:val="0"/>
          <w:color w:val="0000ff"/>
          <w:spacing w:val="0"/>
          <w:sz w:val="32"/>
          <w:szCs w:val="32"/>
          <w:u w:val="single"/>
          <w:shd w:val="clear" w:color="auto" w:fill="ffffff"/>
        </w:rPr>
        <w:t xml:space="preserve">lfpfzzx@163.com</w:t>
      </w:r>
      <w:r>
        <w:rPr>
          <w:rFonts w:ascii="Calibri" w:hAnsi="Calibri" w:cs="Calibri"/>
          <w:b w:val="0"/>
          <w:bCs w:val="0"/>
          <w:i w:val="0"/>
          <w:iCs w:val="0"/>
          <w:caps w:val="0"/>
          <w:color w:val="333333"/>
          <w:spacing w:val="0"/>
          <w:sz w:val="21"/>
          <w:szCs w:val="21"/>
          <w:u w:val="none"/>
          <w:shd w:val="clear" w:color="auto" w:fill="ffffff"/>
        </w:rPr>
        <w:fldChar w:fldCharType="end"/>
      </w:r>
      <w:r>
        <w:rPr>
          <w:rFonts w:hint="eastAsia" w:ascii="仿宋" w:hAnsi="仿宋" w:eastAsia="仿宋" w:cs="仿宋"/>
          <w:i w:val="0"/>
          <w:iCs w:val="0"/>
          <w:caps w:val="0"/>
          <w:color w:val="333333"/>
          <w:spacing w:val="0"/>
          <w:sz w:val="32"/>
          <w:szCs w:val="32"/>
          <w:shd w:val="clear" w:color="auto" w:fill="ffffff"/>
        </w:rPr>
        <w:t xml:space="preserve"> ，通讯地址：</w:t>
      </w:r>
      <w:r>
        <w:rPr>
          <w:rFonts w:hint="eastAsia" w:ascii="仿宋" w:hAnsi="仿宋" w:eastAsia="仿宋" w:cs="仿宋"/>
          <w:b w:val="0"/>
          <w:bCs w:val="0"/>
          <w:i w:val="0"/>
          <w:iCs w:val="0"/>
          <w:caps w:val="0"/>
          <w:color w:val="333333"/>
          <w:spacing w:val="0"/>
          <w:sz w:val="32"/>
          <w:szCs w:val="32"/>
          <w:shd w:val="clear" w:color="auto" w:fill="ffffff"/>
        </w:rPr>
        <w:t xml:space="preserve">安徽省宿州市灵璧县灵城镇双拥路政务新区农业农村局518室</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64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防止返贫监测和乡村振兴咨询服务平台：12317</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    </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40" w:left="0"/>
        <w:jc w:val="both"/>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 xml:space="preserve">附件：2024年衔接资金项目结余资金分配结果统计表</w:t>
      </w:r>
      <w:r>
        <w:rPr>
          <w:rFonts w:hint="eastAsia" w:ascii="仿宋" w:hAnsi="仿宋" w:eastAsia="仿宋" w:cs="仿宋"/>
          <w:i w:val="0"/>
          <w:iCs w:val="0"/>
          <w:caps w:val="0"/>
          <w:color w:val="333333"/>
          <w:spacing w:val="0"/>
          <w:sz w:val="32"/>
          <w:szCs w:val="32"/>
          <w:shd w:val="clear" w:color="auto" w:fill="ffffff"/>
        </w:rPr>
      </w:r>
      <w:r>
        <w:rPr>
          <w:rFonts w:hint="eastAsia" w:ascii="仿宋" w:hAnsi="仿宋" w:eastAsia="仿宋" w:cs="仿宋"/>
          <w:i w:val="0"/>
          <w:iCs w:val="0"/>
          <w:caps w:val="0"/>
          <w:color w:val="333333"/>
          <w:spacing w:val="0"/>
          <w:sz w:val="32"/>
          <w:szCs w:val="32"/>
          <w:shd w:val="clear" w:color="auto" w:fill="ffffff"/>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40" w:left="0"/>
        <w:jc w:val="both"/>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r>
      <w:r>
        <w:rPr>
          <w:rFonts w:hint="eastAsia" w:ascii="仿宋" w:hAnsi="仿宋" w:eastAsia="仿宋" w:cs="仿宋"/>
          <w:i w:val="0"/>
          <w:iCs w:val="0"/>
          <w:caps w:val="0"/>
          <w:color w:val="333333"/>
          <w:spacing w:val="0"/>
          <w:sz w:val="32"/>
          <w:szCs w:val="32"/>
          <w:shd w:val="clear" w:color="auto" w:fill="ffffff"/>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line="600" w:lineRule="atLeast"/>
        <w:ind w:right="0" w:firstLine="640" w:left="0"/>
        <w:jc w:val="both"/>
        <w:rPr>
          <w:rFonts w:ascii="仿宋" w:hAnsi="仿宋" w:eastAsia="仿宋" w:cs="仿宋"/>
          <w:i w:val="0"/>
          <w:iCs w:val="0"/>
          <w:caps w:val="0"/>
          <w:color w:val="333333"/>
          <w:spacing w:val="0"/>
          <w:sz w:val="32"/>
          <w:szCs w:val="32"/>
          <w:shd w:val="clear" w:color="auto" w:fill="ffffff"/>
        </w:rPr>
      </w:pPr>
      <w:r>
        <w:rPr>
          <w:rFonts w:ascii="仿宋" w:hAnsi="仿宋" w:eastAsia="仿宋" w:cs="仿宋"/>
          <w:i w:val="0"/>
          <w:iCs w:val="0"/>
          <w:caps w:val="0"/>
          <w:color w:val="333333"/>
          <w:spacing w:val="0"/>
          <w:sz w:val="32"/>
          <w:szCs w:val="32"/>
          <w:shd w:val="clear" w:color="auto" w:fill="ffffff"/>
        </w:rPr>
      </w:r>
      <w:r>
        <w:rPr>
          <w:rFonts w:ascii="仿宋" w:hAnsi="仿宋" w:eastAsia="仿宋" w:cs="仿宋"/>
          <w:i w:val="0"/>
          <w:iCs w:val="0"/>
          <w:caps w:val="0"/>
          <w:color w:val="333333"/>
          <w:spacing w:val="0"/>
          <w:sz w:val="32"/>
          <w:szCs w:val="32"/>
          <w:shd w:val="clear" w:color="auto" w:fill="ffffff"/>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firstLine="0" w:left="0"/>
        <w:jc w:val="right"/>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 xml:space="preserve">中共灵璧县委农村工作领导小组办公室</w:t>
      </w:r>
      <w:r>
        <w:rPr>
          <w:rFonts w:ascii="Calibri" w:hAnsi="Calibri" w:cs="Calibri"/>
          <w:i w:val="0"/>
          <w:iCs w:val="0"/>
          <w:caps w:val="0"/>
          <w:color w:val="333333"/>
          <w:spacing w:val="0"/>
          <w:sz w:val="21"/>
          <w:szCs w:val="21"/>
        </w:rPr>
      </w:r>
      <w:r>
        <w:rPr>
          <w:rFonts w:ascii="Calibri" w:hAnsi="Calibri" w:cs="Calibri"/>
          <w:i w:val="0"/>
          <w:iCs w:val="0"/>
          <w:caps w:val="0"/>
          <w:color w:val="333333"/>
          <w:spacing w:val="0"/>
          <w:sz w:val="21"/>
          <w:szCs w:val="21"/>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hanging="3840" w:left="4478"/>
        <w:jc w:val="right"/>
        <w:rPr>
          <w:rFonts w:ascii="仿宋" w:hAnsi="仿宋" w:eastAsia="仿宋" w:cs="仿宋"/>
          <w:i w:val="0"/>
          <w:iCs w:val="0"/>
          <w:caps w:val="0"/>
          <w:color w:val="333333"/>
          <w:spacing w:val="0"/>
          <w:sz w:val="32"/>
          <w:szCs w:val="32"/>
          <w:shd w:val="clear" w:color="auto" w:fill="ffffff"/>
          <w:lang w:val="en-US" w:eastAsia="zh-CN"/>
        </w:rPr>
      </w:pPr>
      <w:r>
        <w:rPr>
          <w:rFonts w:hint="eastAsia" w:ascii="仿宋" w:hAnsi="仿宋" w:eastAsia="仿宋" w:cs="仿宋"/>
          <w:i w:val="0"/>
          <w:iCs w:val="0"/>
          <w:caps w:val="0"/>
          <w:color w:val="333333"/>
          <w:spacing w:val="0"/>
          <w:sz w:val="32"/>
          <w:szCs w:val="32"/>
          <w:shd w:val="clear" w:color="auto" w:fill="ffffff"/>
        </w:rPr>
        <w:t xml:space="preserve">2024年6月28日</w:t>
      </w:r>
      <w:r>
        <w:rPr>
          <w:rFonts w:hint="eastAsia" w:ascii="仿宋" w:hAnsi="仿宋" w:eastAsia="仿宋" w:cs="仿宋"/>
          <w:i w:val="0"/>
          <w:iCs w:val="0"/>
          <w:caps w:val="0"/>
          <w:color w:val="333333"/>
          <w:spacing w:val="0"/>
          <w:sz w:val="32"/>
          <w:szCs w:val="32"/>
          <w:shd w:val="clear" w:color="auto" w:fill="ffffff"/>
          <w:lang w:val="en-US" w:eastAsia="zh-CN"/>
        </w:rPr>
        <w:t xml:space="preserve">        </w:t>
      </w:r>
      <w:r>
        <w:rPr>
          <w:rFonts w:ascii="仿宋" w:hAnsi="仿宋" w:eastAsia="仿宋" w:cs="仿宋"/>
          <w:i w:val="0"/>
          <w:iCs w:val="0"/>
          <w:caps w:val="0"/>
          <w:color w:val="333333"/>
          <w:spacing w:val="0"/>
          <w:sz w:val="32"/>
          <w:szCs w:val="32"/>
          <w:shd w:val="clear" w:color="auto" w:fill="ffffff"/>
          <w:lang w:val="en-US" w:eastAsia="zh-CN"/>
        </w:rPr>
      </w:r>
      <w:r>
        <w:rPr>
          <w:rFonts w:ascii="仿宋" w:hAnsi="仿宋" w:eastAsia="仿宋" w:cs="仿宋"/>
          <w:i w:val="0"/>
          <w:iCs w:val="0"/>
          <w:caps w:val="0"/>
          <w:color w:val="333333"/>
          <w:spacing w:val="0"/>
          <w:sz w:val="32"/>
          <w:szCs w:val="32"/>
          <w:shd w:val="clear" w:color="auto" w:fill="ffffff"/>
          <w:lang w:val="en-US" w:eastAsia="zh-CN"/>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hanging="3840" w:left="4478"/>
        <w:jc w:val="both"/>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r>
      <w:r>
        <w:rPr>
          <w:rFonts w:hint="eastAsia" w:ascii="仿宋" w:hAnsi="仿宋" w:eastAsia="仿宋" w:cs="仿宋"/>
          <w:i w:val="0"/>
          <w:iCs w:val="0"/>
          <w:caps w:val="0"/>
          <w:color w:val="333333"/>
          <w:spacing w:val="0"/>
          <w:sz w:val="32"/>
          <w:szCs w:val="32"/>
          <w:shd w:val="clear" w:color="auto" w:fill="ffffff"/>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hanging="3840" w:left="4478"/>
        <w:jc w:val="both"/>
        <w:rPr>
          <w:rFonts w:hint="eastAsia" w:ascii="仿宋" w:hAnsi="仿宋" w:eastAsia="仿宋" w:cs="仿宋"/>
          <w:i w:val="0"/>
          <w:iCs w:val="0"/>
          <w:caps w:val="0"/>
          <w:color w:val="333333"/>
          <w:spacing w:val="0"/>
          <w:sz w:val="32"/>
          <w:szCs w:val="32"/>
          <w:shd w:val="clear" w:color="auto" w:fill="ffffff"/>
        </w:rPr>
        <w:sectPr>
          <w:footnotePr/>
          <w:endnotePr/>
          <w:type w:val="nextPage"/>
          <w:pgSz w:h="16838" w:orient="landscape" w:w="11906"/>
          <w:pgMar w:top="1440" w:right="1800" w:bottom="1440" w:left="1800" w:header="851" w:footer="992" w:gutter="0"/>
          <w:cols w:num="1" w:sep="0" w:space="1701" w:equalWidth="1"/>
        </w:sectPr>
      </w:pPr>
      <w:r>
        <w:rPr>
          <w:rFonts w:hint="eastAsia" w:ascii="仿宋" w:hAnsi="仿宋" w:eastAsia="仿宋" w:cs="仿宋"/>
          <w:i w:val="0"/>
          <w:iCs w:val="0"/>
          <w:caps w:val="0"/>
          <w:color w:val="333333"/>
          <w:spacing w:val="0"/>
          <w:sz w:val="32"/>
          <w:szCs w:val="32"/>
          <w:shd w:val="clear" w:color="auto" w:fill="ffffff"/>
        </w:rPr>
      </w:r>
      <w:r>
        <w:rPr>
          <w:rFonts w:hint="eastAsia" w:ascii="仿宋" w:hAnsi="仿宋" w:eastAsia="仿宋" w:cs="仿宋"/>
          <w:i w:val="0"/>
          <w:iCs w:val="0"/>
          <w:caps w:val="0"/>
          <w:color w:val="333333"/>
          <w:spacing w:val="0"/>
          <w:sz w:val="32"/>
          <w:szCs w:val="32"/>
          <w:shd w:val="clear" w:color="auto" w:fill="ffffff"/>
        </w:rPr>
      </w:r>
    </w:p>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hd w:val="clear" w:color="auto" w:fill="ffffff"/>
        <w:spacing w:after="0" w:afterAutospacing="0" w:before="0" w:beforeAutospacing="0"/>
        <w:ind w:right="0" w:hanging="3840" w:left="4478"/>
        <w:jc w:val="both"/>
        <w:rPr>
          <w:rFonts w:ascii="仿宋" w:hAnsi="仿宋" w:eastAsia="仿宋" w:cs="仿宋"/>
          <w:i w:val="0"/>
          <w:iCs w:val="0"/>
          <w:caps w:val="0"/>
          <w:color w:val="333333"/>
          <w:spacing w:val="0"/>
          <w:sz w:val="32"/>
          <w:szCs w:val="32"/>
          <w:shd w:val="clear" w:color="auto" w:fill="ffffff"/>
        </w:rPr>
      </w:pPr>
      <w:r>
        <w:rPr>
          <w:rFonts w:ascii="仿宋" w:hAnsi="仿宋" w:eastAsia="仿宋" w:cs="仿宋"/>
          <w:i w:val="0"/>
          <w:iCs w:val="0"/>
          <w:caps w:val="0"/>
          <w:color w:val="333333"/>
          <w:spacing w:val="0"/>
          <w:sz w:val="32"/>
          <w:szCs w:val="32"/>
          <w:shd w:val="clear" w:color="auto" w:fill="ffffff"/>
        </w:rPr>
      </w:r>
      <w:r>
        <w:rPr>
          <w:rFonts w:ascii="仿宋" w:hAnsi="仿宋" w:eastAsia="仿宋" w:cs="仿宋"/>
          <w:i w:val="0"/>
          <w:iCs w:val="0"/>
          <w:caps w:val="0"/>
          <w:color w:val="333333"/>
          <w:spacing w:val="0"/>
          <w:sz w:val="32"/>
          <w:szCs w:val="32"/>
          <w:shd w:val="clear" w:color="auto" w:fill="ffffff"/>
        </w:rPr>
      </w:r>
    </w:p>
    <w:p>
      <w:pPr>
        <w:pStyle w:val="616"/>
        <w:keepNext w:val="false"/>
        <w:keepLines w:val="false"/>
        <w:widowControl w:val="true"/>
        <w:suppressLineNumbers w:val="false"/>
        <w:pBdr/>
        <w:spacing/>
        <w:ind/>
        <w:jc w:val="left"/>
        <w:rPr/>
      </w:pPr>
      <w:r/>
      <w:r/>
    </w:p>
    <w:tbl>
      <w:tblPr>
        <w:tblStyle w:val="616"/>
        <w:tblW w:w="13309" w:type="dxa"/>
        <w:jc w:val="center"/>
        <w:tblInd w:w="-1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left w:w="15" w:type="dxa"/>
          <w:top w:w="15" w:type="dxa"/>
          <w:right w:w="15" w:type="dxa"/>
          <w:bottom w:w="15" w:type="dxa"/>
        </w:tblCellMar>
        <w:tblLook w:val="04A0" w:firstRow="1" w:lastRow="0" w:firstColumn="1" w:lastColumn="0" w:noHBand="0" w:noVBand="1"/>
      </w:tblPr>
      <w:tblGrid>
        <w:gridCol w:w="665"/>
        <w:gridCol w:w="1612"/>
        <w:gridCol w:w="1838"/>
        <w:gridCol w:w="1481"/>
        <w:gridCol w:w="1312"/>
        <w:gridCol w:w="1425"/>
        <w:gridCol w:w="1425"/>
        <w:gridCol w:w="3057"/>
        <w:gridCol w:w="494"/>
      </w:tblGrid>
      <w:tr>
        <w:trPr>
          <w:trHeight w:val="647"/>
        </w:trPr>
        <w:tc>
          <w:tcPr>
            <w:gridSpan w:val="9"/>
            <w:tcBorders/>
            <w:tcW w:w="13309"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方正小标宋简体" w:hAnsi="方正小标宋简体" w:eastAsia="方正小标宋简体" w:cs="方正小标宋简体"/>
                <w:b w:val="0"/>
                <w:bCs w:val="0"/>
                <w:i w:val="0"/>
                <w:iCs w:val="0"/>
                <w:color w:val="000000"/>
                <w:sz w:val="44"/>
                <w:szCs w:val="44"/>
              </w:rPr>
              <w:t xml:space="preserve">2024年衔接资金项目结余资金分配结果统计表</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249"/>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0"/>
                <w:szCs w:val="20"/>
              </w:rPr>
              <w:t xml:space="preserve">单位：万元</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328"/>
        </w:trPr>
        <w:tc>
          <w:tcPr>
            <w:tcBorders/>
            <w:tcW w:w="665" w:type="dxa"/>
            <w:vAlign w:val="center"/>
            <w:vMerge w:val="restart"/>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序号</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vMerge w:val="restart"/>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牵头单位</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vMerge w:val="restart"/>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资金规模</w:t>
            </w:r>
            <w:r>
              <w:rPr>
                <w:rFonts w:ascii="Calibri" w:hAnsi="Calibri" w:cs="Calibri"/>
                <w:b w:val="0"/>
                <w:bCs w:val="0"/>
                <w:i w:val="0"/>
                <w:iCs w:val="0"/>
                <w:sz w:val="21"/>
                <w:szCs w:val="21"/>
              </w:rPr>
            </w:r>
            <w:r>
              <w:rPr>
                <w:rFonts w:ascii="Calibri" w:hAnsi="Calibri" w:cs="Calibri"/>
                <w:b w:val="0"/>
                <w:bCs w:val="0"/>
                <w:i w:val="0"/>
                <w:iCs w:val="0"/>
                <w:sz w:val="21"/>
                <w:szCs w:val="21"/>
              </w:rPr>
            </w:r>
          </w:p>
        </w:tc>
        <w:tc>
          <w:tcPr>
            <w:gridSpan w:val="4"/>
            <w:tcBorders/>
            <w:tcW w:w="5643"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其中</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vMerge w:val="restart"/>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资金用途</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vMerge w:val="restart"/>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备注</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269"/>
        </w:trPr>
        <w:tc>
          <w:tcPr>
            <w:tcBorders/>
            <w:tcW w:w="665" w:type="dxa"/>
            <w:vAlign w:val="center"/>
            <w:vMerge w:val="continue"/>
            <w:textDirection w:val="lrTb"/>
            <w:noWrap w:val="false"/>
          </w:tcPr>
          <w:p>
            <w:pPr>
              <w:pStyle w:val="616"/>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cW w:w="1612" w:type="dxa"/>
            <w:vAlign w:val="center"/>
            <w:vMerge w:val="continue"/>
            <w:textDirection w:val="lrTb"/>
            <w:noWrap w:val="false"/>
          </w:tcPr>
          <w:p>
            <w:pPr>
              <w:pStyle w:val="616"/>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cW w:w="1838" w:type="dxa"/>
            <w:vAlign w:val="center"/>
            <w:vMerge w:val="continue"/>
            <w:textDirection w:val="lrTb"/>
            <w:noWrap w:val="false"/>
          </w:tcPr>
          <w:p>
            <w:pPr>
              <w:pStyle w:val="616"/>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中央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省级</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市级</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bCs/>
                <w:i w:val="0"/>
                <w:iCs w:val="0"/>
                <w:color w:val="000000"/>
                <w:sz w:val="20"/>
                <w:szCs w:val="20"/>
              </w:rPr>
              <w:t xml:space="preserve">县级</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vMerge w:val="continue"/>
            <w:textDirection w:val="lrTb"/>
            <w:noWrap w:val="false"/>
          </w:tcPr>
          <w:p>
            <w:pPr>
              <w:pStyle w:val="616"/>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c>
          <w:tcPr>
            <w:tcBorders/>
            <w:tcW w:w="494" w:type="dxa"/>
            <w:vAlign w:val="center"/>
            <w:vMerge w:val="continue"/>
            <w:textDirection w:val="lrTb"/>
            <w:noWrap w:val="false"/>
          </w:tcPr>
          <w:p>
            <w:pPr>
              <w:pStyle w:val="616"/>
              <w:pBdr/>
              <w:spacing/>
              <w:ind/>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p>
        </w:tc>
      </w:tr>
      <w:tr>
        <w:trPr>
          <w:trHeight w:val="870"/>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1</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县农业农村局</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555.474236</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555.474236</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产业提升项目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889"/>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2</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县畜牧兽医水产中心</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261.667035</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213.421344</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48.245691</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产业提升项目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818"/>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3</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县发改委</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16.186452</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16.186452</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以工代赈项目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765"/>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4</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县水利局</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294.6</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227.7</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66.9</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小型农田水利建设项目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677"/>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5</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县农业农村局</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688.55</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0.0749</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688.4751</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和美乡村建设项目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852"/>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6</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县农业农村局</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1500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1500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0</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人居环境提升项目</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r>
        <w:trPr>
          <w:trHeight w:val="912"/>
        </w:trPr>
        <w:tc>
          <w:tcPr>
            <w:tcBorders/>
            <w:tcW w:w="66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6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line="500" w:lineRule="atLeast"/>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838"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3316.477723</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81"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996.59558</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312"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115.145691</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color w:val="000000"/>
                <w:sz w:val="24"/>
                <w:szCs w:val="24"/>
              </w:rPr>
              <w:t xml:space="preserve">1516.261352</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1425"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hint="eastAsia" w:ascii="宋体" w:hAnsi="宋体" w:eastAsia="宋体" w:cs="宋体"/>
                <w:b w:val="0"/>
                <w:bCs w:val="0"/>
                <w:i w:val="0"/>
                <w:iCs w:val="0"/>
                <w:sz w:val="24"/>
                <w:szCs w:val="24"/>
              </w:rPr>
              <w:t xml:space="preserve">688.4751</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3057"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c>
          <w:tcPr>
            <w:tcBorders/>
            <w:tcW w:w="494" w:type="dxa"/>
            <w:vAlign w:val="center"/>
            <w:textDirection w:val="lrTb"/>
            <w:noWrap w:val="false"/>
          </w:tcPr>
          <w:p>
            <w:pPr>
              <w:pStyle w:val="619"/>
              <w:keepNext w:val="false"/>
              <w:keepLines w:val="false"/>
              <w:widowControl w:val="true"/>
              <w:suppressLineNumbers w:val="false"/>
              <w:pBdr>
                <w:top w:val="none" w:color="000000" w:sz="0" w:space="0"/>
                <w:left w:val="none" w:color="000000" w:sz="0" w:space="0"/>
                <w:bottom w:val="none" w:color="000000" w:sz="0" w:space="0"/>
                <w:right w:val="none" w:color="000000" w:sz="0" w:space="0"/>
              </w:pBdr>
              <w:spacing w:after="0" w:afterAutospacing="0" w:before="0" w:beforeAutospacing="0"/>
              <w:ind w:right="0" w:left="0"/>
              <w:jc w:val="center"/>
              <w:rPr>
                <w:rFonts w:ascii="Calibri" w:hAnsi="Calibri" w:cs="Calibri"/>
                <w:b w:val="0"/>
                <w:bCs w:val="0"/>
                <w:i w:val="0"/>
                <w:iCs w:val="0"/>
                <w:sz w:val="21"/>
                <w:szCs w:val="21"/>
              </w:rPr>
            </w:pPr>
            <w:r>
              <w:rPr>
                <w:rFonts w:ascii="Calibri" w:hAnsi="Calibri" w:cs="Calibri"/>
                <w:b w:val="0"/>
                <w:bCs w:val="0"/>
                <w:i w:val="0"/>
                <w:iCs w:val="0"/>
                <w:sz w:val="21"/>
                <w:szCs w:val="21"/>
              </w:rPr>
              <w:t xml:space="preserve"> </w:t>
            </w:r>
            <w:r>
              <w:rPr>
                <w:rFonts w:ascii="Calibri" w:hAnsi="Calibri" w:cs="Calibri"/>
                <w:b w:val="0"/>
                <w:bCs w:val="0"/>
                <w:i w:val="0"/>
                <w:iCs w:val="0"/>
                <w:sz w:val="21"/>
                <w:szCs w:val="21"/>
              </w:rPr>
            </w:r>
            <w:r>
              <w:rPr>
                <w:rFonts w:ascii="Calibri" w:hAnsi="Calibri" w:cs="Calibri"/>
                <w:b w:val="0"/>
                <w:bCs w:val="0"/>
                <w:i w:val="0"/>
                <w:iCs w:val="0"/>
                <w:sz w:val="21"/>
                <w:szCs w:val="21"/>
              </w:rPr>
            </w:r>
          </w:p>
        </w:tc>
      </w:tr>
    </w:tbl>
    <w:sectPr>
      <w:footnotePr/>
      <w:endnotePr/>
      <w:type w:val="nextPage"/>
      <w:pgSz w:h="11906" w:orient="portrait" w:w="16838"/>
      <w:pgMar w:top="1800" w:right="1440" w:bottom="1800" w:left="144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小标宋简体">
    <w:panose1 w:val="02000000000000000000"/>
  </w:font>
  <w:font w:name="仿宋">
    <w:panose1 w:val="02010609060101010101"/>
  </w:font>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6"/>
    <w:next w:val="61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16"/>
    <w:next w:val="61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16"/>
    <w:next w:val="61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16"/>
    <w:next w:val="61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16"/>
    <w:next w:val="61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16"/>
    <w:next w:val="61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16"/>
    <w:next w:val="61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16"/>
    <w:next w:val="61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16"/>
    <w:next w:val="61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1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16"/>
    <w:next w:val="616"/>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6"/>
    <w:next w:val="616"/>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6"/>
    <w:next w:val="61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6"/>
    <w:next w:val="61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6"/>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6"/>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6"/>
    <w:next w:val="61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6"/>
    <w:next w:val="616"/>
    <w:uiPriority w:val="39"/>
    <w:unhideWhenUsed/>
    <w:pPr>
      <w:pBdr/>
      <w:spacing w:after="57"/>
      <w:ind w:right="0" w:firstLine="0" w:left="0"/>
    </w:pPr>
  </w:style>
  <w:style w:type="paragraph" w:styleId="182">
    <w:name w:val="toc 2"/>
    <w:basedOn w:val="616"/>
    <w:next w:val="616"/>
    <w:uiPriority w:val="39"/>
    <w:unhideWhenUsed/>
    <w:pPr>
      <w:pBdr/>
      <w:spacing w:after="57"/>
      <w:ind w:right="0" w:firstLine="0" w:left="283"/>
    </w:pPr>
  </w:style>
  <w:style w:type="paragraph" w:styleId="183">
    <w:name w:val="toc 3"/>
    <w:basedOn w:val="616"/>
    <w:next w:val="616"/>
    <w:uiPriority w:val="39"/>
    <w:unhideWhenUsed/>
    <w:pPr>
      <w:pBdr/>
      <w:spacing w:after="57"/>
      <w:ind w:right="0" w:firstLine="0" w:left="567"/>
    </w:pPr>
  </w:style>
  <w:style w:type="paragraph" w:styleId="184">
    <w:name w:val="toc 4"/>
    <w:basedOn w:val="616"/>
    <w:next w:val="616"/>
    <w:uiPriority w:val="39"/>
    <w:unhideWhenUsed/>
    <w:pPr>
      <w:pBdr/>
      <w:spacing w:after="57"/>
      <w:ind w:right="0" w:firstLine="0" w:left="850"/>
    </w:pPr>
  </w:style>
  <w:style w:type="paragraph" w:styleId="185">
    <w:name w:val="toc 5"/>
    <w:basedOn w:val="616"/>
    <w:next w:val="616"/>
    <w:uiPriority w:val="39"/>
    <w:unhideWhenUsed/>
    <w:pPr>
      <w:pBdr/>
      <w:spacing w:after="57"/>
      <w:ind w:right="0" w:firstLine="0" w:left="1134"/>
    </w:pPr>
  </w:style>
  <w:style w:type="paragraph" w:styleId="186">
    <w:name w:val="toc 6"/>
    <w:basedOn w:val="616"/>
    <w:next w:val="616"/>
    <w:uiPriority w:val="39"/>
    <w:unhideWhenUsed/>
    <w:pPr>
      <w:pBdr/>
      <w:spacing w:after="57"/>
      <w:ind w:right="0" w:firstLine="0" w:left="1417"/>
    </w:pPr>
  </w:style>
  <w:style w:type="paragraph" w:styleId="187">
    <w:name w:val="toc 7"/>
    <w:basedOn w:val="616"/>
    <w:next w:val="616"/>
    <w:uiPriority w:val="39"/>
    <w:unhideWhenUsed/>
    <w:pPr>
      <w:pBdr/>
      <w:spacing w:after="57"/>
      <w:ind w:right="0" w:firstLine="0" w:left="1701"/>
    </w:pPr>
  </w:style>
  <w:style w:type="paragraph" w:styleId="188">
    <w:name w:val="toc 8"/>
    <w:basedOn w:val="616"/>
    <w:next w:val="616"/>
    <w:uiPriority w:val="39"/>
    <w:unhideWhenUsed/>
    <w:pPr>
      <w:pBdr/>
      <w:spacing w:after="57"/>
      <w:ind w:right="0" w:firstLine="0" w:left="1984"/>
    </w:pPr>
  </w:style>
  <w:style w:type="paragraph" w:styleId="189">
    <w:name w:val="toc 9"/>
    <w:basedOn w:val="616"/>
    <w:next w:val="61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6"/>
    <w:next w:val="616"/>
    <w:uiPriority w:val="99"/>
    <w:unhideWhenUsed/>
    <w:pPr>
      <w:pBdr/>
      <w:spacing w:after="0" w:afterAutospacing="0"/>
      <w:ind/>
    </w:pPr>
  </w:style>
  <w:style w:type="paragraph" w:styleId="616" w:default="1">
    <w:name w:val="Normal"/>
    <w:next w:val="616"/>
    <w:link w:val="616"/>
    <w:qFormat/>
    <w:pPr>
      <w:widowControl w:val="false"/>
      <w:pBdr/>
      <w:spacing/>
      <w:ind/>
      <w:jc w:val="both"/>
    </w:pPr>
    <w:rPr>
      <w:rFonts w:ascii="Calibri" w:hAnsi="Calibri" w:eastAsia="宋体" w:cs="Times New Roman"/>
      <w:sz w:val="21"/>
      <w:szCs w:val="24"/>
      <w:lang w:val="en-US" w:eastAsia="zh-CN" w:bidi="ar-SA"/>
    </w:rPr>
  </w:style>
  <w:style w:type="character" w:styleId="617">
    <w:name w:val="默认段落字体"/>
    <w:next w:val="617"/>
    <w:link w:val="616"/>
    <w:semiHidden/>
    <w:pPr>
      <w:pBdr/>
      <w:spacing/>
      <w:ind/>
    </w:pPr>
  </w:style>
  <w:style w:type="table" w:styleId="618">
    <w:name w:val="普通表格"/>
    <w:next w:val="618"/>
    <w:link w:val="616"/>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19">
    <w:name w:val="普通(网站)"/>
    <w:basedOn w:val="616"/>
    <w:next w:val="619"/>
    <w:link w:val="616"/>
    <w:pPr>
      <w:pBdr/>
      <w:spacing w:after="100" w:afterAutospacing="1" w:before="100" w:beforeAutospacing="1"/>
      <w:ind w:right="0" w:left="0"/>
      <w:jc w:val="left"/>
    </w:pPr>
    <w:rPr>
      <w:sz w:val="24"/>
      <w:lang w:val="en-US" w:eastAsia="zh-CN" w:bidi="ar"/>
    </w:rPr>
  </w:style>
  <w:style w:type="character" w:styleId="620">
    <w:name w:val="超链接"/>
    <w:basedOn w:val="617"/>
    <w:next w:val="620"/>
    <w:link w:val="616"/>
    <w:pPr>
      <w:pBdr/>
      <w:spacing/>
      <w:ind/>
    </w:pPr>
    <w:rPr>
      <w:color w:val="0000ff"/>
      <w:u w:val="single"/>
    </w:rPr>
  </w:style>
  <w:style w:type="character" w:styleId="1729" w:default="1">
    <w:name w:val="Default Paragraph Font"/>
    <w:uiPriority w:val="1"/>
    <w:semiHidden/>
    <w:unhideWhenUsed/>
    <w:pPr>
      <w:pBdr/>
      <w:spacing/>
      <w:ind/>
    </w:pPr>
  </w:style>
  <w:style w:type="numbering" w:styleId="1730" w:default="1">
    <w:name w:val="No List"/>
    <w:uiPriority w:val="99"/>
    <w:semiHidden/>
    <w:unhideWhenUsed/>
    <w:pPr>
      <w:pBdr/>
      <w:spacing/>
      <w:ind/>
    </w:pPr>
  </w:style>
  <w:style w:type="table" w:styleId="1731"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农业农</dc:creator>
  <cp:lastModifiedBy>匿名</cp:lastModifiedBy>
  <cp:revision>1</cp:revision>
  <dcterms:created xsi:type="dcterms:W3CDTF">2024-09-04T06:56:00Z</dcterms:created>
  <dcterms:modified xsi:type="dcterms:W3CDTF">2024-12-17T07:40:45Z</dcterms:modified>
</cp:coreProperties>
</file>