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一、建设项目基本情况</w:t>
      </w:r>
    </w:p>
    <w:tbl>
      <w:tblPr>
        <w:tblStyle w:val="38"/>
        <w:tblW w:w="9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2011"/>
        <w:gridCol w:w="2062"/>
        <w:gridCol w:w="4211"/>
      </w:tblGrid>
      <w:tr>
        <w:tblPrEx>
          <w:tblLayout w:type="fixed"/>
        </w:tblPrEx>
        <w:trPr>
          <w:trHeight w:val="397" w:hRule="atLeast"/>
        </w:trPr>
        <w:tc>
          <w:tcPr>
            <w:tcW w:w="1402" w:type="dxa"/>
            <w:vAlign w:val="center"/>
          </w:tcPr>
          <w:p>
            <w:pPr>
              <w:pStyle w:val="46"/>
              <w:bidi w:val="0"/>
              <w:spacing w:line="240" w:lineRule="auto"/>
              <w:jc w:val="center"/>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建设项目名称</w:t>
            </w:r>
          </w:p>
        </w:tc>
        <w:tc>
          <w:tcPr>
            <w:tcW w:w="8284" w:type="dxa"/>
            <w:gridSpan w:val="3"/>
            <w:vAlign w:val="center"/>
          </w:tcPr>
          <w:p>
            <w:pPr>
              <w:pStyle w:val="46"/>
              <w:bidi w:val="0"/>
              <w:spacing w:line="240" w:lineRule="auto"/>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年组装1000辆专用汽车生产项目</w:t>
            </w:r>
          </w:p>
        </w:tc>
      </w:tr>
      <w:tr>
        <w:tblPrEx>
          <w:tblLayout w:type="fixed"/>
        </w:tblPrEx>
        <w:trPr>
          <w:trHeight w:val="397" w:hRule="atLeast"/>
        </w:trPr>
        <w:tc>
          <w:tcPr>
            <w:tcW w:w="1402" w:type="dxa"/>
            <w:vAlign w:val="center"/>
          </w:tcPr>
          <w:p>
            <w:pPr>
              <w:pStyle w:val="46"/>
              <w:bidi w:val="0"/>
              <w:spacing w:line="240" w:lineRule="auto"/>
              <w:jc w:val="center"/>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项目代码</w:t>
            </w:r>
          </w:p>
        </w:tc>
        <w:tc>
          <w:tcPr>
            <w:tcW w:w="8284" w:type="dxa"/>
            <w:gridSpan w:val="3"/>
            <w:vAlign w:val="center"/>
          </w:tcPr>
          <w:p>
            <w:pPr>
              <w:pStyle w:val="46"/>
              <w:bidi w:val="0"/>
              <w:spacing w:line="240" w:lineRule="auto"/>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2112-341323-04-01-107403</w:t>
            </w:r>
          </w:p>
        </w:tc>
      </w:tr>
      <w:tr>
        <w:tblPrEx>
          <w:tblLayout w:type="fixed"/>
        </w:tblPrEx>
        <w:trPr>
          <w:trHeight w:val="397" w:hRule="atLeast"/>
        </w:trPr>
        <w:tc>
          <w:tcPr>
            <w:tcW w:w="1402" w:type="dxa"/>
            <w:vAlign w:val="center"/>
          </w:tcPr>
          <w:p>
            <w:pPr>
              <w:pStyle w:val="46"/>
              <w:bidi w:val="0"/>
              <w:spacing w:line="240" w:lineRule="auto"/>
              <w:jc w:val="center"/>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建设单位联系人</w:t>
            </w:r>
          </w:p>
        </w:tc>
        <w:tc>
          <w:tcPr>
            <w:tcW w:w="2011" w:type="dxa"/>
            <w:vAlign w:val="center"/>
          </w:tcPr>
          <w:p>
            <w:pPr>
              <w:pStyle w:val="46"/>
              <w:bidi w:val="0"/>
              <w:spacing w:line="240" w:lineRule="auto"/>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张松</w:t>
            </w:r>
          </w:p>
        </w:tc>
        <w:tc>
          <w:tcPr>
            <w:tcW w:w="2062" w:type="dxa"/>
            <w:vAlign w:val="center"/>
          </w:tcPr>
          <w:p>
            <w:pPr>
              <w:pStyle w:val="46"/>
              <w:bidi w:val="0"/>
              <w:spacing w:line="240" w:lineRule="auto"/>
              <w:jc w:val="center"/>
              <w:rPr>
                <w:rFonts w:hint="default"/>
                <w:color w:val="000000" w:themeColor="text1"/>
                <w:highlight w:val="none"/>
                <w:lang w:val="en-US" w:eastAsia="zh-CN"/>
                <w14:textFill>
                  <w14:solidFill>
                    <w14:schemeClr w14:val="tx1"/>
                  </w14:solidFill>
                </w14:textFill>
              </w:rPr>
            </w:pPr>
            <w:r>
              <w:rPr>
                <w:rFonts w:hint="default"/>
                <w:b/>
                <w:bCs/>
                <w:color w:val="000000" w:themeColor="text1"/>
                <w:highlight w:val="none"/>
                <w14:textFill>
                  <w14:solidFill>
                    <w14:schemeClr w14:val="tx1"/>
                  </w14:solidFill>
                </w14:textFill>
              </w:rPr>
              <w:t>联系方式</w:t>
            </w:r>
          </w:p>
        </w:tc>
        <w:tc>
          <w:tcPr>
            <w:tcW w:w="4211" w:type="dxa"/>
            <w:vAlign w:val="center"/>
          </w:tcPr>
          <w:p>
            <w:pPr>
              <w:pStyle w:val="46"/>
              <w:bidi w:val="0"/>
              <w:spacing w:line="240" w:lineRule="auto"/>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13675576911</w:t>
            </w:r>
          </w:p>
        </w:tc>
      </w:tr>
      <w:tr>
        <w:tblPrEx>
          <w:tblLayout w:type="fixed"/>
        </w:tblPrEx>
        <w:trPr>
          <w:trHeight w:val="397" w:hRule="atLeast"/>
        </w:trPr>
        <w:tc>
          <w:tcPr>
            <w:tcW w:w="1402" w:type="dxa"/>
            <w:vAlign w:val="center"/>
          </w:tcPr>
          <w:p>
            <w:pPr>
              <w:pStyle w:val="46"/>
              <w:bidi w:val="0"/>
              <w:spacing w:line="240" w:lineRule="auto"/>
              <w:jc w:val="center"/>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建设地点</w:t>
            </w:r>
          </w:p>
        </w:tc>
        <w:tc>
          <w:tcPr>
            <w:tcW w:w="8284" w:type="dxa"/>
            <w:gridSpan w:val="3"/>
            <w:vAlign w:val="center"/>
          </w:tcPr>
          <w:p>
            <w:pPr>
              <w:pStyle w:val="46"/>
              <w:bidi w:val="0"/>
              <w:spacing w:line="240" w:lineRule="auto"/>
              <w:jc w:val="center"/>
              <w:rPr>
                <w:rFonts w:hint="default"/>
                <w:color w:val="000000" w:themeColor="text1"/>
                <w:highlight w:val="none"/>
                <w:lang w:val="en-US" w:eastAsia="zh-CN"/>
                <w14:textFill>
                  <w14:solidFill>
                    <w14:schemeClr w14:val="tx1"/>
                  </w14:solidFill>
                </w14:textFill>
              </w:rPr>
            </w:pPr>
            <w:r>
              <w:rPr>
                <w:rFonts w:hint="default" w:eastAsia="宋体"/>
                <w:sz w:val="24"/>
                <w:lang w:val="en-US" w:eastAsia="zh-CN"/>
              </w:rPr>
              <w:t>安徽省宿州市灵璧县灵城镇北部开发区机电产业园二期</w:t>
            </w:r>
          </w:p>
        </w:tc>
      </w:tr>
      <w:tr>
        <w:tblPrEx>
          <w:tblLayout w:type="fixed"/>
        </w:tblPrEx>
        <w:trPr>
          <w:trHeight w:val="397" w:hRule="atLeast"/>
        </w:trPr>
        <w:tc>
          <w:tcPr>
            <w:tcW w:w="1402" w:type="dxa"/>
            <w:vAlign w:val="center"/>
          </w:tcPr>
          <w:p>
            <w:pPr>
              <w:pStyle w:val="46"/>
              <w:bidi w:val="0"/>
              <w:spacing w:line="240" w:lineRule="auto"/>
              <w:jc w:val="center"/>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地理坐标</w:t>
            </w:r>
          </w:p>
        </w:tc>
        <w:tc>
          <w:tcPr>
            <w:tcW w:w="8284" w:type="dxa"/>
            <w:gridSpan w:val="3"/>
            <w:vAlign w:val="center"/>
          </w:tcPr>
          <w:p>
            <w:pPr>
              <w:pStyle w:val="46"/>
              <w:bidi w:val="0"/>
              <w:spacing w:line="240" w:lineRule="auto"/>
              <w:jc w:val="center"/>
              <w:rPr>
                <w:rFonts w:hint="default"/>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lang w:val="en-US" w:eastAsia="zh-CN"/>
                <w14:textFill>
                  <w14:solidFill>
                    <w14:schemeClr w14:val="tx1"/>
                  </w14:solidFill>
                </w14:textFill>
              </w:rPr>
              <w:t>经度：11</w:t>
            </w:r>
            <w:r>
              <w:rPr>
                <w:rFonts w:hint="eastAsia" w:cs="Times New Roman"/>
                <w:color w:val="000000" w:themeColor="text1"/>
                <w:highlight w:val="none"/>
                <w:lang w:val="en-US" w:eastAsia="zh-CN"/>
                <w14:textFill>
                  <w14:solidFill>
                    <w14:schemeClr w14:val="tx1"/>
                  </w14:solidFill>
                </w14:textFill>
              </w:rPr>
              <w:t>7</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20′5.287″；</w:t>
            </w:r>
            <w:r>
              <w:rPr>
                <w:rFonts w:hint="default" w:ascii="Times New Roman" w:hAnsi="Times New Roman" w:cs="Times New Roman"/>
                <w:color w:val="000000" w:themeColor="text1"/>
                <w:highlight w:val="none"/>
                <w:lang w:val="en-US" w:eastAsia="zh-CN"/>
                <w14:textFill>
                  <w14:solidFill>
                    <w14:schemeClr w14:val="tx1"/>
                  </w14:solidFill>
                </w14:textFill>
              </w:rPr>
              <w:t>纬度：3</w:t>
            </w:r>
            <w:r>
              <w:rPr>
                <w:rFonts w:hint="eastAsia" w:cs="Times New Roman"/>
                <w:color w:val="000000" w:themeColor="text1"/>
                <w:highlight w:val="none"/>
                <w:lang w:val="en-US" w:eastAsia="zh-CN"/>
                <w14:textFill>
                  <w14:solidFill>
                    <w14:schemeClr w14:val="tx1"/>
                  </w14:solidFill>
                </w14:textFill>
              </w:rPr>
              <w:t>3</w:t>
            </w:r>
            <w:r>
              <w:rPr>
                <w:rFonts w:hint="default" w:ascii="Times New Roman" w:hAnsi="Times New Roman" w:cs="Times New Roman"/>
                <w:color w:val="000000" w:themeColor="text1"/>
                <w:highlight w:val="none"/>
                <w:lang w:val="en-US" w:eastAsia="zh-CN"/>
                <w14:textFill>
                  <w14:solidFill>
                    <w14:schemeClr w14:val="tx1"/>
                  </w14:solidFill>
                </w14:textFill>
              </w:rPr>
              <w:t>°</w:t>
            </w:r>
            <w:r>
              <w:rPr>
                <w:rFonts w:hint="eastAsia" w:cs="Times New Roman"/>
                <w:color w:val="000000" w:themeColor="text1"/>
                <w:highlight w:val="none"/>
                <w:lang w:val="en-US" w:eastAsia="zh-CN"/>
                <w14:textFill>
                  <w14:solidFill>
                    <w14:schemeClr w14:val="tx1"/>
                  </w14:solidFill>
                </w14:textFill>
              </w:rPr>
              <w:t>21′55.778″</w:t>
            </w:r>
          </w:p>
        </w:tc>
      </w:tr>
      <w:tr>
        <w:tblPrEx>
          <w:tblLayout w:type="fixed"/>
        </w:tblPrEx>
        <w:trPr>
          <w:trHeight w:val="397" w:hRule="atLeast"/>
        </w:trPr>
        <w:tc>
          <w:tcPr>
            <w:tcW w:w="1402" w:type="dxa"/>
            <w:vAlign w:val="center"/>
          </w:tcPr>
          <w:p>
            <w:pPr>
              <w:pStyle w:val="46"/>
              <w:bidi w:val="0"/>
              <w:spacing w:line="240" w:lineRule="auto"/>
              <w:jc w:val="center"/>
              <w:rPr>
                <w:rFonts w:hint="default"/>
                <w:b/>
                <w:bCs/>
                <w:color w:val="000000" w:themeColor="text1"/>
                <w:highlight w:val="none"/>
                <w14:textFill>
                  <w14:solidFill>
                    <w14:schemeClr w14:val="tx1"/>
                  </w14:solidFill>
                </w14:textFill>
              </w:rPr>
            </w:pPr>
            <w:r>
              <w:rPr>
                <w:rFonts w:hint="default"/>
                <w:b/>
                <w:bCs/>
                <w:color w:val="000000" w:themeColor="text1"/>
                <w:highlight w:val="none"/>
                <w14:textFill>
                  <w14:solidFill>
                    <w14:schemeClr w14:val="tx1"/>
                  </w14:solidFill>
                </w14:textFill>
              </w:rPr>
              <w:t>国民经济</w:t>
            </w:r>
          </w:p>
          <w:p>
            <w:pPr>
              <w:pStyle w:val="46"/>
              <w:bidi w:val="0"/>
              <w:spacing w:line="240" w:lineRule="auto"/>
              <w:jc w:val="center"/>
              <w:rPr>
                <w:rFonts w:hint="default"/>
                <w:b/>
                <w:bCs/>
                <w:color w:val="000000" w:themeColor="text1"/>
                <w:highlight w:val="none"/>
                <w:lang w:val="en-US" w:eastAsia="zh-CN"/>
                <w14:textFill>
                  <w14:solidFill>
                    <w14:schemeClr w14:val="tx1"/>
                  </w14:solidFill>
                </w14:textFill>
              </w:rPr>
            </w:pPr>
            <w:r>
              <w:rPr>
                <w:rFonts w:hint="default"/>
                <w:b/>
                <w:bCs/>
                <w:color w:val="000000" w:themeColor="text1"/>
                <w:highlight w:val="none"/>
                <w14:textFill>
                  <w14:solidFill>
                    <w14:schemeClr w14:val="tx1"/>
                  </w14:solidFill>
                </w14:textFill>
              </w:rPr>
              <w:t>行业类别</w:t>
            </w:r>
          </w:p>
        </w:tc>
        <w:tc>
          <w:tcPr>
            <w:tcW w:w="2011" w:type="dxa"/>
            <w:vAlign w:val="center"/>
          </w:tcPr>
          <w:p>
            <w:pPr>
              <w:pStyle w:val="46"/>
              <w:bidi w:val="0"/>
              <w:spacing w:line="240" w:lineRule="auto"/>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C3630改装汽车制造</w:t>
            </w:r>
          </w:p>
        </w:tc>
        <w:tc>
          <w:tcPr>
            <w:tcW w:w="2062" w:type="dxa"/>
            <w:vAlign w:val="center"/>
          </w:tcPr>
          <w:p>
            <w:pPr>
              <w:pStyle w:val="46"/>
              <w:bidi w:val="0"/>
              <w:spacing w:line="240" w:lineRule="auto"/>
              <w:jc w:val="center"/>
              <w:rPr>
                <w:rFonts w:hint="default"/>
                <w:b/>
                <w:bCs/>
                <w:color w:val="000000" w:themeColor="text1"/>
                <w:highlight w:val="none"/>
                <w14:textFill>
                  <w14:solidFill>
                    <w14:schemeClr w14:val="tx1"/>
                  </w14:solidFill>
                </w14:textFill>
              </w:rPr>
            </w:pPr>
            <w:bookmarkStart w:id="0" w:name="_Hlk49843745"/>
            <w:r>
              <w:rPr>
                <w:rFonts w:hint="default"/>
                <w:b/>
                <w:bCs/>
                <w:color w:val="000000" w:themeColor="text1"/>
                <w:highlight w:val="none"/>
                <w14:textFill>
                  <w14:solidFill>
                    <w14:schemeClr w14:val="tx1"/>
                  </w14:solidFill>
                </w14:textFill>
              </w:rPr>
              <w:t>建设项目</w:t>
            </w:r>
          </w:p>
          <w:p>
            <w:pPr>
              <w:pStyle w:val="46"/>
              <w:bidi w:val="0"/>
              <w:spacing w:line="240" w:lineRule="auto"/>
              <w:jc w:val="center"/>
              <w:rPr>
                <w:rFonts w:hint="default"/>
                <w:b/>
                <w:bCs/>
                <w:color w:val="000000" w:themeColor="text1"/>
                <w:highlight w:val="none"/>
                <w:lang w:val="en-US" w:eastAsia="zh-CN"/>
                <w14:textFill>
                  <w14:solidFill>
                    <w14:schemeClr w14:val="tx1"/>
                  </w14:solidFill>
                </w14:textFill>
              </w:rPr>
            </w:pPr>
            <w:r>
              <w:rPr>
                <w:rFonts w:hint="default"/>
                <w:b/>
                <w:bCs/>
                <w:color w:val="000000" w:themeColor="text1"/>
                <w:highlight w:val="none"/>
                <w14:textFill>
                  <w14:solidFill>
                    <w14:schemeClr w14:val="tx1"/>
                  </w14:solidFill>
                </w14:textFill>
              </w:rPr>
              <w:t>行业类别</w:t>
            </w:r>
            <w:bookmarkEnd w:id="0"/>
          </w:p>
        </w:tc>
        <w:tc>
          <w:tcPr>
            <w:tcW w:w="4211"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第三十三项71条：363改装车制造</w:t>
            </w:r>
          </w:p>
        </w:tc>
      </w:tr>
      <w:tr>
        <w:tblPrEx>
          <w:tblLayout w:type="fixed"/>
        </w:tblPrEx>
        <w:trPr>
          <w:trHeight w:val="397" w:hRule="atLeast"/>
        </w:trPr>
        <w:tc>
          <w:tcPr>
            <w:tcW w:w="1402" w:type="dxa"/>
            <w:vAlign w:val="center"/>
          </w:tcPr>
          <w:p>
            <w:pPr>
              <w:pStyle w:val="46"/>
              <w:bidi w:val="0"/>
              <w:spacing w:line="240" w:lineRule="auto"/>
              <w:jc w:val="center"/>
              <w:rPr>
                <w:rFonts w:hint="default"/>
                <w:b/>
                <w:bCs/>
                <w:color w:val="000000" w:themeColor="text1"/>
                <w:highlight w:val="none"/>
                <w:lang w:val="en-US" w:eastAsia="zh-CN"/>
                <w14:textFill>
                  <w14:solidFill>
                    <w14:schemeClr w14:val="tx1"/>
                  </w14:solidFill>
                </w14:textFill>
              </w:rPr>
            </w:pPr>
            <w:r>
              <w:rPr>
                <w:rFonts w:hint="default"/>
                <w:b/>
                <w:bCs/>
                <w:color w:val="000000" w:themeColor="text1"/>
                <w:highlight w:val="none"/>
                <w14:textFill>
                  <w14:solidFill>
                    <w14:schemeClr w14:val="tx1"/>
                  </w14:solidFill>
                </w14:textFill>
              </w:rPr>
              <w:t>建设性质</w:t>
            </w:r>
          </w:p>
        </w:tc>
        <w:tc>
          <w:tcPr>
            <w:tcW w:w="2011" w:type="dxa"/>
            <w:vAlign w:val="center"/>
          </w:tcPr>
          <w:p>
            <w:pPr>
              <w:pStyle w:val="46"/>
              <w:bidi w:val="0"/>
              <w:spacing w:line="240" w:lineRule="auto"/>
              <w:jc w:val="both"/>
              <w:rPr>
                <w:rFonts w:hint="default"/>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default"/>
                <w:color w:val="000000" w:themeColor="text1"/>
                <w:highlight w:val="none"/>
                <w14:textFill>
                  <w14:solidFill>
                    <w14:schemeClr w14:val="tx1"/>
                  </w14:solidFill>
                </w14:textFill>
              </w:rPr>
              <w:t>新建（迁建）</w:t>
            </w:r>
          </w:p>
          <w:p>
            <w:pPr>
              <w:pStyle w:val="46"/>
              <w:bidi w:val="0"/>
              <w:spacing w:line="240" w:lineRule="auto"/>
              <w:jc w:val="both"/>
              <w:rPr>
                <w:rFonts w:hint="default"/>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default"/>
                <w:color w:val="000000" w:themeColor="text1"/>
                <w:highlight w:val="none"/>
                <w14:textFill>
                  <w14:solidFill>
                    <w14:schemeClr w14:val="tx1"/>
                  </w14:solidFill>
                </w14:textFill>
              </w:rPr>
              <w:t>改建</w:t>
            </w:r>
          </w:p>
          <w:p>
            <w:pPr>
              <w:pStyle w:val="46"/>
              <w:bidi w:val="0"/>
              <w:spacing w:line="240" w:lineRule="auto"/>
              <w:jc w:val="both"/>
              <w:rPr>
                <w:rFonts w:hint="default"/>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default"/>
                <w:color w:val="000000" w:themeColor="text1"/>
                <w:highlight w:val="none"/>
                <w14:textFill>
                  <w14:solidFill>
                    <w14:schemeClr w14:val="tx1"/>
                  </w14:solidFill>
                </w14:textFill>
              </w:rPr>
              <w:t>扩建</w:t>
            </w:r>
          </w:p>
          <w:p>
            <w:pPr>
              <w:pStyle w:val="46"/>
              <w:bidi w:val="0"/>
              <w:spacing w:line="240" w:lineRule="auto"/>
              <w:jc w:val="both"/>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default"/>
                <w:color w:val="000000" w:themeColor="text1"/>
                <w:highlight w:val="none"/>
                <w14:textFill>
                  <w14:solidFill>
                    <w14:schemeClr w14:val="tx1"/>
                  </w14:solidFill>
                </w14:textFill>
              </w:rPr>
              <w:t>技术改造</w:t>
            </w:r>
          </w:p>
        </w:tc>
        <w:tc>
          <w:tcPr>
            <w:tcW w:w="2062" w:type="dxa"/>
            <w:vAlign w:val="center"/>
          </w:tcPr>
          <w:p>
            <w:pPr>
              <w:pStyle w:val="46"/>
              <w:bidi w:val="0"/>
              <w:spacing w:line="240" w:lineRule="auto"/>
              <w:jc w:val="center"/>
              <w:rPr>
                <w:rFonts w:hint="default"/>
                <w:b/>
                <w:bCs/>
                <w:color w:val="000000" w:themeColor="text1"/>
                <w:highlight w:val="none"/>
                <w14:textFill>
                  <w14:solidFill>
                    <w14:schemeClr w14:val="tx1"/>
                  </w14:solidFill>
                </w14:textFill>
              </w:rPr>
            </w:pPr>
            <w:r>
              <w:rPr>
                <w:rFonts w:hint="default"/>
                <w:b/>
                <w:bCs/>
                <w:color w:val="000000" w:themeColor="text1"/>
                <w:highlight w:val="none"/>
                <w14:textFill>
                  <w14:solidFill>
                    <w14:schemeClr w14:val="tx1"/>
                  </w14:solidFill>
                </w14:textFill>
              </w:rPr>
              <w:t>建设项目</w:t>
            </w:r>
          </w:p>
          <w:p>
            <w:pPr>
              <w:pStyle w:val="46"/>
              <w:bidi w:val="0"/>
              <w:spacing w:line="240" w:lineRule="auto"/>
              <w:jc w:val="center"/>
              <w:rPr>
                <w:rFonts w:hint="default"/>
                <w:b/>
                <w:bCs/>
                <w:color w:val="000000" w:themeColor="text1"/>
                <w:highlight w:val="none"/>
                <w:lang w:val="en-US" w:eastAsia="zh-CN"/>
                <w14:textFill>
                  <w14:solidFill>
                    <w14:schemeClr w14:val="tx1"/>
                  </w14:solidFill>
                </w14:textFill>
              </w:rPr>
            </w:pPr>
            <w:r>
              <w:rPr>
                <w:rFonts w:hint="default"/>
                <w:b/>
                <w:bCs/>
                <w:color w:val="000000" w:themeColor="text1"/>
                <w:highlight w:val="none"/>
                <w14:textFill>
                  <w14:solidFill>
                    <w14:schemeClr w14:val="tx1"/>
                  </w14:solidFill>
                </w14:textFill>
              </w:rPr>
              <w:t>申报情形</w:t>
            </w:r>
          </w:p>
        </w:tc>
        <w:tc>
          <w:tcPr>
            <w:tcW w:w="4211" w:type="dxa"/>
            <w:vAlign w:val="center"/>
          </w:tcPr>
          <w:p>
            <w:pPr>
              <w:pStyle w:val="46"/>
              <w:bidi w:val="0"/>
              <w:spacing w:line="240" w:lineRule="auto"/>
              <w:jc w:val="both"/>
              <w:rPr>
                <w:rFonts w:hint="default"/>
                <w:color w:val="000000" w:themeColor="text1"/>
                <w:highlight w:val="none"/>
                <w14:textFill>
                  <w14:solidFill>
                    <w14:schemeClr w14:val="tx1"/>
                  </w14:solidFill>
                </w14:textFill>
              </w:rPr>
            </w:pPr>
            <w:r>
              <w:rPr>
                <w:rFonts w:hint="default"/>
                <w:color w:val="000000" w:themeColor="text1"/>
                <w:highlight w:val="none"/>
                <w:lang w:eastAsia="zh-CN"/>
                <w14:textFill>
                  <w14:solidFill>
                    <w14:schemeClr w14:val="tx1"/>
                  </w14:solidFill>
                </w14:textFill>
              </w:rPr>
              <w:t>☑</w:t>
            </w:r>
            <w:r>
              <w:rPr>
                <w:rFonts w:hint="default"/>
                <w:color w:val="000000" w:themeColor="text1"/>
                <w:highlight w:val="none"/>
                <w14:textFill>
                  <w14:solidFill>
                    <w14:schemeClr w14:val="tx1"/>
                  </w14:solidFill>
                </w14:textFill>
              </w:rPr>
              <w:t>首次申报项目</w:t>
            </w:r>
          </w:p>
          <w:p>
            <w:pPr>
              <w:pStyle w:val="46"/>
              <w:bidi w:val="0"/>
              <w:spacing w:line="240" w:lineRule="auto"/>
              <w:jc w:val="both"/>
              <w:rPr>
                <w:rFonts w:hint="default"/>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default"/>
                <w:color w:val="000000" w:themeColor="text1"/>
                <w:highlight w:val="none"/>
                <w14:textFill>
                  <w14:solidFill>
                    <w14:schemeClr w14:val="tx1"/>
                  </w14:solidFill>
                </w14:textFill>
              </w:rPr>
              <w:t>不予批准后再次申报项目</w:t>
            </w:r>
          </w:p>
          <w:p>
            <w:pPr>
              <w:pStyle w:val="46"/>
              <w:bidi w:val="0"/>
              <w:spacing w:line="240" w:lineRule="auto"/>
              <w:jc w:val="both"/>
              <w:rPr>
                <w:rFonts w:hint="default"/>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default"/>
                <w:color w:val="000000" w:themeColor="text1"/>
                <w:highlight w:val="none"/>
                <w14:textFill>
                  <w14:solidFill>
                    <w14:schemeClr w14:val="tx1"/>
                  </w14:solidFill>
                </w14:textFill>
              </w:rPr>
              <w:t>超五年重新审核项目</w:t>
            </w:r>
          </w:p>
          <w:p>
            <w:pPr>
              <w:pStyle w:val="46"/>
              <w:bidi w:val="0"/>
              <w:spacing w:line="240" w:lineRule="auto"/>
              <w:jc w:val="both"/>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default"/>
                <w:color w:val="000000" w:themeColor="text1"/>
                <w:highlight w:val="none"/>
                <w14:textFill>
                  <w14:solidFill>
                    <w14:schemeClr w14:val="tx1"/>
                  </w14:solidFill>
                </w14:textFill>
              </w:rPr>
              <w:t>重大变动重新报批项目</w:t>
            </w:r>
          </w:p>
        </w:tc>
      </w:tr>
      <w:tr>
        <w:tblPrEx>
          <w:tblLayout w:type="fixed"/>
        </w:tblPrEx>
        <w:trPr>
          <w:trHeight w:val="397" w:hRule="atLeast"/>
        </w:trPr>
        <w:tc>
          <w:tcPr>
            <w:tcW w:w="1402" w:type="dxa"/>
            <w:vAlign w:val="center"/>
          </w:tcPr>
          <w:p>
            <w:pPr>
              <w:pStyle w:val="46"/>
              <w:bidi w:val="0"/>
              <w:spacing w:line="240" w:lineRule="auto"/>
              <w:jc w:val="center"/>
              <w:rPr>
                <w:rFonts w:hint="default"/>
                <w:b/>
                <w:bCs/>
                <w:color w:val="000000" w:themeColor="text1"/>
                <w:highlight w:val="none"/>
                <w:lang w:val="en-US" w:eastAsia="zh-CN"/>
                <w14:textFill>
                  <w14:solidFill>
                    <w14:schemeClr w14:val="tx1"/>
                  </w14:solidFill>
                </w14:textFill>
              </w:rPr>
            </w:pPr>
            <w:r>
              <w:rPr>
                <w:rFonts w:hint="default"/>
                <w:b/>
                <w:bCs/>
                <w:color w:val="000000" w:themeColor="text1"/>
                <w:highlight w:val="none"/>
                <w14:textFill>
                  <w14:solidFill>
                    <w14:schemeClr w14:val="tx1"/>
                  </w14:solidFill>
                </w14:textFill>
              </w:rPr>
              <w:t>项目审批（核准/备案）部门</w:t>
            </w:r>
          </w:p>
        </w:tc>
        <w:tc>
          <w:tcPr>
            <w:tcW w:w="2011" w:type="dxa"/>
            <w:vAlign w:val="center"/>
          </w:tcPr>
          <w:p>
            <w:pPr>
              <w:pStyle w:val="46"/>
              <w:bidi w:val="0"/>
              <w:spacing w:line="240" w:lineRule="auto"/>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灵璧县发展改革委</w:t>
            </w:r>
          </w:p>
        </w:tc>
        <w:tc>
          <w:tcPr>
            <w:tcW w:w="2062" w:type="dxa"/>
            <w:vAlign w:val="center"/>
          </w:tcPr>
          <w:p>
            <w:pPr>
              <w:pStyle w:val="46"/>
              <w:bidi w:val="0"/>
              <w:spacing w:line="240" w:lineRule="auto"/>
              <w:jc w:val="center"/>
              <w:rPr>
                <w:rFonts w:hint="default"/>
                <w:b/>
                <w:bCs/>
                <w:color w:val="000000" w:themeColor="text1"/>
                <w:highlight w:val="none"/>
                <w:lang w:val="en-US" w:eastAsia="zh-CN"/>
                <w14:textFill>
                  <w14:solidFill>
                    <w14:schemeClr w14:val="tx1"/>
                  </w14:solidFill>
                </w14:textFill>
              </w:rPr>
            </w:pPr>
            <w:r>
              <w:rPr>
                <w:rFonts w:hint="default"/>
                <w:b/>
                <w:bCs/>
                <w:color w:val="000000" w:themeColor="text1"/>
                <w:highlight w:val="none"/>
                <w14:textFill>
                  <w14:solidFill>
                    <w14:schemeClr w14:val="tx1"/>
                  </w14:solidFill>
                </w14:textFill>
              </w:rPr>
              <w:t>项目审批（核准/备案）文号</w:t>
            </w:r>
          </w:p>
        </w:tc>
        <w:tc>
          <w:tcPr>
            <w:tcW w:w="4211" w:type="dxa"/>
            <w:vAlign w:val="center"/>
          </w:tcPr>
          <w:p>
            <w:pPr>
              <w:pStyle w:val="46"/>
              <w:bidi w:val="0"/>
              <w:spacing w:line="240" w:lineRule="auto"/>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r>
      <w:tr>
        <w:tblPrEx>
          <w:tblLayout w:type="fixed"/>
        </w:tblPrEx>
        <w:trPr>
          <w:trHeight w:val="397" w:hRule="atLeast"/>
        </w:trPr>
        <w:tc>
          <w:tcPr>
            <w:tcW w:w="1402" w:type="dxa"/>
            <w:vAlign w:val="center"/>
          </w:tcPr>
          <w:p>
            <w:pPr>
              <w:pStyle w:val="46"/>
              <w:bidi w:val="0"/>
              <w:spacing w:line="240" w:lineRule="auto"/>
              <w:jc w:val="center"/>
              <w:rPr>
                <w:rFonts w:hint="default"/>
                <w:b/>
                <w:bCs/>
                <w:color w:val="000000" w:themeColor="text1"/>
                <w:highlight w:val="none"/>
                <w14:textFill>
                  <w14:solidFill>
                    <w14:schemeClr w14:val="tx1"/>
                  </w14:solidFill>
                </w14:textFill>
              </w:rPr>
            </w:pPr>
            <w:r>
              <w:rPr>
                <w:rFonts w:hint="default"/>
                <w:b/>
                <w:bCs/>
                <w:color w:val="000000" w:themeColor="text1"/>
                <w:highlight w:val="none"/>
                <w14:textFill>
                  <w14:solidFill>
                    <w14:schemeClr w14:val="tx1"/>
                  </w14:solidFill>
                </w14:textFill>
              </w:rPr>
              <w:t>总投资（万元）</w:t>
            </w:r>
          </w:p>
        </w:tc>
        <w:tc>
          <w:tcPr>
            <w:tcW w:w="2011" w:type="dxa"/>
            <w:vAlign w:val="center"/>
          </w:tcPr>
          <w:p>
            <w:pPr>
              <w:pStyle w:val="46"/>
              <w:bidi w:val="0"/>
              <w:spacing w:line="240" w:lineRule="auto"/>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10500</w:t>
            </w:r>
          </w:p>
        </w:tc>
        <w:tc>
          <w:tcPr>
            <w:tcW w:w="2062" w:type="dxa"/>
            <w:vAlign w:val="center"/>
          </w:tcPr>
          <w:p>
            <w:pPr>
              <w:pStyle w:val="46"/>
              <w:bidi w:val="0"/>
              <w:spacing w:line="240" w:lineRule="auto"/>
              <w:jc w:val="center"/>
              <w:rPr>
                <w:rFonts w:hint="default"/>
                <w:b/>
                <w:bCs/>
                <w:color w:val="000000" w:themeColor="text1"/>
                <w:highlight w:val="none"/>
                <w14:textFill>
                  <w14:solidFill>
                    <w14:schemeClr w14:val="tx1"/>
                  </w14:solidFill>
                </w14:textFill>
              </w:rPr>
            </w:pPr>
            <w:r>
              <w:rPr>
                <w:rFonts w:hint="default"/>
                <w:b/>
                <w:bCs/>
                <w:color w:val="000000" w:themeColor="text1"/>
                <w:highlight w:val="none"/>
                <w14:textFill>
                  <w14:solidFill>
                    <w14:schemeClr w14:val="tx1"/>
                  </w14:solidFill>
                </w14:textFill>
              </w:rPr>
              <w:t>环保投资</w:t>
            </w:r>
          </w:p>
          <w:p>
            <w:pPr>
              <w:pStyle w:val="46"/>
              <w:bidi w:val="0"/>
              <w:spacing w:line="240" w:lineRule="auto"/>
              <w:jc w:val="center"/>
              <w:rPr>
                <w:rFonts w:hint="default"/>
                <w:b/>
                <w:bCs/>
                <w:color w:val="000000" w:themeColor="text1"/>
                <w:highlight w:val="none"/>
                <w:lang w:val="en-US" w:eastAsia="zh-CN"/>
                <w14:textFill>
                  <w14:solidFill>
                    <w14:schemeClr w14:val="tx1"/>
                  </w14:solidFill>
                </w14:textFill>
              </w:rPr>
            </w:pPr>
            <w:r>
              <w:rPr>
                <w:rFonts w:hint="default"/>
                <w:b/>
                <w:bCs/>
                <w:color w:val="000000" w:themeColor="text1"/>
                <w:highlight w:val="none"/>
                <w14:textFill>
                  <w14:solidFill>
                    <w14:schemeClr w14:val="tx1"/>
                  </w14:solidFill>
                </w14:textFill>
              </w:rPr>
              <w:t>（万元）</w:t>
            </w:r>
          </w:p>
        </w:tc>
        <w:tc>
          <w:tcPr>
            <w:tcW w:w="4211" w:type="dxa"/>
            <w:vAlign w:val="center"/>
          </w:tcPr>
          <w:p>
            <w:pPr>
              <w:pStyle w:val="46"/>
              <w:bidi w:val="0"/>
              <w:spacing w:line="240" w:lineRule="auto"/>
              <w:jc w:val="center"/>
              <w:rPr>
                <w:rFonts w:hint="default"/>
                <w:color w:val="000000" w:themeColor="text1"/>
                <w:highlight w:val="none"/>
                <w:lang w:val="en-US" w:eastAsia="zh-CN"/>
                <w14:textFill>
                  <w14:solidFill>
                    <w14:schemeClr w14:val="tx1"/>
                  </w14:solidFill>
                </w14:textFill>
              </w:rPr>
            </w:pPr>
            <w:r>
              <w:rPr>
                <w:rFonts w:hint="eastAsia"/>
                <w:color w:val="auto"/>
                <w:highlight w:val="none"/>
                <w:lang w:val="en-US" w:eastAsia="zh-CN"/>
              </w:rPr>
              <w:t>30</w:t>
            </w:r>
          </w:p>
        </w:tc>
      </w:tr>
      <w:tr>
        <w:tblPrEx>
          <w:tblLayout w:type="fixed"/>
        </w:tblPrEx>
        <w:trPr>
          <w:trHeight w:val="397" w:hRule="atLeast"/>
        </w:trPr>
        <w:tc>
          <w:tcPr>
            <w:tcW w:w="1402" w:type="dxa"/>
            <w:vAlign w:val="center"/>
          </w:tcPr>
          <w:p>
            <w:pPr>
              <w:pStyle w:val="46"/>
              <w:bidi w:val="0"/>
              <w:spacing w:line="240" w:lineRule="auto"/>
              <w:jc w:val="center"/>
              <w:rPr>
                <w:rFonts w:hint="eastAsia"/>
                <w:b/>
                <w:bCs/>
                <w:color w:val="000000" w:themeColor="text1"/>
                <w:highlight w:val="none"/>
                <w:lang w:eastAsia="zh-CN"/>
                <w14:textFill>
                  <w14:solidFill>
                    <w14:schemeClr w14:val="tx1"/>
                  </w14:solidFill>
                </w14:textFill>
              </w:rPr>
            </w:pPr>
            <w:r>
              <w:rPr>
                <w:rFonts w:hint="default"/>
                <w:b/>
                <w:bCs/>
                <w:color w:val="000000" w:themeColor="text1"/>
                <w:highlight w:val="none"/>
                <w14:textFill>
                  <w14:solidFill>
                    <w14:schemeClr w14:val="tx1"/>
                  </w14:solidFill>
                </w14:textFill>
              </w:rPr>
              <w:t>环保投资占比（%</w:t>
            </w:r>
            <w:r>
              <w:rPr>
                <w:rFonts w:hint="eastAsia"/>
                <w:b/>
                <w:bCs/>
                <w:color w:val="000000" w:themeColor="text1"/>
                <w:highlight w:val="none"/>
                <w:lang w:eastAsia="zh-CN"/>
                <w14:textFill>
                  <w14:solidFill>
                    <w14:schemeClr w14:val="tx1"/>
                  </w14:solidFill>
                </w14:textFill>
              </w:rPr>
              <w:t>）</w:t>
            </w:r>
          </w:p>
        </w:tc>
        <w:tc>
          <w:tcPr>
            <w:tcW w:w="2011" w:type="dxa"/>
            <w:vAlign w:val="center"/>
          </w:tcPr>
          <w:p>
            <w:pPr>
              <w:pStyle w:val="46"/>
              <w:bidi w:val="0"/>
              <w:spacing w:line="240" w:lineRule="auto"/>
              <w:jc w:val="center"/>
              <w:rPr>
                <w:rFonts w:hint="default"/>
                <w:color w:val="000000" w:themeColor="text1"/>
                <w:highlight w:val="none"/>
                <w:lang w:val="en-US" w:eastAsia="zh-CN"/>
                <w14:textFill>
                  <w14:solidFill>
                    <w14:schemeClr w14:val="tx1"/>
                  </w14:solidFill>
                </w14:textFill>
              </w:rPr>
            </w:pPr>
            <w:r>
              <w:rPr>
                <w:rFonts w:hint="eastAsia"/>
                <w:color w:val="auto"/>
                <w:highlight w:val="none"/>
                <w:lang w:val="en-US" w:eastAsia="zh-CN"/>
              </w:rPr>
              <w:t>0.29</w:t>
            </w:r>
          </w:p>
        </w:tc>
        <w:tc>
          <w:tcPr>
            <w:tcW w:w="2062" w:type="dxa"/>
            <w:vAlign w:val="center"/>
          </w:tcPr>
          <w:p>
            <w:pPr>
              <w:pStyle w:val="46"/>
              <w:bidi w:val="0"/>
              <w:spacing w:line="240" w:lineRule="auto"/>
              <w:jc w:val="center"/>
              <w:rPr>
                <w:rFonts w:hint="default"/>
                <w:b/>
                <w:bCs/>
                <w:color w:val="000000" w:themeColor="text1"/>
                <w:highlight w:val="none"/>
                <w:lang w:val="en-US" w:eastAsia="zh-CN"/>
                <w14:textFill>
                  <w14:solidFill>
                    <w14:schemeClr w14:val="tx1"/>
                  </w14:solidFill>
                </w14:textFill>
              </w:rPr>
            </w:pPr>
            <w:r>
              <w:rPr>
                <w:rFonts w:hint="default"/>
                <w:b/>
                <w:bCs/>
                <w:color w:val="000000" w:themeColor="text1"/>
                <w:highlight w:val="none"/>
                <w14:textFill>
                  <w14:solidFill>
                    <w14:schemeClr w14:val="tx1"/>
                  </w14:solidFill>
                </w14:textFill>
              </w:rPr>
              <w:t>施工工期</w:t>
            </w:r>
          </w:p>
        </w:tc>
        <w:tc>
          <w:tcPr>
            <w:tcW w:w="4211" w:type="dxa"/>
            <w:vAlign w:val="center"/>
          </w:tcPr>
          <w:p>
            <w:pPr>
              <w:pStyle w:val="46"/>
              <w:bidi w:val="0"/>
              <w:spacing w:line="240" w:lineRule="auto"/>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12个月</w:t>
            </w:r>
          </w:p>
        </w:tc>
      </w:tr>
      <w:tr>
        <w:tblPrEx>
          <w:tblLayout w:type="fixed"/>
        </w:tblPrEx>
        <w:trPr>
          <w:trHeight w:val="397" w:hRule="atLeast"/>
        </w:trPr>
        <w:tc>
          <w:tcPr>
            <w:tcW w:w="1402" w:type="dxa"/>
            <w:vAlign w:val="center"/>
          </w:tcPr>
          <w:p>
            <w:pPr>
              <w:pStyle w:val="46"/>
              <w:bidi w:val="0"/>
              <w:spacing w:line="240" w:lineRule="auto"/>
              <w:jc w:val="center"/>
              <w:rPr>
                <w:rFonts w:hint="default"/>
                <w:b/>
                <w:bCs/>
                <w:color w:val="000000" w:themeColor="text1"/>
                <w:highlight w:val="none"/>
                <w14:textFill>
                  <w14:solidFill>
                    <w14:schemeClr w14:val="tx1"/>
                  </w14:solidFill>
                </w14:textFill>
              </w:rPr>
            </w:pPr>
            <w:r>
              <w:rPr>
                <w:rFonts w:hint="default"/>
                <w:b/>
                <w:bCs/>
                <w:color w:val="000000" w:themeColor="text1"/>
                <w:highlight w:val="none"/>
                <w14:textFill>
                  <w14:solidFill>
                    <w14:schemeClr w14:val="tx1"/>
                  </w14:solidFill>
                </w14:textFill>
              </w:rPr>
              <w:t>是否开工建设</w:t>
            </w:r>
          </w:p>
        </w:tc>
        <w:tc>
          <w:tcPr>
            <w:tcW w:w="2011" w:type="dxa"/>
            <w:vAlign w:val="center"/>
          </w:tcPr>
          <w:p>
            <w:pPr>
              <w:pStyle w:val="46"/>
              <w:bidi w:val="0"/>
              <w:spacing w:line="240" w:lineRule="auto"/>
              <w:jc w:val="both"/>
              <w:rPr>
                <w:rFonts w:hint="default"/>
                <w:color w:val="000000" w:themeColor="text1"/>
                <w:highlight w:val="none"/>
                <w14:textFill>
                  <w14:solidFill>
                    <w14:schemeClr w14:val="tx1"/>
                  </w14:solidFill>
                </w14:textFill>
              </w:rPr>
            </w:pPr>
            <w:r>
              <w:rPr>
                <w:rFonts w:hint="default"/>
                <w:color w:val="000000" w:themeColor="text1"/>
                <w:highlight w:val="none"/>
                <w:lang w:eastAsia="zh-CN"/>
                <w14:textFill>
                  <w14:solidFill>
                    <w14:schemeClr w14:val="tx1"/>
                  </w14:solidFill>
                </w14:textFill>
              </w:rPr>
              <w:t>☑</w:t>
            </w:r>
            <w:r>
              <w:rPr>
                <w:rFonts w:hint="default"/>
                <w:color w:val="000000" w:themeColor="text1"/>
                <w:highlight w:val="none"/>
                <w14:textFill>
                  <w14:solidFill>
                    <w14:schemeClr w14:val="tx1"/>
                  </w14:solidFill>
                </w14:textFill>
              </w:rPr>
              <w:t>否</w:t>
            </w:r>
          </w:p>
          <w:p>
            <w:pPr>
              <w:pStyle w:val="46"/>
              <w:bidi w:val="0"/>
              <w:spacing w:line="240" w:lineRule="auto"/>
              <w:jc w:val="both"/>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default"/>
                <w:color w:val="000000" w:themeColor="text1"/>
                <w:highlight w:val="none"/>
                <w14:textFill>
                  <w14:solidFill>
                    <w14:schemeClr w14:val="tx1"/>
                  </w14:solidFill>
                </w14:textFill>
              </w:rPr>
              <w:t>是：</w:t>
            </w:r>
          </w:p>
        </w:tc>
        <w:tc>
          <w:tcPr>
            <w:tcW w:w="2062" w:type="dxa"/>
            <w:vAlign w:val="center"/>
          </w:tcPr>
          <w:p>
            <w:pPr>
              <w:pStyle w:val="46"/>
              <w:bidi w:val="0"/>
              <w:spacing w:line="240" w:lineRule="auto"/>
              <w:jc w:val="center"/>
              <w:rPr>
                <w:rFonts w:hint="default"/>
                <w:b/>
                <w:bCs/>
                <w:color w:val="000000" w:themeColor="text1"/>
                <w:highlight w:val="none"/>
                <w14:textFill>
                  <w14:solidFill>
                    <w14:schemeClr w14:val="tx1"/>
                  </w14:solidFill>
                </w14:textFill>
              </w:rPr>
            </w:pPr>
            <w:r>
              <w:rPr>
                <w:rFonts w:hint="default"/>
                <w:b/>
                <w:bCs/>
                <w:color w:val="000000" w:themeColor="text1"/>
                <w:highlight w:val="none"/>
                <w14:textFill>
                  <w14:solidFill>
                    <w14:schemeClr w14:val="tx1"/>
                  </w14:solidFill>
                </w14:textFill>
              </w:rPr>
              <w:t>用地（用海）</w:t>
            </w:r>
          </w:p>
          <w:p>
            <w:pPr>
              <w:pStyle w:val="46"/>
              <w:bidi w:val="0"/>
              <w:spacing w:line="240" w:lineRule="auto"/>
              <w:jc w:val="center"/>
              <w:rPr>
                <w:rFonts w:hint="default"/>
                <w:b/>
                <w:bCs/>
                <w:color w:val="000000" w:themeColor="text1"/>
                <w:highlight w:val="none"/>
                <w14:textFill>
                  <w14:solidFill>
                    <w14:schemeClr w14:val="tx1"/>
                  </w14:solidFill>
                </w14:textFill>
              </w:rPr>
            </w:pPr>
            <w:r>
              <w:rPr>
                <w:rFonts w:hint="default"/>
                <w:b/>
                <w:bCs/>
                <w:color w:val="000000" w:themeColor="text1"/>
                <w:highlight w:val="none"/>
                <w14:textFill>
                  <w14:solidFill>
                    <w14:schemeClr w14:val="tx1"/>
                  </w14:solidFill>
                </w14:textFill>
              </w:rPr>
              <w:t>面积（m</w:t>
            </w:r>
            <w:r>
              <w:rPr>
                <w:rFonts w:hint="default"/>
                <w:b/>
                <w:bCs/>
                <w:color w:val="000000" w:themeColor="text1"/>
                <w:highlight w:val="none"/>
                <w:vertAlign w:val="superscript"/>
                <w14:textFill>
                  <w14:solidFill>
                    <w14:schemeClr w14:val="tx1"/>
                  </w14:solidFill>
                </w14:textFill>
              </w:rPr>
              <w:t>2</w:t>
            </w:r>
            <w:r>
              <w:rPr>
                <w:rFonts w:hint="default"/>
                <w:b/>
                <w:bCs/>
                <w:color w:val="000000" w:themeColor="text1"/>
                <w:highlight w:val="none"/>
                <w14:textFill>
                  <w14:solidFill>
                    <w14:schemeClr w14:val="tx1"/>
                  </w14:solidFill>
                </w14:textFill>
              </w:rPr>
              <w:t>）</w:t>
            </w:r>
          </w:p>
        </w:tc>
        <w:tc>
          <w:tcPr>
            <w:tcW w:w="4211" w:type="dxa"/>
            <w:vAlign w:val="center"/>
          </w:tcPr>
          <w:p>
            <w:pPr>
              <w:pStyle w:val="46"/>
              <w:bidi w:val="0"/>
              <w:spacing w:line="240" w:lineRule="auto"/>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建筑面积16000</w:t>
            </w:r>
            <w:commentRangeStart w:id="0"/>
            <w:commentRangeStart w:id="1"/>
            <w:r>
              <w:rPr>
                <w:rFonts w:hint="eastAsia"/>
                <w:color w:val="000000" w:themeColor="text1"/>
                <w:highlight w:val="none"/>
                <w:lang w:val="en-US" w:eastAsia="zh-CN"/>
                <w14:textFill>
                  <w14:solidFill>
                    <w14:schemeClr w14:val="tx1"/>
                  </w14:solidFill>
                </w14:textFill>
              </w:rPr>
              <w:t>平方米</w:t>
            </w:r>
            <w:commentRangeEnd w:id="0"/>
            <w:r>
              <w:commentReference w:id="0"/>
            </w:r>
            <w:commentRangeEnd w:id="1"/>
            <w:r>
              <w:commentReference w:id="1"/>
            </w:r>
          </w:p>
        </w:tc>
      </w:tr>
      <w:tr>
        <w:tblPrEx>
          <w:tblLayout w:type="fixed"/>
        </w:tblPrEx>
        <w:trPr>
          <w:trHeight w:val="397" w:hRule="atLeast"/>
        </w:trPr>
        <w:tc>
          <w:tcPr>
            <w:tcW w:w="1402"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专项评价设置情况</w:t>
            </w:r>
          </w:p>
        </w:tc>
        <w:tc>
          <w:tcPr>
            <w:tcW w:w="8284" w:type="dxa"/>
            <w:gridSpan w:val="3"/>
            <w:vAlign w:val="center"/>
          </w:tcPr>
          <w:p>
            <w:pPr>
              <w:numPr>
                <w:ilvl w:val="0"/>
                <w:numId w:val="0"/>
              </w:numPr>
              <w:jc w:val="center"/>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无</w:t>
            </w:r>
          </w:p>
        </w:tc>
      </w:tr>
      <w:tr>
        <w:tblPrEx>
          <w:tblLayout w:type="fixed"/>
        </w:tblPrEx>
        <w:trPr>
          <w:trHeight w:val="397" w:hRule="atLeast"/>
        </w:trPr>
        <w:tc>
          <w:tcPr>
            <w:tcW w:w="1402"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规划情况</w:t>
            </w:r>
          </w:p>
        </w:tc>
        <w:tc>
          <w:tcPr>
            <w:tcW w:w="8284" w:type="dxa"/>
            <w:gridSpan w:val="3"/>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pPr>
            <w:r>
              <w:rPr>
                <w14:textOutline w14:w="4358" w14:cap="sq" w14:cmpd="sng">
                  <w14:solidFill>
                    <w14:srgbClr w14:val="000000"/>
                  </w14:solidFill>
                  <w14:prstDash w14:val="solid"/>
                  <w14:bevel/>
                </w14:textOutline>
              </w:rPr>
              <w:t>规划名称：</w:t>
            </w:r>
            <w:r>
              <w:t>《安徽灵璧经济开发区规划范围（</w:t>
            </w:r>
            <w:r>
              <w:rPr>
                <w:rFonts w:ascii="Times New Roman" w:hAnsi="Times New Roman" w:eastAsia="Times New Roman" w:cs="Times New Roman"/>
              </w:rPr>
              <w:t>201</w:t>
            </w:r>
            <w:r>
              <w:rPr>
                <w:rFonts w:ascii="Times New Roman" w:hAnsi="Times New Roman" w:eastAsia="Times New Roman" w:cs="Times New Roman"/>
                <w:spacing w:val="-1"/>
              </w:rPr>
              <w:t>2-2030</w:t>
            </w:r>
            <w:r>
              <w:rPr>
                <w:spacing w:val="-1"/>
              </w:rPr>
              <w:t>）》</w:t>
            </w:r>
          </w:p>
          <w:p>
            <w:pPr>
              <w:pStyle w:val="7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pPr>
            <w:r>
              <w:rPr>
                <w:spacing w:val="-2"/>
                <w14:textOutline w14:w="4358" w14:cap="sq" w14:cmpd="sng">
                  <w14:solidFill>
                    <w14:srgbClr w14:val="000000"/>
                  </w14:solidFill>
                  <w14:prstDash w14:val="solid"/>
                  <w14:bevel/>
                </w14:textOutline>
              </w:rPr>
              <w:t>审批机关：</w:t>
            </w:r>
            <w:r>
              <w:rPr>
                <w:spacing w:val="-2"/>
              </w:rPr>
              <w:t>安徽省人民政府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heme="minorBidi"/>
                <w:color w:val="000000" w:themeColor="text1"/>
                <w:kern w:val="2"/>
                <w:szCs w:val="24"/>
                <w:highlight w:val="none"/>
                <w:lang w:val="en-US" w:eastAsia="zh-CN" w:bidi="ar-SA"/>
                <w14:textFill>
                  <w14:solidFill>
                    <w14:schemeClr w14:val="tx1"/>
                  </w14:solidFill>
                </w14:textFill>
              </w:rPr>
            </w:pPr>
            <w:r>
              <w:rPr>
                <w:spacing w:val="-1"/>
                <w14:textOutline w14:w="4358" w14:cap="sq" w14:cmpd="sng">
                  <w14:solidFill>
                    <w14:srgbClr w14:val="000000"/>
                  </w14:solidFill>
                  <w14:prstDash w14:val="solid"/>
                  <w14:bevel/>
                </w14:textOutline>
              </w:rPr>
              <w:t>审批文号：</w:t>
            </w:r>
            <w:r>
              <w:rPr>
                <w:spacing w:val="-1"/>
              </w:rPr>
              <w:t>皖政秘【</w:t>
            </w:r>
            <w:r>
              <w:rPr>
                <w:rFonts w:ascii="Times New Roman" w:hAnsi="Times New Roman" w:eastAsia="Times New Roman" w:cs="Times New Roman"/>
                <w:spacing w:val="-1"/>
              </w:rPr>
              <w:t>2012</w:t>
            </w:r>
            <w:r>
              <w:rPr>
                <w:spacing w:val="-1"/>
              </w:rPr>
              <w:t>】</w:t>
            </w:r>
            <w:r>
              <w:rPr>
                <w:rFonts w:ascii="Times New Roman" w:hAnsi="Times New Roman" w:eastAsia="Times New Roman" w:cs="Times New Roman"/>
                <w:spacing w:val="-1"/>
              </w:rPr>
              <w:t>554</w:t>
            </w:r>
            <w:r>
              <w:rPr>
                <w:spacing w:val="-1"/>
              </w:rPr>
              <w:t>号</w:t>
            </w:r>
          </w:p>
        </w:tc>
      </w:tr>
      <w:tr>
        <w:tblPrEx>
          <w:tblLayout w:type="fixed"/>
        </w:tblPrEx>
        <w:trPr>
          <w:trHeight w:val="397" w:hRule="atLeast"/>
        </w:trPr>
        <w:tc>
          <w:tcPr>
            <w:tcW w:w="1402"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lang w:val="en-US" w:eastAsia="zh-CN"/>
                <w14:textFill>
                  <w14:solidFill>
                    <w14:schemeClr w14:val="tx1"/>
                  </w14:solidFill>
                </w14:textFill>
              </w:rPr>
              <w:t>规划环境影响评价情况</w:t>
            </w:r>
          </w:p>
        </w:tc>
        <w:tc>
          <w:tcPr>
            <w:tcW w:w="8284" w:type="dxa"/>
            <w:gridSpan w:val="3"/>
            <w:vAlign w:val="center"/>
          </w:tcPr>
          <w:p>
            <w:pPr>
              <w:pStyle w:val="7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pPr>
            <w:r>
              <w:rPr>
                <w:spacing w:val="-1"/>
                <w14:textOutline w14:w="4358" w14:cap="sq" w14:cmpd="sng">
                  <w14:solidFill>
                    <w14:srgbClr w14:val="000000"/>
                  </w14:solidFill>
                  <w14:prstDash w14:val="solid"/>
                  <w14:bevel/>
                </w14:textOutline>
              </w:rPr>
              <w:t>名称：</w:t>
            </w:r>
            <w:r>
              <w:rPr>
                <w:spacing w:val="-1"/>
              </w:rPr>
              <w:t>《安徽灵璧经济开发区总体发展规划环境影响报告书》</w:t>
            </w:r>
          </w:p>
          <w:p>
            <w:pPr>
              <w:pStyle w:val="7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pPr>
            <w:r>
              <w:rPr>
                <w:spacing w:val="-2"/>
                <w14:textOutline w14:w="4358" w14:cap="sq" w14:cmpd="sng">
                  <w14:solidFill>
                    <w14:srgbClr w14:val="000000"/>
                  </w14:solidFill>
                  <w14:prstDash w14:val="solid"/>
                  <w14:bevel/>
                </w14:textOutline>
              </w:rPr>
              <w:t>审查机关：</w:t>
            </w:r>
            <w:r>
              <w:rPr>
                <w:spacing w:val="-2"/>
              </w:rPr>
              <w:t>安徽省环境保护厅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default" w:eastAsia="宋体"/>
                <w:color w:val="000000" w:themeColor="text1"/>
                <w:highlight w:val="none"/>
                <w:lang w:val="en-US" w:eastAsia="zh-CN"/>
                <w14:textFill>
                  <w14:solidFill>
                    <w14:schemeClr w14:val="tx1"/>
                  </w14:solidFill>
                </w14:textFill>
              </w:rPr>
            </w:pPr>
            <w:r>
              <w:rPr>
                <w:spacing w:val="-1"/>
                <w14:textOutline w14:w="4358" w14:cap="sq" w14:cmpd="sng">
                  <w14:solidFill>
                    <w14:srgbClr w14:val="000000"/>
                  </w14:solidFill>
                  <w14:prstDash w14:val="solid"/>
                  <w14:bevel/>
                </w14:textOutline>
              </w:rPr>
              <w:t>审批文号：</w:t>
            </w:r>
            <w:r>
              <w:rPr>
                <w:rFonts w:hint="eastAsia" w:ascii="宋体" w:hAnsi="宋体" w:eastAsia="宋体" w:cs="宋体"/>
                <w:spacing w:val="-1"/>
                <w:kern w:val="2"/>
                <w:sz w:val="24"/>
                <w:szCs w:val="24"/>
                <w:lang w:val="en-US" w:eastAsia="zh-CN" w:bidi="ar-SA"/>
              </w:rPr>
              <w:t>《安徽省环保厅关于</w:t>
            </w:r>
            <w:r>
              <w:rPr>
                <w:rFonts w:hint="eastAsia" w:ascii="宋体" w:hAnsi="宋体" w:eastAsia="宋体" w:cs="宋体"/>
                <w:spacing w:val="-1"/>
                <w:kern w:val="2"/>
                <w:sz w:val="24"/>
                <w:szCs w:val="24"/>
                <w:lang w:val="en-US" w:eastAsia="en-US" w:bidi="ar-SA"/>
              </w:rPr>
              <w:t>灵璧经济开</w:t>
            </w:r>
            <w:commentRangeStart w:id="2"/>
            <w:commentRangeStart w:id="3"/>
            <w:r>
              <w:rPr>
                <w:rFonts w:hint="eastAsia" w:ascii="宋体" w:hAnsi="宋体" w:eastAsia="宋体" w:cs="宋体"/>
                <w:spacing w:val="-1"/>
                <w:kern w:val="2"/>
                <w:sz w:val="24"/>
                <w:szCs w:val="24"/>
                <w:lang w:val="en-US" w:eastAsia="en-US" w:bidi="ar-SA"/>
              </w:rPr>
              <w:t>发区总体发展规划环境影响报告书</w:t>
            </w:r>
            <w:r>
              <w:rPr>
                <w:rFonts w:hint="eastAsia" w:ascii="宋体" w:hAnsi="宋体" w:eastAsia="宋体" w:cs="宋体"/>
                <w:spacing w:val="-1"/>
                <w:kern w:val="2"/>
                <w:sz w:val="24"/>
                <w:szCs w:val="24"/>
                <w:lang w:val="en-US" w:eastAsia="zh-CN" w:bidi="ar-SA"/>
              </w:rPr>
              <w:t>审查意见的函》，</w:t>
            </w:r>
            <w:r>
              <w:rPr>
                <w:rFonts w:hint="eastAsia" w:ascii="宋体" w:hAnsi="宋体" w:eastAsia="宋体" w:cs="宋体"/>
                <w:color w:val="auto"/>
                <w:spacing w:val="-1"/>
                <w:kern w:val="2"/>
                <w:sz w:val="24"/>
                <w:szCs w:val="24"/>
                <w:lang w:val="en-US" w:eastAsia="en-US" w:bidi="ar-SA"/>
              </w:rPr>
              <w:t>皖政秘【2012】554号</w:t>
            </w:r>
            <w:commentRangeEnd w:id="2"/>
            <w:r>
              <w:commentReference w:id="2"/>
            </w:r>
            <w:commentRangeEnd w:id="3"/>
            <w:r>
              <w:commentReference w:id="3"/>
            </w:r>
          </w:p>
        </w:tc>
      </w:tr>
      <w:tr>
        <w:tblPrEx>
          <w:tblLayout w:type="fixed"/>
        </w:tblPrEx>
        <w:trPr>
          <w:trHeight w:val="397" w:hRule="atLeast"/>
        </w:trPr>
        <w:tc>
          <w:tcPr>
            <w:tcW w:w="1402" w:type="dxa"/>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规划及规划环境影响评价符合性分析</w:t>
            </w:r>
          </w:p>
        </w:tc>
        <w:tc>
          <w:tcPr>
            <w:tcW w:w="8284" w:type="dxa"/>
            <w:gridSpan w:val="3"/>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firstLine="476" w:firstLineChars="200"/>
              <w:jc w:val="both"/>
              <w:textAlignment w:val="auto"/>
              <w:rPr>
                <w:spacing w:val="-1"/>
                <w14:textOutline w14:w="4358" w14:cap="sq" w14:cmpd="sng">
                  <w14:solidFill>
                    <w14:srgbClr w14:val="000000"/>
                  </w14:solidFill>
                  <w14:prstDash w14:val="solid"/>
                  <w14:bevel/>
                </w14:textOutline>
              </w:rPr>
            </w:pPr>
            <w:r>
              <w:rPr>
                <w:spacing w:val="-1"/>
                <w14:textOutline w14:w="4358" w14:cap="sq" w14:cmpd="sng">
                  <w14:solidFill>
                    <w14:srgbClr w14:val="000000"/>
                  </w14:solidFill>
                  <w14:prstDash w14:val="solid"/>
                  <w14:bevel/>
                </w14:textOutline>
              </w:rPr>
              <w:t>与灵璧县经济开发区总体发展规划相符性</w:t>
            </w:r>
          </w:p>
          <w:p>
            <w:pPr>
              <w:pStyle w:val="70"/>
              <w:keepNext w:val="0"/>
              <w:keepLines w:val="0"/>
              <w:pageBreakBefore w:val="0"/>
              <w:widowControl w:val="0"/>
              <w:kinsoku/>
              <w:wordWrap/>
              <w:overflowPunct/>
              <w:topLinePunct w:val="0"/>
              <w:autoSpaceDE/>
              <w:autoSpaceDN/>
              <w:bidi w:val="0"/>
              <w:adjustRightInd/>
              <w:snapToGrid/>
              <w:spacing w:line="360" w:lineRule="auto"/>
              <w:ind w:left="0" w:right="0" w:firstLine="484" w:firstLineChars="200"/>
              <w:jc w:val="both"/>
              <w:textAlignment w:val="auto"/>
              <w:rPr>
                <w:spacing w:val="-4"/>
              </w:rPr>
            </w:pPr>
            <w:r>
              <w:rPr>
                <w:spacing w:val="1"/>
              </w:rPr>
              <w:t>根据《关于安徽灵璧经济开发区总体发展规划环境影响报告书审查</w:t>
            </w:r>
            <w:r>
              <w:rPr>
                <w:spacing w:val="6"/>
              </w:rPr>
              <w:t xml:space="preserve"> </w:t>
            </w:r>
            <w:r>
              <w:rPr>
                <w:spacing w:val="-1"/>
              </w:rPr>
              <w:t>意见的函》（</w:t>
            </w:r>
            <w:commentRangeStart w:id="4"/>
            <w:commentRangeStart w:id="5"/>
            <w:r>
              <w:rPr>
                <w:spacing w:val="-1"/>
              </w:rPr>
              <w:t>原安徽省环境保护厅，环评函[20</w:t>
            </w:r>
            <w:r>
              <w:rPr>
                <w:spacing w:val="-2"/>
              </w:rPr>
              <w:t>12]1</w:t>
            </w:r>
            <w:r>
              <w:rPr>
                <w:rFonts w:ascii="宋体" w:hAnsi="宋体" w:eastAsia="宋体" w:cs="宋体"/>
                <w:spacing w:val="1"/>
              </w:rPr>
              <w:t>174号）</w:t>
            </w:r>
            <w:commentRangeEnd w:id="4"/>
            <w:r>
              <w:commentReference w:id="4"/>
            </w:r>
            <w:commentRangeEnd w:id="5"/>
            <w:r>
              <w:commentReference w:id="5"/>
            </w:r>
            <w:r>
              <w:rPr>
                <w:spacing w:val="3"/>
              </w:rPr>
              <w:t>，</w:t>
            </w:r>
            <w:r>
              <w:rPr>
                <w:spacing w:val="-2"/>
              </w:rPr>
              <w:t>安徽灵璧</w:t>
            </w:r>
            <w:r>
              <w:rPr>
                <w:spacing w:val="1"/>
              </w:rPr>
              <w:t>经济开发区产业定位主要如下：规划主导产业为农副产品加工、装备制造和纺织服装；开发区禁止新建化工、制革和印染类项目；严格控制金属表面处理规模，金属表面处理仅为开发区项目配套，不得接纳该开发区以外的业务。本项目</w:t>
            </w:r>
            <w:r>
              <w:rPr>
                <w:rFonts w:hint="eastAsia"/>
                <w:spacing w:val="1"/>
                <w:lang w:val="en-US" w:eastAsia="zh-CN"/>
              </w:rPr>
              <w:t>行业类别为改装汽车</w:t>
            </w:r>
            <w:r>
              <w:rPr>
                <w:spacing w:val="1"/>
              </w:rPr>
              <w:t>制造</w:t>
            </w:r>
            <w:r>
              <w:rPr>
                <w:rFonts w:hint="eastAsia"/>
                <w:spacing w:val="1"/>
                <w:lang w:eastAsia="zh-CN"/>
              </w:rPr>
              <w:t>，</w:t>
            </w:r>
            <w:r>
              <w:rPr>
                <w:rFonts w:hint="eastAsia"/>
                <w:spacing w:val="1"/>
                <w:lang w:val="en-US" w:eastAsia="zh-CN"/>
              </w:rPr>
              <w:t>属于装备制造，</w:t>
            </w:r>
            <w:r>
              <w:rPr>
                <w:spacing w:val="1"/>
              </w:rPr>
              <w:t>符合</w:t>
            </w:r>
            <w:r>
              <w:rPr>
                <w:spacing w:val="-4"/>
              </w:rPr>
              <w:t>开发区产业定位。因此，本项目与灵璧县经济开发区总体发展规划相符。</w:t>
            </w:r>
          </w:p>
          <w:p>
            <w:pPr>
              <w:pStyle w:val="70"/>
              <w:keepNext w:val="0"/>
              <w:keepLines w:val="0"/>
              <w:pageBreakBefore w:val="0"/>
              <w:widowControl w:val="0"/>
              <w:kinsoku/>
              <w:wordWrap/>
              <w:overflowPunct/>
              <w:topLinePunct w:val="0"/>
              <w:autoSpaceDE/>
              <w:autoSpaceDN/>
              <w:bidi w:val="0"/>
              <w:adjustRightInd/>
              <w:snapToGrid/>
              <w:spacing w:line="360" w:lineRule="auto"/>
              <w:ind w:left="0" w:right="0" w:firstLine="480"/>
              <w:jc w:val="both"/>
              <w:textAlignment w:val="auto"/>
              <w:rPr>
                <w:b/>
                <w:bCs/>
                <w:spacing w:val="1"/>
              </w:rPr>
            </w:pPr>
            <w:r>
              <w:rPr>
                <w:b/>
                <w:bCs/>
                <w:spacing w:val="1"/>
              </w:rPr>
              <w:t>2、与《安徽灵璧经济开发区总体发展规划环境影响报告书审查意见》要求符合性分析</w:t>
            </w:r>
          </w:p>
          <w:p>
            <w:pPr>
              <w:pStyle w:val="70"/>
              <w:keepNext w:val="0"/>
              <w:keepLines w:val="0"/>
              <w:pageBreakBefore w:val="0"/>
              <w:widowControl w:val="0"/>
              <w:kinsoku/>
              <w:wordWrap/>
              <w:overflowPunct/>
              <w:topLinePunct w:val="0"/>
              <w:autoSpaceDE/>
              <w:autoSpaceDN/>
              <w:bidi w:val="0"/>
              <w:adjustRightInd/>
              <w:snapToGrid/>
              <w:spacing w:line="360" w:lineRule="auto"/>
              <w:ind w:left="0" w:right="0" w:firstLine="480"/>
              <w:jc w:val="both"/>
              <w:textAlignment w:val="auto"/>
              <w:rPr>
                <w:b/>
                <w:bCs/>
                <w:spacing w:val="1"/>
              </w:rPr>
            </w:pPr>
            <w:r>
              <w:rPr>
                <w:b/>
                <w:bCs/>
                <w:spacing w:val="1"/>
              </w:rPr>
              <w:t>表1-1  本项目与《安徽灵璧经济开发区总体发展规划环境影响报告书审查意见》符合性</w:t>
            </w:r>
          </w:p>
          <w:tbl>
            <w:tblPr>
              <w:tblStyle w:val="60"/>
              <w:tblW w:w="4997" w:type="pct"/>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1"/>
              <w:gridCol w:w="2393"/>
              <w:gridCol w:w="987"/>
            </w:tblGrid>
            <w:tr>
              <w:tblPrEx>
                <w:tblLayout w:type="fixed"/>
              </w:tblPrEx>
              <w:trPr>
                <w:trHeight w:val="397" w:hRule="atLeast"/>
                <w:jc w:val="center"/>
              </w:trPr>
              <w:tc>
                <w:tcPr>
                  <w:tcW w:w="4676" w:type="dxa"/>
                  <w:tcBorders>
                    <w:tl2br w:val="nil"/>
                    <w:tr2bl w:val="nil"/>
                  </w:tcBorders>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《安徽灵壁经济开发区总体发展规划环境影响报告书》结论及审查意见</w:t>
                  </w:r>
                </w:p>
              </w:tc>
              <w:tc>
                <w:tcPr>
                  <w:tcW w:w="2391" w:type="dxa"/>
                  <w:tcBorders>
                    <w:tl2br w:val="nil"/>
                    <w:tr2bl w:val="nil"/>
                  </w:tcBorders>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本项目</w:t>
                  </w:r>
                </w:p>
              </w:tc>
              <w:tc>
                <w:tcPr>
                  <w:tcW w:w="986" w:type="dxa"/>
                  <w:tcBorders>
                    <w:tl2br w:val="nil"/>
                    <w:tr2bl w:val="nil"/>
                  </w:tcBorders>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符合</w:t>
                  </w:r>
                </w:p>
                <w:p>
                  <w:pPr>
                    <w:pStyle w:val="7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性</w:t>
                  </w:r>
                </w:p>
              </w:tc>
            </w:tr>
            <w:tr>
              <w:tblPrEx>
                <w:tblLayout w:type="fixed"/>
              </w:tblPrEx>
              <w:trPr>
                <w:trHeight w:val="397" w:hRule="atLeast"/>
                <w:jc w:val="center"/>
              </w:trPr>
              <w:tc>
                <w:tcPr>
                  <w:tcW w:w="4676" w:type="dxa"/>
                  <w:tcBorders>
                    <w:tl2br w:val="nil"/>
                    <w:tr2bl w:val="nil"/>
                  </w:tcBorders>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三（一）进一步优化开发区的空间布局，根据开发区各产业特点，充分考虑居住用地、农副产品加工用地区域环境要求，进一步优化调整空间布局。各功能区之间设置一定距离的绿化隔离带；对区内现有不符合功能分区的项目要采取措施逐步进行调整或搬迁；需要设置卫生防护距离的企业，应按规定设置防护距离，严格控制开发区周边用地性质，不得建设环境敏感设施。企业布局要充分考虑对环境敏感点的保护、做好开发区建设中防止水土流失的各项工作。</w:t>
                  </w:r>
                </w:p>
              </w:tc>
              <w:tc>
                <w:tcPr>
                  <w:tcW w:w="2391" w:type="dxa"/>
                  <w:tcBorders>
                    <w:tl2br w:val="nil"/>
                    <w:tr2bl w:val="nil"/>
                  </w:tcBorders>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运营期间</w:t>
                  </w:r>
                  <w:r>
                    <w:rPr>
                      <w:rFonts w:hint="default" w:ascii="Times New Roman" w:hAnsi="Times New Roman" w:eastAsia="宋体" w:cs="Times New Roman"/>
                      <w:color w:val="auto"/>
                      <w:kern w:val="2"/>
                      <w:sz w:val="21"/>
                      <w:szCs w:val="21"/>
                      <w:highlight w:val="none"/>
                      <w:lang w:val="en-US" w:eastAsia="zh-CN" w:bidi="ar-SA"/>
                    </w:rPr>
                    <w:t>制定了废气、废水、噪声防治措</w:t>
                  </w:r>
                </w:p>
                <w:p>
                  <w:pPr>
                    <w:pStyle w:val="7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auto"/>
                      <w:kern w:val="2"/>
                      <w:sz w:val="21"/>
                      <w:szCs w:val="21"/>
                      <w:highlight w:val="none"/>
                      <w:lang w:val="en-US" w:eastAsia="zh-CN" w:bidi="ar-SA"/>
                    </w:rPr>
                    <w:t>施，能最大限度的控制废气、废水</w:t>
                  </w:r>
                  <w:r>
                    <w:rPr>
                      <w:rFonts w:hint="eastAsia" w:ascii="Times New Roman" w:hAnsi="Times New Roman" w:eastAsia="宋体" w:cs="Times New Roman"/>
                      <w:color w:val="auto"/>
                      <w:kern w:val="2"/>
                      <w:sz w:val="21"/>
                      <w:szCs w:val="21"/>
                      <w:highlight w:val="none"/>
                      <w:lang w:val="en-US" w:eastAsia="zh-CN" w:bidi="ar-SA"/>
                    </w:rPr>
                    <w:t>污染物</w:t>
                  </w:r>
                  <w:r>
                    <w:rPr>
                      <w:rFonts w:hint="default" w:ascii="Times New Roman" w:hAnsi="Times New Roman" w:eastAsia="宋体" w:cs="Times New Roman"/>
                      <w:color w:val="auto"/>
                      <w:kern w:val="2"/>
                      <w:sz w:val="21"/>
                      <w:szCs w:val="21"/>
                      <w:highlight w:val="none"/>
                      <w:lang w:val="en-US" w:eastAsia="zh-CN" w:bidi="ar-SA"/>
                    </w:rPr>
                    <w:t>以及噪声的排放。对于危险固废严格按照国家相关管理规定和规范进行安全处置</w:t>
                  </w:r>
                </w:p>
              </w:tc>
              <w:tc>
                <w:tcPr>
                  <w:tcW w:w="986" w:type="dxa"/>
                  <w:tcBorders>
                    <w:tl2br w:val="nil"/>
                    <w:tr2bl w:val="nil"/>
                  </w:tcBorders>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符合</w:t>
                  </w:r>
                </w:p>
              </w:tc>
            </w:tr>
            <w:tr>
              <w:tblPrEx>
                <w:tblLayout w:type="fixed"/>
              </w:tblPrEx>
              <w:trPr>
                <w:trHeight w:val="397" w:hRule="atLeast"/>
                <w:jc w:val="center"/>
              </w:trPr>
              <w:tc>
                <w:tcPr>
                  <w:tcW w:w="4676" w:type="dxa"/>
                  <w:tcBorders>
                    <w:tl2br w:val="nil"/>
                    <w:tr2bl w:val="nil"/>
                  </w:tcBorders>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三(二)充分考虑水资源供给和水环境容量等条件，结合开发区产业与区域产业的互补，在规划的产业定位总体框架下，进一步论证和优化发展重点，控制非主导产业定位方向的项目入区建设。严禁建设国家产业政策、技术政策和环保法律法规明令禁止的项目，严格控制高耗水、高耗能、污水排放量大的项目入区。鉴于现阶段水环境容量的制约以及改善水环境质量的需要，开发区禁止新建化工、制革和印染类项目，严格控制金属表面处理规模，金属表面处理仅为开发区项目配套，不得接纳该开发区以外的业务。</w:t>
                  </w:r>
                </w:p>
              </w:tc>
              <w:tc>
                <w:tcPr>
                  <w:tcW w:w="2391" w:type="dxa"/>
                  <w:tcBorders>
                    <w:tl2br w:val="nil"/>
                    <w:tr2bl w:val="nil"/>
                  </w:tcBorders>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本项目为允许类符合国家产业政策，</w:t>
                  </w:r>
                  <w:r>
                    <w:rPr>
                      <w:rFonts w:hint="default" w:ascii="Times New Roman" w:hAnsi="Times New Roman" w:eastAsia="宋体" w:cs="Times New Roman"/>
                      <w:color w:val="auto"/>
                      <w:kern w:val="2"/>
                      <w:sz w:val="21"/>
                      <w:szCs w:val="21"/>
                      <w:highlight w:val="none"/>
                      <w:lang w:val="en-US" w:eastAsia="zh-CN" w:bidi="ar-SA"/>
                    </w:rPr>
                    <w:t>用水仅为生活用水，不属</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于高耗水、高耗能、污水排放量大项目。</w:t>
                  </w:r>
                </w:p>
              </w:tc>
              <w:tc>
                <w:tcPr>
                  <w:tcW w:w="986" w:type="dxa"/>
                  <w:tcBorders>
                    <w:tl2br w:val="nil"/>
                    <w:tr2bl w:val="nil"/>
                  </w:tcBorders>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符合</w:t>
                  </w:r>
                </w:p>
              </w:tc>
            </w:tr>
            <w:tr>
              <w:tblPrEx>
                <w:tblLayout w:type="fixed"/>
              </w:tblPrEx>
              <w:trPr>
                <w:trHeight w:val="2778" w:hRule="atLeast"/>
                <w:jc w:val="center"/>
              </w:trPr>
              <w:tc>
                <w:tcPr>
                  <w:tcW w:w="4676" w:type="dxa"/>
                  <w:tcBorders>
                    <w:tl2br w:val="nil"/>
                    <w:tr2bl w:val="nil"/>
                  </w:tcBorders>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三(三)入区项目要采用先进的生产工艺和装备，建设完善的环境保护、安全生产和事故防范系统，实行最严格的水资源管理制度，强化节能、节水等各项环保措施。清洁生产水平现阶段要按国内先进水平要求，并逐步提高，最大限度控制开发区污染物排放量和排放强度。加强地下水资源保护与管理，入区项目一律采用市政集中供水，采取措施防止污染地下水。进一步论证开发区集中供热方案，并尽快实施；加快天然气管道等基础设施建设进度，开发区内企业采用清洁能源，禁止建设燃煤炉窑，逐步淘沃现有的小燃煤炉窑，减少大气污染物排放。环境保护规划中环境空气质量标准应采用《环境空气质量标准》(GB3095-2012)。</w:t>
                  </w:r>
                </w:p>
              </w:tc>
              <w:tc>
                <w:tcPr>
                  <w:tcW w:w="2391" w:type="dxa"/>
                  <w:tcBorders>
                    <w:tl2br w:val="nil"/>
                    <w:tr2bl w:val="nil"/>
                  </w:tcBorders>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auto"/>
                      <w:kern w:val="2"/>
                      <w:sz w:val="21"/>
                      <w:szCs w:val="21"/>
                      <w:highlight w:val="none"/>
                      <w:lang w:val="en-US" w:eastAsia="zh-CN" w:bidi="ar-SA"/>
                    </w:rPr>
                    <w:t>本项目采用先进的生产工艺和装备，有完善的环境保护、安全生产和事故防范系统。</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项目生活用水由市政供水管网供给，不使用地下水。</w:t>
                  </w:r>
                  <w: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项目能源使用为电，由市政电网供给。</w:t>
                  </w:r>
                </w:p>
              </w:tc>
              <w:tc>
                <w:tcPr>
                  <w:tcW w:w="986" w:type="dxa"/>
                  <w:tcBorders>
                    <w:tl2br w:val="nil"/>
                    <w:tr2bl w:val="nil"/>
                  </w:tcBorders>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符合</w:t>
                  </w:r>
                </w:p>
              </w:tc>
            </w:tr>
            <w:tr>
              <w:tblPrEx>
                <w:tblLayout w:type="fixed"/>
              </w:tblPrEx>
              <w:trPr>
                <w:trHeight w:val="397" w:hRule="atLeast"/>
                <w:jc w:val="center"/>
              </w:trPr>
              <w:tc>
                <w:tcPr>
                  <w:tcW w:w="4676" w:type="dxa"/>
                  <w:tcBorders>
                    <w:tl2br w:val="nil"/>
                    <w:tr2bl w:val="nil"/>
                  </w:tcBorders>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三(四)开发区实行雨污分流，完善排水系统，加快开发区新扩区城依托的新北污水处理厂及配套管网建设进度，2013 年底形成处理能力，开发区生产和生活污水全部进入污水处理厂处理后外排，排入污水处理厂集中处理的污水执行《污水综合排放标准》(GB8978- 1996)三级标准和污水处理厂接管标准，结合区域水环境综合整治，确保开发区纳污水体</w:t>
                  </w:r>
                  <w:r>
                    <w:rPr>
                      <w:rFonts w:hint="eastAsia" w:ascii="Times New Roman" w:hAnsi="Times New Roman" w:cs="Times New Roman"/>
                      <w:color w:val="000000" w:themeColor="text1"/>
                      <w:kern w:val="2"/>
                      <w:sz w:val="21"/>
                      <w:szCs w:val="21"/>
                      <w:highlight w:val="none"/>
                      <w:lang w:val="en-US" w:eastAsia="zh-CN" w:bidi="ar-SA"/>
                      <w14:textFill>
                        <w14:solidFill>
                          <w14:schemeClr w14:val="tx1"/>
                        </w14:solidFill>
                      </w14:textFill>
                    </w:rPr>
                    <w:t>阎河</w:t>
                  </w: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，岳罗河、界洪河等地表水体水环境质量达标。</w:t>
                  </w:r>
                </w:p>
              </w:tc>
              <w:tc>
                <w:tcPr>
                  <w:tcW w:w="2391" w:type="dxa"/>
                  <w:tcBorders>
                    <w:tl2br w:val="nil"/>
                    <w:tr2bl w:val="nil"/>
                  </w:tcBorders>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auto"/>
                      <w:kern w:val="2"/>
                      <w:sz w:val="21"/>
                      <w:szCs w:val="21"/>
                      <w:highlight w:val="none"/>
                      <w:lang w:val="en-US" w:eastAsia="zh-CN" w:bidi="ar-SA"/>
                    </w:rPr>
                    <w:t>本项目生活污水</w:t>
                  </w:r>
                  <w:r>
                    <w:rPr>
                      <w:rFonts w:hint="eastAsia" w:ascii="Times New Roman" w:hAnsi="Times New Roman" w:cs="Times New Roman"/>
                      <w:color w:val="auto"/>
                      <w:kern w:val="2"/>
                      <w:sz w:val="21"/>
                      <w:szCs w:val="21"/>
                      <w:highlight w:val="none"/>
                      <w:lang w:val="en-US" w:eastAsia="zh-CN" w:bidi="ar-SA"/>
                    </w:rPr>
                    <w:t>依托</w:t>
                  </w:r>
                  <w:r>
                    <w:rPr>
                      <w:rFonts w:hint="eastAsia" w:cs="Times New Roman"/>
                      <w:color w:val="auto"/>
                      <w:sz w:val="21"/>
                      <w:szCs w:val="21"/>
                      <w:lang w:val="en-US" w:eastAsia="zh-CN"/>
                    </w:rPr>
                    <w:t>安徽飞松机械股份有限公司</w:t>
                  </w:r>
                  <w:r>
                    <w:rPr>
                      <w:rFonts w:hint="default" w:ascii="Times New Roman" w:hAnsi="Times New Roman" w:eastAsia="宋体" w:cs="Times New Roman"/>
                      <w:color w:val="auto"/>
                      <w:kern w:val="2"/>
                      <w:sz w:val="21"/>
                      <w:szCs w:val="21"/>
                      <w:highlight w:val="none"/>
                      <w:lang w:val="en-US" w:eastAsia="zh-CN" w:bidi="ar-SA"/>
                    </w:rPr>
                    <w:t>化粪池处理后全部进入污水处理厂处理后外排，排入灵璧开发区北部新区污水处理厂集中处理的污水执行《污水综合排放标准》(GB8978- 1996)三级标准和污水处理厂接管标准。</w:t>
                  </w:r>
                </w:p>
              </w:tc>
              <w:tc>
                <w:tcPr>
                  <w:tcW w:w="986" w:type="dxa"/>
                  <w:tcBorders>
                    <w:tl2br w:val="nil"/>
                    <w:tr2bl w:val="nil"/>
                  </w:tcBorders>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t>符合</w:t>
                  </w:r>
                </w:p>
              </w:tc>
            </w:tr>
          </w:tbl>
          <w:p>
            <w:pPr>
              <w:keepNext/>
              <w:keepLines/>
              <w:spacing w:line="415" w:lineRule="auto"/>
              <w:ind w:firstLine="0" w:firstLineChars="0"/>
              <w:outlineLvl w:val="2"/>
              <w:rPr>
                <w:rFonts w:ascii="Times New Roman" w:hAnsi="Times New Roman"/>
                <w:b/>
                <w:bCs/>
                <w:color w:val="121212"/>
                <w:szCs w:val="32"/>
              </w:rPr>
            </w:pPr>
            <w:r>
              <w:rPr>
                <w:rFonts w:hint="eastAsia" w:ascii="Times New Roman" w:hAnsi="Times New Roman"/>
                <w:b/>
                <w:bCs/>
                <w:color w:val="121212"/>
                <w:szCs w:val="32"/>
                <w:lang w:val="en-US" w:eastAsia="zh-CN"/>
              </w:rPr>
              <w:t>3、</w:t>
            </w:r>
            <w:r>
              <w:rPr>
                <w:rFonts w:hint="eastAsia" w:ascii="Times New Roman" w:hAnsi="Times New Roman"/>
                <w:b/>
                <w:bCs/>
                <w:color w:val="121212"/>
                <w:szCs w:val="32"/>
              </w:rPr>
              <w:t>与规划环境影响跟踪评价报告书的审查意见相符性分析</w:t>
            </w:r>
          </w:p>
          <w:p>
            <w:pPr>
              <w:spacing w:line="240" w:lineRule="auto"/>
              <w:ind w:firstLine="482"/>
              <w:rPr>
                <w:rFonts w:ascii="Times New Roman" w:hAnsi="Times New Roman"/>
                <w:color w:val="121212"/>
                <w:szCs w:val="24"/>
              </w:rPr>
            </w:pPr>
            <w:r>
              <w:rPr>
                <w:rFonts w:ascii="Times New Roman" w:hAnsi="Times New Roman"/>
                <w:b/>
                <w:bCs/>
                <w:color w:val="121212"/>
                <w:szCs w:val="24"/>
                <w:lang w:bidi="ar"/>
              </w:rPr>
              <w:t>表1.4-</w:t>
            </w:r>
            <w:r>
              <w:rPr>
                <w:rFonts w:hint="eastAsia" w:ascii="Times New Roman" w:hAnsi="Times New Roman"/>
                <w:b/>
                <w:bCs/>
                <w:color w:val="121212"/>
                <w:szCs w:val="24"/>
                <w:lang w:val="en-US" w:eastAsia="zh-CN" w:bidi="ar"/>
              </w:rPr>
              <w:t>13</w:t>
            </w:r>
            <w:r>
              <w:rPr>
                <w:rFonts w:ascii="Times New Roman" w:hAnsi="Times New Roman"/>
                <w:b/>
                <w:bCs/>
                <w:color w:val="121212"/>
                <w:szCs w:val="24"/>
                <w:lang w:bidi="ar"/>
              </w:rPr>
              <w:t xml:space="preserve">  与</w:t>
            </w:r>
            <w:r>
              <w:rPr>
                <w:rFonts w:hint="eastAsia" w:ascii="Times New Roman" w:hAnsi="Times New Roman"/>
                <w:b/>
                <w:bCs/>
                <w:color w:val="121212"/>
                <w:szCs w:val="24"/>
                <w:lang w:eastAsia="zh-CN" w:bidi="ar"/>
              </w:rPr>
              <w:t>安徽灵璧经济开发区</w:t>
            </w:r>
            <w:r>
              <w:rPr>
                <w:rFonts w:ascii="Times New Roman" w:hAnsi="Times New Roman"/>
                <w:b/>
                <w:bCs/>
                <w:color w:val="121212"/>
                <w:szCs w:val="24"/>
                <w:lang w:bidi="ar"/>
              </w:rPr>
              <w:t>规划环境影响跟踪评价报告书的审查意见相符性分析一览表</w:t>
            </w:r>
          </w:p>
          <w:tbl>
            <w:tblPr>
              <w:tblStyle w:val="3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4534"/>
              <w:gridCol w:w="1954"/>
              <w:gridCol w:w="941"/>
            </w:tblGrid>
            <w:tr>
              <w:tblPrEx>
                <w:tblLayout w:type="fixed"/>
              </w:tblPrEx>
              <w:tc>
                <w:tcPr>
                  <w:tcW w:w="634" w:type="dxa"/>
                  <w:vAlign w:val="center"/>
                </w:tcPr>
                <w:p>
                  <w:pPr>
                    <w:spacing w:line="240" w:lineRule="auto"/>
                    <w:ind w:firstLine="0" w:firstLineChars="0"/>
                    <w:jc w:val="center"/>
                    <w:rPr>
                      <w:b/>
                      <w:bCs/>
                      <w:color w:val="121212"/>
                      <w:sz w:val="21"/>
                      <w:szCs w:val="21"/>
                      <w:lang w:bidi="ar"/>
                    </w:rPr>
                  </w:pPr>
                  <w:r>
                    <w:rPr>
                      <w:b/>
                      <w:bCs/>
                      <w:color w:val="121212"/>
                      <w:sz w:val="21"/>
                      <w:szCs w:val="21"/>
                      <w:lang w:bidi="ar"/>
                    </w:rPr>
                    <w:t>序号</w:t>
                  </w:r>
                </w:p>
              </w:tc>
              <w:tc>
                <w:tcPr>
                  <w:tcW w:w="4529" w:type="dxa"/>
                  <w:vAlign w:val="center"/>
                </w:tcPr>
                <w:p>
                  <w:pPr>
                    <w:spacing w:line="240" w:lineRule="auto"/>
                    <w:ind w:firstLine="0" w:firstLineChars="0"/>
                    <w:jc w:val="center"/>
                    <w:rPr>
                      <w:b/>
                      <w:bCs/>
                      <w:color w:val="121212"/>
                      <w:sz w:val="21"/>
                      <w:szCs w:val="21"/>
                      <w:lang w:bidi="ar"/>
                    </w:rPr>
                  </w:pPr>
                  <w:r>
                    <w:rPr>
                      <w:rFonts w:hint="eastAsia"/>
                      <w:b/>
                      <w:bCs/>
                      <w:color w:val="121212"/>
                      <w:sz w:val="21"/>
                      <w:szCs w:val="21"/>
                      <w:lang w:eastAsia="zh-CN" w:bidi="ar"/>
                    </w:rPr>
                    <w:t>安徽灵璧经济开发区</w:t>
                  </w:r>
                  <w:r>
                    <w:rPr>
                      <w:rFonts w:hint="eastAsia"/>
                      <w:b/>
                      <w:bCs/>
                      <w:color w:val="121212"/>
                      <w:sz w:val="21"/>
                      <w:szCs w:val="21"/>
                      <w:lang w:bidi="ar"/>
                    </w:rPr>
                    <w:t>规划</w:t>
                  </w:r>
                  <w:r>
                    <w:rPr>
                      <w:rFonts w:hint="eastAsia"/>
                      <w:b/>
                      <w:bCs/>
                      <w:color w:val="121212"/>
                      <w:sz w:val="21"/>
                      <w:szCs w:val="21"/>
                    </w:rPr>
                    <w:t>环评审查意见</w:t>
                  </w:r>
                </w:p>
              </w:tc>
              <w:tc>
                <w:tcPr>
                  <w:tcW w:w="1952" w:type="dxa"/>
                  <w:vAlign w:val="center"/>
                </w:tcPr>
                <w:p>
                  <w:pPr>
                    <w:spacing w:line="240" w:lineRule="auto"/>
                    <w:ind w:firstLine="0" w:firstLineChars="0"/>
                    <w:jc w:val="center"/>
                    <w:rPr>
                      <w:b/>
                      <w:bCs/>
                      <w:color w:val="121212"/>
                      <w:sz w:val="21"/>
                      <w:szCs w:val="21"/>
                      <w:lang w:bidi="ar"/>
                    </w:rPr>
                  </w:pPr>
                  <w:r>
                    <w:rPr>
                      <w:b/>
                      <w:bCs/>
                      <w:color w:val="121212"/>
                      <w:sz w:val="21"/>
                      <w:szCs w:val="21"/>
                      <w:lang w:bidi="ar"/>
                    </w:rPr>
                    <w:t>项目情况</w:t>
                  </w:r>
                </w:p>
              </w:tc>
              <w:tc>
                <w:tcPr>
                  <w:tcW w:w="940" w:type="dxa"/>
                  <w:vAlign w:val="center"/>
                </w:tcPr>
                <w:p>
                  <w:pPr>
                    <w:spacing w:line="240" w:lineRule="auto"/>
                    <w:ind w:firstLine="0" w:firstLineChars="0"/>
                    <w:jc w:val="center"/>
                    <w:rPr>
                      <w:b/>
                      <w:bCs/>
                      <w:color w:val="121212"/>
                      <w:sz w:val="21"/>
                      <w:szCs w:val="21"/>
                      <w:lang w:bidi="ar"/>
                    </w:rPr>
                  </w:pPr>
                  <w:r>
                    <w:rPr>
                      <w:b/>
                      <w:bCs/>
                      <w:color w:val="121212"/>
                      <w:sz w:val="21"/>
                      <w:szCs w:val="21"/>
                      <w:lang w:bidi="ar"/>
                    </w:rPr>
                    <w:t>相符性</w:t>
                  </w:r>
                </w:p>
              </w:tc>
            </w:tr>
            <w:tr>
              <w:tblPrEx>
                <w:tblLayout w:type="fixed"/>
              </w:tblPrEx>
              <w:tc>
                <w:tcPr>
                  <w:tcW w:w="634" w:type="dxa"/>
                  <w:vAlign w:val="center"/>
                </w:tcPr>
                <w:p>
                  <w:pPr>
                    <w:spacing w:line="240" w:lineRule="auto"/>
                    <w:ind w:firstLine="0" w:firstLineChars="0"/>
                    <w:jc w:val="center"/>
                    <w:rPr>
                      <w:color w:val="121212"/>
                      <w:sz w:val="21"/>
                      <w:szCs w:val="21"/>
                      <w:lang w:bidi="ar"/>
                    </w:rPr>
                  </w:pPr>
                  <w:r>
                    <w:rPr>
                      <w:color w:val="121212"/>
                      <w:sz w:val="21"/>
                      <w:szCs w:val="21"/>
                      <w:lang w:bidi="ar"/>
                    </w:rPr>
                    <w:t>1</w:t>
                  </w:r>
                </w:p>
              </w:tc>
              <w:tc>
                <w:tcPr>
                  <w:tcW w:w="4529" w:type="dxa"/>
                  <w:vAlign w:val="center"/>
                </w:tcPr>
                <w:p>
                  <w:pPr>
                    <w:spacing w:line="240" w:lineRule="auto"/>
                    <w:ind w:firstLine="0" w:firstLineChars="0"/>
                    <w:rPr>
                      <w:color w:val="121212"/>
                      <w:sz w:val="21"/>
                      <w:szCs w:val="21"/>
                      <w:lang w:bidi="ar"/>
                    </w:rPr>
                  </w:pPr>
                  <w:r>
                    <w:rPr>
                      <w:rFonts w:cs="宋体"/>
                      <w:color w:val="121212"/>
                      <w:sz w:val="21"/>
                      <w:szCs w:val="21"/>
                    </w:rPr>
                    <w:t>在规划确定的开发区产业定位总体框架下，根据当地环境容量和资源情况，进一步优化发展重点,严格控制非主导产业项目入区。对不符合开发区产业定位和环保要求以及容易引起突发性环境风险的项目应禁止入区建设。建立并实施不符合规划、产业准入和环保准入条件项目的退出机制。大力推进园区产业升级改造工程，通过关、停、并、转、迁</w:t>
                  </w:r>
                  <w:r>
                    <w:rPr>
                      <w:rFonts w:hint="eastAsia" w:cs="宋体"/>
                      <w:color w:val="121212"/>
                      <w:sz w:val="21"/>
                      <w:szCs w:val="21"/>
                    </w:rPr>
                    <w:t>，</w:t>
                  </w:r>
                  <w:r>
                    <w:rPr>
                      <w:rFonts w:cs="宋体"/>
                      <w:color w:val="121212"/>
                      <w:sz w:val="21"/>
                      <w:szCs w:val="21"/>
                    </w:rPr>
                    <w:t>加速转型或淘汰不符合工业用地性质、产业定位及环保要求的企业。</w:t>
                  </w:r>
                </w:p>
              </w:tc>
              <w:tc>
                <w:tcPr>
                  <w:tcW w:w="1952" w:type="dxa"/>
                  <w:vAlign w:val="center"/>
                </w:tcPr>
                <w:p>
                  <w:pPr>
                    <w:spacing w:line="240" w:lineRule="auto"/>
                    <w:ind w:firstLine="0" w:firstLineChars="0"/>
                    <w:jc w:val="center"/>
                    <w:rPr>
                      <w:rFonts w:hint="default"/>
                      <w:color w:val="121212"/>
                      <w:sz w:val="21"/>
                      <w:szCs w:val="21"/>
                      <w:lang w:val="en-US" w:bidi="ar"/>
                    </w:rPr>
                  </w:pPr>
                  <w:r>
                    <w:rPr>
                      <w:rFonts w:hint="default"/>
                      <w:color w:val="121212"/>
                      <w:sz w:val="21"/>
                      <w:szCs w:val="21"/>
                      <w:lang w:val="en-US" w:bidi="ar"/>
                    </w:rPr>
                    <w:t>本项目</w:t>
                  </w:r>
                  <w:r>
                    <w:rPr>
                      <w:rFonts w:hint="default"/>
                      <w:color w:val="121212"/>
                      <w:sz w:val="21"/>
                      <w:szCs w:val="21"/>
                      <w:lang w:val="en-US" w:eastAsia="zh-CN" w:bidi="ar"/>
                    </w:rPr>
                    <w:t>行业类别为改装汽车</w:t>
                  </w:r>
                  <w:r>
                    <w:rPr>
                      <w:rFonts w:hint="default"/>
                      <w:color w:val="121212"/>
                      <w:sz w:val="21"/>
                      <w:szCs w:val="21"/>
                      <w:lang w:val="en-US" w:bidi="ar"/>
                    </w:rPr>
                    <w:t>制造</w:t>
                  </w:r>
                  <w:r>
                    <w:rPr>
                      <w:rFonts w:hint="default"/>
                      <w:color w:val="121212"/>
                      <w:sz w:val="21"/>
                      <w:szCs w:val="21"/>
                      <w:lang w:val="en-US" w:eastAsia="zh-CN" w:bidi="ar"/>
                    </w:rPr>
                    <w:t>，属于装备制造，</w:t>
                  </w:r>
                  <w:r>
                    <w:rPr>
                      <w:rFonts w:hint="default"/>
                      <w:color w:val="121212"/>
                      <w:sz w:val="21"/>
                      <w:szCs w:val="21"/>
                      <w:lang w:val="en-US" w:bidi="ar"/>
                    </w:rPr>
                    <w:t>符合开发区产业定位</w:t>
                  </w:r>
                </w:p>
              </w:tc>
              <w:tc>
                <w:tcPr>
                  <w:tcW w:w="940" w:type="dxa"/>
                  <w:vAlign w:val="center"/>
                </w:tcPr>
                <w:p>
                  <w:pPr>
                    <w:spacing w:line="240" w:lineRule="auto"/>
                    <w:ind w:firstLine="0" w:firstLineChars="0"/>
                    <w:jc w:val="center"/>
                    <w:rPr>
                      <w:color w:val="121212"/>
                      <w:sz w:val="21"/>
                      <w:szCs w:val="21"/>
                      <w:lang w:bidi="ar"/>
                    </w:rPr>
                  </w:pPr>
                  <w:r>
                    <w:rPr>
                      <w:color w:val="121212"/>
                      <w:sz w:val="21"/>
                      <w:szCs w:val="21"/>
                      <w:lang w:bidi="ar"/>
                    </w:rPr>
                    <w:t>相符</w:t>
                  </w:r>
                </w:p>
              </w:tc>
            </w:tr>
            <w:tr>
              <w:tblPrEx>
                <w:tblLayout w:type="fixed"/>
              </w:tblPrEx>
              <w:tc>
                <w:tcPr>
                  <w:tcW w:w="634" w:type="dxa"/>
                  <w:vAlign w:val="center"/>
                </w:tcPr>
                <w:p>
                  <w:pPr>
                    <w:spacing w:line="240" w:lineRule="auto"/>
                    <w:ind w:firstLine="0" w:firstLineChars="0"/>
                    <w:jc w:val="center"/>
                    <w:rPr>
                      <w:color w:val="121212"/>
                      <w:sz w:val="21"/>
                      <w:szCs w:val="21"/>
                      <w:lang w:bidi="ar"/>
                    </w:rPr>
                  </w:pPr>
                  <w:r>
                    <w:rPr>
                      <w:rFonts w:hint="eastAsia"/>
                      <w:color w:val="121212"/>
                      <w:sz w:val="21"/>
                      <w:szCs w:val="21"/>
                      <w:lang w:bidi="ar"/>
                    </w:rPr>
                    <w:t>2</w:t>
                  </w:r>
                </w:p>
              </w:tc>
              <w:tc>
                <w:tcPr>
                  <w:tcW w:w="4529" w:type="dxa"/>
                  <w:vAlign w:val="center"/>
                </w:tcPr>
                <w:p>
                  <w:pPr>
                    <w:widowControl/>
                    <w:spacing w:line="240" w:lineRule="auto"/>
                    <w:ind w:firstLine="0" w:firstLineChars="0"/>
                    <w:rPr>
                      <w:color w:val="121212"/>
                      <w:sz w:val="21"/>
                      <w:szCs w:val="21"/>
                      <w:lang w:bidi="ar"/>
                    </w:rPr>
                  </w:pPr>
                  <w:r>
                    <w:rPr>
                      <w:rFonts w:cs="宋体"/>
                      <w:color w:val="121212"/>
                      <w:sz w:val="21"/>
                      <w:szCs w:val="21"/>
                    </w:rPr>
                    <w:t>加快实施产业结构调整与升级,夯实主导产业定位，逐步实现产业转型;建立产业引入清单管理，严格执行环境准入制度。引进项目的生产工艺、设备、污染治理技术以及单位产品污染物排放和资源利用率均需达到同行业国内先进水平。</w:t>
                  </w:r>
                </w:p>
              </w:tc>
              <w:tc>
                <w:tcPr>
                  <w:tcW w:w="1952" w:type="dxa"/>
                  <w:vAlign w:val="center"/>
                </w:tcPr>
                <w:p>
                  <w:pPr>
                    <w:spacing w:line="240" w:lineRule="auto"/>
                    <w:ind w:firstLine="0" w:firstLineChars="0"/>
                    <w:jc w:val="center"/>
                    <w:rPr>
                      <w:color w:val="121212"/>
                      <w:sz w:val="21"/>
                      <w:szCs w:val="21"/>
                      <w:lang w:bidi="ar"/>
                    </w:rPr>
                  </w:pPr>
                  <w:r>
                    <w:rPr>
                      <w:rFonts w:hint="eastAsia"/>
                      <w:color w:val="121212"/>
                      <w:sz w:val="21"/>
                      <w:szCs w:val="21"/>
                      <w:lang w:val="en-US" w:eastAsia="zh-CN" w:bidi="ar"/>
                    </w:rPr>
                    <w:t>本项目行业类别为改装汽车制造，属于装备制造，符合开发区产业定位，</w:t>
                  </w:r>
                  <w:r>
                    <w:rPr>
                      <w:color w:val="121212"/>
                      <w:sz w:val="21"/>
                      <w:szCs w:val="21"/>
                      <w:lang w:bidi="ar"/>
                    </w:rPr>
                    <w:t>符合“三线一单”相关要求。</w:t>
                  </w:r>
                </w:p>
              </w:tc>
              <w:tc>
                <w:tcPr>
                  <w:tcW w:w="940" w:type="dxa"/>
                  <w:vAlign w:val="center"/>
                </w:tcPr>
                <w:p>
                  <w:pPr>
                    <w:spacing w:line="240" w:lineRule="auto"/>
                    <w:ind w:firstLine="0" w:firstLineChars="0"/>
                    <w:jc w:val="center"/>
                    <w:rPr>
                      <w:color w:val="121212"/>
                      <w:sz w:val="21"/>
                      <w:szCs w:val="21"/>
                      <w:lang w:bidi="ar"/>
                    </w:rPr>
                  </w:pPr>
                  <w:r>
                    <w:rPr>
                      <w:rFonts w:hint="eastAsia"/>
                      <w:color w:val="121212"/>
                      <w:sz w:val="21"/>
                      <w:szCs w:val="21"/>
                      <w:lang w:bidi="ar"/>
                    </w:rPr>
                    <w:t>相符</w:t>
                  </w:r>
                </w:p>
              </w:tc>
            </w:tr>
            <w:tr>
              <w:tblPrEx>
                <w:tblLayout w:type="fixed"/>
              </w:tblPrEx>
              <w:tc>
                <w:tcPr>
                  <w:tcW w:w="634" w:type="dxa"/>
                  <w:vAlign w:val="center"/>
                </w:tcPr>
                <w:p>
                  <w:pPr>
                    <w:spacing w:line="240" w:lineRule="auto"/>
                    <w:ind w:firstLine="0" w:firstLineChars="0"/>
                    <w:jc w:val="center"/>
                    <w:rPr>
                      <w:color w:val="121212"/>
                      <w:sz w:val="21"/>
                      <w:szCs w:val="21"/>
                      <w:lang w:bidi="ar"/>
                    </w:rPr>
                  </w:pPr>
                  <w:r>
                    <w:rPr>
                      <w:rFonts w:hint="eastAsia"/>
                      <w:color w:val="121212"/>
                      <w:sz w:val="21"/>
                      <w:szCs w:val="21"/>
                      <w:lang w:bidi="ar"/>
                    </w:rPr>
                    <w:t>3</w:t>
                  </w:r>
                </w:p>
              </w:tc>
              <w:tc>
                <w:tcPr>
                  <w:tcW w:w="4529" w:type="dxa"/>
                  <w:vAlign w:val="center"/>
                </w:tcPr>
                <w:p>
                  <w:pPr>
                    <w:pStyle w:val="4"/>
                    <w:spacing w:line="240" w:lineRule="auto"/>
                    <w:ind w:firstLine="0" w:firstLineChars="0"/>
                    <w:rPr>
                      <w:rFonts w:cs="宋体"/>
                      <w:color w:val="121212"/>
                      <w:sz w:val="22"/>
                    </w:rPr>
                  </w:pPr>
                  <w:r>
                    <w:rPr>
                      <w:rFonts w:cs="宋体"/>
                      <w:color w:val="121212"/>
                      <w:sz w:val="21"/>
                      <w:szCs w:val="21"/>
                    </w:rPr>
                    <w:t>完善园区环境基础设施建设。推进园区污水纳管工作及绿化建设，加强区域河道的环境综合整治,努力改善地表水水质，确保开发区建设不降低地表水、地下水环境质量和水体功能。</w:t>
                  </w:r>
                </w:p>
              </w:tc>
              <w:tc>
                <w:tcPr>
                  <w:tcW w:w="1952" w:type="dxa"/>
                  <w:vAlign w:val="center"/>
                </w:tcPr>
                <w:p>
                  <w:pPr>
                    <w:spacing w:line="240" w:lineRule="auto"/>
                    <w:ind w:firstLine="0" w:firstLineChars="0"/>
                    <w:jc w:val="center"/>
                    <w:rPr>
                      <w:color w:val="121212"/>
                      <w:sz w:val="21"/>
                      <w:szCs w:val="21"/>
                      <w:lang w:bidi="ar"/>
                    </w:rPr>
                  </w:pPr>
                  <w:r>
                    <w:rPr>
                      <w:rFonts w:hint="eastAsia"/>
                      <w:color w:val="121212"/>
                      <w:sz w:val="21"/>
                      <w:szCs w:val="21"/>
                      <w:lang w:bidi="ar"/>
                    </w:rPr>
                    <w:t>项目废水排往</w:t>
                  </w:r>
                  <w:r>
                    <w:rPr>
                      <w:rFonts w:hint="eastAsia"/>
                      <w:color w:val="121212"/>
                      <w:sz w:val="21"/>
                      <w:szCs w:val="21"/>
                      <w:lang w:val="en-US" w:eastAsia="zh-CN" w:bidi="ar"/>
                    </w:rPr>
                    <w:t>灵璧北部新区污水处理厂</w:t>
                  </w:r>
                  <w:r>
                    <w:rPr>
                      <w:rFonts w:hint="eastAsia"/>
                      <w:color w:val="121212"/>
                      <w:sz w:val="21"/>
                      <w:szCs w:val="21"/>
                      <w:lang w:bidi="ar"/>
                    </w:rPr>
                    <w:t>。</w:t>
                  </w:r>
                </w:p>
              </w:tc>
              <w:tc>
                <w:tcPr>
                  <w:tcW w:w="940" w:type="dxa"/>
                  <w:vAlign w:val="center"/>
                </w:tcPr>
                <w:p>
                  <w:pPr>
                    <w:spacing w:line="240" w:lineRule="auto"/>
                    <w:ind w:firstLine="0" w:firstLineChars="0"/>
                    <w:jc w:val="center"/>
                    <w:rPr>
                      <w:color w:val="121212"/>
                      <w:sz w:val="21"/>
                      <w:szCs w:val="21"/>
                      <w:lang w:bidi="ar"/>
                    </w:rPr>
                  </w:pPr>
                  <w:r>
                    <w:rPr>
                      <w:rFonts w:hint="eastAsia"/>
                      <w:color w:val="121212"/>
                      <w:sz w:val="21"/>
                      <w:szCs w:val="21"/>
                      <w:lang w:bidi="ar"/>
                    </w:rPr>
                    <w:t>相符</w:t>
                  </w:r>
                </w:p>
              </w:tc>
            </w:tr>
          </w:tbl>
          <w:p>
            <w:pPr>
              <w:pStyle w:val="70"/>
              <w:keepNext w:val="0"/>
              <w:keepLines w:val="0"/>
              <w:pageBreakBefore w:val="0"/>
              <w:widowControl w:val="0"/>
              <w:kinsoku/>
              <w:wordWrap/>
              <w:overflowPunct/>
              <w:topLinePunct w:val="0"/>
              <w:autoSpaceDE/>
              <w:autoSpaceDN/>
              <w:bidi w:val="0"/>
              <w:adjustRightInd/>
              <w:snapToGrid/>
              <w:spacing w:line="360" w:lineRule="auto"/>
              <w:ind w:left="0" w:right="0" w:firstLine="480"/>
              <w:jc w:val="both"/>
              <w:textAlignment w:val="auto"/>
              <w:rPr>
                <w:rFonts w:hint="default"/>
                <w:b/>
                <w:bCs/>
                <w:spacing w:val="1"/>
                <w:lang w:eastAsia="zh-CN"/>
              </w:rPr>
            </w:pPr>
          </w:p>
        </w:tc>
      </w:tr>
      <w:tr>
        <w:tblPrEx>
          <w:tblLayout w:type="fixed"/>
        </w:tblPrEx>
        <w:trPr>
          <w:trHeight w:val="397" w:hRule="atLeast"/>
        </w:trPr>
        <w:tc>
          <w:tcPr>
            <w:tcW w:w="1402" w:type="dxa"/>
            <w:vAlign w:val="center"/>
          </w:tcPr>
          <w:p>
            <w:pPr>
              <w:pStyle w:val="46"/>
              <w:bidi w:val="0"/>
              <w:ind w:firstLine="0" w:firstLineChars="0"/>
              <w:jc w:val="cente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4"/>
                <w:szCs w:val="24"/>
                <w:highlight w:val="none"/>
                <w14:textFill>
                  <w14:solidFill>
                    <w14:schemeClr w14:val="tx1"/>
                  </w14:solidFill>
                </w14:textFill>
              </w:rPr>
              <w:t>其他符合性分析</w:t>
            </w:r>
          </w:p>
        </w:tc>
        <w:tc>
          <w:tcPr>
            <w:tcW w:w="8284" w:type="dxa"/>
            <w:gridSpan w:val="3"/>
            <w:vAlign w:val="center"/>
          </w:tcPr>
          <w:p>
            <w:pPr>
              <w:pStyle w:val="6"/>
              <w:bidi w:val="0"/>
              <w:rPr>
                <w:b/>
                <w:bCs/>
                <w:color w:val="121212"/>
                <w:sz w:val="24"/>
                <w:highlight w:val="none"/>
              </w:rPr>
            </w:pPr>
            <w:r>
              <w:rPr>
                <w:rFonts w:hint="eastAsia"/>
                <w:b/>
                <w:bCs/>
                <w:color w:val="121212"/>
                <w:sz w:val="24"/>
                <w:highlight w:val="none"/>
                <w:lang w:val="en-US" w:eastAsia="zh-CN"/>
              </w:rPr>
              <w:t>一</w:t>
            </w:r>
            <w:r>
              <w:rPr>
                <w:b/>
                <w:bCs/>
                <w:color w:val="121212"/>
                <w:sz w:val="24"/>
                <w:highlight w:val="none"/>
              </w:rPr>
              <w:t>、</w:t>
            </w:r>
            <w:r>
              <w:rPr>
                <w:rFonts w:hint="eastAsia" w:ascii="宋体" w:hAnsi="宋体" w:cs="宋体"/>
                <w:b/>
                <w:bCs/>
                <w:color w:val="121212"/>
                <w:sz w:val="24"/>
                <w:highlight w:val="none"/>
              </w:rPr>
              <w:t>与“三线一单”相</w:t>
            </w:r>
            <w:r>
              <w:rPr>
                <w:b/>
                <w:bCs/>
                <w:color w:val="121212"/>
                <w:sz w:val="24"/>
                <w:highlight w:val="none"/>
              </w:rPr>
              <w:t>符性分析</w:t>
            </w:r>
          </w:p>
          <w:p>
            <w:pPr>
              <w:keepNext w:val="0"/>
              <w:keepLines w:val="0"/>
              <w:pageBreakBefore w:val="0"/>
              <w:widowControl/>
              <w:kinsoku/>
              <w:wordWrap/>
              <w:overflowPunct w:val="0"/>
              <w:topLinePunct w:val="0"/>
              <w:autoSpaceDE/>
              <w:autoSpaceDN/>
              <w:bidi w:val="0"/>
              <w:adjustRightInd w:val="0"/>
              <w:snapToGrid w:val="0"/>
              <w:jc w:val="both"/>
              <w:textAlignment w:val="baseline"/>
              <w:rPr>
                <w:rFonts w:hint="default" w:ascii="Times New Roman" w:hAnsi="Times New Roman" w:cs="Times New Roman"/>
                <w:color w:val="121212"/>
                <w:highlight w:val="none"/>
              </w:rPr>
            </w:pPr>
            <w:r>
              <w:rPr>
                <w:rFonts w:hint="eastAsia" w:ascii="Times New Roman" w:hAnsi="Times New Roman" w:cs="Times New Roman"/>
                <w:color w:val="121212"/>
                <w:highlight w:val="none"/>
                <w:lang w:eastAsia="zh-CN"/>
              </w:rPr>
              <w:t>“</w:t>
            </w:r>
            <w:r>
              <w:rPr>
                <w:rFonts w:hint="default" w:ascii="Times New Roman" w:hAnsi="Times New Roman" w:cs="Times New Roman"/>
                <w:color w:val="121212"/>
                <w:highlight w:val="none"/>
              </w:rPr>
              <w:t>三线一单</w:t>
            </w:r>
            <w:r>
              <w:rPr>
                <w:rFonts w:hint="eastAsia" w:ascii="Times New Roman" w:hAnsi="Times New Roman" w:cs="Times New Roman"/>
                <w:color w:val="121212"/>
                <w:highlight w:val="none"/>
                <w:lang w:eastAsia="zh-CN"/>
              </w:rPr>
              <w:t>”</w:t>
            </w:r>
            <w:r>
              <w:rPr>
                <w:rFonts w:hint="default" w:ascii="Times New Roman" w:hAnsi="Times New Roman" w:cs="Times New Roman"/>
                <w:color w:val="121212"/>
                <w:highlight w:val="none"/>
              </w:rPr>
              <w:t>是指生态保护红线、环境质量底线、资源利用上线和生态环境准入清单。</w:t>
            </w:r>
          </w:p>
          <w:p>
            <w:pPr>
              <w:pStyle w:val="7"/>
              <w:pageBreakBefore w:val="0"/>
              <w:kinsoku/>
              <w:wordWrap/>
              <w:topLinePunct w:val="0"/>
              <w:autoSpaceDE/>
              <w:autoSpaceDN/>
              <w:bidi w:val="0"/>
              <w:spacing w:beforeLines="0" w:afterLines="0"/>
              <w:rPr>
                <w:rFonts w:hint="default"/>
                <w:color w:val="121212"/>
                <w:highlight w:val="none"/>
              </w:rPr>
            </w:pPr>
            <w:bookmarkStart w:id="1" w:name="_Toc12857"/>
            <w:r>
              <w:rPr>
                <w:rFonts w:hint="eastAsia"/>
                <w:color w:val="121212"/>
                <w:highlight w:val="none"/>
                <w:lang w:val="en-US" w:eastAsia="zh-CN"/>
              </w:rPr>
              <w:t>1、</w:t>
            </w:r>
            <w:r>
              <w:rPr>
                <w:rFonts w:hint="default"/>
                <w:color w:val="121212"/>
                <w:highlight w:val="none"/>
              </w:rPr>
              <w:t>生态保护红线</w:t>
            </w:r>
            <w:bookmarkEnd w:id="1"/>
            <w:r>
              <w:rPr>
                <w:rFonts w:hint="default"/>
                <w:color w:val="121212"/>
                <w:highlight w:val="none"/>
              </w:rPr>
              <w:t>及生态分区管控</w:t>
            </w:r>
          </w:p>
          <w:p>
            <w:pPr>
              <w:keepNext w:val="0"/>
              <w:keepLines w:val="0"/>
              <w:pageBreakBefore w:val="0"/>
              <w:widowControl/>
              <w:kinsoku/>
              <w:wordWrap/>
              <w:overflowPunct w:val="0"/>
              <w:topLinePunct w:val="0"/>
              <w:autoSpaceDE/>
              <w:autoSpaceDN/>
              <w:bidi w:val="0"/>
              <w:adjustRightInd w:val="0"/>
              <w:snapToGrid w:val="0"/>
              <w:jc w:val="both"/>
              <w:textAlignment w:val="baseline"/>
              <w:rPr>
                <w:rFonts w:hint="default" w:ascii="Times New Roman" w:hAnsi="Times New Roman" w:cs="Times New Roman"/>
                <w:color w:val="121212"/>
                <w:highlight w:val="none"/>
              </w:rPr>
            </w:pPr>
            <w:r>
              <w:rPr>
                <w:rFonts w:hint="default" w:ascii="Times New Roman" w:hAnsi="Times New Roman" w:cs="Times New Roman"/>
                <w:color w:val="121212"/>
                <w:highlight w:val="none"/>
              </w:rPr>
              <w:t>根据《宿州市</w:t>
            </w:r>
            <w:r>
              <w:rPr>
                <w:rFonts w:hint="eastAsia" w:ascii="Times New Roman" w:hAnsi="Times New Roman" w:cs="Times New Roman"/>
                <w:color w:val="121212"/>
                <w:highlight w:val="none"/>
                <w:lang w:eastAsia="zh-CN"/>
              </w:rPr>
              <w:t>“</w:t>
            </w:r>
            <w:r>
              <w:rPr>
                <w:rFonts w:hint="default" w:ascii="Times New Roman" w:hAnsi="Times New Roman" w:cs="Times New Roman"/>
                <w:color w:val="121212"/>
                <w:highlight w:val="none"/>
              </w:rPr>
              <w:t>三线一单</w:t>
            </w:r>
            <w:r>
              <w:rPr>
                <w:rFonts w:hint="eastAsia" w:ascii="Times New Roman" w:hAnsi="Times New Roman" w:cs="Times New Roman"/>
                <w:color w:val="121212"/>
                <w:highlight w:val="none"/>
                <w:lang w:eastAsia="zh-CN"/>
              </w:rPr>
              <w:t>”</w:t>
            </w:r>
            <w:r>
              <w:rPr>
                <w:rFonts w:hint="default" w:ascii="Times New Roman" w:hAnsi="Times New Roman" w:cs="Times New Roman"/>
                <w:color w:val="121212"/>
                <w:highlight w:val="none"/>
              </w:rPr>
              <w:t>编制文本》中</w:t>
            </w:r>
            <w:r>
              <w:rPr>
                <w:rFonts w:hint="eastAsia" w:ascii="Times New Roman" w:hAnsi="Times New Roman" w:cs="Times New Roman"/>
                <w:color w:val="121212"/>
                <w:highlight w:val="none"/>
                <w:lang w:eastAsia="zh-CN"/>
              </w:rPr>
              <w:t>“</w:t>
            </w:r>
            <w:r>
              <w:rPr>
                <w:rFonts w:hint="default" w:ascii="Times New Roman" w:hAnsi="Times New Roman" w:cs="Times New Roman"/>
                <w:color w:val="121212"/>
                <w:highlight w:val="none"/>
              </w:rPr>
              <w:t>基于安徽省政府发布的《安徽省生态保护红线》（皖政秘〔2018〕120号）</w:t>
            </w:r>
            <w:r>
              <w:rPr>
                <w:rFonts w:hint="eastAsia" w:ascii="Times New Roman" w:hAnsi="Times New Roman" w:cs="Times New Roman"/>
                <w:color w:val="121212"/>
                <w:highlight w:val="none"/>
                <w:lang w:eastAsia="zh-CN"/>
              </w:rPr>
              <w:t>”</w:t>
            </w:r>
            <w:r>
              <w:rPr>
                <w:rFonts w:hint="default" w:ascii="Times New Roman" w:hAnsi="Times New Roman" w:cs="Times New Roman"/>
                <w:color w:val="121212"/>
                <w:highlight w:val="none"/>
              </w:rPr>
              <w:t>，宿州市的生态保护红线主要分布在以下片区，具体见下表。</w:t>
            </w:r>
          </w:p>
          <w:p>
            <w:pPr>
              <w:pStyle w:val="39"/>
              <w:bidi w:val="0"/>
              <w:rPr>
                <w:rFonts w:hint="default"/>
                <w:color w:val="121212"/>
                <w:highlight w:val="none"/>
              </w:rPr>
            </w:pPr>
            <w:r>
              <w:rPr>
                <w:rFonts w:hint="default"/>
                <w:color w:val="121212"/>
                <w:highlight w:val="none"/>
                <w:lang w:val="en-US" w:eastAsia="zh-CN"/>
              </w:rPr>
              <w:t>表</w:t>
            </w:r>
            <w:r>
              <w:rPr>
                <w:rFonts w:hint="eastAsia"/>
                <w:color w:val="121212"/>
                <w:highlight w:val="none"/>
                <w:lang w:val="en-US" w:eastAsia="zh-CN"/>
              </w:rPr>
              <w:t xml:space="preserve">1-1 </w:t>
            </w:r>
            <w:r>
              <w:rPr>
                <w:rFonts w:hint="default"/>
                <w:color w:val="121212"/>
                <w:highlight w:val="none"/>
                <w:lang w:val="en-US" w:eastAsia="zh-CN"/>
              </w:rPr>
              <w:t xml:space="preserve"> </w:t>
            </w:r>
            <w:r>
              <w:rPr>
                <w:rFonts w:hint="default"/>
                <w:color w:val="121212"/>
                <w:highlight w:val="none"/>
              </w:rPr>
              <w:t>宿州市生态保护红线登记表</w:t>
            </w:r>
          </w:p>
          <w:tbl>
            <w:tblPr>
              <w:tblStyle w:val="3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146"/>
              <w:gridCol w:w="1251"/>
              <w:gridCol w:w="3107"/>
              <w:gridCol w:w="917"/>
              <w:gridCol w:w="861"/>
            </w:tblGrid>
            <w:tr>
              <w:tblPrEx>
                <w:tblLayout w:type="fixed"/>
              </w:tblPrEx>
              <w:tc>
                <w:tcPr>
                  <w:tcW w:w="7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bCs w:val="0"/>
                      <w:color w:val="121212"/>
                      <w:sz w:val="21"/>
                      <w:szCs w:val="21"/>
                      <w:highlight w:val="none"/>
                    </w:rPr>
                  </w:pPr>
                  <w:r>
                    <w:rPr>
                      <w:rFonts w:hint="default" w:ascii="Times New Roman" w:hAnsi="Times New Roman" w:eastAsia="宋体" w:cs="Times New Roman"/>
                      <w:b/>
                      <w:bCs w:val="0"/>
                      <w:color w:val="121212"/>
                      <w:sz w:val="21"/>
                      <w:szCs w:val="21"/>
                      <w:highlight w:val="none"/>
                    </w:rPr>
                    <w:t>类型</w:t>
                  </w:r>
                </w:p>
              </w:tc>
              <w:tc>
                <w:tcPr>
                  <w:tcW w:w="114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bCs w:val="0"/>
                      <w:color w:val="121212"/>
                      <w:sz w:val="21"/>
                      <w:szCs w:val="21"/>
                      <w:highlight w:val="none"/>
                    </w:rPr>
                  </w:pPr>
                  <w:r>
                    <w:rPr>
                      <w:rFonts w:hint="default" w:ascii="Times New Roman" w:hAnsi="Times New Roman" w:eastAsia="宋体" w:cs="Times New Roman"/>
                      <w:b/>
                      <w:bCs w:val="0"/>
                      <w:color w:val="121212"/>
                      <w:sz w:val="21"/>
                      <w:szCs w:val="21"/>
                      <w:highlight w:val="none"/>
                    </w:rPr>
                    <w:t>名称</w:t>
                  </w:r>
                </w:p>
              </w:tc>
              <w:tc>
                <w:tcPr>
                  <w:tcW w:w="125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bCs w:val="0"/>
                      <w:color w:val="121212"/>
                      <w:sz w:val="21"/>
                      <w:szCs w:val="21"/>
                      <w:highlight w:val="none"/>
                    </w:rPr>
                  </w:pPr>
                  <w:r>
                    <w:rPr>
                      <w:rFonts w:hint="default" w:ascii="Times New Roman" w:hAnsi="Times New Roman" w:eastAsia="宋体" w:cs="Times New Roman"/>
                      <w:b/>
                      <w:bCs w:val="0"/>
                      <w:color w:val="121212"/>
                      <w:sz w:val="21"/>
                      <w:szCs w:val="21"/>
                      <w:highlight w:val="none"/>
                    </w:rPr>
                    <w:t>生态系统</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bCs w:val="0"/>
                      <w:color w:val="121212"/>
                      <w:sz w:val="21"/>
                      <w:szCs w:val="21"/>
                      <w:highlight w:val="none"/>
                    </w:rPr>
                  </w:pPr>
                  <w:r>
                    <w:rPr>
                      <w:rFonts w:hint="default" w:ascii="Times New Roman" w:hAnsi="Times New Roman" w:eastAsia="宋体" w:cs="Times New Roman"/>
                      <w:b/>
                      <w:bCs w:val="0"/>
                      <w:color w:val="121212"/>
                      <w:sz w:val="21"/>
                      <w:szCs w:val="21"/>
                      <w:highlight w:val="none"/>
                    </w:rPr>
                    <w:t>特征</w:t>
                  </w:r>
                </w:p>
              </w:tc>
              <w:tc>
                <w:tcPr>
                  <w:tcW w:w="31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bCs w:val="0"/>
                      <w:color w:val="121212"/>
                      <w:sz w:val="21"/>
                      <w:szCs w:val="21"/>
                      <w:highlight w:val="none"/>
                    </w:rPr>
                  </w:pPr>
                  <w:r>
                    <w:rPr>
                      <w:rFonts w:hint="default" w:ascii="Times New Roman" w:hAnsi="Times New Roman" w:eastAsia="宋体" w:cs="Times New Roman"/>
                      <w:b/>
                      <w:bCs w:val="0"/>
                      <w:color w:val="121212"/>
                      <w:sz w:val="21"/>
                      <w:szCs w:val="21"/>
                      <w:highlight w:val="none"/>
                    </w:rPr>
                    <w:t>保护地名录</w:t>
                  </w:r>
                </w:p>
              </w:tc>
              <w:tc>
                <w:tcPr>
                  <w:tcW w:w="9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bCs w:val="0"/>
                      <w:color w:val="121212"/>
                      <w:sz w:val="21"/>
                      <w:szCs w:val="21"/>
                      <w:highlight w:val="none"/>
                    </w:rPr>
                  </w:pPr>
                  <w:r>
                    <w:rPr>
                      <w:rFonts w:hint="default" w:ascii="Times New Roman" w:hAnsi="Times New Roman" w:eastAsia="宋体" w:cs="Times New Roman"/>
                      <w:b/>
                      <w:bCs w:val="0"/>
                      <w:color w:val="121212"/>
                      <w:sz w:val="21"/>
                      <w:szCs w:val="21"/>
                      <w:highlight w:val="none"/>
                    </w:rPr>
                    <w:t>所属</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bCs w:val="0"/>
                      <w:color w:val="121212"/>
                      <w:sz w:val="21"/>
                      <w:szCs w:val="21"/>
                      <w:highlight w:val="none"/>
                    </w:rPr>
                  </w:pPr>
                  <w:r>
                    <w:rPr>
                      <w:rFonts w:hint="default" w:ascii="Times New Roman" w:hAnsi="Times New Roman" w:eastAsia="宋体" w:cs="Times New Roman"/>
                      <w:b/>
                      <w:bCs w:val="0"/>
                      <w:color w:val="121212"/>
                      <w:sz w:val="21"/>
                      <w:szCs w:val="21"/>
                      <w:highlight w:val="none"/>
                    </w:rPr>
                    <w:t>行政区</w:t>
                  </w:r>
                </w:p>
              </w:tc>
              <w:tc>
                <w:tcPr>
                  <w:tcW w:w="8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bCs w:val="0"/>
                      <w:color w:val="121212"/>
                      <w:sz w:val="21"/>
                      <w:szCs w:val="21"/>
                      <w:highlight w:val="none"/>
                    </w:rPr>
                  </w:pPr>
                  <w:r>
                    <w:rPr>
                      <w:rFonts w:hint="default" w:ascii="Times New Roman" w:hAnsi="Times New Roman" w:eastAsia="宋体" w:cs="Times New Roman"/>
                      <w:b/>
                      <w:bCs w:val="0"/>
                      <w:color w:val="121212"/>
                      <w:sz w:val="21"/>
                      <w:szCs w:val="21"/>
                      <w:highlight w:val="none"/>
                    </w:rPr>
                    <w:t>面积</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b/>
                      <w:bCs w:val="0"/>
                      <w:color w:val="121212"/>
                      <w:sz w:val="21"/>
                      <w:szCs w:val="21"/>
                      <w:highlight w:val="none"/>
                    </w:rPr>
                  </w:pPr>
                  <w:r>
                    <w:rPr>
                      <w:rFonts w:hint="default" w:ascii="Times New Roman" w:hAnsi="Times New Roman" w:eastAsia="宋体" w:cs="Times New Roman"/>
                      <w:b/>
                      <w:bCs w:val="0"/>
                      <w:color w:val="121212"/>
                      <w:sz w:val="21"/>
                      <w:szCs w:val="21"/>
                      <w:highlight w:val="none"/>
                    </w:rPr>
                    <w:t>/km</w:t>
                  </w:r>
                  <w:r>
                    <w:rPr>
                      <w:rFonts w:hint="default" w:ascii="Times New Roman" w:hAnsi="Times New Roman" w:eastAsia="宋体" w:cs="Times New Roman"/>
                      <w:b/>
                      <w:bCs w:val="0"/>
                      <w:color w:val="121212"/>
                      <w:sz w:val="21"/>
                      <w:szCs w:val="21"/>
                      <w:highlight w:val="none"/>
                      <w:vertAlign w:val="superscript"/>
                    </w:rPr>
                    <w:t>2</w:t>
                  </w:r>
                </w:p>
              </w:tc>
            </w:tr>
            <w:tr>
              <w:tblPrEx>
                <w:tblLayout w:type="fixed"/>
              </w:tblPrEx>
              <w:tc>
                <w:tcPr>
                  <w:tcW w:w="77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r>
                    <w:rPr>
                      <w:rFonts w:hint="default" w:ascii="Times New Roman" w:hAnsi="Times New Roman" w:eastAsia="宋体" w:cs="Times New Roman"/>
                      <w:color w:val="121212"/>
                      <w:sz w:val="21"/>
                      <w:szCs w:val="21"/>
                      <w:highlight w:val="none"/>
                    </w:rPr>
                    <w:t>Ⅱ水土保持生态保护红线</w:t>
                  </w:r>
                </w:p>
              </w:tc>
              <w:tc>
                <w:tcPr>
                  <w:tcW w:w="1146" w:type="dxa"/>
                  <w:vMerge w:val="restart"/>
                  <w:tcBorders>
                    <w:top w:val="nil"/>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r>
                    <w:rPr>
                      <w:rFonts w:hint="default" w:ascii="Times New Roman" w:hAnsi="Times New Roman" w:eastAsia="宋体" w:cs="Times New Roman"/>
                      <w:color w:val="121212"/>
                      <w:sz w:val="21"/>
                      <w:szCs w:val="21"/>
                      <w:highlight w:val="none"/>
                    </w:rPr>
                    <w:t>Ⅱ-1淮北河间平原农产品提供及水土保持生态保护红线</w:t>
                  </w:r>
                </w:p>
              </w:tc>
              <w:tc>
                <w:tcPr>
                  <w:tcW w:w="1251" w:type="dxa"/>
                  <w:vMerge w:val="restart"/>
                  <w:tcBorders>
                    <w:top w:val="nil"/>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r>
                    <w:rPr>
                      <w:rFonts w:hint="default" w:ascii="Times New Roman" w:hAnsi="Times New Roman" w:eastAsia="宋体" w:cs="Times New Roman"/>
                      <w:color w:val="121212"/>
                      <w:sz w:val="21"/>
                      <w:szCs w:val="21"/>
                      <w:highlight w:val="none"/>
                    </w:rPr>
                    <w:t>暖温带落叶阔叶林带</w:t>
                  </w:r>
                </w:p>
              </w:tc>
              <w:tc>
                <w:tcPr>
                  <w:tcW w:w="3107" w:type="dxa"/>
                  <w:vMerge w:val="restart"/>
                  <w:tcBorders>
                    <w:top w:val="nil"/>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r>
                    <w:rPr>
                      <w:rFonts w:hint="default" w:ascii="Times New Roman" w:hAnsi="Times New Roman" w:eastAsia="宋体" w:cs="Times New Roman"/>
                      <w:color w:val="121212"/>
                      <w:sz w:val="21"/>
                      <w:szCs w:val="21"/>
                      <w:highlight w:val="none"/>
                    </w:rPr>
                    <w:t>安徽灵璧磐云山国家地质公园、宿州市汴北水厂水源地、宿州市新水厂水源地、宿州市备用水源地</w:t>
                  </w:r>
                </w:p>
              </w:tc>
              <w:tc>
                <w:tcPr>
                  <w:tcW w:w="9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r>
                    <w:rPr>
                      <w:rFonts w:hint="default" w:ascii="Times New Roman" w:hAnsi="Times New Roman" w:eastAsia="宋体" w:cs="Times New Roman"/>
                      <w:color w:val="121212"/>
                      <w:sz w:val="21"/>
                      <w:szCs w:val="21"/>
                      <w:highlight w:val="none"/>
                    </w:rPr>
                    <w:t>灵璧县</w:t>
                  </w:r>
                </w:p>
              </w:tc>
              <w:tc>
                <w:tcPr>
                  <w:tcW w:w="8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r>
                    <w:rPr>
                      <w:rFonts w:hint="default" w:ascii="Times New Roman" w:hAnsi="Times New Roman" w:eastAsia="宋体" w:cs="Times New Roman"/>
                      <w:color w:val="121212"/>
                      <w:sz w:val="21"/>
                      <w:szCs w:val="21"/>
                      <w:highlight w:val="none"/>
                    </w:rPr>
                    <w:t>8.67</w:t>
                  </w:r>
                </w:p>
              </w:tc>
            </w:tr>
            <w:tr>
              <w:tblPrEx>
                <w:tblLayout w:type="fixed"/>
              </w:tblPrEx>
              <w:tc>
                <w:tcPr>
                  <w:tcW w:w="7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p>
              </w:tc>
              <w:tc>
                <w:tcPr>
                  <w:tcW w:w="1146" w:type="dxa"/>
                  <w:vMerge w:val="continue"/>
                  <w:tcBorders>
                    <w:top w:val="nil"/>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p>
              </w:tc>
              <w:tc>
                <w:tcPr>
                  <w:tcW w:w="1251" w:type="dxa"/>
                  <w:vMerge w:val="continue"/>
                  <w:tcBorders>
                    <w:top w:val="nil"/>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p>
              </w:tc>
              <w:tc>
                <w:tcPr>
                  <w:tcW w:w="3107" w:type="dxa"/>
                  <w:vMerge w:val="continue"/>
                  <w:tcBorders>
                    <w:top w:val="nil"/>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p>
              </w:tc>
              <w:tc>
                <w:tcPr>
                  <w:tcW w:w="9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r>
                    <w:rPr>
                      <w:rFonts w:hint="default" w:ascii="Times New Roman" w:hAnsi="Times New Roman" w:eastAsia="宋体" w:cs="Times New Roman"/>
                      <w:color w:val="121212"/>
                      <w:sz w:val="21"/>
                      <w:szCs w:val="21"/>
                      <w:highlight w:val="none"/>
                    </w:rPr>
                    <w:t>泗县</w:t>
                  </w:r>
                </w:p>
              </w:tc>
              <w:tc>
                <w:tcPr>
                  <w:tcW w:w="8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r>
                    <w:rPr>
                      <w:rFonts w:hint="default" w:ascii="Times New Roman" w:hAnsi="Times New Roman" w:eastAsia="宋体" w:cs="Times New Roman"/>
                      <w:color w:val="121212"/>
                      <w:sz w:val="21"/>
                      <w:szCs w:val="21"/>
                      <w:highlight w:val="none"/>
                    </w:rPr>
                    <w:t>4.63</w:t>
                  </w:r>
                </w:p>
              </w:tc>
            </w:tr>
            <w:tr>
              <w:tblPrEx>
                <w:tblLayout w:type="fixed"/>
              </w:tblPrEx>
              <w:tc>
                <w:tcPr>
                  <w:tcW w:w="7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p>
              </w:tc>
              <w:tc>
                <w:tcPr>
                  <w:tcW w:w="1146" w:type="dxa"/>
                  <w:vMerge w:val="continue"/>
                  <w:tcBorders>
                    <w:top w:val="nil"/>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p>
              </w:tc>
              <w:tc>
                <w:tcPr>
                  <w:tcW w:w="1251" w:type="dxa"/>
                  <w:vMerge w:val="continue"/>
                  <w:tcBorders>
                    <w:top w:val="nil"/>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p>
              </w:tc>
              <w:tc>
                <w:tcPr>
                  <w:tcW w:w="3107" w:type="dxa"/>
                  <w:vMerge w:val="continue"/>
                  <w:tcBorders>
                    <w:top w:val="nil"/>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p>
              </w:tc>
              <w:tc>
                <w:tcPr>
                  <w:tcW w:w="9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r>
                    <w:rPr>
                      <w:rFonts w:hint="default" w:ascii="Times New Roman" w:hAnsi="Times New Roman" w:eastAsia="宋体" w:cs="Times New Roman"/>
                      <w:color w:val="121212"/>
                      <w:sz w:val="21"/>
                      <w:szCs w:val="21"/>
                      <w:highlight w:val="none"/>
                    </w:rPr>
                    <w:t>埇桥区</w:t>
                  </w:r>
                </w:p>
              </w:tc>
              <w:tc>
                <w:tcPr>
                  <w:tcW w:w="8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r>
                    <w:rPr>
                      <w:rFonts w:hint="default" w:ascii="Times New Roman" w:hAnsi="Times New Roman" w:eastAsia="宋体" w:cs="Times New Roman"/>
                      <w:color w:val="121212"/>
                      <w:sz w:val="21"/>
                      <w:szCs w:val="21"/>
                      <w:highlight w:val="none"/>
                    </w:rPr>
                    <w:t>13.32</w:t>
                  </w:r>
                </w:p>
              </w:tc>
            </w:tr>
            <w:tr>
              <w:tblPrEx>
                <w:tblLayout w:type="fixed"/>
              </w:tblPrEx>
              <w:tc>
                <w:tcPr>
                  <w:tcW w:w="77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r>
                    <w:rPr>
                      <w:rFonts w:hint="default" w:ascii="Times New Roman" w:hAnsi="Times New Roman" w:eastAsia="宋体" w:cs="Times New Roman"/>
                      <w:color w:val="121212"/>
                      <w:sz w:val="21"/>
                      <w:szCs w:val="21"/>
                      <w:highlight w:val="none"/>
                    </w:rPr>
                    <w:t>Ⅲ生物多样性维护生态保护红线</w:t>
                  </w:r>
                </w:p>
              </w:tc>
              <w:tc>
                <w:tcPr>
                  <w:tcW w:w="1146" w:type="dxa"/>
                  <w:vMerge w:val="restart"/>
                  <w:tcBorders>
                    <w:top w:val="nil"/>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r>
                    <w:rPr>
                      <w:rFonts w:hint="default" w:ascii="Times New Roman" w:hAnsi="Times New Roman" w:eastAsia="宋体" w:cs="Times New Roman"/>
                      <w:color w:val="121212"/>
                      <w:sz w:val="21"/>
                      <w:szCs w:val="21"/>
                      <w:highlight w:val="none"/>
                    </w:rPr>
                    <w:t>Ⅲ-1淮北平原北部生物多样性维护及水土保持生态保护红线</w:t>
                  </w:r>
                </w:p>
              </w:tc>
              <w:tc>
                <w:tcPr>
                  <w:tcW w:w="1251" w:type="dxa"/>
                  <w:vMerge w:val="restart"/>
                  <w:tcBorders>
                    <w:top w:val="nil"/>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r>
                    <w:rPr>
                      <w:rFonts w:hint="default" w:ascii="Times New Roman" w:hAnsi="Times New Roman" w:eastAsia="宋体" w:cs="Times New Roman"/>
                      <w:color w:val="121212"/>
                      <w:sz w:val="21"/>
                      <w:szCs w:val="21"/>
                      <w:highlight w:val="none"/>
                    </w:rPr>
                    <w:t>暖温带落叶阔叶林带</w:t>
                  </w:r>
                </w:p>
              </w:tc>
              <w:tc>
                <w:tcPr>
                  <w:tcW w:w="3107" w:type="dxa"/>
                  <w:vMerge w:val="restart"/>
                  <w:tcBorders>
                    <w:top w:val="nil"/>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r>
                    <w:rPr>
                      <w:rFonts w:hint="default" w:ascii="Times New Roman" w:hAnsi="Times New Roman" w:eastAsia="宋体" w:cs="Times New Roman"/>
                      <w:color w:val="121212"/>
                      <w:sz w:val="21"/>
                      <w:szCs w:val="21"/>
                      <w:highlight w:val="none"/>
                    </w:rPr>
                    <w:t>安徽砀山黄河故道湿地自然保护区、安徽萧县皇藏峪省级自然保护区、安徽萧县黄河故道省级自然保护区、安徽宿州大方寺省级自然保护区、安徽砀山酥梨种质资源省级自然保护区、皇藏峪风景名胜区（核心景区）、五柳风景名胜区（核心景区）、皇藏峪国家森林公园（生态保育区和核心景观区）、古黄河省级森林公园、梅山省级森林公园、安徽砀山古黄河省级地质公园、故黄河砀山段黄河鲤国家级水产种质资源保护区</w:t>
                  </w:r>
                </w:p>
              </w:tc>
              <w:tc>
                <w:tcPr>
                  <w:tcW w:w="9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r>
                    <w:rPr>
                      <w:rFonts w:hint="default" w:ascii="Times New Roman" w:hAnsi="Times New Roman" w:eastAsia="宋体" w:cs="Times New Roman"/>
                      <w:color w:val="121212"/>
                      <w:sz w:val="21"/>
                      <w:szCs w:val="21"/>
                      <w:highlight w:val="none"/>
                    </w:rPr>
                    <w:t>砀山县</w:t>
                  </w:r>
                </w:p>
              </w:tc>
              <w:tc>
                <w:tcPr>
                  <w:tcW w:w="8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r>
                    <w:rPr>
                      <w:rFonts w:hint="default" w:ascii="Times New Roman" w:hAnsi="Times New Roman" w:eastAsia="宋体" w:cs="Times New Roman"/>
                      <w:color w:val="121212"/>
                      <w:sz w:val="21"/>
                      <w:szCs w:val="21"/>
                      <w:highlight w:val="none"/>
                    </w:rPr>
                    <w:t>363.73</w:t>
                  </w:r>
                </w:p>
              </w:tc>
            </w:tr>
            <w:tr>
              <w:tblPrEx>
                <w:tblLayout w:type="fixed"/>
              </w:tblPrEx>
              <w:tc>
                <w:tcPr>
                  <w:tcW w:w="7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p>
              </w:tc>
              <w:tc>
                <w:tcPr>
                  <w:tcW w:w="1146" w:type="dxa"/>
                  <w:vMerge w:val="continue"/>
                  <w:tcBorders>
                    <w:top w:val="nil"/>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p>
              </w:tc>
              <w:tc>
                <w:tcPr>
                  <w:tcW w:w="1251" w:type="dxa"/>
                  <w:vMerge w:val="continue"/>
                  <w:tcBorders>
                    <w:top w:val="nil"/>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p>
              </w:tc>
              <w:tc>
                <w:tcPr>
                  <w:tcW w:w="3107" w:type="dxa"/>
                  <w:vMerge w:val="continue"/>
                  <w:tcBorders>
                    <w:top w:val="nil"/>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p>
              </w:tc>
              <w:tc>
                <w:tcPr>
                  <w:tcW w:w="9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r>
                    <w:rPr>
                      <w:rFonts w:hint="default" w:ascii="Times New Roman" w:hAnsi="Times New Roman" w:eastAsia="宋体" w:cs="Times New Roman"/>
                      <w:color w:val="121212"/>
                      <w:sz w:val="21"/>
                      <w:szCs w:val="21"/>
                      <w:highlight w:val="none"/>
                    </w:rPr>
                    <w:t>灵璧县</w:t>
                  </w:r>
                </w:p>
              </w:tc>
              <w:tc>
                <w:tcPr>
                  <w:tcW w:w="8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r>
                    <w:rPr>
                      <w:rFonts w:hint="default" w:ascii="Times New Roman" w:hAnsi="Times New Roman" w:eastAsia="宋体" w:cs="Times New Roman"/>
                      <w:color w:val="121212"/>
                      <w:sz w:val="21"/>
                      <w:szCs w:val="21"/>
                      <w:highlight w:val="none"/>
                    </w:rPr>
                    <w:t>1.17</w:t>
                  </w:r>
                </w:p>
              </w:tc>
            </w:tr>
            <w:tr>
              <w:tblPrEx>
                <w:tblLayout w:type="fixed"/>
              </w:tblPrEx>
              <w:tc>
                <w:tcPr>
                  <w:tcW w:w="7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p>
              </w:tc>
              <w:tc>
                <w:tcPr>
                  <w:tcW w:w="1146" w:type="dxa"/>
                  <w:vMerge w:val="continue"/>
                  <w:tcBorders>
                    <w:top w:val="nil"/>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p>
              </w:tc>
              <w:tc>
                <w:tcPr>
                  <w:tcW w:w="1251" w:type="dxa"/>
                  <w:vMerge w:val="continue"/>
                  <w:tcBorders>
                    <w:top w:val="nil"/>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p>
              </w:tc>
              <w:tc>
                <w:tcPr>
                  <w:tcW w:w="3107" w:type="dxa"/>
                  <w:vMerge w:val="continue"/>
                  <w:tcBorders>
                    <w:top w:val="nil"/>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p>
              </w:tc>
              <w:tc>
                <w:tcPr>
                  <w:tcW w:w="9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r>
                    <w:rPr>
                      <w:rFonts w:hint="default" w:ascii="Times New Roman" w:hAnsi="Times New Roman" w:eastAsia="宋体" w:cs="Times New Roman"/>
                      <w:color w:val="121212"/>
                      <w:sz w:val="21"/>
                      <w:szCs w:val="21"/>
                      <w:highlight w:val="none"/>
                    </w:rPr>
                    <w:t>萧县</w:t>
                  </w:r>
                </w:p>
              </w:tc>
              <w:tc>
                <w:tcPr>
                  <w:tcW w:w="8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r>
                    <w:rPr>
                      <w:rFonts w:hint="default" w:ascii="Times New Roman" w:hAnsi="Times New Roman" w:eastAsia="宋体" w:cs="Times New Roman"/>
                      <w:color w:val="121212"/>
                      <w:sz w:val="21"/>
                      <w:szCs w:val="21"/>
                      <w:highlight w:val="none"/>
                    </w:rPr>
                    <w:t>123.40</w:t>
                  </w:r>
                </w:p>
              </w:tc>
            </w:tr>
            <w:tr>
              <w:tblPrEx>
                <w:tblLayout w:type="fixed"/>
              </w:tblPrEx>
              <w:tc>
                <w:tcPr>
                  <w:tcW w:w="7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p>
              </w:tc>
              <w:tc>
                <w:tcPr>
                  <w:tcW w:w="1146" w:type="dxa"/>
                  <w:vMerge w:val="continue"/>
                  <w:tcBorders>
                    <w:top w:val="nil"/>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p>
              </w:tc>
              <w:tc>
                <w:tcPr>
                  <w:tcW w:w="1251" w:type="dxa"/>
                  <w:vMerge w:val="continue"/>
                  <w:tcBorders>
                    <w:top w:val="nil"/>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p>
              </w:tc>
              <w:tc>
                <w:tcPr>
                  <w:tcW w:w="3107" w:type="dxa"/>
                  <w:vMerge w:val="continue"/>
                  <w:tcBorders>
                    <w:top w:val="nil"/>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p>
              </w:tc>
              <w:tc>
                <w:tcPr>
                  <w:tcW w:w="9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r>
                    <w:rPr>
                      <w:rFonts w:hint="default" w:ascii="Times New Roman" w:hAnsi="Times New Roman" w:eastAsia="宋体" w:cs="Times New Roman"/>
                      <w:color w:val="121212"/>
                      <w:sz w:val="21"/>
                      <w:szCs w:val="21"/>
                      <w:highlight w:val="none"/>
                    </w:rPr>
                    <w:t>埇桥区</w:t>
                  </w:r>
                </w:p>
              </w:tc>
              <w:tc>
                <w:tcPr>
                  <w:tcW w:w="8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r>
                    <w:rPr>
                      <w:rFonts w:hint="default" w:ascii="Times New Roman" w:hAnsi="Times New Roman" w:eastAsia="宋体" w:cs="Times New Roman"/>
                      <w:color w:val="121212"/>
                      <w:sz w:val="21"/>
                      <w:szCs w:val="21"/>
                      <w:highlight w:val="none"/>
                    </w:rPr>
                    <w:t>111.08</w:t>
                  </w:r>
                </w:p>
              </w:tc>
            </w:tr>
            <w:tr>
              <w:tblPrEx>
                <w:tblLayout w:type="fixed"/>
              </w:tblPrEx>
              <w:tc>
                <w:tcPr>
                  <w:tcW w:w="77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r>
                    <w:rPr>
                      <w:rFonts w:hint="default" w:ascii="Times New Roman" w:hAnsi="Times New Roman" w:eastAsia="宋体" w:cs="Times New Roman"/>
                      <w:color w:val="121212"/>
                      <w:sz w:val="21"/>
                      <w:szCs w:val="21"/>
                      <w:highlight w:val="none"/>
                    </w:rPr>
                    <w:t>Ⅲ生物多样性维护生态保护红线</w:t>
                  </w:r>
                </w:p>
              </w:tc>
              <w:tc>
                <w:tcPr>
                  <w:tcW w:w="1146" w:type="dxa"/>
                  <w:vMerge w:val="restart"/>
                  <w:tcBorders>
                    <w:top w:val="nil"/>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r>
                    <w:rPr>
                      <w:rFonts w:hint="default" w:ascii="Times New Roman" w:hAnsi="Times New Roman" w:eastAsia="宋体" w:cs="Times New Roman"/>
                      <w:color w:val="121212"/>
                      <w:sz w:val="21"/>
                      <w:szCs w:val="21"/>
                      <w:highlight w:val="none"/>
                    </w:rPr>
                    <w:t>Ⅲ-5淮河中下游湖泊洼地生物多样性维护生态保护红线</w:t>
                  </w:r>
                </w:p>
              </w:tc>
              <w:tc>
                <w:tcPr>
                  <w:tcW w:w="1251" w:type="dxa"/>
                  <w:vMerge w:val="restart"/>
                  <w:tcBorders>
                    <w:top w:val="nil"/>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r>
                    <w:rPr>
                      <w:rFonts w:hint="default" w:ascii="Times New Roman" w:hAnsi="Times New Roman" w:eastAsia="宋体" w:cs="Times New Roman"/>
                      <w:color w:val="121212"/>
                      <w:sz w:val="21"/>
                      <w:szCs w:val="21"/>
                      <w:highlight w:val="none"/>
                    </w:rPr>
                    <w:t>暖温带与北亚热带落叶阔叶林过渡带；河流和湖泊湿地类型为主</w:t>
                  </w:r>
                </w:p>
              </w:tc>
              <w:tc>
                <w:tcPr>
                  <w:tcW w:w="3107" w:type="dxa"/>
                  <w:vMerge w:val="restart"/>
                  <w:tcBorders>
                    <w:top w:val="nil"/>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r>
                    <w:rPr>
                      <w:rFonts w:hint="default" w:ascii="Times New Roman" w:hAnsi="Times New Roman" w:eastAsia="宋体" w:cs="Times New Roman"/>
                      <w:color w:val="121212"/>
                      <w:sz w:val="21"/>
                      <w:szCs w:val="21"/>
                      <w:highlight w:val="none"/>
                    </w:rPr>
                    <w:t>安徽泗县沱河省级自然保护区、石龙湖国家湿地公园</w:t>
                  </w:r>
                </w:p>
              </w:tc>
              <w:tc>
                <w:tcPr>
                  <w:tcW w:w="9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r>
                    <w:rPr>
                      <w:rFonts w:hint="default" w:ascii="Times New Roman" w:hAnsi="Times New Roman" w:eastAsia="宋体" w:cs="Times New Roman"/>
                      <w:color w:val="121212"/>
                      <w:sz w:val="21"/>
                      <w:szCs w:val="21"/>
                      <w:highlight w:val="none"/>
                    </w:rPr>
                    <w:t>灵璧县</w:t>
                  </w:r>
                </w:p>
              </w:tc>
              <w:tc>
                <w:tcPr>
                  <w:tcW w:w="8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r>
                    <w:rPr>
                      <w:rFonts w:hint="default" w:ascii="Times New Roman" w:hAnsi="Times New Roman" w:eastAsia="宋体" w:cs="Times New Roman"/>
                      <w:color w:val="121212"/>
                      <w:sz w:val="21"/>
                      <w:szCs w:val="21"/>
                      <w:highlight w:val="none"/>
                    </w:rPr>
                    <w:t>0.06</w:t>
                  </w:r>
                </w:p>
              </w:tc>
            </w:tr>
            <w:tr>
              <w:tblPrEx>
                <w:tblLayout w:type="fixed"/>
              </w:tblPrEx>
              <w:tc>
                <w:tcPr>
                  <w:tcW w:w="77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p>
              </w:tc>
              <w:tc>
                <w:tcPr>
                  <w:tcW w:w="1146" w:type="dxa"/>
                  <w:vMerge w:val="continue"/>
                  <w:tcBorders>
                    <w:top w:val="nil"/>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p>
              </w:tc>
              <w:tc>
                <w:tcPr>
                  <w:tcW w:w="1251" w:type="dxa"/>
                  <w:vMerge w:val="continue"/>
                  <w:tcBorders>
                    <w:top w:val="nil"/>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p>
              </w:tc>
              <w:tc>
                <w:tcPr>
                  <w:tcW w:w="3107" w:type="dxa"/>
                  <w:vMerge w:val="continue"/>
                  <w:tcBorders>
                    <w:top w:val="nil"/>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p>
              </w:tc>
              <w:tc>
                <w:tcPr>
                  <w:tcW w:w="9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r>
                    <w:rPr>
                      <w:rFonts w:hint="default" w:ascii="Times New Roman" w:hAnsi="Times New Roman" w:eastAsia="宋体" w:cs="Times New Roman"/>
                      <w:color w:val="121212"/>
                      <w:sz w:val="21"/>
                      <w:szCs w:val="21"/>
                      <w:highlight w:val="none"/>
                    </w:rPr>
                    <w:t>泗县</w:t>
                  </w:r>
                </w:p>
              </w:tc>
              <w:tc>
                <w:tcPr>
                  <w:tcW w:w="8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宋体" w:cs="Times New Roman"/>
                      <w:color w:val="121212"/>
                      <w:sz w:val="21"/>
                      <w:szCs w:val="21"/>
                      <w:highlight w:val="none"/>
                    </w:rPr>
                  </w:pPr>
                  <w:r>
                    <w:rPr>
                      <w:rFonts w:hint="default" w:ascii="Times New Roman" w:hAnsi="Times New Roman" w:eastAsia="宋体" w:cs="Times New Roman"/>
                      <w:color w:val="121212"/>
                      <w:sz w:val="21"/>
                      <w:szCs w:val="21"/>
                      <w:highlight w:val="none"/>
                    </w:rPr>
                    <w:t>19.46</w:t>
                  </w:r>
                </w:p>
              </w:tc>
            </w:tr>
          </w:tbl>
          <w:p>
            <w:pPr>
              <w:spacing w:line="360" w:lineRule="auto"/>
              <w:ind w:firstLine="480" w:firstLineChars="200"/>
              <w:rPr>
                <w:rFonts w:hint="default" w:ascii="Times New Roman" w:hAnsi="Times New Roman" w:eastAsia="宋体" w:cs="Times New Roman"/>
                <w:bCs/>
                <w:color w:val="121212"/>
                <w:sz w:val="24"/>
                <w:highlight w:val="none"/>
                <w:lang w:val="en-US" w:eastAsia="zh-CN"/>
              </w:rPr>
            </w:pPr>
            <w:r>
              <w:rPr>
                <w:rFonts w:hint="eastAsia" w:cs="Times New Roman"/>
                <w:bCs/>
                <w:color w:val="121212"/>
                <w:sz w:val="24"/>
                <w:highlight w:val="none"/>
                <w:lang w:val="en-US" w:eastAsia="zh-CN"/>
              </w:rPr>
              <w:t>本项目选址位于</w:t>
            </w:r>
            <w:r>
              <w:rPr>
                <w:rFonts w:hint="default" w:eastAsia="宋体"/>
                <w:color w:val="121212"/>
                <w:sz w:val="24"/>
                <w:lang w:val="en-US" w:eastAsia="zh-CN"/>
              </w:rPr>
              <w:t>安徽省宿州市灵璧县灵城镇北部开发区机电产业园二期</w:t>
            </w:r>
            <w:r>
              <w:rPr>
                <w:rFonts w:hint="eastAsia"/>
                <w:color w:val="121212"/>
                <w:highlight w:val="none"/>
                <w:lang w:val="en-US" w:eastAsia="zh-CN"/>
              </w:rPr>
              <w:t>，</w:t>
            </w:r>
            <w:r>
              <w:rPr>
                <w:rFonts w:hint="default" w:ascii="Times New Roman" w:hAnsi="Times New Roman" w:eastAsia="宋体" w:cs="Times New Roman"/>
                <w:color w:val="121212"/>
                <w:sz w:val="24"/>
                <w:highlight w:val="none"/>
              </w:rPr>
              <w:t>根据《宿州市</w:t>
            </w:r>
            <w:r>
              <w:rPr>
                <w:rFonts w:hint="eastAsia" w:cs="Times New Roman"/>
                <w:color w:val="121212"/>
                <w:sz w:val="24"/>
                <w:highlight w:val="none"/>
                <w:lang w:eastAsia="zh-CN"/>
              </w:rPr>
              <w:t>“</w:t>
            </w:r>
            <w:r>
              <w:rPr>
                <w:rFonts w:hint="default" w:ascii="Times New Roman" w:hAnsi="Times New Roman" w:eastAsia="宋体" w:cs="Times New Roman"/>
                <w:color w:val="121212"/>
                <w:sz w:val="24"/>
                <w:highlight w:val="none"/>
              </w:rPr>
              <w:t>三线一单</w:t>
            </w:r>
            <w:r>
              <w:rPr>
                <w:rFonts w:hint="eastAsia" w:cs="Times New Roman"/>
                <w:color w:val="121212"/>
                <w:sz w:val="24"/>
                <w:highlight w:val="none"/>
                <w:lang w:eastAsia="zh-CN"/>
              </w:rPr>
              <w:t>”</w:t>
            </w:r>
            <w:r>
              <w:rPr>
                <w:rFonts w:hint="default" w:ascii="Times New Roman" w:hAnsi="Times New Roman" w:eastAsia="宋体" w:cs="Times New Roman"/>
                <w:color w:val="121212"/>
                <w:sz w:val="24"/>
                <w:highlight w:val="none"/>
              </w:rPr>
              <w:t>编制文本》，生物多样性维护生态保护红线位于砀山县、萧县和宿州市埇桥区的北部，本项目所在区域不在生态保护红线区域内，</w:t>
            </w:r>
            <w:r>
              <w:rPr>
                <w:rFonts w:hint="eastAsia"/>
                <w:color w:val="121212"/>
                <w:highlight w:val="none"/>
                <w:lang w:val="en-US" w:eastAsia="zh-CN"/>
              </w:rPr>
              <w:t>距本项目最近的生态红线为</w:t>
            </w:r>
            <w:r>
              <w:rPr>
                <w:rFonts w:hint="default"/>
                <w:color w:val="121212"/>
                <w:highlight w:val="none"/>
              </w:rPr>
              <w:t>安徽灵璧磐云山国家地质公园</w:t>
            </w:r>
            <w:r>
              <w:rPr>
                <w:rFonts w:hint="eastAsia"/>
                <w:color w:val="121212"/>
                <w:highlight w:val="none"/>
                <w:lang w:eastAsia="zh-CN"/>
              </w:rPr>
              <w:t>，</w:t>
            </w:r>
            <w:r>
              <w:rPr>
                <w:rFonts w:hint="eastAsia"/>
                <w:color w:val="121212"/>
                <w:highlight w:val="none"/>
                <w:lang w:val="en-US" w:eastAsia="zh-CN"/>
              </w:rPr>
              <w:t>距离约28km，</w:t>
            </w:r>
            <w:r>
              <w:rPr>
                <w:rFonts w:hint="default" w:ascii="Times New Roman" w:hAnsi="Times New Roman" w:eastAsia="宋体" w:cs="Times New Roman"/>
                <w:color w:val="121212"/>
                <w:sz w:val="24"/>
                <w:highlight w:val="none"/>
              </w:rPr>
              <w:t>本项目与宿州市生态红线位置关系，</w:t>
            </w:r>
            <w:r>
              <w:rPr>
                <w:rFonts w:hint="eastAsia" w:ascii="Times New Roman" w:hAnsi="Times New Roman" w:eastAsia="宋体" w:cs="Times New Roman"/>
                <w:color w:val="121212"/>
                <w:sz w:val="24"/>
                <w:highlight w:val="none"/>
                <w:lang w:val="en-US" w:eastAsia="zh-CN"/>
              </w:rPr>
              <w:t>见附图。</w:t>
            </w:r>
            <w:r>
              <w:rPr>
                <w:rFonts w:ascii="Times New Roman" w:hAnsi="Times New Roman" w:eastAsia="宋体" w:cs="Times New Roman"/>
                <w:bCs/>
                <w:color w:val="121212"/>
                <w:spacing w:val="-2"/>
                <w:kern w:val="0"/>
                <w:sz w:val="24"/>
                <w:highlight w:val="none"/>
              </w:rPr>
              <w:t>评价范围内无自然保护区、饮用水源保护区等生态保护目标，项目建设符合生态保护红线要求。</w:t>
            </w:r>
          </w:p>
          <w:p>
            <w:pPr>
              <w:pStyle w:val="7"/>
              <w:bidi w:val="0"/>
              <w:rPr>
                <w:rFonts w:hint="default"/>
                <w:color w:val="121212"/>
                <w:highlight w:val="none"/>
                <w:lang w:val="en-US" w:eastAsia="zh-CN"/>
              </w:rPr>
            </w:pPr>
            <w:r>
              <w:rPr>
                <w:rFonts w:hint="eastAsia"/>
                <w:color w:val="121212"/>
                <w:highlight w:val="none"/>
                <w:lang w:val="en-US" w:eastAsia="zh-CN"/>
              </w:rPr>
              <w:t>2、环境质量底线及分区管控</w:t>
            </w:r>
          </w:p>
          <w:p>
            <w:pPr>
              <w:bidi w:val="0"/>
              <w:rPr>
                <w:rFonts w:hint="eastAsia"/>
                <w:color w:val="121212"/>
                <w:highlight w:val="none"/>
                <w:lang w:val="en-US" w:eastAsia="zh-CN"/>
              </w:rPr>
            </w:pPr>
            <w:r>
              <w:rPr>
                <w:rFonts w:hint="eastAsia"/>
                <w:color w:val="121212"/>
                <w:highlight w:val="none"/>
                <w:lang w:val="en-US" w:eastAsia="zh-CN"/>
              </w:rPr>
              <w:t>（1）环境空气</w:t>
            </w:r>
          </w:p>
          <w:p>
            <w:pPr>
              <w:bidi w:val="0"/>
              <w:rPr>
                <w:rFonts w:hint="eastAsia"/>
                <w:color w:val="121212"/>
                <w:highlight w:val="none"/>
                <w:lang w:val="en-US" w:eastAsia="zh-CN"/>
              </w:rPr>
            </w:pPr>
            <w:r>
              <w:rPr>
                <w:rFonts w:hint="eastAsia"/>
                <w:color w:val="121212"/>
                <w:lang w:val="en-US" w:eastAsia="zh-CN"/>
              </w:rPr>
              <w:t>根</w:t>
            </w:r>
            <w:commentRangeStart w:id="6"/>
            <w:commentRangeStart w:id="7"/>
            <w:r>
              <w:rPr>
                <w:rFonts w:hint="eastAsia"/>
                <w:color w:val="121212"/>
                <w:lang w:val="en-US" w:eastAsia="zh-CN"/>
              </w:rPr>
              <w:t>据《宿州市2022年环境质量状况报告》，</w:t>
            </w:r>
            <w:r>
              <w:rPr>
                <w:color w:val="121212"/>
              </w:rPr>
              <w:t>2022年宿州市空气综合指数为3.95，同比改善1.7%；PM</w:t>
            </w:r>
            <w:r>
              <w:rPr>
                <w:color w:val="121212"/>
                <w:vertAlign w:val="subscript"/>
              </w:rPr>
              <w:t>2.5</w:t>
            </w:r>
            <w:r>
              <w:rPr>
                <w:color w:val="121212"/>
              </w:rPr>
              <w:t>年平均浓度为40微克/立方米，同比改善2.4%；全市</w:t>
            </w:r>
            <w:commentRangeEnd w:id="6"/>
            <w:r>
              <w:rPr>
                <w:color w:val="121212"/>
              </w:rPr>
              <w:commentReference w:id="6"/>
            </w:r>
            <w:commentRangeEnd w:id="7"/>
            <w:r>
              <w:rPr>
                <w:color w:val="121212"/>
              </w:rPr>
              <w:commentReference w:id="7"/>
            </w:r>
            <w:r>
              <w:rPr>
                <w:color w:val="121212"/>
              </w:rPr>
              <w:t>空气优良天数比例为76.7%，优良天数比例改善率全省排名第5，全面完成年度考核任务</w:t>
            </w:r>
            <w:r>
              <w:rPr>
                <w:rFonts w:hint="eastAsia"/>
                <w:color w:val="121212"/>
                <w:lang w:eastAsia="zh-CN"/>
              </w:rPr>
              <w:t>，</w:t>
            </w:r>
            <w:r>
              <w:rPr>
                <w:rFonts w:hint="eastAsia" w:ascii="Times New Roman" w:hAnsi="Times New Roman" w:eastAsia="宋体" w:cs="Times New Roman"/>
                <w:color w:val="121212"/>
                <w:kern w:val="2"/>
                <w:sz w:val="24"/>
                <w:szCs w:val="24"/>
                <w:highlight w:val="none"/>
                <w:lang w:val="en-US" w:eastAsia="zh-CN" w:bidi="ar-SA"/>
              </w:rPr>
              <w:t>项目区域环境空气为达标区</w:t>
            </w:r>
            <w:r>
              <w:rPr>
                <w:rFonts w:hint="eastAsia" w:ascii="Times New Roman" w:hAnsi="Times New Roman" w:eastAsia="宋体" w:cs="Times New Roman"/>
                <w:color w:val="121212"/>
                <w:kern w:val="2"/>
                <w:sz w:val="24"/>
                <w:szCs w:val="24"/>
                <w:highlight w:val="none"/>
                <w:lang w:val="en-US" w:eastAsia="zh-CN" w:bidi="ar-SA"/>
              </w:rPr>
              <w:t>。</w:t>
            </w:r>
            <w:r>
              <w:rPr>
                <w:rFonts w:hint="eastAsia"/>
                <w:color w:val="121212"/>
                <w:highlight w:val="none"/>
                <w:lang w:val="en-US" w:eastAsia="zh-CN"/>
              </w:rPr>
              <w:t>根据本评价对拟建项目的工程分析内容和引用环境质量现状监测结果可知，</w:t>
            </w:r>
            <w:r>
              <w:rPr>
                <w:rFonts w:hint="eastAsia"/>
                <w:color w:val="121212"/>
                <w:highlight w:val="none"/>
              </w:rPr>
              <w:t>TSP监测结果</w:t>
            </w:r>
            <w:r>
              <w:rPr>
                <w:rFonts w:hint="default"/>
                <w:color w:val="121212"/>
                <w:highlight w:val="none"/>
              </w:rPr>
              <w:t>满足</w:t>
            </w:r>
            <w:r>
              <w:rPr>
                <w:rFonts w:hint="eastAsia"/>
                <w:color w:val="121212"/>
                <w:highlight w:val="none"/>
                <w:lang w:eastAsia="zh-CN"/>
              </w:rPr>
              <w:t>《</w:t>
            </w:r>
            <w:r>
              <w:rPr>
                <w:rFonts w:hint="eastAsia"/>
                <w:color w:val="121212"/>
                <w:highlight w:val="none"/>
                <w:lang w:val="en-US" w:eastAsia="zh-CN"/>
              </w:rPr>
              <w:t>环境空气质量标准</w:t>
            </w:r>
            <w:r>
              <w:rPr>
                <w:rFonts w:hint="eastAsia"/>
                <w:color w:val="121212"/>
                <w:highlight w:val="none"/>
                <w:lang w:eastAsia="zh-CN"/>
              </w:rPr>
              <w:t>》（</w:t>
            </w:r>
            <w:r>
              <w:rPr>
                <w:rFonts w:hint="eastAsia"/>
                <w:color w:val="121212"/>
                <w:highlight w:val="none"/>
                <w:lang w:val="en-US" w:eastAsia="zh-CN"/>
              </w:rPr>
              <w:t>GB3095-2012</w:t>
            </w:r>
            <w:r>
              <w:rPr>
                <w:rFonts w:hint="eastAsia"/>
                <w:color w:val="121212"/>
                <w:highlight w:val="none"/>
                <w:lang w:eastAsia="zh-CN"/>
              </w:rPr>
              <w:t>）</w:t>
            </w:r>
            <w:r>
              <w:rPr>
                <w:rFonts w:hint="eastAsia"/>
                <w:color w:val="121212"/>
                <w:highlight w:val="none"/>
                <w:lang w:val="en-US" w:eastAsia="zh-CN"/>
              </w:rPr>
              <w:t>表2中限值要求。</w:t>
            </w:r>
            <w:r>
              <w:rPr>
                <w:rFonts w:hint="eastAsia"/>
                <w:color w:val="121212"/>
                <w:highlight w:val="none"/>
                <w:lang w:val="en-US" w:eastAsia="zh-CN"/>
              </w:rPr>
              <w:t>项目生产过程中排放的各类污染物均能够达标排放，不会降低现有环境功能。综上所述，拟建项目建成后不会改变区域环境质量底线。</w:t>
            </w:r>
          </w:p>
          <w:p>
            <w:pPr>
              <w:pStyle w:val="27"/>
              <w:rPr>
                <w:rFonts w:hint="eastAsia" w:ascii="Times New Roman" w:hAnsi="Times New Roman" w:eastAsia="宋体" w:cs="Times New Roman"/>
                <w:color w:val="121212"/>
                <w:sz w:val="24"/>
                <w:highlight w:val="none"/>
                <w:lang w:val="en-US" w:eastAsia="zh-CN"/>
              </w:rPr>
            </w:pPr>
            <w:r>
              <w:rPr>
                <w:rFonts w:hint="default" w:ascii="Times New Roman" w:hAnsi="Times New Roman" w:eastAsia="宋体" w:cs="Times New Roman"/>
                <w:color w:val="121212"/>
                <w:sz w:val="24"/>
                <w:highlight w:val="none"/>
              </w:rPr>
              <w:t>根据《宿州市</w:t>
            </w:r>
            <w:r>
              <w:rPr>
                <w:rFonts w:hint="eastAsia" w:cs="Times New Roman"/>
                <w:color w:val="121212"/>
                <w:sz w:val="24"/>
                <w:highlight w:val="none"/>
                <w:lang w:eastAsia="zh-CN"/>
              </w:rPr>
              <w:t>“</w:t>
            </w:r>
            <w:r>
              <w:rPr>
                <w:rFonts w:hint="default" w:ascii="Times New Roman" w:hAnsi="Times New Roman" w:eastAsia="宋体" w:cs="Times New Roman"/>
                <w:color w:val="121212"/>
                <w:sz w:val="24"/>
                <w:highlight w:val="none"/>
              </w:rPr>
              <w:t>三线一单</w:t>
            </w:r>
            <w:r>
              <w:rPr>
                <w:rFonts w:hint="eastAsia" w:cs="Times New Roman"/>
                <w:color w:val="121212"/>
                <w:sz w:val="24"/>
                <w:highlight w:val="none"/>
                <w:lang w:eastAsia="zh-CN"/>
              </w:rPr>
              <w:t>”</w:t>
            </w:r>
            <w:r>
              <w:rPr>
                <w:rFonts w:hint="default" w:ascii="Times New Roman" w:hAnsi="Times New Roman" w:eastAsia="宋体" w:cs="Times New Roman"/>
                <w:color w:val="121212"/>
                <w:sz w:val="24"/>
                <w:highlight w:val="none"/>
              </w:rPr>
              <w:t>编制文本》，本项目所在地为</w:t>
            </w:r>
            <w:r>
              <w:rPr>
                <w:rFonts w:hint="eastAsia" w:ascii="Times New Roman" w:hAnsi="Times New Roman" w:eastAsia="宋体" w:cs="Times New Roman"/>
                <w:color w:val="121212"/>
                <w:sz w:val="24"/>
                <w:highlight w:val="none"/>
                <w:lang w:val="en-US" w:eastAsia="zh-CN"/>
              </w:rPr>
              <w:t>环境空气重点</w:t>
            </w:r>
            <w:r>
              <w:rPr>
                <w:rFonts w:hint="default" w:ascii="Times New Roman" w:hAnsi="Times New Roman" w:eastAsia="宋体" w:cs="Times New Roman"/>
                <w:color w:val="121212"/>
                <w:sz w:val="24"/>
                <w:highlight w:val="none"/>
              </w:rPr>
              <w:t>管控区，</w:t>
            </w:r>
            <w:r>
              <w:rPr>
                <w:rFonts w:hint="eastAsia" w:ascii="Times New Roman" w:hAnsi="Times New Roman" w:eastAsia="宋体" w:cs="Times New Roman"/>
                <w:color w:val="121212"/>
                <w:sz w:val="24"/>
                <w:highlight w:val="none"/>
                <w:lang w:val="en-US" w:eastAsia="zh-CN"/>
              </w:rPr>
              <w:t>见附图。</w:t>
            </w:r>
          </w:p>
          <w:p>
            <w:pPr>
              <w:pStyle w:val="28"/>
              <w:jc w:val="center"/>
              <w:rPr>
                <w:rFonts w:hint="default"/>
                <w:b/>
                <w:bCs/>
                <w:color w:val="121212"/>
                <w:lang w:val="en-US" w:eastAsia="zh-CN"/>
              </w:rPr>
            </w:pPr>
            <w:r>
              <w:rPr>
                <w:rFonts w:hint="eastAsia" w:ascii="Times New Roman" w:hAnsi="Times New Roman" w:eastAsia="宋体" w:cs="Times New Roman"/>
                <w:b/>
                <w:bCs/>
                <w:color w:val="121212"/>
                <w:sz w:val="24"/>
                <w:highlight w:val="none"/>
                <w:lang w:val="en-US" w:eastAsia="zh-CN"/>
              </w:rPr>
              <w:t>表1-2  环境空气重点管控</w:t>
            </w:r>
            <w:r>
              <w:rPr>
                <w:rFonts w:hint="eastAsia"/>
                <w:b/>
                <w:bCs/>
                <w:color w:val="121212"/>
                <w:lang w:val="en-US" w:eastAsia="zh-CN"/>
              </w:rPr>
              <w:t>要求一览表</w:t>
            </w:r>
          </w:p>
          <w:tbl>
            <w:tblPr>
              <w:tblStyle w:val="37"/>
              <w:tblW w:w="4998" w:type="pct"/>
              <w:jc w:val="center"/>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3850"/>
              <w:gridCol w:w="2808"/>
              <w:gridCol w:w="616"/>
            </w:tblGrid>
            <w:tr>
              <w:tblPrEx>
                <w:tblLayout w:type="fixed"/>
              </w:tblPrEx>
              <w:trPr>
                <w:trHeight w:val="397" w:hRule="atLeast"/>
                <w:jc w:val="center"/>
              </w:trPr>
              <w:tc>
                <w:tcPr>
                  <w:tcW w:w="77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121212"/>
                      <w:kern w:val="0"/>
                      <w:sz w:val="21"/>
                      <w:szCs w:val="21"/>
                    </w:rPr>
                  </w:pPr>
                  <w:r>
                    <w:rPr>
                      <w:b/>
                      <w:bCs/>
                      <w:color w:val="121212"/>
                      <w:kern w:val="0"/>
                      <w:sz w:val="21"/>
                      <w:szCs w:val="21"/>
                    </w:rPr>
                    <w:t>分类</w:t>
                  </w:r>
                </w:p>
              </w:tc>
              <w:tc>
                <w:tcPr>
                  <w:tcW w:w="3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121212"/>
                      <w:kern w:val="0"/>
                      <w:sz w:val="21"/>
                      <w:szCs w:val="21"/>
                    </w:rPr>
                  </w:pPr>
                  <w:r>
                    <w:rPr>
                      <w:b/>
                      <w:bCs/>
                      <w:color w:val="121212"/>
                      <w:kern w:val="0"/>
                      <w:sz w:val="21"/>
                      <w:szCs w:val="21"/>
                    </w:rPr>
                    <w:t>管控要求</w:t>
                  </w:r>
                </w:p>
              </w:tc>
              <w:tc>
                <w:tcPr>
                  <w:tcW w:w="280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121212"/>
                      <w:kern w:val="0"/>
                      <w:sz w:val="21"/>
                      <w:szCs w:val="21"/>
                    </w:rPr>
                  </w:pPr>
                  <w:r>
                    <w:rPr>
                      <w:b/>
                      <w:bCs/>
                      <w:color w:val="121212"/>
                      <w:kern w:val="0"/>
                      <w:sz w:val="21"/>
                      <w:szCs w:val="21"/>
                    </w:rPr>
                    <w:t>项目情况</w:t>
                  </w:r>
                </w:p>
              </w:tc>
              <w:tc>
                <w:tcPr>
                  <w:tcW w:w="6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121212"/>
                      <w:kern w:val="0"/>
                      <w:sz w:val="21"/>
                      <w:szCs w:val="21"/>
                    </w:rPr>
                  </w:pPr>
                  <w:r>
                    <w:rPr>
                      <w:b/>
                      <w:bCs/>
                      <w:color w:val="121212"/>
                      <w:kern w:val="0"/>
                      <w:sz w:val="21"/>
                      <w:szCs w:val="21"/>
                    </w:rPr>
                    <w:t>符合性</w:t>
                  </w:r>
                </w:p>
              </w:tc>
            </w:tr>
            <w:tr>
              <w:tblPrEx>
                <w:tblLayout w:type="fixed"/>
              </w:tblPrEx>
              <w:trPr>
                <w:trHeight w:val="397" w:hRule="atLeast"/>
                <w:jc w:val="center"/>
              </w:trPr>
              <w:tc>
                <w:tcPr>
                  <w:tcW w:w="77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121212"/>
                      <w:kern w:val="0"/>
                      <w:sz w:val="21"/>
                      <w:szCs w:val="21"/>
                    </w:rPr>
                  </w:pPr>
                  <w:r>
                    <w:rPr>
                      <w:color w:val="121212"/>
                      <w:kern w:val="0"/>
                      <w:sz w:val="21"/>
                      <w:szCs w:val="21"/>
                    </w:rPr>
                    <w:t>大气重点管控区</w:t>
                  </w:r>
                </w:p>
              </w:tc>
              <w:tc>
                <w:tcPr>
                  <w:tcW w:w="3850"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121212"/>
                      <w:kern w:val="0"/>
                      <w:sz w:val="21"/>
                      <w:szCs w:val="21"/>
                    </w:rPr>
                  </w:pPr>
                  <w:r>
                    <w:rPr>
                      <w:color w:val="121212"/>
                      <w:kern w:val="0"/>
                      <w:sz w:val="21"/>
                      <w:szCs w:val="21"/>
                    </w:rPr>
                    <w:t xml:space="preserve">在城市城区及其近郊禁止新建、扩建钢铁、有色、石化、水泥、化工等重污染企业。 </w:t>
                  </w:r>
                </w:p>
              </w:tc>
              <w:tc>
                <w:tcPr>
                  <w:tcW w:w="2808"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121212"/>
                      <w:kern w:val="0"/>
                      <w:sz w:val="21"/>
                      <w:szCs w:val="21"/>
                    </w:rPr>
                  </w:pPr>
                  <w:r>
                    <w:rPr>
                      <w:color w:val="121212"/>
                      <w:sz w:val="21"/>
                      <w:szCs w:val="21"/>
                    </w:rPr>
                    <w:t>本项目位于</w:t>
                  </w:r>
                  <w:r>
                    <w:rPr>
                      <w:rFonts w:hint="eastAsia"/>
                      <w:color w:val="121212"/>
                      <w:sz w:val="21"/>
                      <w:szCs w:val="21"/>
                      <w:lang w:val="en-US" w:eastAsia="zh-CN"/>
                    </w:rPr>
                    <w:t>安徽灵璧经济开发区</w:t>
                  </w:r>
                  <w:r>
                    <w:rPr>
                      <w:color w:val="121212"/>
                      <w:sz w:val="21"/>
                      <w:szCs w:val="21"/>
                    </w:rPr>
                    <w:t>，不属于钢铁、有色、石化、水泥、化工等重污染企业重污染企业</w:t>
                  </w:r>
                </w:p>
              </w:tc>
              <w:tc>
                <w:tcPr>
                  <w:tcW w:w="6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121212"/>
                      <w:kern w:val="0"/>
                      <w:sz w:val="21"/>
                      <w:szCs w:val="21"/>
                    </w:rPr>
                  </w:pPr>
                  <w:r>
                    <w:rPr>
                      <w:color w:val="121212"/>
                      <w:kern w:val="0"/>
                      <w:sz w:val="21"/>
                      <w:szCs w:val="21"/>
                    </w:rPr>
                    <w:t>符合</w:t>
                  </w:r>
                </w:p>
              </w:tc>
            </w:tr>
            <w:tr>
              <w:tblPrEx>
                <w:tblLayout w:type="fixed"/>
              </w:tblPrEx>
              <w:trPr>
                <w:trHeight w:val="397" w:hRule="atLeast"/>
                <w:jc w:val="center"/>
              </w:trPr>
              <w:tc>
                <w:tcPr>
                  <w:tcW w:w="77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121212"/>
                      <w:kern w:val="0"/>
                      <w:sz w:val="21"/>
                      <w:szCs w:val="21"/>
                    </w:rPr>
                  </w:pPr>
                </w:p>
              </w:tc>
              <w:tc>
                <w:tcPr>
                  <w:tcW w:w="3850"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121212"/>
                      <w:kern w:val="0"/>
                      <w:sz w:val="21"/>
                      <w:szCs w:val="21"/>
                    </w:rPr>
                  </w:pPr>
                  <w:r>
                    <w:rPr>
                      <w:color w:val="121212"/>
                      <w:kern w:val="0"/>
                      <w:sz w:val="21"/>
                      <w:szCs w:val="21"/>
                    </w:rPr>
                    <w:t>禁止新建燃料类煤气发生炉（园区现有企业统一建设的清洁煤制气中心除外）。</w:t>
                  </w:r>
                </w:p>
              </w:tc>
              <w:tc>
                <w:tcPr>
                  <w:tcW w:w="2808"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121212"/>
                      <w:kern w:val="0"/>
                      <w:sz w:val="21"/>
                      <w:szCs w:val="21"/>
                    </w:rPr>
                  </w:pPr>
                  <w:r>
                    <w:rPr>
                      <w:color w:val="121212"/>
                      <w:kern w:val="0"/>
                      <w:sz w:val="21"/>
                      <w:szCs w:val="21"/>
                    </w:rPr>
                    <w:t>本项目无煤气发生炉建设</w:t>
                  </w:r>
                </w:p>
              </w:tc>
              <w:tc>
                <w:tcPr>
                  <w:tcW w:w="6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121212"/>
                      <w:kern w:val="0"/>
                      <w:sz w:val="21"/>
                      <w:szCs w:val="21"/>
                    </w:rPr>
                  </w:pPr>
                  <w:r>
                    <w:rPr>
                      <w:color w:val="121212"/>
                      <w:kern w:val="0"/>
                      <w:sz w:val="21"/>
                      <w:szCs w:val="21"/>
                    </w:rPr>
                    <w:t>符合</w:t>
                  </w:r>
                </w:p>
              </w:tc>
            </w:tr>
            <w:tr>
              <w:tblPrEx>
                <w:tblLayout w:type="fixed"/>
              </w:tblPrEx>
              <w:trPr>
                <w:trHeight w:val="397" w:hRule="atLeast"/>
                <w:jc w:val="center"/>
              </w:trPr>
              <w:tc>
                <w:tcPr>
                  <w:tcW w:w="77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121212"/>
                      <w:kern w:val="0"/>
                      <w:sz w:val="21"/>
                      <w:szCs w:val="21"/>
                    </w:rPr>
                  </w:pPr>
                </w:p>
              </w:tc>
              <w:tc>
                <w:tcPr>
                  <w:tcW w:w="3850"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121212"/>
                      <w:kern w:val="0"/>
                      <w:sz w:val="21"/>
                      <w:szCs w:val="21"/>
                    </w:rPr>
                  </w:pPr>
                  <w:r>
                    <w:rPr>
                      <w:color w:val="121212"/>
                      <w:kern w:val="0"/>
                      <w:sz w:val="21"/>
                      <w:szCs w:val="21"/>
                    </w:rPr>
                    <w:t>严禁新增钢铁、焦化、电解铝、铸造、水泥和平板玻璃等产能；严格执行钢铁、水泥、平板玻璃等行业产能置换实施办法。</w:t>
                  </w:r>
                </w:p>
              </w:tc>
              <w:tc>
                <w:tcPr>
                  <w:tcW w:w="2808"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121212"/>
                      <w:kern w:val="0"/>
                      <w:sz w:val="21"/>
                      <w:szCs w:val="21"/>
                    </w:rPr>
                  </w:pPr>
                  <w:r>
                    <w:rPr>
                      <w:color w:val="121212"/>
                      <w:kern w:val="0"/>
                      <w:sz w:val="21"/>
                      <w:szCs w:val="21"/>
                    </w:rPr>
                    <w:t>本项目属于</w:t>
                  </w:r>
                  <w:r>
                    <w:rPr>
                      <w:rFonts w:hint="eastAsia" w:ascii="Times New Roman" w:hAnsi="Times New Roman" w:eastAsia="宋体"/>
                      <w:color w:val="121212"/>
                      <w:sz w:val="21"/>
                      <w:szCs w:val="21"/>
                      <w:lang w:val="en-US" w:eastAsia="zh-CN"/>
                    </w:rPr>
                    <w:t>改装汽车制造</w:t>
                  </w:r>
                  <w:r>
                    <w:rPr>
                      <w:color w:val="121212"/>
                      <w:kern w:val="0"/>
                      <w:sz w:val="21"/>
                      <w:szCs w:val="21"/>
                    </w:rPr>
                    <w:t>，不属于上述行业</w:t>
                  </w:r>
                </w:p>
              </w:tc>
              <w:tc>
                <w:tcPr>
                  <w:tcW w:w="6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121212"/>
                      <w:kern w:val="0"/>
                      <w:sz w:val="21"/>
                      <w:szCs w:val="21"/>
                    </w:rPr>
                  </w:pPr>
                  <w:r>
                    <w:rPr>
                      <w:color w:val="121212"/>
                      <w:kern w:val="0"/>
                      <w:sz w:val="21"/>
                      <w:szCs w:val="21"/>
                    </w:rPr>
                    <w:t>符合</w:t>
                  </w:r>
                </w:p>
              </w:tc>
            </w:tr>
            <w:tr>
              <w:tblPrEx>
                <w:tblLayout w:type="fixed"/>
              </w:tblPrEx>
              <w:trPr>
                <w:trHeight w:val="397" w:hRule="atLeast"/>
                <w:jc w:val="center"/>
              </w:trPr>
              <w:tc>
                <w:tcPr>
                  <w:tcW w:w="77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121212"/>
                      <w:kern w:val="0"/>
                      <w:sz w:val="21"/>
                      <w:szCs w:val="21"/>
                    </w:rPr>
                  </w:pPr>
                </w:p>
              </w:tc>
              <w:tc>
                <w:tcPr>
                  <w:tcW w:w="3850"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121212"/>
                      <w:kern w:val="0"/>
                      <w:sz w:val="21"/>
                      <w:szCs w:val="21"/>
                    </w:rPr>
                  </w:pPr>
                  <w:r>
                    <w:rPr>
                      <w:color w:val="121212"/>
                      <w:kern w:val="0"/>
                      <w:sz w:val="21"/>
                      <w:szCs w:val="21"/>
                    </w:rPr>
                    <w:t>严格执行国家关于“两高”产业准入目录和产能总量控制政策措施。严禁新增钢铁、焦化、电解铝、铸造、水泥和平板玻璃等产能；新、改、扩建涉及大宗物料运输的建设项目，原则上不得采用公路运输。</w:t>
                  </w:r>
                </w:p>
              </w:tc>
              <w:tc>
                <w:tcPr>
                  <w:tcW w:w="2808"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121212"/>
                      <w:kern w:val="0"/>
                      <w:sz w:val="21"/>
                      <w:szCs w:val="21"/>
                    </w:rPr>
                  </w:pPr>
                  <w:r>
                    <w:rPr>
                      <w:color w:val="121212"/>
                      <w:kern w:val="0"/>
                      <w:sz w:val="21"/>
                      <w:szCs w:val="21"/>
                    </w:rPr>
                    <w:t>根据《安徽省“两高”项目管理目录（试行）》，</w:t>
                  </w:r>
                  <w:r>
                    <w:rPr>
                      <w:color w:val="121212"/>
                      <w:sz w:val="21"/>
                      <w:szCs w:val="21"/>
                    </w:rPr>
                    <w:t>本项目不属于其中“两高”行业</w:t>
                  </w:r>
                </w:p>
              </w:tc>
              <w:tc>
                <w:tcPr>
                  <w:tcW w:w="6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121212"/>
                      <w:kern w:val="0"/>
                      <w:sz w:val="21"/>
                      <w:szCs w:val="21"/>
                    </w:rPr>
                  </w:pPr>
                  <w:r>
                    <w:rPr>
                      <w:color w:val="121212"/>
                      <w:kern w:val="0"/>
                      <w:sz w:val="21"/>
                      <w:szCs w:val="21"/>
                    </w:rPr>
                    <w:t>符合</w:t>
                  </w:r>
                </w:p>
              </w:tc>
            </w:tr>
            <w:tr>
              <w:tblPrEx>
                <w:tblLayout w:type="fixed"/>
              </w:tblPrEx>
              <w:trPr>
                <w:trHeight w:val="397" w:hRule="atLeast"/>
                <w:jc w:val="center"/>
              </w:trPr>
              <w:tc>
                <w:tcPr>
                  <w:tcW w:w="77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121212"/>
                      <w:kern w:val="0"/>
                      <w:sz w:val="21"/>
                      <w:szCs w:val="21"/>
                    </w:rPr>
                  </w:pPr>
                </w:p>
              </w:tc>
              <w:tc>
                <w:tcPr>
                  <w:tcW w:w="3850" w:type="dxa"/>
                  <w:vMerge w:val="restart"/>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b/>
                      <w:bCs/>
                      <w:color w:val="121212"/>
                      <w:kern w:val="0"/>
                      <w:sz w:val="21"/>
                      <w:szCs w:val="21"/>
                    </w:rPr>
                  </w:pPr>
                  <w:r>
                    <w:rPr>
                      <w:color w:val="121212"/>
                      <w:kern w:val="0"/>
                      <w:sz w:val="21"/>
                      <w:szCs w:val="21"/>
                    </w:rPr>
                    <w:t>禁止建设生产和使用高VOCs含量的溶剂型涂料、油墨、胶粘剂等项目。</w:t>
                  </w:r>
                </w:p>
              </w:tc>
              <w:tc>
                <w:tcPr>
                  <w:tcW w:w="2808" w:type="dxa"/>
                  <w:vMerge w:val="restart"/>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eastAsia="宋体"/>
                      <w:color w:val="121212"/>
                      <w:kern w:val="0"/>
                      <w:sz w:val="21"/>
                      <w:szCs w:val="21"/>
                      <w:lang w:val="en-US" w:eastAsia="zh-CN"/>
                    </w:rPr>
                  </w:pPr>
                  <w:r>
                    <w:rPr>
                      <w:color w:val="121212"/>
                      <w:kern w:val="0"/>
                      <w:sz w:val="21"/>
                      <w:szCs w:val="21"/>
                    </w:rPr>
                    <w:t>本项目</w:t>
                  </w:r>
                  <w:r>
                    <w:rPr>
                      <w:rFonts w:hint="eastAsia"/>
                      <w:color w:val="121212"/>
                      <w:kern w:val="0"/>
                      <w:sz w:val="21"/>
                      <w:szCs w:val="21"/>
                      <w:lang w:eastAsia="zh-CN"/>
                    </w:rPr>
                    <w:t>不</w:t>
                  </w:r>
                  <w:r>
                    <w:rPr>
                      <w:rFonts w:hint="eastAsia"/>
                      <w:color w:val="121212"/>
                      <w:kern w:val="0"/>
                      <w:sz w:val="21"/>
                      <w:szCs w:val="21"/>
                      <w:lang w:val="en-US" w:eastAsia="zh-CN"/>
                    </w:rPr>
                    <w:t>使用的涂料等</w:t>
                  </w:r>
                </w:p>
              </w:tc>
              <w:tc>
                <w:tcPr>
                  <w:tcW w:w="6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121212"/>
                      <w:kern w:val="0"/>
                      <w:sz w:val="21"/>
                      <w:szCs w:val="21"/>
                    </w:rPr>
                  </w:pPr>
                  <w:r>
                    <w:rPr>
                      <w:color w:val="121212"/>
                      <w:kern w:val="0"/>
                      <w:sz w:val="21"/>
                      <w:szCs w:val="21"/>
                    </w:rPr>
                    <w:t>符合</w:t>
                  </w:r>
                </w:p>
              </w:tc>
            </w:tr>
            <w:tr>
              <w:tblPrEx>
                <w:tblLayout w:type="fixed"/>
              </w:tblPrEx>
              <w:trPr>
                <w:trHeight w:val="397" w:hRule="atLeast"/>
                <w:jc w:val="center"/>
              </w:trPr>
              <w:tc>
                <w:tcPr>
                  <w:tcW w:w="77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121212"/>
                      <w:kern w:val="0"/>
                      <w:sz w:val="21"/>
                      <w:szCs w:val="21"/>
                    </w:rPr>
                  </w:pPr>
                </w:p>
              </w:tc>
              <w:tc>
                <w:tcPr>
                  <w:tcW w:w="3850" w:type="dxa"/>
                  <w:vMerge w:val="continue"/>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121212"/>
                      <w:kern w:val="0"/>
                      <w:sz w:val="21"/>
                      <w:szCs w:val="21"/>
                    </w:rPr>
                  </w:pPr>
                </w:p>
              </w:tc>
              <w:tc>
                <w:tcPr>
                  <w:tcW w:w="2808" w:type="dxa"/>
                  <w:vMerge w:val="continue"/>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121212"/>
                      <w:kern w:val="0"/>
                      <w:sz w:val="21"/>
                      <w:szCs w:val="21"/>
                    </w:rPr>
                  </w:pPr>
                </w:p>
              </w:tc>
              <w:tc>
                <w:tcPr>
                  <w:tcW w:w="6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121212"/>
                      <w:kern w:val="0"/>
                      <w:sz w:val="21"/>
                      <w:szCs w:val="21"/>
                    </w:rPr>
                  </w:pPr>
                </w:p>
              </w:tc>
            </w:tr>
            <w:tr>
              <w:tblPrEx>
                <w:tblLayout w:type="fixed"/>
              </w:tblPrEx>
              <w:trPr>
                <w:trHeight w:val="397" w:hRule="atLeast"/>
                <w:jc w:val="center"/>
              </w:trPr>
              <w:tc>
                <w:tcPr>
                  <w:tcW w:w="77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121212"/>
                      <w:kern w:val="0"/>
                      <w:sz w:val="21"/>
                      <w:szCs w:val="21"/>
                    </w:rPr>
                  </w:pPr>
                </w:p>
              </w:tc>
              <w:tc>
                <w:tcPr>
                  <w:tcW w:w="3850"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121212"/>
                      <w:kern w:val="0"/>
                      <w:sz w:val="21"/>
                      <w:szCs w:val="21"/>
                    </w:rPr>
                  </w:pPr>
                  <w:r>
                    <w:rPr>
                      <w:color w:val="121212"/>
                      <w:kern w:val="0"/>
                      <w:sz w:val="21"/>
                      <w:szCs w:val="21"/>
                    </w:rPr>
                    <w:t>强化工业企业无组织排放管理，推进挥发性有机物排放综合整治，开展大气氨排放控制试点。</w:t>
                  </w:r>
                </w:p>
              </w:tc>
              <w:tc>
                <w:tcPr>
                  <w:tcW w:w="2808"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121212"/>
                      <w:kern w:val="0"/>
                      <w:sz w:val="21"/>
                      <w:szCs w:val="21"/>
                    </w:rPr>
                  </w:pPr>
                  <w:r>
                    <w:rPr>
                      <w:color w:val="121212"/>
                      <w:kern w:val="0"/>
                      <w:sz w:val="21"/>
                      <w:szCs w:val="21"/>
                    </w:rPr>
                    <w:t>项目</w:t>
                  </w:r>
                  <w:r>
                    <w:rPr>
                      <w:rFonts w:hint="eastAsia"/>
                      <w:color w:val="121212"/>
                      <w:kern w:val="0"/>
                      <w:sz w:val="21"/>
                      <w:szCs w:val="21"/>
                      <w:lang w:val="en-US" w:eastAsia="zh-CN"/>
                    </w:rPr>
                    <w:t>通过加强员工管理，提高员工环保意识，</w:t>
                  </w:r>
                  <w:r>
                    <w:rPr>
                      <w:color w:val="121212"/>
                      <w:kern w:val="0"/>
                      <w:sz w:val="21"/>
                      <w:szCs w:val="21"/>
                    </w:rPr>
                    <w:t>强化工业企业无组织排放管理</w:t>
                  </w:r>
                  <w:r>
                    <w:rPr>
                      <w:rFonts w:hint="eastAsia"/>
                      <w:color w:val="121212"/>
                      <w:kern w:val="0"/>
                      <w:sz w:val="21"/>
                      <w:szCs w:val="21"/>
                      <w:lang w:val="en-US" w:eastAsia="zh-CN"/>
                    </w:rPr>
                    <w:t>。</w:t>
                  </w:r>
                </w:p>
              </w:tc>
              <w:tc>
                <w:tcPr>
                  <w:tcW w:w="6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121212"/>
                      <w:kern w:val="0"/>
                      <w:sz w:val="21"/>
                      <w:szCs w:val="21"/>
                    </w:rPr>
                  </w:pPr>
                  <w:r>
                    <w:rPr>
                      <w:color w:val="121212"/>
                      <w:kern w:val="0"/>
                      <w:sz w:val="21"/>
                      <w:szCs w:val="21"/>
                    </w:rPr>
                    <w:t>符合</w:t>
                  </w:r>
                </w:p>
              </w:tc>
            </w:tr>
            <w:tr>
              <w:tblPrEx>
                <w:tblLayout w:type="fixed"/>
              </w:tblPrEx>
              <w:trPr>
                <w:trHeight w:val="397" w:hRule="atLeast"/>
                <w:jc w:val="center"/>
              </w:trPr>
              <w:tc>
                <w:tcPr>
                  <w:tcW w:w="77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121212"/>
                      <w:kern w:val="0"/>
                      <w:sz w:val="21"/>
                      <w:szCs w:val="21"/>
                    </w:rPr>
                  </w:pPr>
                </w:p>
              </w:tc>
              <w:tc>
                <w:tcPr>
                  <w:tcW w:w="3850"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121212"/>
                      <w:kern w:val="0"/>
                      <w:sz w:val="21"/>
                      <w:szCs w:val="21"/>
                    </w:rPr>
                  </w:pPr>
                  <w:r>
                    <w:rPr>
                      <w:color w:val="121212"/>
                      <w:kern w:val="0"/>
                      <w:sz w:val="21"/>
                      <w:szCs w:val="21"/>
                    </w:rPr>
                    <w:t>深化工业污染治理，工业污染源全面达标排放，未达标排放的企业一律依法停产整治。</w:t>
                  </w:r>
                </w:p>
              </w:tc>
              <w:tc>
                <w:tcPr>
                  <w:tcW w:w="2808"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121212"/>
                      <w:kern w:val="0"/>
                      <w:sz w:val="21"/>
                      <w:szCs w:val="21"/>
                    </w:rPr>
                  </w:pPr>
                  <w:r>
                    <w:rPr>
                      <w:color w:val="121212"/>
                      <w:kern w:val="0"/>
                      <w:sz w:val="21"/>
                      <w:szCs w:val="21"/>
                    </w:rPr>
                    <w:t>本项目</w:t>
                  </w:r>
                  <w:r>
                    <w:rPr>
                      <w:rFonts w:hint="eastAsia"/>
                      <w:color w:val="121212"/>
                      <w:kern w:val="0"/>
                      <w:sz w:val="21"/>
                      <w:szCs w:val="21"/>
                    </w:rPr>
                    <w:t>为</w:t>
                  </w:r>
                  <w:r>
                    <w:rPr>
                      <w:rFonts w:hint="eastAsia"/>
                      <w:color w:val="121212"/>
                      <w:kern w:val="0"/>
                      <w:sz w:val="21"/>
                      <w:szCs w:val="21"/>
                      <w:lang w:eastAsia="zh-CN"/>
                    </w:rPr>
                    <w:t>改装汽车制造</w:t>
                  </w:r>
                  <w:r>
                    <w:rPr>
                      <w:color w:val="121212"/>
                      <w:kern w:val="0"/>
                      <w:sz w:val="21"/>
                      <w:szCs w:val="21"/>
                    </w:rPr>
                    <w:t>，</w:t>
                  </w:r>
                  <w:r>
                    <w:rPr>
                      <w:rFonts w:hint="eastAsia"/>
                      <w:color w:val="121212"/>
                      <w:kern w:val="0"/>
                      <w:sz w:val="21"/>
                      <w:szCs w:val="21"/>
                      <w:lang w:val="en-US" w:eastAsia="zh-CN"/>
                    </w:rPr>
                    <w:t>项目废气经收集处理后可达标排放</w:t>
                  </w:r>
                </w:p>
              </w:tc>
              <w:tc>
                <w:tcPr>
                  <w:tcW w:w="6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121212"/>
                      <w:kern w:val="0"/>
                      <w:sz w:val="21"/>
                      <w:szCs w:val="21"/>
                    </w:rPr>
                  </w:pPr>
                  <w:r>
                    <w:rPr>
                      <w:color w:val="121212"/>
                      <w:kern w:val="0"/>
                      <w:sz w:val="21"/>
                      <w:szCs w:val="21"/>
                    </w:rPr>
                    <w:t>符合</w:t>
                  </w:r>
                </w:p>
              </w:tc>
            </w:tr>
            <w:tr>
              <w:tblPrEx>
                <w:tblLayout w:type="fixed"/>
              </w:tblPrEx>
              <w:trPr>
                <w:trHeight w:val="397" w:hRule="atLeast"/>
                <w:jc w:val="center"/>
              </w:trPr>
              <w:tc>
                <w:tcPr>
                  <w:tcW w:w="77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121212"/>
                      <w:kern w:val="0"/>
                      <w:sz w:val="21"/>
                      <w:szCs w:val="21"/>
                    </w:rPr>
                  </w:pPr>
                </w:p>
              </w:tc>
              <w:tc>
                <w:tcPr>
                  <w:tcW w:w="3850"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121212"/>
                      <w:kern w:val="0"/>
                      <w:sz w:val="21"/>
                      <w:szCs w:val="21"/>
                    </w:rPr>
                  </w:pPr>
                  <w:r>
                    <w:rPr>
                      <w:color w:val="121212"/>
                      <w:kern w:val="0"/>
                      <w:sz w:val="21"/>
                      <w:szCs w:val="21"/>
                    </w:rPr>
                    <w:t>工业生产中产生的可燃性气体应当回收利用。不具备回收利用条件而向大气排放的，应当进行污染防治处理。</w:t>
                  </w:r>
                </w:p>
              </w:tc>
              <w:tc>
                <w:tcPr>
                  <w:tcW w:w="2808"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121212"/>
                      <w:kern w:val="0"/>
                      <w:sz w:val="21"/>
                      <w:szCs w:val="21"/>
                    </w:rPr>
                  </w:pPr>
                  <w:r>
                    <w:rPr>
                      <w:rStyle w:val="36"/>
                      <w:rFonts w:hint="eastAsia"/>
                      <w:color w:val="121212"/>
                      <w:kern w:val="0"/>
                      <w:sz w:val="21"/>
                      <w:szCs w:val="21"/>
                      <w:lang w:val="en-US" w:eastAsia="zh-CN"/>
                    </w:rPr>
                    <w:t>项目不涉及可燃性气体</w:t>
                  </w:r>
                </w:p>
              </w:tc>
              <w:tc>
                <w:tcPr>
                  <w:tcW w:w="6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121212"/>
                      <w:kern w:val="0"/>
                      <w:sz w:val="21"/>
                      <w:szCs w:val="21"/>
                    </w:rPr>
                  </w:pPr>
                  <w:r>
                    <w:rPr>
                      <w:color w:val="121212"/>
                      <w:kern w:val="0"/>
                      <w:sz w:val="21"/>
                      <w:szCs w:val="21"/>
                    </w:rPr>
                    <w:t>符合</w:t>
                  </w:r>
                </w:p>
              </w:tc>
            </w:tr>
          </w:tbl>
          <w:p>
            <w:pPr>
              <w:bidi w:val="0"/>
              <w:rPr>
                <w:rFonts w:hint="default"/>
                <w:color w:val="121212"/>
                <w:highlight w:val="none"/>
                <w:lang w:val="en-US" w:eastAsia="zh-CN"/>
              </w:rPr>
            </w:pPr>
            <w:r>
              <w:rPr>
                <w:rFonts w:hint="eastAsia"/>
                <w:color w:val="121212"/>
                <w:highlight w:val="none"/>
                <w:lang w:val="en-US" w:eastAsia="zh-CN"/>
              </w:rPr>
              <w:t>（2）地表水</w:t>
            </w:r>
          </w:p>
          <w:p>
            <w:pPr>
              <w:bidi w:val="0"/>
              <w:rPr>
                <w:rFonts w:hint="eastAsia" w:eastAsia="宋体"/>
                <w:color w:val="121212"/>
                <w:lang w:eastAsia="zh-CN"/>
              </w:rPr>
            </w:pPr>
            <w:r>
              <w:rPr>
                <w:rFonts w:hint="eastAsia" w:ascii="Times New Roman" w:hAnsi="Times New Roman" w:eastAsia="宋体" w:cs="Times New Roman"/>
                <w:color w:val="121212"/>
                <w:sz w:val="24"/>
                <w:szCs w:val="24"/>
                <w:highlight w:val="none"/>
                <w:lang w:val="en-US" w:eastAsia="zh-CN"/>
              </w:rPr>
              <w:t>根据《宿州市202</w:t>
            </w:r>
            <w:r>
              <w:rPr>
                <w:rFonts w:hint="eastAsia" w:cs="Times New Roman"/>
                <w:color w:val="121212"/>
                <w:sz w:val="24"/>
                <w:szCs w:val="24"/>
                <w:highlight w:val="none"/>
                <w:lang w:val="en-US" w:eastAsia="zh-CN"/>
              </w:rPr>
              <w:t>2</w:t>
            </w:r>
            <w:r>
              <w:rPr>
                <w:rFonts w:hint="eastAsia" w:ascii="Times New Roman" w:hAnsi="Times New Roman" w:eastAsia="宋体" w:cs="Times New Roman"/>
                <w:color w:val="121212"/>
                <w:sz w:val="24"/>
                <w:szCs w:val="24"/>
                <w:highlight w:val="none"/>
                <w:lang w:val="en-US" w:eastAsia="zh-CN"/>
              </w:rPr>
              <w:t>年环境质量状况报告》，</w:t>
            </w:r>
            <w:r>
              <w:rPr>
                <w:rFonts w:hint="eastAsia"/>
                <w:color w:val="121212"/>
                <w:lang w:val="en-US" w:eastAsia="zh-CN"/>
              </w:rPr>
              <w:t>水环境方面：</w:t>
            </w:r>
            <w:r>
              <w:rPr>
                <w:color w:val="121212"/>
              </w:rPr>
              <w:t>2022年宿州市国考断面优良水体比例为53.8%，同比提升15.3个百分点，达到有监测记录以来最好水平；汇入洪泽湖跨省界河流和汇入沱湖跨市界河流水质全部达到Ⅲ类，跨省界、市界重点河流出境水质比入境水质提升一个类别；水环境质量改善率位列全省第3位。市县集中式饮用水水源地水质达标率100%</w:t>
            </w:r>
            <w:r>
              <w:rPr>
                <w:rFonts w:hint="eastAsia"/>
                <w:color w:val="121212"/>
                <w:lang w:eastAsia="zh-CN"/>
              </w:rPr>
              <w:t>，</w:t>
            </w:r>
            <w:r>
              <w:rPr>
                <w:rFonts w:hint="eastAsia" w:ascii="Times New Roman" w:hAnsi="Times New Roman"/>
                <w:color w:val="121212"/>
                <w:lang w:val="en-US" w:eastAsia="zh-CN"/>
              </w:rPr>
              <w:t>闫河</w:t>
            </w:r>
            <w:r>
              <w:rPr>
                <w:rFonts w:ascii="Times New Roman" w:hAnsi="Times New Roman"/>
                <w:color w:val="121212"/>
              </w:rPr>
              <w:t>水质满足</w:t>
            </w:r>
            <w:r>
              <w:rPr>
                <w:rFonts w:ascii="Times New Roman" w:hAnsi="Times New Roman"/>
                <w:color w:val="121212"/>
                <w:szCs w:val="24"/>
              </w:rPr>
              <w:t>《地表水环境质量标准》（GB3838-2002）</w:t>
            </w:r>
            <w:r>
              <w:rPr>
                <w:rFonts w:hint="eastAsia" w:cs="宋体"/>
                <w:color w:val="121212"/>
                <w:szCs w:val="24"/>
              </w:rPr>
              <w:t>Ⅳ</w:t>
            </w:r>
            <w:r>
              <w:rPr>
                <w:rFonts w:ascii="Times New Roman" w:hAnsi="Times New Roman"/>
                <w:color w:val="121212"/>
                <w:szCs w:val="24"/>
              </w:rPr>
              <w:t>类标准</w:t>
            </w:r>
            <w:r>
              <w:rPr>
                <w:rFonts w:ascii="Times New Roman" w:hAnsi="Times New Roman"/>
                <w:color w:val="121212"/>
              </w:rPr>
              <w:t>要求</w:t>
            </w:r>
            <w:r>
              <w:rPr>
                <w:rFonts w:hint="eastAsia" w:ascii="Times New Roman" w:hAnsi="Times New Roman"/>
                <w:color w:val="121212"/>
                <w:lang w:eastAsia="zh-CN"/>
              </w:rPr>
              <w:t>。</w:t>
            </w:r>
          </w:p>
          <w:p>
            <w:pPr>
              <w:bidi w:val="0"/>
              <w:rPr>
                <w:color w:val="121212"/>
              </w:rPr>
            </w:pPr>
            <w:r>
              <w:rPr>
                <w:rFonts w:ascii="Times New Roman" w:hAnsi="Times New Roman" w:eastAsia="宋体" w:cs="Times New Roman"/>
                <w:color w:val="121212"/>
                <w:sz w:val="24"/>
                <w:highlight w:val="none"/>
              </w:rPr>
              <w:t>项目废水</w:t>
            </w:r>
            <w:r>
              <w:rPr>
                <w:rFonts w:hint="eastAsia" w:ascii="Times New Roman" w:hAnsi="Times New Roman" w:eastAsia="宋体" w:cs="Times New Roman"/>
                <w:color w:val="121212"/>
                <w:sz w:val="24"/>
                <w:highlight w:val="none"/>
                <w:lang w:val="en-US" w:eastAsia="zh-CN"/>
              </w:rPr>
              <w:t>主要为生活污水。生活污水依托安徽飞松机械股份有限公司化粪池</w:t>
            </w:r>
            <w:commentRangeStart w:id="8"/>
            <w:r>
              <w:rPr>
                <w:rFonts w:hint="eastAsia" w:ascii="Times New Roman" w:hAnsi="Times New Roman" w:eastAsia="宋体" w:cs="Times New Roman"/>
                <w:color w:val="121212"/>
                <w:sz w:val="24"/>
                <w:highlight w:val="none"/>
                <w:lang w:val="en-US" w:eastAsia="zh-CN"/>
              </w:rPr>
              <w:t>处理后，排入灵璧开发区北部新区污水处理厂集中处理</w:t>
            </w:r>
            <w:r>
              <w:rPr>
                <w:rFonts w:hint="eastAsia" w:cs="Times New Roman"/>
                <w:color w:val="121212"/>
                <w:sz w:val="24"/>
                <w:highlight w:val="none"/>
                <w:lang w:val="en-US" w:eastAsia="zh-CN"/>
              </w:rPr>
              <w:t>达标。排入闫河。</w:t>
            </w:r>
            <w:commentRangeEnd w:id="8"/>
            <w:r>
              <w:rPr>
                <w:color w:val="121212"/>
              </w:rPr>
              <w:commentReference w:id="8"/>
            </w:r>
          </w:p>
          <w:p>
            <w:pPr>
              <w:bidi w:val="0"/>
              <w:rPr>
                <w:rFonts w:hint="eastAsia" w:ascii="Times New Roman" w:hAnsi="Times New Roman" w:eastAsia="宋体" w:cs="Times New Roman"/>
                <w:color w:val="121212"/>
                <w:sz w:val="24"/>
                <w:highlight w:val="none"/>
                <w:lang w:val="en-US" w:eastAsia="zh-CN"/>
              </w:rPr>
            </w:pPr>
            <w:r>
              <w:rPr>
                <w:color w:val="121212"/>
              </w:rPr>
              <w:commentReference w:id="9"/>
            </w:r>
            <w:r>
              <w:rPr>
                <w:rFonts w:hint="default" w:ascii="Times New Roman" w:hAnsi="Times New Roman" w:eastAsia="宋体" w:cs="Times New Roman"/>
                <w:color w:val="121212"/>
                <w:sz w:val="24"/>
                <w:highlight w:val="none"/>
              </w:rPr>
              <w:t>根据《宿州市</w:t>
            </w:r>
            <w:r>
              <w:rPr>
                <w:rFonts w:hint="eastAsia" w:cs="Times New Roman"/>
                <w:color w:val="121212"/>
                <w:sz w:val="24"/>
                <w:highlight w:val="none"/>
                <w:lang w:eastAsia="zh-CN"/>
              </w:rPr>
              <w:t>“</w:t>
            </w:r>
            <w:r>
              <w:rPr>
                <w:rFonts w:hint="default" w:ascii="Times New Roman" w:hAnsi="Times New Roman" w:eastAsia="宋体" w:cs="Times New Roman"/>
                <w:color w:val="121212"/>
                <w:sz w:val="24"/>
                <w:highlight w:val="none"/>
              </w:rPr>
              <w:t>三线一单</w:t>
            </w:r>
            <w:r>
              <w:rPr>
                <w:rFonts w:hint="eastAsia" w:cs="Times New Roman"/>
                <w:color w:val="121212"/>
                <w:sz w:val="24"/>
                <w:highlight w:val="none"/>
                <w:lang w:eastAsia="zh-CN"/>
              </w:rPr>
              <w:t>”</w:t>
            </w:r>
            <w:r>
              <w:rPr>
                <w:rFonts w:hint="default" w:ascii="Times New Roman" w:hAnsi="Times New Roman" w:eastAsia="宋体" w:cs="Times New Roman"/>
                <w:color w:val="121212"/>
                <w:sz w:val="24"/>
                <w:highlight w:val="none"/>
              </w:rPr>
              <w:t>编制文本》，本项目所在地为水环境</w:t>
            </w:r>
            <w:r>
              <w:rPr>
                <w:rFonts w:hint="eastAsia" w:ascii="Times New Roman" w:hAnsi="Times New Roman" w:eastAsia="宋体" w:cs="Times New Roman"/>
                <w:color w:val="121212"/>
                <w:sz w:val="24"/>
                <w:highlight w:val="none"/>
                <w:lang w:val="en-US" w:eastAsia="zh-CN"/>
              </w:rPr>
              <w:t>重点</w:t>
            </w:r>
            <w:r>
              <w:rPr>
                <w:rFonts w:hint="default" w:ascii="Times New Roman" w:hAnsi="Times New Roman" w:eastAsia="宋体" w:cs="Times New Roman"/>
                <w:color w:val="121212"/>
                <w:sz w:val="24"/>
                <w:highlight w:val="none"/>
              </w:rPr>
              <w:t>管控区，</w:t>
            </w:r>
            <w:r>
              <w:rPr>
                <w:rFonts w:hint="eastAsia" w:ascii="Times New Roman" w:hAnsi="Times New Roman" w:eastAsia="宋体" w:cs="Times New Roman"/>
                <w:color w:val="121212"/>
                <w:sz w:val="24"/>
                <w:highlight w:val="none"/>
                <w:lang w:val="en-US" w:eastAsia="zh-CN"/>
              </w:rPr>
              <w:t>见附图。</w:t>
            </w:r>
          </w:p>
          <w:p>
            <w:pPr>
              <w:pStyle w:val="28"/>
              <w:jc w:val="center"/>
              <w:rPr>
                <w:rFonts w:hint="default"/>
                <w:color w:val="121212"/>
                <w:lang w:val="en-US"/>
              </w:rPr>
            </w:pPr>
            <w:r>
              <w:rPr>
                <w:rFonts w:hint="eastAsia" w:ascii="Times New Roman" w:hAnsi="Times New Roman" w:eastAsia="宋体" w:cs="Times New Roman"/>
                <w:b/>
                <w:bCs/>
                <w:color w:val="121212"/>
                <w:sz w:val="24"/>
                <w:highlight w:val="none"/>
                <w:lang w:val="en-US" w:eastAsia="zh-CN"/>
              </w:rPr>
              <w:t>表1-3  水环境重点管控</w:t>
            </w:r>
            <w:r>
              <w:rPr>
                <w:rFonts w:hint="eastAsia"/>
                <w:b/>
                <w:bCs/>
                <w:color w:val="121212"/>
                <w:lang w:val="en-US" w:eastAsia="zh-CN"/>
              </w:rPr>
              <w:t>要求一览表</w:t>
            </w:r>
          </w:p>
          <w:tbl>
            <w:tblPr>
              <w:tblStyle w:val="37"/>
              <w:tblW w:w="4998"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4307"/>
              <w:gridCol w:w="2383"/>
              <w:gridCol w:w="617"/>
            </w:tblGrid>
            <w:tr>
              <w:tblPrEx>
                <w:tblLayout w:type="fixed"/>
              </w:tblPrEx>
              <w:trPr>
                <w:trHeight w:val="397" w:hRule="atLeast"/>
                <w:jc w:val="center"/>
              </w:trPr>
              <w:tc>
                <w:tcPr>
                  <w:tcW w:w="7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121212"/>
                      <w:kern w:val="0"/>
                      <w:sz w:val="21"/>
                      <w:szCs w:val="21"/>
                    </w:rPr>
                  </w:pPr>
                  <w:r>
                    <w:rPr>
                      <w:b/>
                      <w:bCs/>
                      <w:color w:val="121212"/>
                      <w:kern w:val="0"/>
                      <w:sz w:val="21"/>
                      <w:szCs w:val="21"/>
                    </w:rPr>
                    <w:t>分类</w:t>
                  </w:r>
                </w:p>
              </w:tc>
              <w:tc>
                <w:tcPr>
                  <w:tcW w:w="43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121212"/>
                      <w:kern w:val="0"/>
                      <w:sz w:val="21"/>
                      <w:szCs w:val="21"/>
                    </w:rPr>
                  </w:pPr>
                  <w:r>
                    <w:rPr>
                      <w:b/>
                      <w:bCs/>
                      <w:color w:val="121212"/>
                      <w:kern w:val="0"/>
                      <w:sz w:val="21"/>
                      <w:szCs w:val="21"/>
                    </w:rPr>
                    <w:t>管控要求</w:t>
                  </w:r>
                </w:p>
              </w:tc>
              <w:tc>
                <w:tcPr>
                  <w:tcW w:w="238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121212"/>
                      <w:kern w:val="0"/>
                      <w:sz w:val="21"/>
                      <w:szCs w:val="21"/>
                    </w:rPr>
                  </w:pPr>
                  <w:r>
                    <w:rPr>
                      <w:b/>
                      <w:bCs/>
                      <w:color w:val="121212"/>
                      <w:kern w:val="0"/>
                      <w:sz w:val="21"/>
                      <w:szCs w:val="21"/>
                    </w:rPr>
                    <w:t>项目情况</w:t>
                  </w:r>
                </w:p>
              </w:tc>
              <w:tc>
                <w:tcPr>
                  <w:tcW w:w="6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b/>
                      <w:bCs/>
                      <w:color w:val="121212"/>
                      <w:kern w:val="0"/>
                      <w:sz w:val="21"/>
                      <w:szCs w:val="21"/>
                    </w:rPr>
                  </w:pPr>
                  <w:r>
                    <w:rPr>
                      <w:b/>
                      <w:bCs/>
                      <w:color w:val="121212"/>
                      <w:kern w:val="0"/>
                      <w:sz w:val="21"/>
                      <w:szCs w:val="21"/>
                    </w:rPr>
                    <w:t>符合性</w:t>
                  </w:r>
                </w:p>
              </w:tc>
            </w:tr>
            <w:tr>
              <w:tblPrEx>
                <w:tblLayout w:type="fixed"/>
              </w:tblPrEx>
              <w:trPr>
                <w:trHeight w:val="397" w:hRule="atLeast"/>
                <w:jc w:val="center"/>
              </w:trPr>
              <w:tc>
                <w:tcPr>
                  <w:tcW w:w="74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121212"/>
                      <w:kern w:val="0"/>
                      <w:sz w:val="21"/>
                      <w:szCs w:val="21"/>
                    </w:rPr>
                  </w:pPr>
                  <w:r>
                    <w:rPr>
                      <w:color w:val="121212"/>
                      <w:kern w:val="0"/>
                      <w:sz w:val="21"/>
                      <w:szCs w:val="21"/>
                    </w:rPr>
                    <w:t>水重点管控区</w:t>
                  </w:r>
                </w:p>
              </w:tc>
              <w:tc>
                <w:tcPr>
                  <w:tcW w:w="4307"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121212"/>
                      <w:kern w:val="0"/>
                      <w:sz w:val="21"/>
                      <w:szCs w:val="21"/>
                    </w:rPr>
                  </w:pPr>
                  <w:r>
                    <w:rPr>
                      <w:color w:val="121212"/>
                      <w:kern w:val="0"/>
                      <w:sz w:val="21"/>
                      <w:szCs w:val="21"/>
                    </w:rPr>
                    <w:t>取缔“十小”企业。全面排查装备水平低、环保设施差的小型工业企业。按照水污染防治法律法规要求，全面排查和取缔不符合国家产业政策的小型造纸、制革、印染、染料、炼焦、炼硫、炼砷、炼油、电镀、农药等严重污染水环境的生产项目。</w:t>
                  </w:r>
                </w:p>
              </w:tc>
              <w:tc>
                <w:tcPr>
                  <w:tcW w:w="2383"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121212"/>
                      <w:kern w:val="0"/>
                      <w:sz w:val="21"/>
                      <w:szCs w:val="21"/>
                    </w:rPr>
                  </w:pPr>
                  <w:r>
                    <w:rPr>
                      <w:rFonts w:hint="eastAsia" w:ascii="Times New Roman" w:hAnsi="Times New Roman" w:eastAsia="宋体"/>
                      <w:color w:val="121212"/>
                      <w:sz w:val="21"/>
                      <w:szCs w:val="21"/>
                      <w:lang w:val="en-US" w:eastAsia="zh-CN"/>
                    </w:rPr>
                    <w:t>本项目为改装汽车制造，项目已经灵璧县发展改革委于202</w:t>
                  </w:r>
                  <w:r>
                    <w:rPr>
                      <w:rFonts w:hint="eastAsia" w:ascii="Times New Roman" w:hAnsi="Times New Roman"/>
                      <w:color w:val="121212"/>
                      <w:sz w:val="21"/>
                      <w:szCs w:val="21"/>
                      <w:lang w:val="en-US" w:eastAsia="zh-CN"/>
                    </w:rPr>
                    <w:t>1</w:t>
                  </w:r>
                  <w:r>
                    <w:rPr>
                      <w:rFonts w:hint="eastAsia" w:ascii="Times New Roman" w:hAnsi="Times New Roman" w:eastAsia="宋体"/>
                      <w:color w:val="121212"/>
                      <w:sz w:val="21"/>
                      <w:szCs w:val="21"/>
                      <w:lang w:val="en-US" w:eastAsia="zh-CN"/>
                    </w:rPr>
                    <w:t>年</w:t>
                  </w:r>
                  <w:r>
                    <w:rPr>
                      <w:rFonts w:hint="eastAsia" w:ascii="Times New Roman" w:hAnsi="Times New Roman"/>
                      <w:color w:val="121212"/>
                      <w:sz w:val="21"/>
                      <w:szCs w:val="21"/>
                      <w:lang w:val="en-US" w:eastAsia="zh-CN"/>
                    </w:rPr>
                    <w:t>1</w:t>
                  </w:r>
                  <w:r>
                    <w:rPr>
                      <w:rFonts w:hint="eastAsia" w:ascii="Times New Roman" w:hAnsi="Times New Roman" w:eastAsia="宋体"/>
                      <w:color w:val="121212"/>
                      <w:sz w:val="21"/>
                      <w:szCs w:val="21"/>
                      <w:lang w:val="en-US" w:eastAsia="zh-CN"/>
                    </w:rPr>
                    <w:t>2月</w:t>
                  </w:r>
                  <w:r>
                    <w:rPr>
                      <w:rFonts w:hint="eastAsia" w:ascii="Times New Roman" w:hAnsi="Times New Roman"/>
                      <w:color w:val="121212"/>
                      <w:sz w:val="21"/>
                      <w:szCs w:val="21"/>
                      <w:lang w:val="en-US" w:eastAsia="zh-CN"/>
                    </w:rPr>
                    <w:t>15</w:t>
                  </w:r>
                  <w:r>
                    <w:rPr>
                      <w:rFonts w:hint="eastAsia" w:ascii="Times New Roman" w:hAnsi="Times New Roman" w:eastAsia="宋体"/>
                      <w:color w:val="121212"/>
                      <w:sz w:val="21"/>
                      <w:szCs w:val="21"/>
                      <w:lang w:val="en-US" w:eastAsia="zh-CN"/>
                    </w:rPr>
                    <w:t>日予以备案，并按照相关规定办理有关手续</w:t>
                  </w:r>
                </w:p>
              </w:tc>
              <w:tc>
                <w:tcPr>
                  <w:tcW w:w="6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121212"/>
                      <w:kern w:val="0"/>
                      <w:sz w:val="21"/>
                      <w:szCs w:val="21"/>
                    </w:rPr>
                  </w:pPr>
                  <w:r>
                    <w:rPr>
                      <w:color w:val="121212"/>
                      <w:kern w:val="0"/>
                      <w:sz w:val="21"/>
                      <w:szCs w:val="21"/>
                    </w:rPr>
                    <w:t>符合</w:t>
                  </w:r>
                </w:p>
              </w:tc>
            </w:tr>
            <w:tr>
              <w:tblPrEx>
                <w:tblLayout w:type="fixed"/>
              </w:tblPrEx>
              <w:trPr>
                <w:trHeight w:val="397" w:hRule="atLeast"/>
                <w:jc w:val="center"/>
              </w:trPr>
              <w:tc>
                <w:tcPr>
                  <w:tcW w:w="7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121212"/>
                      <w:kern w:val="0"/>
                      <w:sz w:val="21"/>
                      <w:szCs w:val="21"/>
                    </w:rPr>
                  </w:pPr>
                </w:p>
              </w:tc>
              <w:tc>
                <w:tcPr>
                  <w:tcW w:w="4307"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121212"/>
                      <w:kern w:val="0"/>
                      <w:sz w:val="21"/>
                      <w:szCs w:val="21"/>
                    </w:rPr>
                  </w:pPr>
                  <w:r>
                    <w:rPr>
                      <w:color w:val="121212"/>
                      <w:kern w:val="0"/>
                      <w:sz w:val="21"/>
                      <w:szCs w:val="21"/>
                    </w:rPr>
                    <w:t>合理确定发展布局、结构和规模。充分考虑水环境承载能力和水资源开发利用效率，以水定城、以水定地、以水定人、以水定产。重大项目原则上布局在优化开发区和重点开发区，并符合城乡规划和土地利用总体规划。</w:t>
                  </w:r>
                </w:p>
              </w:tc>
              <w:tc>
                <w:tcPr>
                  <w:tcW w:w="2383"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color w:val="121212"/>
                      <w:kern w:val="0"/>
                      <w:sz w:val="21"/>
                      <w:szCs w:val="21"/>
                      <w:lang w:val="en-US"/>
                    </w:rPr>
                  </w:pPr>
                  <w:r>
                    <w:rPr>
                      <w:rFonts w:hint="eastAsia"/>
                      <w:color w:val="121212"/>
                      <w:kern w:val="0"/>
                      <w:sz w:val="21"/>
                      <w:szCs w:val="21"/>
                      <w:lang w:val="en-US" w:eastAsia="zh-CN"/>
                    </w:rPr>
                    <w:t>项目位于安徽灵璧经济开发区，项目用地</w:t>
                  </w:r>
                  <w:r>
                    <w:rPr>
                      <w:color w:val="121212"/>
                      <w:kern w:val="0"/>
                      <w:sz w:val="21"/>
                      <w:szCs w:val="21"/>
                    </w:rPr>
                    <w:t>符合城乡规划和土地利用总体规划</w:t>
                  </w:r>
                </w:p>
              </w:tc>
              <w:tc>
                <w:tcPr>
                  <w:tcW w:w="6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121212"/>
                      <w:kern w:val="0"/>
                      <w:sz w:val="21"/>
                      <w:szCs w:val="21"/>
                    </w:rPr>
                  </w:pPr>
                  <w:r>
                    <w:rPr>
                      <w:color w:val="121212"/>
                      <w:kern w:val="0"/>
                      <w:sz w:val="21"/>
                      <w:szCs w:val="21"/>
                    </w:rPr>
                    <w:t>符合</w:t>
                  </w:r>
                </w:p>
              </w:tc>
            </w:tr>
            <w:tr>
              <w:tblPrEx>
                <w:tblLayout w:type="fixed"/>
              </w:tblPrEx>
              <w:trPr>
                <w:trHeight w:val="397" w:hRule="atLeast"/>
                <w:jc w:val="center"/>
              </w:trPr>
              <w:tc>
                <w:tcPr>
                  <w:tcW w:w="7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121212"/>
                      <w:kern w:val="0"/>
                      <w:sz w:val="21"/>
                      <w:szCs w:val="21"/>
                    </w:rPr>
                  </w:pPr>
                </w:p>
              </w:tc>
              <w:tc>
                <w:tcPr>
                  <w:tcW w:w="4307"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121212"/>
                      <w:kern w:val="0"/>
                      <w:sz w:val="21"/>
                      <w:szCs w:val="21"/>
                    </w:rPr>
                  </w:pPr>
                  <w:r>
                    <w:rPr>
                      <w:color w:val="121212"/>
                      <w:kern w:val="0"/>
                      <w:sz w:val="21"/>
                      <w:szCs w:val="21"/>
                    </w:rPr>
                    <w:t>推动污染企业退出。城市建成区内现有钢铁、有色金属、造纸、印染、原料药制造、化工等污染较重的企业应有序搬迁改造或依法关闭。</w:t>
                  </w:r>
                </w:p>
              </w:tc>
              <w:tc>
                <w:tcPr>
                  <w:tcW w:w="2383"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121212"/>
                      <w:kern w:val="0"/>
                      <w:sz w:val="21"/>
                      <w:szCs w:val="21"/>
                    </w:rPr>
                  </w:pPr>
                  <w:r>
                    <w:rPr>
                      <w:color w:val="121212"/>
                      <w:kern w:val="0"/>
                      <w:sz w:val="21"/>
                      <w:szCs w:val="21"/>
                    </w:rPr>
                    <w:t>项目不涉及钢铁、有色金属、造纸、印染、原料药制造、化工等</w:t>
                  </w:r>
                </w:p>
              </w:tc>
              <w:tc>
                <w:tcPr>
                  <w:tcW w:w="6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121212"/>
                      <w:kern w:val="0"/>
                      <w:sz w:val="21"/>
                      <w:szCs w:val="21"/>
                    </w:rPr>
                  </w:pPr>
                  <w:r>
                    <w:rPr>
                      <w:color w:val="121212"/>
                      <w:kern w:val="0"/>
                      <w:sz w:val="21"/>
                      <w:szCs w:val="21"/>
                    </w:rPr>
                    <w:t>符合</w:t>
                  </w:r>
                </w:p>
              </w:tc>
            </w:tr>
            <w:tr>
              <w:tblPrEx>
                <w:tblLayout w:type="fixed"/>
              </w:tblPrEx>
              <w:trPr>
                <w:trHeight w:val="397" w:hRule="atLeast"/>
                <w:jc w:val="center"/>
              </w:trPr>
              <w:tc>
                <w:tcPr>
                  <w:tcW w:w="7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121212"/>
                      <w:kern w:val="0"/>
                      <w:sz w:val="21"/>
                      <w:szCs w:val="21"/>
                    </w:rPr>
                  </w:pPr>
                </w:p>
              </w:tc>
              <w:tc>
                <w:tcPr>
                  <w:tcW w:w="4307"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121212"/>
                      <w:kern w:val="0"/>
                      <w:sz w:val="21"/>
                      <w:szCs w:val="21"/>
                    </w:rPr>
                  </w:pPr>
                  <w:r>
                    <w:rPr>
                      <w:color w:val="121212"/>
                      <w:kern w:val="0"/>
                      <w:sz w:val="21"/>
                      <w:szCs w:val="21"/>
                    </w:rPr>
                    <w:t>国家禁止新建不符合国家产业政策的小型造纸、制革、印染、染料、炼焦、炼硫、炼砷、炼汞、炼油、电镀、农药、石棉、水泥、玻璃、钢铁、火电以及其他严重污染水环境的生产项目。</w:t>
                  </w:r>
                </w:p>
              </w:tc>
              <w:tc>
                <w:tcPr>
                  <w:tcW w:w="2383"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121212"/>
                      <w:kern w:val="0"/>
                      <w:sz w:val="21"/>
                      <w:szCs w:val="21"/>
                    </w:rPr>
                  </w:pPr>
                  <w:r>
                    <w:rPr>
                      <w:color w:val="121212"/>
                      <w:kern w:val="0"/>
                      <w:sz w:val="21"/>
                      <w:szCs w:val="21"/>
                    </w:rPr>
                    <w:t>项目不属于严重污染水环境的项目</w:t>
                  </w:r>
                </w:p>
              </w:tc>
              <w:tc>
                <w:tcPr>
                  <w:tcW w:w="6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121212"/>
                      <w:kern w:val="0"/>
                      <w:sz w:val="21"/>
                      <w:szCs w:val="21"/>
                    </w:rPr>
                  </w:pPr>
                  <w:r>
                    <w:rPr>
                      <w:color w:val="121212"/>
                      <w:kern w:val="0"/>
                      <w:sz w:val="21"/>
                      <w:szCs w:val="21"/>
                    </w:rPr>
                    <w:t>符合</w:t>
                  </w:r>
                </w:p>
              </w:tc>
            </w:tr>
            <w:tr>
              <w:tblPrEx>
                <w:tblLayout w:type="fixed"/>
              </w:tblPrEx>
              <w:trPr>
                <w:trHeight w:val="397" w:hRule="atLeast"/>
                <w:jc w:val="center"/>
              </w:trPr>
              <w:tc>
                <w:tcPr>
                  <w:tcW w:w="7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121212"/>
                      <w:kern w:val="0"/>
                      <w:sz w:val="21"/>
                      <w:szCs w:val="21"/>
                    </w:rPr>
                  </w:pPr>
                </w:p>
              </w:tc>
              <w:tc>
                <w:tcPr>
                  <w:tcW w:w="4307"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121212"/>
                      <w:kern w:val="0"/>
                      <w:sz w:val="21"/>
                      <w:szCs w:val="21"/>
                    </w:rPr>
                  </w:pPr>
                  <w:r>
                    <w:rPr>
                      <w:color w:val="121212"/>
                      <w:kern w:val="0"/>
                      <w:sz w:val="21"/>
                      <w:szCs w:val="21"/>
                    </w:rPr>
                    <w:t>所有排污单位必须依法实现全面达标排放。逐一排查工业企业排污情况，达标企业应采取措施确保稳定达标；对超标和超总量的企业予以“黄牌”警示，一律限制生产或停产整治；对整治仍不能达到要求且情节严重的企业予以“红牌”处罚，一律停业、关闭。</w:t>
                  </w:r>
                </w:p>
              </w:tc>
              <w:tc>
                <w:tcPr>
                  <w:tcW w:w="2383"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121212"/>
                      <w:kern w:val="0"/>
                      <w:sz w:val="21"/>
                      <w:szCs w:val="21"/>
                    </w:rPr>
                  </w:pPr>
                  <w:r>
                    <w:rPr>
                      <w:color w:val="121212"/>
                      <w:kern w:val="0"/>
                      <w:sz w:val="21"/>
                      <w:szCs w:val="21"/>
                    </w:rPr>
                    <w:t>项目</w:t>
                  </w:r>
                  <w:r>
                    <w:rPr>
                      <w:rFonts w:hint="eastAsia"/>
                      <w:color w:val="121212"/>
                      <w:kern w:val="0"/>
                      <w:sz w:val="21"/>
                      <w:szCs w:val="21"/>
                      <w:lang w:val="en-US" w:eastAsia="zh-CN"/>
                    </w:rPr>
                    <w:t>废水经预处理后进入</w:t>
                  </w:r>
                  <w:r>
                    <w:rPr>
                      <w:rFonts w:hint="eastAsia"/>
                      <w:color w:val="121212"/>
                      <w:sz w:val="21"/>
                      <w:szCs w:val="21"/>
                      <w:lang w:val="en-US" w:eastAsia="zh-CN" w:bidi="ar"/>
                    </w:rPr>
                    <w:t>灵璧北部新区污水处理厂</w:t>
                  </w:r>
                  <w:r>
                    <w:rPr>
                      <w:rFonts w:hint="eastAsia"/>
                      <w:color w:val="121212"/>
                      <w:kern w:val="0"/>
                      <w:sz w:val="21"/>
                      <w:szCs w:val="21"/>
                      <w:lang w:val="en-US" w:eastAsia="zh-CN"/>
                    </w:rPr>
                    <w:t>处理后外排。</w:t>
                  </w:r>
                </w:p>
              </w:tc>
              <w:tc>
                <w:tcPr>
                  <w:tcW w:w="6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121212"/>
                      <w:kern w:val="0"/>
                      <w:sz w:val="21"/>
                      <w:szCs w:val="21"/>
                    </w:rPr>
                  </w:pPr>
                  <w:r>
                    <w:rPr>
                      <w:color w:val="121212"/>
                      <w:kern w:val="0"/>
                      <w:sz w:val="21"/>
                      <w:szCs w:val="21"/>
                    </w:rPr>
                    <w:t>符合</w:t>
                  </w:r>
                </w:p>
              </w:tc>
            </w:tr>
            <w:tr>
              <w:tblPrEx>
                <w:tblLayout w:type="fixed"/>
              </w:tblPrEx>
              <w:trPr>
                <w:trHeight w:val="397" w:hRule="atLeast"/>
                <w:jc w:val="center"/>
              </w:trPr>
              <w:tc>
                <w:tcPr>
                  <w:tcW w:w="74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121212"/>
                      <w:kern w:val="0"/>
                      <w:sz w:val="21"/>
                      <w:szCs w:val="21"/>
                    </w:rPr>
                  </w:pPr>
                </w:p>
              </w:tc>
              <w:tc>
                <w:tcPr>
                  <w:tcW w:w="4307"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121212"/>
                      <w:kern w:val="0"/>
                      <w:sz w:val="21"/>
                      <w:szCs w:val="21"/>
                    </w:rPr>
                  </w:pPr>
                  <w:r>
                    <w:rPr>
                      <w:color w:val="121212"/>
                      <w:kern w:val="0"/>
                      <w:sz w:val="21"/>
                      <w:szCs w:val="21"/>
                    </w:rPr>
                    <w:t>开展经济技术开发区、高新技术产业开发区、出口加工区等工业集聚区水污染治理设施排查和污染治理，全面推行工业集聚区企业废水量、水污染物纳管总量双控制度。集聚区内工业废水必须经预处理达到集中处理要求，方可进入污水集中处理设施。</w:t>
                  </w:r>
                </w:p>
              </w:tc>
              <w:tc>
                <w:tcPr>
                  <w:tcW w:w="2383"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color w:val="121212"/>
                      <w:kern w:val="0"/>
                      <w:sz w:val="21"/>
                      <w:szCs w:val="21"/>
                    </w:rPr>
                  </w:pPr>
                  <w:r>
                    <w:rPr>
                      <w:rFonts w:hint="eastAsia"/>
                      <w:color w:val="121212"/>
                      <w:kern w:val="0"/>
                      <w:sz w:val="21"/>
                      <w:szCs w:val="21"/>
                      <w:lang w:val="en-US" w:eastAsia="zh-CN"/>
                    </w:rPr>
                    <w:t>项目废水主要为生活污水。生活污水依托安徽飞松机械股份有限公司化粪池处理后，满足</w:t>
                  </w:r>
                  <w:r>
                    <w:rPr>
                      <w:rFonts w:hint="eastAsia"/>
                      <w:color w:val="121212"/>
                      <w:sz w:val="21"/>
                      <w:szCs w:val="21"/>
                      <w:lang w:val="en-US" w:eastAsia="zh-CN" w:bidi="ar"/>
                    </w:rPr>
                    <w:t>灵璧北部新区污水处理厂接管要求</w:t>
                  </w:r>
                  <w:r>
                    <w:rPr>
                      <w:rFonts w:hint="eastAsia"/>
                      <w:color w:val="121212"/>
                      <w:kern w:val="0"/>
                      <w:sz w:val="21"/>
                      <w:szCs w:val="21"/>
                      <w:lang w:val="en-US" w:eastAsia="zh-CN"/>
                    </w:rPr>
                    <w:t>。</w:t>
                  </w:r>
                </w:p>
              </w:tc>
              <w:tc>
                <w:tcPr>
                  <w:tcW w:w="61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121212"/>
                      <w:kern w:val="0"/>
                      <w:sz w:val="21"/>
                      <w:szCs w:val="21"/>
                    </w:rPr>
                  </w:pPr>
                  <w:r>
                    <w:rPr>
                      <w:color w:val="121212"/>
                      <w:kern w:val="0"/>
                      <w:sz w:val="21"/>
                      <w:szCs w:val="21"/>
                    </w:rPr>
                    <w:t>符合</w:t>
                  </w:r>
                </w:p>
              </w:tc>
            </w:tr>
          </w:tbl>
          <w:p>
            <w:pPr>
              <w:bidi w:val="0"/>
              <w:rPr>
                <w:color w:val="121212"/>
                <w:highlight w:val="none"/>
              </w:rPr>
            </w:pPr>
            <w:r>
              <w:rPr>
                <w:rFonts w:hint="eastAsia"/>
                <w:color w:val="121212"/>
                <w:highlight w:val="none"/>
                <w:lang w:val="en-US" w:eastAsia="zh-CN"/>
              </w:rPr>
              <w:t>（3）</w:t>
            </w:r>
            <w:r>
              <w:rPr>
                <w:color w:val="121212"/>
                <w:highlight w:val="none"/>
              </w:rPr>
              <w:t>声环境</w:t>
            </w:r>
          </w:p>
          <w:p>
            <w:pPr>
              <w:spacing w:line="360" w:lineRule="auto"/>
              <w:ind w:firstLine="472" w:firstLineChars="200"/>
              <w:rPr>
                <w:rFonts w:ascii="Times New Roman" w:hAnsi="Times New Roman" w:eastAsia="宋体" w:cs="Times New Roman"/>
                <w:bCs/>
                <w:color w:val="121212"/>
                <w:sz w:val="24"/>
                <w:highlight w:val="none"/>
              </w:rPr>
            </w:pPr>
            <w:commentRangeStart w:id="10"/>
            <w:commentRangeStart w:id="11"/>
            <w:r>
              <w:rPr>
                <w:rFonts w:ascii="Times New Roman" w:hAnsi="Times New Roman" w:eastAsia="宋体" w:cs="Times New Roman"/>
                <w:bCs/>
                <w:color w:val="121212"/>
                <w:spacing w:val="-2"/>
                <w:kern w:val="0"/>
                <w:sz w:val="24"/>
                <w:highlight w:val="none"/>
              </w:rPr>
              <w:t>项目周边厂界昼、夜间噪声</w:t>
            </w:r>
            <w:r>
              <w:rPr>
                <w:rFonts w:hint="eastAsia" w:ascii="Times New Roman" w:hAnsi="Times New Roman" w:eastAsia="宋体" w:cs="Times New Roman"/>
                <w:bCs/>
                <w:color w:val="121212"/>
                <w:spacing w:val="-2"/>
                <w:kern w:val="0"/>
                <w:sz w:val="24"/>
                <w:highlight w:val="none"/>
                <w:lang w:val="en-US" w:eastAsia="zh-CN"/>
              </w:rPr>
              <w:t>执行</w:t>
            </w:r>
            <w:r>
              <w:rPr>
                <w:rFonts w:ascii="Times New Roman" w:hAnsi="Times New Roman" w:eastAsia="宋体" w:cs="Times New Roman"/>
                <w:bCs/>
                <w:color w:val="121212"/>
                <w:spacing w:val="-2"/>
                <w:kern w:val="0"/>
                <w:sz w:val="24"/>
                <w:highlight w:val="none"/>
              </w:rPr>
              <w:t>《声环境质量标准》（GB3096-2008）中</w:t>
            </w:r>
            <w:r>
              <w:rPr>
                <w:rFonts w:hint="eastAsia" w:cs="Times New Roman"/>
                <w:bCs/>
                <w:color w:val="121212"/>
                <w:spacing w:val="-2"/>
                <w:kern w:val="0"/>
                <w:sz w:val="24"/>
                <w:highlight w:val="none"/>
                <w:lang w:val="en-US" w:eastAsia="zh-CN"/>
              </w:rPr>
              <w:t>3</w:t>
            </w:r>
            <w:r>
              <w:rPr>
                <w:rFonts w:ascii="Times New Roman" w:hAnsi="Times New Roman" w:eastAsia="宋体" w:cs="Times New Roman"/>
                <w:bCs/>
                <w:color w:val="121212"/>
                <w:spacing w:val="-2"/>
                <w:kern w:val="0"/>
                <w:sz w:val="24"/>
                <w:highlight w:val="none"/>
              </w:rPr>
              <w:t>类标准</w:t>
            </w:r>
            <w:commentRangeEnd w:id="10"/>
            <w:r>
              <w:rPr>
                <w:color w:val="121212"/>
              </w:rPr>
              <w:commentReference w:id="10"/>
            </w:r>
            <w:commentRangeEnd w:id="11"/>
            <w:r>
              <w:rPr>
                <w:color w:val="121212"/>
              </w:rPr>
              <w:commentReference w:id="11"/>
            </w:r>
            <w:r>
              <w:rPr>
                <w:rFonts w:ascii="Times New Roman" w:hAnsi="Times New Roman" w:eastAsia="宋体" w:cs="Times New Roman"/>
                <w:bCs/>
                <w:color w:val="121212"/>
                <w:spacing w:val="-2"/>
                <w:kern w:val="0"/>
                <w:sz w:val="24"/>
                <w:highlight w:val="none"/>
              </w:rPr>
              <w:t>。项目运营期噪声经合理降噪措施后，不会降低区域声环境功能级别。</w:t>
            </w:r>
          </w:p>
          <w:p>
            <w:pPr>
              <w:pStyle w:val="7"/>
              <w:bidi w:val="0"/>
              <w:rPr>
                <w:color w:val="121212"/>
                <w:highlight w:val="none"/>
              </w:rPr>
            </w:pPr>
            <w:r>
              <w:rPr>
                <w:rFonts w:hint="eastAsia"/>
                <w:color w:val="121212"/>
                <w:highlight w:val="none"/>
                <w:lang w:val="en-US" w:eastAsia="zh-CN"/>
              </w:rPr>
              <w:t>3、</w:t>
            </w:r>
            <w:r>
              <w:rPr>
                <w:color w:val="121212"/>
                <w:highlight w:val="none"/>
              </w:rPr>
              <w:t>资源利用上线</w:t>
            </w:r>
          </w:p>
          <w:p>
            <w:pPr>
              <w:spacing w:line="360" w:lineRule="auto"/>
              <w:ind w:firstLine="472" w:firstLineChars="200"/>
              <w:rPr>
                <w:rFonts w:ascii="Times New Roman" w:hAnsi="Times New Roman" w:eastAsia="宋体" w:cs="Times New Roman"/>
                <w:bCs/>
                <w:color w:val="121212"/>
                <w:spacing w:val="-2"/>
                <w:kern w:val="0"/>
                <w:sz w:val="24"/>
                <w:highlight w:val="none"/>
              </w:rPr>
            </w:pPr>
            <w:r>
              <w:rPr>
                <w:rFonts w:ascii="Times New Roman" w:hAnsi="Times New Roman" w:eastAsia="宋体" w:cs="Times New Roman"/>
                <w:bCs/>
                <w:color w:val="121212"/>
                <w:spacing w:val="-2"/>
                <w:kern w:val="0"/>
                <w:sz w:val="24"/>
                <w:highlight w:val="none"/>
              </w:rPr>
              <w:t>本项目不使</w:t>
            </w:r>
            <w:commentRangeStart w:id="12"/>
            <w:commentRangeStart w:id="13"/>
            <w:r>
              <w:rPr>
                <w:rFonts w:ascii="Times New Roman" w:hAnsi="Times New Roman" w:eastAsia="宋体" w:cs="Times New Roman"/>
                <w:bCs/>
                <w:color w:val="121212"/>
                <w:spacing w:val="-2"/>
                <w:kern w:val="0"/>
                <w:sz w:val="24"/>
                <w:highlight w:val="none"/>
              </w:rPr>
              <w:t>用煤炭，符</w:t>
            </w:r>
            <w:commentRangeEnd w:id="12"/>
            <w:r>
              <w:rPr>
                <w:color w:val="121212"/>
              </w:rPr>
              <w:commentReference w:id="12"/>
            </w:r>
            <w:commentRangeEnd w:id="13"/>
            <w:r>
              <w:rPr>
                <w:color w:val="121212"/>
              </w:rPr>
              <w:commentReference w:id="13"/>
            </w:r>
            <w:r>
              <w:rPr>
                <w:rFonts w:ascii="Times New Roman" w:hAnsi="Times New Roman" w:eastAsia="宋体" w:cs="Times New Roman"/>
                <w:bCs/>
                <w:color w:val="121212"/>
                <w:spacing w:val="-2"/>
                <w:kern w:val="0"/>
                <w:sz w:val="24"/>
                <w:highlight w:val="none"/>
              </w:rPr>
              <w:t>合煤炭资源利用上线要求；项目采用市政供水，符合水资源利用上线要求；项目位于</w:t>
            </w:r>
            <w:r>
              <w:rPr>
                <w:rFonts w:hint="eastAsia"/>
                <w:color w:val="121212"/>
                <w:highlight w:val="none"/>
                <w:lang w:val="en-US" w:eastAsia="zh-CN"/>
              </w:rPr>
              <w:t>安徽省宿州市灵璧县灵城镇北部开发区机电产业园二期，本项目所在地属于建设用地，不涉及永久基本农田，</w:t>
            </w:r>
            <w:r>
              <w:rPr>
                <w:rFonts w:ascii="Times New Roman" w:hAnsi="Times New Roman" w:eastAsia="宋体" w:cs="Times New Roman"/>
                <w:bCs/>
                <w:color w:val="121212"/>
                <w:spacing w:val="-2"/>
                <w:kern w:val="0"/>
                <w:sz w:val="24"/>
                <w:highlight w:val="none"/>
              </w:rPr>
              <w:t>不占用耕地，符合土地资源利用上线要求。环保措施根据项目排放特征污染物选择适宜的措施，公用工程的布局合理。因此，项目建设符合资源利用上线要求。</w:t>
            </w:r>
          </w:p>
          <w:p>
            <w:pPr>
              <w:pStyle w:val="7"/>
              <w:bidi w:val="0"/>
              <w:rPr>
                <w:color w:val="121212"/>
                <w:highlight w:val="none"/>
              </w:rPr>
            </w:pPr>
            <w:r>
              <w:rPr>
                <w:rFonts w:hint="eastAsia"/>
                <w:color w:val="121212"/>
                <w:highlight w:val="none"/>
                <w:lang w:val="en-US" w:eastAsia="zh-CN"/>
              </w:rPr>
              <w:t>4、生态</w:t>
            </w:r>
            <w:r>
              <w:rPr>
                <w:color w:val="121212"/>
                <w:highlight w:val="none"/>
              </w:rPr>
              <w:t>环境准入清单</w:t>
            </w:r>
          </w:p>
          <w:p>
            <w:pPr>
              <w:bidi w:val="0"/>
              <w:rPr>
                <w:color w:val="121212"/>
                <w:highlight w:val="none"/>
              </w:rPr>
            </w:pPr>
            <w:r>
              <w:rPr>
                <w:color w:val="121212"/>
                <w:sz w:val="24"/>
                <w:highlight w:val="none"/>
              </w:rPr>
              <w:t>本项目</w:t>
            </w:r>
            <w:r>
              <w:rPr>
                <w:rFonts w:hint="eastAsia"/>
                <w:color w:val="121212"/>
                <w:sz w:val="24"/>
                <w:highlight w:val="none"/>
              </w:rPr>
              <w:t>属于</w:t>
            </w:r>
            <w:r>
              <w:rPr>
                <w:rFonts w:hint="eastAsia"/>
                <w:color w:val="121212"/>
                <w:highlight w:val="none"/>
                <w:lang w:val="en-US" w:eastAsia="zh-CN"/>
              </w:rPr>
              <w:t>C3630改装汽车制造</w:t>
            </w:r>
            <w:r>
              <w:rPr>
                <w:rFonts w:hint="eastAsia"/>
                <w:color w:val="121212"/>
                <w:sz w:val="24"/>
                <w:highlight w:val="none"/>
              </w:rPr>
              <w:t>，</w:t>
            </w:r>
            <w:r>
              <w:rPr>
                <w:rFonts w:hint="eastAsia"/>
                <w:color w:val="121212"/>
                <w:sz w:val="24"/>
                <w:highlight w:val="none"/>
                <w:lang w:val="en-US" w:eastAsia="zh-CN"/>
              </w:rPr>
              <w:t>对照</w:t>
            </w:r>
            <w:r>
              <w:rPr>
                <w:rFonts w:hint="default" w:ascii="Times New Roman" w:hAnsi="Times New Roman" w:eastAsia="宋体" w:cs="Times New Roman"/>
                <w:color w:val="121212"/>
                <w:sz w:val="24"/>
                <w:highlight w:val="none"/>
              </w:rPr>
              <w:t>《市场准入负面清单（2022版）》，不在负面清单范围内，</w:t>
            </w:r>
            <w:r>
              <w:rPr>
                <w:rFonts w:hint="eastAsia" w:ascii="Times New Roman" w:hAnsi="Times New Roman" w:eastAsia="宋体" w:cs="Times New Roman"/>
                <w:color w:val="121212"/>
                <w:sz w:val="24"/>
                <w:highlight w:val="none"/>
                <w:lang w:val="en-US" w:eastAsia="zh-CN"/>
              </w:rPr>
              <w:t>根据</w:t>
            </w:r>
            <w:r>
              <w:rPr>
                <w:color w:val="121212"/>
                <w:sz w:val="24"/>
                <w:highlight w:val="none"/>
              </w:rPr>
              <w:t>《产业结构调整指导目录》（20</w:t>
            </w:r>
            <w:r>
              <w:rPr>
                <w:rFonts w:hint="eastAsia"/>
                <w:color w:val="121212"/>
                <w:sz w:val="24"/>
                <w:highlight w:val="none"/>
                <w:lang w:val="en-US" w:eastAsia="zh-CN"/>
              </w:rPr>
              <w:t>24</w:t>
            </w:r>
            <w:r>
              <w:rPr>
                <w:color w:val="121212"/>
                <w:sz w:val="24"/>
                <w:highlight w:val="none"/>
              </w:rPr>
              <w:t>年</w:t>
            </w:r>
            <w:r>
              <w:rPr>
                <w:rFonts w:hint="eastAsia"/>
                <w:color w:val="121212"/>
                <w:sz w:val="24"/>
                <w:highlight w:val="none"/>
                <w:lang w:val="en-US" w:eastAsia="zh-CN"/>
              </w:rPr>
              <w:t>版</w:t>
            </w:r>
            <w:r>
              <w:rPr>
                <w:color w:val="121212"/>
                <w:sz w:val="24"/>
                <w:highlight w:val="none"/>
              </w:rPr>
              <w:t>）</w:t>
            </w:r>
            <w:r>
              <w:rPr>
                <w:rFonts w:hint="eastAsia"/>
                <w:color w:val="121212"/>
                <w:sz w:val="24"/>
                <w:highlight w:val="none"/>
                <w:lang w:eastAsia="zh-CN"/>
              </w:rPr>
              <w:t>，</w:t>
            </w:r>
            <w:r>
              <w:rPr>
                <w:rFonts w:hint="eastAsia"/>
                <w:color w:val="121212"/>
                <w:highlight w:val="none"/>
              </w:rPr>
              <w:t>不属于</w:t>
            </w:r>
            <w:r>
              <w:rPr>
                <w:rFonts w:hint="eastAsia"/>
                <w:color w:val="121212"/>
                <w:highlight w:val="none"/>
                <w:lang w:val="en-US" w:eastAsia="zh-CN"/>
              </w:rPr>
              <w:t>鼓励类、限制类和淘</w:t>
            </w:r>
            <w:r>
              <w:rPr>
                <w:rFonts w:hint="eastAsia" w:ascii="Times New Roman" w:hAnsi="Times New Roman"/>
                <w:color w:val="121212"/>
                <w:highlight w:val="none"/>
                <w:lang w:val="en-US" w:eastAsia="zh-CN"/>
              </w:rPr>
              <w:t>汰类，视为允许类</w:t>
            </w:r>
            <w:r>
              <w:rPr>
                <w:rFonts w:hint="eastAsia"/>
                <w:color w:val="121212"/>
                <w:highlight w:val="none"/>
              </w:rPr>
              <w:t>，项目占地不属于限制和禁止用地</w:t>
            </w:r>
            <w:r>
              <w:rPr>
                <w:color w:val="121212"/>
                <w:highlight w:val="none"/>
              </w:rPr>
              <w:t>。</w:t>
            </w:r>
          </w:p>
          <w:p>
            <w:pPr>
              <w:bidi w:val="0"/>
              <w:rPr>
                <w:rFonts w:hint="eastAsia"/>
                <w:color w:val="121212"/>
                <w:highlight w:val="none"/>
              </w:rPr>
            </w:pPr>
            <w:r>
              <w:rPr>
                <w:rFonts w:hint="eastAsia"/>
                <w:color w:val="121212"/>
                <w:highlight w:val="none"/>
              </w:rPr>
              <w:t>综上</w:t>
            </w:r>
            <w:r>
              <w:rPr>
                <w:color w:val="121212"/>
                <w:highlight w:val="none"/>
              </w:rPr>
              <w:t>，</w:t>
            </w:r>
            <w:r>
              <w:rPr>
                <w:rFonts w:hint="eastAsia"/>
                <w:color w:val="121212"/>
                <w:highlight w:val="none"/>
              </w:rPr>
              <w:t>本</w:t>
            </w:r>
            <w:r>
              <w:rPr>
                <w:color w:val="121212"/>
                <w:highlight w:val="none"/>
              </w:rPr>
              <w:t>项目</w:t>
            </w:r>
            <w:r>
              <w:rPr>
                <w:rFonts w:hint="eastAsia"/>
                <w:color w:val="121212"/>
                <w:highlight w:val="none"/>
                <w:lang w:val="en-US" w:eastAsia="zh-CN"/>
              </w:rPr>
              <w:t>符合“三线一单”的管理要求</w:t>
            </w:r>
            <w:r>
              <w:rPr>
                <w:color w:val="121212"/>
                <w:highlight w:val="none"/>
              </w:rPr>
              <w:t>。</w:t>
            </w:r>
          </w:p>
          <w:p>
            <w:pPr>
              <w:pStyle w:val="6"/>
              <w:bidi w:val="0"/>
              <w:rPr>
                <w:color w:val="121212"/>
                <w:highlight w:val="none"/>
              </w:rPr>
            </w:pPr>
            <w:r>
              <w:rPr>
                <w:rFonts w:hint="eastAsia"/>
                <w:color w:val="121212"/>
                <w:highlight w:val="none"/>
                <w:lang w:val="en-US" w:eastAsia="zh-CN"/>
              </w:rPr>
              <w:t>二</w:t>
            </w:r>
            <w:r>
              <w:rPr>
                <w:rFonts w:hint="eastAsia"/>
                <w:color w:val="121212"/>
                <w:highlight w:val="none"/>
              </w:rPr>
              <w:t>、产业政策符合性分析</w:t>
            </w:r>
          </w:p>
          <w:p>
            <w:pPr>
              <w:bidi w:val="0"/>
              <w:rPr>
                <w:rFonts w:hint="eastAsia" w:ascii="Times New Roman" w:hAnsi="Times New Roman"/>
                <w:color w:val="121212"/>
                <w:highlight w:val="none"/>
                <w:lang w:val="en-US" w:eastAsia="zh-CN"/>
              </w:rPr>
            </w:pPr>
            <w:r>
              <w:rPr>
                <w:rFonts w:hint="eastAsia"/>
                <w:color w:val="121212"/>
                <w:highlight w:val="none"/>
                <w:lang w:val="en-US" w:eastAsia="zh-CN"/>
              </w:rPr>
              <w:t>对照《国民经济行业分类》（GB/T4754-2017）、《产业结构调整指导目录（2024年版）》及《安徽省工业产业结构调整指导目录》，本项目属于C3630改装汽车制造；</w:t>
            </w:r>
            <w:r>
              <w:rPr>
                <w:rFonts w:hint="eastAsia" w:cs="Times New Roman"/>
                <w:color w:val="121212"/>
                <w:sz w:val="24"/>
                <w:szCs w:val="24"/>
                <w:lang w:val="en-US" w:eastAsia="zh-CN"/>
              </w:rPr>
              <w:t>C</w:t>
            </w:r>
            <w:r>
              <w:rPr>
                <w:rFonts w:hint="eastAsia"/>
                <w:color w:val="121212"/>
                <w:highlight w:val="none"/>
                <w:lang w:val="en-US" w:eastAsia="zh-CN"/>
              </w:rPr>
              <w:t>3630改装汽车制造不属于鼓励类、限制类和淘</w:t>
            </w:r>
            <w:r>
              <w:rPr>
                <w:rFonts w:hint="eastAsia" w:ascii="Times New Roman" w:hAnsi="Times New Roman"/>
                <w:color w:val="121212"/>
                <w:highlight w:val="none"/>
                <w:lang w:val="en-US" w:eastAsia="zh-CN"/>
              </w:rPr>
              <w:t>汰类，视为允许类。因此，本项目的建设符合国家的产业政策及安徽省工业产业结构调整指导目录要求。</w:t>
            </w:r>
            <w:r>
              <w:rPr>
                <w:rFonts w:hint="default" w:ascii="Times New Roman" w:hAnsi="Times New Roman" w:eastAsia="宋体" w:cs="Times New Roman"/>
                <w:b w:val="0"/>
                <w:bCs/>
                <w:color w:val="121212"/>
                <w:szCs w:val="20"/>
                <w:highlight w:val="none"/>
                <w:lang w:val="en-US" w:eastAsia="zh-CN"/>
              </w:rPr>
              <w:t>项目经</w:t>
            </w:r>
            <w:r>
              <w:rPr>
                <w:rFonts w:hint="eastAsia" w:ascii="Times New Roman" w:hAnsi="Times New Roman" w:eastAsia="宋体" w:cs="Times New Roman"/>
                <w:b w:val="0"/>
                <w:bCs/>
                <w:color w:val="121212"/>
                <w:szCs w:val="20"/>
                <w:highlight w:val="none"/>
                <w:lang w:val="en-US" w:eastAsia="zh-CN"/>
              </w:rPr>
              <w:t>灵璧县</w:t>
            </w:r>
            <w:r>
              <w:rPr>
                <w:rFonts w:hint="default" w:ascii="Times New Roman" w:hAnsi="Times New Roman" w:eastAsia="宋体" w:cs="Times New Roman"/>
                <w:b w:val="0"/>
                <w:bCs/>
                <w:color w:val="121212"/>
                <w:szCs w:val="20"/>
                <w:highlight w:val="none"/>
                <w:lang w:val="en-US" w:eastAsia="zh-CN"/>
              </w:rPr>
              <w:t>发展和改革委员会备案，项目编码为</w:t>
            </w:r>
            <w:r>
              <w:rPr>
                <w:rFonts w:hint="eastAsia"/>
                <w:color w:val="121212"/>
                <w:highlight w:val="none"/>
                <w:lang w:val="en-US" w:eastAsia="zh-CN"/>
              </w:rPr>
              <w:t>2112-341323-04-01-107403</w:t>
            </w:r>
            <w:r>
              <w:rPr>
                <w:rFonts w:hint="default" w:ascii="Times New Roman" w:hAnsi="Times New Roman" w:eastAsia="宋体" w:cs="Times New Roman"/>
                <w:b w:val="0"/>
                <w:bCs/>
                <w:color w:val="121212"/>
                <w:szCs w:val="20"/>
                <w:highlight w:val="none"/>
                <w:lang w:val="en-US" w:eastAsia="zh-CN"/>
              </w:rPr>
              <w:t>。</w:t>
            </w:r>
          </w:p>
          <w:p>
            <w:pPr>
              <w:pStyle w:val="6"/>
              <w:bidi w:val="0"/>
              <w:rPr>
                <w:color w:val="121212"/>
                <w:highlight w:val="none"/>
              </w:rPr>
            </w:pPr>
            <w:r>
              <w:rPr>
                <w:rFonts w:hint="eastAsia"/>
                <w:color w:val="121212"/>
                <w:highlight w:val="none"/>
                <w:lang w:val="en-US" w:eastAsia="zh-CN"/>
              </w:rPr>
              <w:t>三</w:t>
            </w:r>
            <w:r>
              <w:rPr>
                <w:rFonts w:hint="eastAsia"/>
                <w:color w:val="121212"/>
                <w:highlight w:val="none"/>
              </w:rPr>
              <w:t>、选址合理性分析</w:t>
            </w:r>
          </w:p>
          <w:p>
            <w:pPr>
              <w:bidi w:val="0"/>
              <w:rPr>
                <w:rFonts w:hint="eastAsia" w:ascii="Times New Roman" w:hAnsi="Times New Roman" w:eastAsia="宋体" w:cs="Times New Roman"/>
                <w:color w:val="121212"/>
                <w:sz w:val="24"/>
                <w:highlight w:val="none"/>
              </w:rPr>
            </w:pPr>
            <w:commentRangeStart w:id="14"/>
            <w:commentRangeStart w:id="15"/>
            <w:r>
              <w:rPr>
                <w:rFonts w:hint="eastAsia" w:ascii="Times New Roman" w:hAnsi="Times New Roman" w:eastAsia="宋体" w:cs="Times New Roman"/>
                <w:color w:val="121212"/>
                <w:sz w:val="24"/>
                <w:highlight w:val="none"/>
              </w:rPr>
              <w:t>本项目位于</w:t>
            </w:r>
            <w:r>
              <w:rPr>
                <w:rFonts w:hint="eastAsia"/>
                <w:color w:val="121212"/>
                <w:highlight w:val="none"/>
                <w:lang w:val="en-US" w:eastAsia="zh-CN"/>
              </w:rPr>
              <w:t>安徽省宿州市灵璧县灵城镇北部开发区机电产业园二期</w:t>
            </w:r>
            <w:r>
              <w:rPr>
                <w:rFonts w:ascii="Times New Roman" w:hAnsi="Times New Roman" w:eastAsia="宋体" w:cs="Times New Roman"/>
                <w:color w:val="121212"/>
                <w:sz w:val="24"/>
                <w:highlight w:val="none"/>
              </w:rPr>
              <w:t>，</w:t>
            </w:r>
            <w:r>
              <w:rPr>
                <w:rFonts w:hint="eastAsia"/>
                <w:color w:val="121212"/>
                <w:highlight w:val="none"/>
                <w:lang w:val="en-US" w:eastAsia="zh-CN"/>
              </w:rPr>
              <w:t>本项目所在地属于工业用地。本项目西侧为安徽光云堂木业有限公司、开发区管委会，北侧为灵璧县千诚门业有限公司，东侧为安徽速邮科技有限公司、安徽艾本士电气设备有限公司</w:t>
            </w:r>
            <w:r>
              <w:rPr>
                <w:rFonts w:hint="eastAsia"/>
                <w:color w:val="121212"/>
                <w:highlight w:val="none"/>
                <w:lang w:val="en-US" w:eastAsia="zh-CN"/>
              </w:rPr>
              <w:t>，南侧为安徽飞松机械股份有限公司</w:t>
            </w:r>
            <w:r>
              <w:rPr>
                <w:rFonts w:hint="eastAsia"/>
                <w:color w:val="121212"/>
                <w:highlight w:val="none"/>
                <w:lang w:val="en-US" w:eastAsia="zh-CN"/>
              </w:rPr>
              <w:t>。</w:t>
            </w:r>
            <w:r>
              <w:rPr>
                <w:rFonts w:ascii="Times New Roman" w:hAnsi="Times New Roman" w:eastAsia="宋体" w:cs="Times New Roman"/>
                <w:color w:val="121212"/>
                <w:sz w:val="24"/>
                <w:highlight w:val="none"/>
              </w:rPr>
              <w:t>周边无文物、</w:t>
            </w:r>
            <w:r>
              <w:rPr>
                <w:rFonts w:ascii="Times New Roman" w:hAnsi="Times New Roman" w:eastAsia="宋体" w:cs="Times New Roman"/>
                <w:color w:val="121212"/>
                <w:sz w:val="24"/>
                <w:highlight w:val="none"/>
              </w:rPr>
              <w:t>风景名胜区和生态敏感点等环境保护目标</w:t>
            </w:r>
            <w:r>
              <w:rPr>
                <w:rFonts w:hint="eastAsia" w:ascii="Times New Roman" w:hAnsi="Times New Roman" w:eastAsia="宋体" w:cs="Times New Roman"/>
                <w:color w:val="121212"/>
                <w:sz w:val="24"/>
                <w:highlight w:val="none"/>
                <w:lang w:val="en-US" w:eastAsia="zh-CN"/>
              </w:rPr>
              <w:t>。本项目运营期产生的各项污染物</w:t>
            </w:r>
            <w:r>
              <w:rPr>
                <w:rFonts w:hint="eastAsia" w:cs="Times New Roman"/>
                <w:color w:val="121212"/>
                <w:sz w:val="24"/>
                <w:highlight w:val="none"/>
                <w:lang w:val="en-US" w:eastAsia="zh-CN"/>
              </w:rPr>
              <w:t>在</w:t>
            </w:r>
            <w:r>
              <w:rPr>
                <w:rFonts w:ascii="Times New Roman" w:hAnsi="Times New Roman" w:eastAsia="宋体" w:cs="Times New Roman"/>
                <w:color w:val="121212"/>
                <w:sz w:val="24"/>
                <w:highlight w:val="none"/>
              </w:rPr>
              <w:t>采取相应的环保措施后，可以有效地减缓或消除项目建设带来的不利影响，不会改变周围区域环境功能现状。因此，项目建设与周边环境是相容的</w:t>
            </w:r>
            <w:r>
              <w:rPr>
                <w:rFonts w:hint="eastAsia" w:ascii="Times New Roman" w:hAnsi="Times New Roman" w:eastAsia="宋体" w:cs="Times New Roman"/>
                <w:color w:val="121212"/>
                <w:sz w:val="24"/>
                <w:highlight w:val="none"/>
              </w:rPr>
              <w:t>。</w:t>
            </w:r>
            <w:commentRangeEnd w:id="14"/>
            <w:r>
              <w:rPr>
                <w:color w:val="121212"/>
              </w:rPr>
              <w:commentReference w:id="14"/>
            </w:r>
            <w:commentRangeEnd w:id="15"/>
            <w:r>
              <w:rPr>
                <w:color w:val="121212"/>
              </w:rPr>
              <w:commentReference w:id="15"/>
            </w:r>
          </w:p>
          <w:p>
            <w:pPr>
              <w:bidi w:val="0"/>
              <w:rPr>
                <w:color w:val="121212"/>
                <w:highlight w:val="none"/>
              </w:rPr>
            </w:pPr>
            <w:r>
              <w:rPr>
                <w:color w:val="121212"/>
                <w:highlight w:val="none"/>
              </w:rPr>
              <w:t>综上，本项目选址合理可行。</w:t>
            </w:r>
          </w:p>
          <w:p>
            <w:pPr>
              <w:pStyle w:val="6"/>
              <w:bidi w:val="0"/>
              <w:rPr>
                <w:rFonts w:hint="default"/>
                <w:color w:val="121212"/>
                <w:highlight w:val="none"/>
              </w:rPr>
            </w:pPr>
            <w:r>
              <w:rPr>
                <w:rFonts w:hint="eastAsia"/>
                <w:color w:val="121212"/>
                <w:highlight w:val="none"/>
                <w:lang w:val="en-US" w:eastAsia="zh-CN"/>
              </w:rPr>
              <w:t>四</w:t>
            </w:r>
            <w:r>
              <w:rPr>
                <w:rFonts w:hint="default"/>
                <w:color w:val="121212"/>
                <w:highlight w:val="none"/>
              </w:rPr>
              <w:t>、与《安徽省淮河流域水污染防治条例</w:t>
            </w:r>
            <w:r>
              <w:rPr>
                <w:color w:val="121212"/>
                <w:highlight w:val="none"/>
              </w:rPr>
              <w:t>（修订）</w:t>
            </w:r>
            <w:r>
              <w:rPr>
                <w:rFonts w:hint="default"/>
                <w:color w:val="121212"/>
                <w:highlight w:val="none"/>
              </w:rPr>
              <w:t>》（2019年1月1日</w:t>
            </w:r>
            <w:r>
              <w:rPr>
                <w:color w:val="121212"/>
                <w:highlight w:val="none"/>
              </w:rPr>
              <w:t>施行</w:t>
            </w:r>
            <w:r>
              <w:rPr>
                <w:rFonts w:hint="default"/>
                <w:color w:val="121212"/>
                <w:highlight w:val="none"/>
              </w:rPr>
              <w:t>）相符性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b/>
                <w:bCs/>
                <w:color w:val="121212"/>
                <w:sz w:val="24"/>
                <w:highlight w:val="none"/>
              </w:rPr>
            </w:pPr>
            <w:r>
              <w:rPr>
                <w:rFonts w:ascii="Times New Roman" w:hAnsi="Times New Roman" w:eastAsia="宋体" w:cs="Times New Roman"/>
                <w:b/>
                <w:bCs/>
                <w:color w:val="121212"/>
                <w:sz w:val="24"/>
                <w:highlight w:val="none"/>
              </w:rPr>
              <w:t>表1-</w:t>
            </w:r>
            <w:r>
              <w:rPr>
                <w:rFonts w:hint="eastAsia" w:cs="Times New Roman"/>
                <w:b/>
                <w:bCs/>
                <w:color w:val="121212"/>
                <w:sz w:val="24"/>
                <w:highlight w:val="none"/>
                <w:lang w:val="en-US" w:eastAsia="zh-CN"/>
              </w:rPr>
              <w:t>4</w:t>
            </w:r>
            <w:r>
              <w:rPr>
                <w:rFonts w:hint="eastAsia" w:ascii="Times New Roman" w:hAnsi="Times New Roman" w:eastAsia="宋体" w:cs="Times New Roman"/>
                <w:b/>
                <w:bCs/>
                <w:color w:val="121212"/>
                <w:sz w:val="24"/>
                <w:highlight w:val="none"/>
                <w:lang w:val="en-US" w:eastAsia="zh-CN"/>
              </w:rPr>
              <w:t xml:space="preserve"> </w:t>
            </w:r>
            <w:r>
              <w:rPr>
                <w:rFonts w:hint="eastAsia" w:cs="Times New Roman"/>
                <w:b/>
                <w:bCs/>
                <w:color w:val="121212"/>
                <w:sz w:val="24"/>
                <w:highlight w:val="none"/>
                <w:lang w:val="en-US" w:eastAsia="zh-CN"/>
              </w:rPr>
              <w:t xml:space="preserve"> </w:t>
            </w:r>
            <w:r>
              <w:rPr>
                <w:rFonts w:ascii="Times New Roman" w:hAnsi="Times New Roman" w:eastAsia="宋体" w:cs="Times New Roman"/>
                <w:b/>
                <w:bCs/>
                <w:color w:val="121212"/>
                <w:sz w:val="24"/>
                <w:highlight w:val="none"/>
              </w:rPr>
              <w:t>与《安徽省淮河流域水污染防治条例（修订）》相符性分析</w:t>
            </w:r>
          </w:p>
          <w:tbl>
            <w:tblPr>
              <w:tblStyle w:val="37"/>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2"/>
              <w:gridCol w:w="2947"/>
              <w:gridCol w:w="989"/>
            </w:tblGrid>
            <w:tr>
              <w:tblPrEx>
                <w:tblLayout w:type="fixed"/>
              </w:tblPrEx>
              <w:trPr>
                <w:jc w:val="center"/>
              </w:trPr>
              <w:tc>
                <w:tcPr>
                  <w:tcW w:w="4122" w:type="dxa"/>
                  <w:shd w:val="clear" w:color="auto" w:fill="auto"/>
                  <w:vAlign w:val="center"/>
                </w:tcPr>
                <w:p>
                  <w:pPr>
                    <w:pStyle w:val="47"/>
                    <w:bidi w:val="0"/>
                    <w:rPr>
                      <w:b/>
                      <w:bCs/>
                      <w:color w:val="121212"/>
                      <w:highlight w:val="none"/>
                    </w:rPr>
                  </w:pPr>
                  <w:r>
                    <w:rPr>
                      <w:b/>
                      <w:bCs/>
                      <w:color w:val="121212"/>
                      <w:highlight w:val="none"/>
                    </w:rPr>
                    <w:t>防治条例要求</w:t>
                  </w:r>
                </w:p>
              </w:tc>
              <w:tc>
                <w:tcPr>
                  <w:tcW w:w="2947" w:type="dxa"/>
                  <w:shd w:val="clear" w:color="auto" w:fill="auto"/>
                  <w:vAlign w:val="center"/>
                </w:tcPr>
                <w:p>
                  <w:pPr>
                    <w:pStyle w:val="47"/>
                    <w:bidi w:val="0"/>
                    <w:rPr>
                      <w:b/>
                      <w:bCs/>
                      <w:color w:val="121212"/>
                      <w:highlight w:val="none"/>
                    </w:rPr>
                  </w:pPr>
                  <w:r>
                    <w:rPr>
                      <w:b/>
                      <w:bCs/>
                      <w:color w:val="121212"/>
                      <w:highlight w:val="none"/>
                    </w:rPr>
                    <w:t>本项目情况</w:t>
                  </w:r>
                </w:p>
              </w:tc>
              <w:tc>
                <w:tcPr>
                  <w:tcW w:w="989" w:type="dxa"/>
                  <w:shd w:val="clear" w:color="auto" w:fill="auto"/>
                  <w:vAlign w:val="center"/>
                </w:tcPr>
                <w:p>
                  <w:pPr>
                    <w:pStyle w:val="47"/>
                    <w:bidi w:val="0"/>
                    <w:rPr>
                      <w:color w:val="121212"/>
                      <w:highlight w:val="none"/>
                    </w:rPr>
                  </w:pPr>
                  <w:r>
                    <w:rPr>
                      <w:color w:val="121212"/>
                      <w:highlight w:val="none"/>
                    </w:rPr>
                    <w:t>相符性</w:t>
                  </w:r>
                </w:p>
              </w:tc>
            </w:tr>
            <w:tr>
              <w:tblPrEx>
                <w:tblLayout w:type="fixed"/>
              </w:tblPrEx>
              <w:trPr>
                <w:jc w:val="center"/>
              </w:trPr>
              <w:tc>
                <w:tcPr>
                  <w:tcW w:w="4122" w:type="dxa"/>
                  <w:shd w:val="clear" w:color="auto" w:fill="auto"/>
                  <w:vAlign w:val="center"/>
                </w:tcPr>
                <w:p>
                  <w:pPr>
                    <w:pStyle w:val="47"/>
                    <w:bidi w:val="0"/>
                    <w:rPr>
                      <w:color w:val="121212"/>
                      <w:highlight w:val="none"/>
                    </w:rPr>
                  </w:pPr>
                  <w:r>
                    <w:rPr>
                      <w:color w:val="121212"/>
                      <w:highlight w:val="none"/>
                    </w:rPr>
                    <w:t>第十三条 禁止在淮河流域新建化学制浆造纸企业和印染、制革、化工、电镀、酿造等污染严重的小型企业。严格限制在淮河流域新建印染、制革、化工、电镀、酿造等大中型项目或者其他污染严重的项目。</w:t>
                  </w:r>
                </w:p>
              </w:tc>
              <w:tc>
                <w:tcPr>
                  <w:tcW w:w="2947" w:type="dxa"/>
                  <w:shd w:val="clear" w:color="auto" w:fill="auto"/>
                  <w:vAlign w:val="center"/>
                </w:tcPr>
                <w:p>
                  <w:pPr>
                    <w:pStyle w:val="47"/>
                    <w:bidi w:val="0"/>
                    <w:rPr>
                      <w:color w:val="121212"/>
                      <w:highlight w:val="none"/>
                    </w:rPr>
                  </w:pPr>
                  <w:r>
                    <w:rPr>
                      <w:color w:val="121212"/>
                      <w:sz w:val="21"/>
                      <w:szCs w:val="21"/>
                      <w:highlight w:val="none"/>
                    </w:rPr>
                    <w:t>本项目</w:t>
                  </w:r>
                  <w:r>
                    <w:rPr>
                      <w:rFonts w:hint="eastAsia"/>
                      <w:color w:val="121212"/>
                      <w:sz w:val="21"/>
                      <w:szCs w:val="21"/>
                      <w:highlight w:val="none"/>
                      <w:lang w:val="en-US" w:eastAsia="zh-CN"/>
                    </w:rPr>
                    <w:t>属于</w:t>
                  </w:r>
                  <w:r>
                    <w:rPr>
                      <w:color w:val="121212"/>
                      <w:spacing w:val="9"/>
                      <w:sz w:val="21"/>
                      <w:szCs w:val="21"/>
                    </w:rPr>
                    <w:t>改装汽车制造</w:t>
                  </w:r>
                  <w:r>
                    <w:rPr>
                      <w:rFonts w:hint="eastAsia"/>
                      <w:color w:val="121212"/>
                      <w:sz w:val="21"/>
                      <w:szCs w:val="21"/>
                      <w:highlight w:val="none"/>
                      <w:lang w:val="en-US" w:eastAsia="zh-CN"/>
                    </w:rPr>
                    <w:t>，切割、焊接工序设置废气收集处理设施，</w:t>
                  </w:r>
                  <w:r>
                    <w:rPr>
                      <w:color w:val="121212"/>
                      <w:sz w:val="21"/>
                      <w:szCs w:val="21"/>
                      <w:highlight w:val="none"/>
                    </w:rPr>
                    <w:t>不属于污染严重的项目。</w:t>
                  </w:r>
                </w:p>
              </w:tc>
              <w:tc>
                <w:tcPr>
                  <w:tcW w:w="989" w:type="dxa"/>
                  <w:shd w:val="clear" w:color="auto" w:fill="auto"/>
                  <w:vAlign w:val="center"/>
                </w:tcPr>
                <w:p>
                  <w:pPr>
                    <w:pStyle w:val="47"/>
                    <w:bidi w:val="0"/>
                    <w:rPr>
                      <w:color w:val="121212"/>
                      <w:highlight w:val="none"/>
                    </w:rPr>
                  </w:pPr>
                  <w:r>
                    <w:rPr>
                      <w:color w:val="121212"/>
                      <w:highlight w:val="none"/>
                    </w:rPr>
                    <w:t>符合</w:t>
                  </w:r>
                </w:p>
              </w:tc>
            </w:tr>
            <w:tr>
              <w:tblPrEx>
                <w:tblLayout w:type="fixed"/>
              </w:tblPrEx>
              <w:trPr>
                <w:jc w:val="center"/>
              </w:trPr>
              <w:tc>
                <w:tcPr>
                  <w:tcW w:w="4122" w:type="dxa"/>
                  <w:shd w:val="clear" w:color="auto" w:fill="auto"/>
                  <w:vAlign w:val="center"/>
                </w:tcPr>
                <w:p>
                  <w:pPr>
                    <w:pStyle w:val="47"/>
                    <w:bidi w:val="0"/>
                    <w:rPr>
                      <w:color w:val="121212"/>
                      <w:highlight w:val="none"/>
                    </w:rPr>
                  </w:pPr>
                  <w:r>
                    <w:rPr>
                      <w:color w:val="121212"/>
                      <w:highlight w:val="none"/>
                    </w:rPr>
                    <w:t>第十四条 新建、改建、扩建直接或者间接向水体排放污染物的建设项目和其他水上设施，应当依法进行环境影响评价。建设项目的水污染防治设施，应当符合经批准或者备案的环境影响评价文件的要求，并与主体工程同时设计、同时施工、同时投入使用。</w:t>
                  </w:r>
                </w:p>
                <w:p>
                  <w:pPr>
                    <w:pStyle w:val="47"/>
                    <w:bidi w:val="0"/>
                    <w:rPr>
                      <w:color w:val="121212"/>
                      <w:highlight w:val="none"/>
                    </w:rPr>
                  </w:pPr>
                  <w:r>
                    <w:rPr>
                      <w:color w:val="121212"/>
                      <w:highlight w:val="none"/>
                    </w:rPr>
                    <w:t>新建、扩建、改建项目，除执行前款规定外，还应当遵守下列规定：</w:t>
                  </w:r>
                </w:p>
                <w:p>
                  <w:pPr>
                    <w:pStyle w:val="47"/>
                    <w:bidi w:val="0"/>
                    <w:rPr>
                      <w:color w:val="121212"/>
                      <w:highlight w:val="none"/>
                    </w:rPr>
                  </w:pPr>
                  <w:r>
                    <w:rPr>
                      <w:color w:val="121212"/>
                      <w:highlight w:val="none"/>
                    </w:rPr>
                    <w:t>(一)新建项目的选址应符合城市总体规划，避开饮用水水源地和对环境有特殊要求的功能区；</w:t>
                  </w:r>
                </w:p>
                <w:p>
                  <w:pPr>
                    <w:pStyle w:val="47"/>
                    <w:bidi w:val="0"/>
                    <w:rPr>
                      <w:color w:val="121212"/>
                      <w:highlight w:val="none"/>
                    </w:rPr>
                  </w:pPr>
                  <w:r>
                    <w:rPr>
                      <w:color w:val="121212"/>
                      <w:highlight w:val="none"/>
                    </w:rPr>
                    <w:t>(二)采用资源利用率高、污染物排放量少的先进设备和先进工艺；</w:t>
                  </w:r>
                </w:p>
                <w:p>
                  <w:pPr>
                    <w:pStyle w:val="47"/>
                    <w:bidi w:val="0"/>
                    <w:rPr>
                      <w:color w:val="121212"/>
                      <w:highlight w:val="none"/>
                    </w:rPr>
                  </w:pPr>
                  <w:r>
                    <w:rPr>
                      <w:color w:val="121212"/>
                      <w:highlight w:val="none"/>
                    </w:rPr>
                    <w:t>(三)改建、扩建项目和技改项目应当把水污染治理纳入项目内容。</w:t>
                  </w:r>
                </w:p>
                <w:p>
                  <w:pPr>
                    <w:pStyle w:val="47"/>
                    <w:bidi w:val="0"/>
                    <w:rPr>
                      <w:color w:val="121212"/>
                      <w:highlight w:val="none"/>
                    </w:rPr>
                  </w:pPr>
                  <w:r>
                    <w:rPr>
                      <w:color w:val="121212"/>
                      <w:highlight w:val="none"/>
                    </w:rPr>
                    <w:t>工程配套建设的水污染防治设施竣工后，建设单位应当按照国务院生态环境行政主管部门规定的标准和程序进行验收。验收合格后，方可投入使用；未经验收或者验收不合格的，不得投入生产或者使用</w:t>
                  </w:r>
                </w:p>
              </w:tc>
              <w:tc>
                <w:tcPr>
                  <w:tcW w:w="2947" w:type="dxa"/>
                  <w:vMerge w:val="restart"/>
                  <w:shd w:val="clear" w:color="auto" w:fill="auto"/>
                  <w:vAlign w:val="center"/>
                </w:tcPr>
                <w:p>
                  <w:pPr>
                    <w:pStyle w:val="47"/>
                    <w:bidi w:val="0"/>
                    <w:rPr>
                      <w:rFonts w:hint="eastAsia"/>
                      <w:color w:val="121212"/>
                      <w:highlight w:val="none"/>
                      <w:lang w:val="en-US" w:eastAsia="zh-CN"/>
                    </w:rPr>
                  </w:pPr>
                  <w:r>
                    <w:rPr>
                      <w:color w:val="121212"/>
                      <w:highlight w:val="none"/>
                    </w:rPr>
                    <w:t>本项目排水实行雨污</w:t>
                  </w:r>
                  <w:r>
                    <w:rPr>
                      <w:color w:val="121212"/>
                      <w:highlight w:val="none"/>
                    </w:rPr>
                    <w:t>分流，</w:t>
                  </w:r>
                  <w:r>
                    <w:rPr>
                      <w:rFonts w:hint="eastAsia"/>
                      <w:color w:val="121212"/>
                      <w:highlight w:val="none"/>
                      <w:lang w:val="en-US" w:eastAsia="zh-CN"/>
                    </w:rPr>
                    <w:t>生活污水依托安徽飞松机械股份有限公司化粪池处理后，排入灵璧开发区北部新区污水处理厂集中处理达标。排入闫河。</w:t>
                  </w:r>
                </w:p>
                <w:p>
                  <w:pPr>
                    <w:pStyle w:val="47"/>
                    <w:bidi w:val="0"/>
                    <w:rPr>
                      <w:color w:val="121212"/>
                      <w:highlight w:val="none"/>
                    </w:rPr>
                  </w:pPr>
                  <w:r>
                    <w:rPr>
                      <w:rFonts w:hint="eastAsia" w:cs="Times New Roman"/>
                      <w:color w:val="121212"/>
                      <w:sz w:val="21"/>
                      <w:szCs w:val="21"/>
                      <w:lang w:val="en-US" w:eastAsia="zh-CN"/>
                    </w:rPr>
                    <w:t>无废水产生</w:t>
                  </w:r>
                  <w:r>
                    <w:rPr>
                      <w:color w:val="121212"/>
                      <w:highlight w:val="none"/>
                    </w:rPr>
                    <w:t>。</w:t>
                  </w:r>
                </w:p>
              </w:tc>
              <w:tc>
                <w:tcPr>
                  <w:tcW w:w="989" w:type="dxa"/>
                  <w:vMerge w:val="restart"/>
                  <w:shd w:val="clear" w:color="auto" w:fill="auto"/>
                  <w:vAlign w:val="center"/>
                </w:tcPr>
                <w:p>
                  <w:pPr>
                    <w:pStyle w:val="47"/>
                    <w:bidi w:val="0"/>
                    <w:rPr>
                      <w:color w:val="121212"/>
                      <w:highlight w:val="none"/>
                    </w:rPr>
                  </w:pPr>
                  <w:r>
                    <w:rPr>
                      <w:color w:val="121212"/>
                      <w:highlight w:val="none"/>
                    </w:rPr>
                    <w:t>符合</w:t>
                  </w:r>
                </w:p>
              </w:tc>
            </w:tr>
            <w:tr>
              <w:tblPrEx>
                <w:tblLayout w:type="fixed"/>
              </w:tblPrEx>
              <w:trPr>
                <w:jc w:val="center"/>
              </w:trPr>
              <w:tc>
                <w:tcPr>
                  <w:tcW w:w="4122" w:type="dxa"/>
                  <w:shd w:val="clear" w:color="auto" w:fill="auto"/>
                  <w:vAlign w:val="center"/>
                </w:tcPr>
                <w:p>
                  <w:pPr>
                    <w:pStyle w:val="47"/>
                    <w:bidi w:val="0"/>
                    <w:rPr>
                      <w:color w:val="121212"/>
                      <w:highlight w:val="none"/>
                    </w:rPr>
                  </w:pPr>
                  <w:r>
                    <w:rPr>
                      <w:color w:val="121212"/>
                      <w:highlight w:val="none"/>
                    </w:rPr>
                    <w:t>第十六条在淮河流域城市公共排水设施覆盖区域内，应当实行雨水、污水分流；排水户应当将雨水、污水分别排入公共雨水、污水管网及其附属设施。现有排水设施未实行雨水、污水分流的，应当编制规划，进行分流改造</w:t>
                  </w:r>
                </w:p>
              </w:tc>
              <w:tc>
                <w:tcPr>
                  <w:tcW w:w="2947" w:type="dxa"/>
                  <w:vMerge w:val="continue"/>
                  <w:shd w:val="clear" w:color="auto" w:fill="auto"/>
                  <w:vAlign w:val="center"/>
                </w:tcPr>
                <w:p>
                  <w:pPr>
                    <w:pStyle w:val="47"/>
                    <w:bidi w:val="0"/>
                    <w:rPr>
                      <w:color w:val="121212"/>
                      <w:highlight w:val="none"/>
                    </w:rPr>
                  </w:pPr>
                </w:p>
              </w:tc>
              <w:tc>
                <w:tcPr>
                  <w:tcW w:w="989" w:type="dxa"/>
                  <w:vMerge w:val="continue"/>
                  <w:shd w:val="clear" w:color="auto" w:fill="auto"/>
                  <w:vAlign w:val="center"/>
                </w:tcPr>
                <w:p>
                  <w:pPr>
                    <w:pStyle w:val="47"/>
                    <w:bidi w:val="0"/>
                    <w:rPr>
                      <w:color w:val="121212"/>
                      <w:highlight w:val="none"/>
                    </w:rPr>
                  </w:pPr>
                </w:p>
              </w:tc>
            </w:tr>
          </w:tbl>
          <w:p>
            <w:pPr>
              <w:bidi w:val="0"/>
              <w:ind w:left="0" w:leftChars="0" w:firstLine="482" w:firstLineChars="200"/>
              <w:rPr>
                <w:rFonts w:hint="eastAsia"/>
                <w:color w:val="121212"/>
              </w:rPr>
            </w:pPr>
            <w:r>
              <w:rPr>
                <w:rFonts w:hint="eastAsia" w:cs="Times New Roman"/>
                <w:b/>
                <w:bCs/>
                <w:color w:val="121212"/>
                <w:kern w:val="2"/>
                <w:sz w:val="24"/>
                <w:szCs w:val="24"/>
                <w:highlight w:val="none"/>
                <w:lang w:val="en-US" w:eastAsia="zh-CN" w:bidi="ar-SA"/>
              </w:rPr>
              <w:t>五</w:t>
            </w:r>
            <w:r>
              <w:rPr>
                <w:rFonts w:hint="eastAsia" w:ascii="Times New Roman" w:hAnsi="Times New Roman" w:eastAsia="宋体" w:cs="Times New Roman"/>
                <w:b/>
                <w:bCs/>
                <w:color w:val="121212"/>
                <w:kern w:val="2"/>
                <w:sz w:val="24"/>
                <w:szCs w:val="24"/>
                <w:highlight w:val="none"/>
                <w:lang w:val="en-US" w:eastAsia="zh-CN" w:bidi="ar-SA"/>
              </w:rPr>
              <w:t>、本项目与《安徽省</w:t>
            </w:r>
            <w:r>
              <w:rPr>
                <w:rFonts w:hint="default" w:ascii="Times New Roman" w:hAnsi="Times New Roman" w:eastAsia="宋体" w:cs="Times New Roman"/>
                <w:b/>
                <w:bCs/>
                <w:color w:val="121212"/>
                <w:kern w:val="2"/>
                <w:sz w:val="24"/>
                <w:szCs w:val="24"/>
                <w:highlight w:val="none"/>
                <w:lang w:val="en-US" w:eastAsia="zh-CN" w:bidi="ar-SA"/>
              </w:rPr>
              <w:t>“</w:t>
            </w:r>
            <w:r>
              <w:rPr>
                <w:rFonts w:hint="eastAsia" w:ascii="Times New Roman" w:hAnsi="Times New Roman" w:eastAsia="宋体" w:cs="Times New Roman"/>
                <w:b/>
                <w:bCs/>
                <w:color w:val="121212"/>
                <w:kern w:val="2"/>
                <w:sz w:val="24"/>
                <w:szCs w:val="24"/>
                <w:highlight w:val="none"/>
                <w:lang w:val="en-US" w:eastAsia="zh-CN" w:bidi="ar-SA"/>
              </w:rPr>
              <w:t>十四五</w:t>
            </w:r>
            <w:r>
              <w:rPr>
                <w:rFonts w:hint="default" w:ascii="Times New Roman" w:hAnsi="Times New Roman" w:eastAsia="宋体" w:cs="Times New Roman"/>
                <w:b/>
                <w:bCs/>
                <w:color w:val="121212"/>
                <w:kern w:val="2"/>
                <w:sz w:val="24"/>
                <w:szCs w:val="24"/>
                <w:highlight w:val="none"/>
                <w:lang w:val="en-US" w:eastAsia="zh-CN" w:bidi="ar-SA"/>
              </w:rPr>
              <w:t>”</w:t>
            </w:r>
            <w:r>
              <w:rPr>
                <w:rFonts w:hint="eastAsia" w:ascii="Times New Roman" w:hAnsi="Times New Roman" w:eastAsia="宋体" w:cs="Times New Roman"/>
                <w:b/>
                <w:bCs/>
                <w:color w:val="121212"/>
                <w:kern w:val="2"/>
                <w:sz w:val="24"/>
                <w:szCs w:val="24"/>
                <w:highlight w:val="none"/>
                <w:lang w:val="en-US" w:eastAsia="zh-CN" w:bidi="ar-SA"/>
              </w:rPr>
              <w:t>生态环境保护规划》相符性分析</w:t>
            </w:r>
          </w:p>
          <w:tbl>
            <w:tblPr>
              <w:tblStyle w:val="38"/>
              <w:tblW w:w="4998"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72"/>
              <w:gridCol w:w="3070"/>
              <w:gridCol w:w="804"/>
            </w:tblGrid>
            <w:tr>
              <w:tblPrEx>
                <w:tblLayout w:type="fixed"/>
              </w:tblPrEx>
              <w:trPr>
                <w:jc w:val="center"/>
              </w:trPr>
              <w:tc>
                <w:tcPr>
                  <w:tcW w:w="709" w:type="dxa"/>
                  <w:vAlign w:val="center"/>
                </w:tcPr>
                <w:p>
                  <w:pPr>
                    <w:pStyle w:val="40"/>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eastAsia" w:ascii="Times New Roman" w:hAnsi="Times New Roman" w:eastAsia="宋体" w:cs="Times New Roman"/>
                      <w:b/>
                      <w:bCs/>
                      <w:color w:val="121212"/>
                      <w:sz w:val="21"/>
                      <w:szCs w:val="21"/>
                      <w:highlight w:val="none"/>
                      <w:lang w:val="en-US" w:eastAsia="zh-CN"/>
                    </w:rPr>
                  </w:pPr>
                  <w:r>
                    <w:rPr>
                      <w:rFonts w:hint="eastAsia" w:ascii="Times New Roman" w:hAnsi="Times New Roman" w:eastAsia="宋体" w:cs="Times New Roman"/>
                      <w:b/>
                      <w:bCs/>
                      <w:color w:val="121212"/>
                      <w:sz w:val="21"/>
                      <w:szCs w:val="21"/>
                      <w:highlight w:val="none"/>
                      <w:lang w:val="en-US" w:eastAsia="zh-CN"/>
                    </w:rPr>
                    <w:t>序号</w:t>
                  </w:r>
                </w:p>
              </w:tc>
              <w:tc>
                <w:tcPr>
                  <w:tcW w:w="3472" w:type="dxa"/>
                  <w:vAlign w:val="center"/>
                </w:tcPr>
                <w:p>
                  <w:pPr>
                    <w:pStyle w:val="40"/>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eastAsia" w:ascii="Times New Roman" w:hAnsi="Times New Roman" w:eastAsia="宋体" w:cs="Times New Roman"/>
                      <w:b/>
                      <w:bCs/>
                      <w:color w:val="121212"/>
                      <w:sz w:val="21"/>
                      <w:szCs w:val="21"/>
                      <w:highlight w:val="none"/>
                      <w:lang w:val="en-US" w:eastAsia="zh-CN"/>
                    </w:rPr>
                  </w:pPr>
                  <w:r>
                    <w:rPr>
                      <w:rFonts w:hint="eastAsia" w:ascii="Times New Roman" w:hAnsi="Times New Roman" w:eastAsia="宋体" w:cs="Times New Roman"/>
                      <w:b/>
                      <w:bCs/>
                      <w:color w:val="121212"/>
                      <w:sz w:val="21"/>
                      <w:szCs w:val="21"/>
                      <w:highlight w:val="none"/>
                      <w:lang w:val="en-US" w:eastAsia="zh-CN"/>
                    </w:rPr>
                    <w:t>相关要求</w:t>
                  </w:r>
                </w:p>
              </w:tc>
              <w:tc>
                <w:tcPr>
                  <w:tcW w:w="3070" w:type="dxa"/>
                  <w:vAlign w:val="center"/>
                </w:tcPr>
                <w:p>
                  <w:pPr>
                    <w:pStyle w:val="40"/>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eastAsia" w:ascii="Times New Roman" w:hAnsi="Times New Roman" w:eastAsia="宋体" w:cs="Times New Roman"/>
                      <w:b/>
                      <w:bCs/>
                      <w:color w:val="121212"/>
                      <w:sz w:val="21"/>
                      <w:szCs w:val="21"/>
                      <w:highlight w:val="none"/>
                      <w:lang w:val="en-US" w:eastAsia="zh-CN"/>
                    </w:rPr>
                  </w:pPr>
                  <w:r>
                    <w:rPr>
                      <w:rFonts w:hint="eastAsia" w:ascii="Times New Roman" w:hAnsi="Times New Roman" w:eastAsia="宋体" w:cs="Times New Roman"/>
                      <w:b/>
                      <w:bCs/>
                      <w:color w:val="121212"/>
                      <w:sz w:val="21"/>
                      <w:szCs w:val="21"/>
                      <w:highlight w:val="none"/>
                      <w:lang w:val="en-US" w:eastAsia="zh-CN"/>
                    </w:rPr>
                    <w:t>本项目情况</w:t>
                  </w:r>
                </w:p>
              </w:tc>
              <w:tc>
                <w:tcPr>
                  <w:tcW w:w="804" w:type="dxa"/>
                  <w:vAlign w:val="center"/>
                </w:tcPr>
                <w:p>
                  <w:pPr>
                    <w:pStyle w:val="40"/>
                    <w:keepNext w:val="0"/>
                    <w:keepLines w:val="0"/>
                    <w:pageBreakBefore w:val="0"/>
                    <w:suppressLineNumbers w:val="0"/>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eastAsia" w:ascii="Times New Roman" w:hAnsi="Times New Roman" w:eastAsia="宋体" w:cs="Times New Roman"/>
                      <w:b/>
                      <w:bCs/>
                      <w:color w:val="121212"/>
                      <w:sz w:val="21"/>
                      <w:szCs w:val="21"/>
                      <w:highlight w:val="none"/>
                      <w:lang w:val="en-US" w:eastAsia="zh-CN"/>
                    </w:rPr>
                  </w:pPr>
                  <w:r>
                    <w:rPr>
                      <w:rFonts w:hint="eastAsia" w:ascii="Times New Roman" w:hAnsi="Times New Roman" w:eastAsia="宋体" w:cs="Times New Roman"/>
                      <w:b/>
                      <w:bCs/>
                      <w:color w:val="121212"/>
                      <w:sz w:val="21"/>
                      <w:szCs w:val="21"/>
                      <w:highlight w:val="none"/>
                      <w:lang w:val="en-US" w:eastAsia="zh-CN"/>
                    </w:rPr>
                    <w:t>分析结论</w:t>
                  </w:r>
                </w:p>
              </w:tc>
            </w:tr>
            <w:tr>
              <w:tblPrEx>
                <w:tblLayout w:type="fixed"/>
              </w:tblPrEx>
              <w:trPr>
                <w:jc w:val="center"/>
              </w:trPr>
              <w:tc>
                <w:tcPr>
                  <w:tcW w:w="709"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auto"/>
                    <w:rPr>
                      <w:rFonts w:hint="eastAsia" w:eastAsia="宋体"/>
                      <w:color w:val="121212"/>
                      <w:sz w:val="21"/>
                      <w:szCs w:val="21"/>
                      <w:highlight w:val="none"/>
                      <w:vertAlign w:val="baseline"/>
                      <w:lang w:val="en-US" w:eastAsia="zh-CN"/>
                    </w:rPr>
                  </w:pPr>
                  <w:r>
                    <w:rPr>
                      <w:rFonts w:hint="eastAsia"/>
                      <w:color w:val="121212"/>
                      <w:sz w:val="21"/>
                      <w:szCs w:val="21"/>
                      <w:highlight w:val="none"/>
                      <w:vertAlign w:val="baseline"/>
                      <w:lang w:val="en-US" w:eastAsia="zh-CN"/>
                    </w:rPr>
                    <w:t>1</w:t>
                  </w:r>
                </w:p>
              </w:tc>
              <w:tc>
                <w:tcPr>
                  <w:tcW w:w="3472" w:type="dxa"/>
                  <w:vAlign w:val="center"/>
                </w:tcPr>
                <w:p>
                  <w:pPr>
                    <w:pStyle w:val="47"/>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121212"/>
                      <w:sz w:val="21"/>
                      <w:szCs w:val="21"/>
                      <w:lang w:val="en-US" w:eastAsia="zh-CN"/>
                    </w:rPr>
                  </w:pPr>
                  <w:r>
                    <w:rPr>
                      <w:rFonts w:hint="eastAsia" w:ascii="Times New Roman" w:hAnsi="Times New Roman" w:eastAsia="宋体" w:cs="Times New Roman"/>
                      <w:color w:val="121212"/>
                      <w:sz w:val="21"/>
                      <w:szCs w:val="21"/>
                      <w:lang w:val="en-US" w:eastAsia="zh-CN"/>
                    </w:rPr>
                    <w:t>三、全面推动绿色转型发展</w:t>
                  </w:r>
                </w:p>
                <w:p>
                  <w:pPr>
                    <w:pStyle w:val="47"/>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121212"/>
                      <w:sz w:val="21"/>
                      <w:szCs w:val="21"/>
                      <w:lang w:val="en-US" w:eastAsia="zh-CN"/>
                    </w:rPr>
                  </w:pPr>
                  <w:r>
                    <w:rPr>
                      <w:rFonts w:hint="eastAsia" w:ascii="Times New Roman" w:hAnsi="Times New Roman" w:eastAsia="宋体" w:cs="Times New Roman"/>
                      <w:color w:val="121212"/>
                      <w:sz w:val="21"/>
                      <w:szCs w:val="21"/>
                      <w:lang w:val="en-US" w:eastAsia="zh-CN"/>
                    </w:rPr>
                    <w:t>（一）加快产业结构转型升级</w:t>
                  </w:r>
                </w:p>
                <w:p>
                  <w:pPr>
                    <w:pStyle w:val="47"/>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121212"/>
                      <w:sz w:val="21"/>
                      <w:szCs w:val="21"/>
                      <w:lang w:val="en-US" w:eastAsia="zh-CN"/>
                    </w:rPr>
                  </w:pPr>
                  <w:r>
                    <w:rPr>
                      <w:rFonts w:hint="eastAsia" w:ascii="Times New Roman" w:hAnsi="Times New Roman" w:eastAsia="宋体" w:cs="Times New Roman"/>
                      <w:color w:val="121212"/>
                      <w:sz w:val="21"/>
                      <w:szCs w:val="21"/>
                      <w:lang w:val="en-US" w:eastAsia="zh-CN"/>
                    </w:rPr>
                    <w:t>以钢铁、水泥、石化、化工、玻璃、有色、印染等行业</w:t>
                  </w:r>
                  <w:r>
                    <w:rPr>
                      <w:rFonts w:hint="default" w:ascii="Times New Roman" w:hAnsi="Times New Roman" w:eastAsia="宋体" w:cs="Times New Roman"/>
                      <w:color w:val="121212"/>
                      <w:sz w:val="21"/>
                      <w:szCs w:val="21"/>
                      <w:lang w:val="en-US" w:eastAsia="zh-CN"/>
                    </w:rPr>
                    <w:t>为重点，开展全流程清洁化、循环化、低碳化改造，促进传统产业绿色转型升级，在火电、钢铁、建材等行业开展减污降碳协同增效。</w:t>
                  </w:r>
                </w:p>
              </w:tc>
              <w:tc>
                <w:tcPr>
                  <w:tcW w:w="3070" w:type="dxa"/>
                  <w:vAlign w:val="center"/>
                </w:tcPr>
                <w:p>
                  <w:pPr>
                    <w:pStyle w:val="47"/>
                    <w:keepNext w:val="0"/>
                    <w:keepLines w:val="0"/>
                    <w:pageBreakBefore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121212"/>
                      <w:sz w:val="21"/>
                      <w:szCs w:val="21"/>
                      <w:lang w:val="en-US" w:eastAsia="zh-CN"/>
                    </w:rPr>
                  </w:pPr>
                  <w:r>
                    <w:rPr>
                      <w:rFonts w:hint="eastAsia" w:ascii="Times New Roman" w:hAnsi="Times New Roman" w:eastAsia="宋体" w:cs="Times New Roman"/>
                      <w:color w:val="121212"/>
                      <w:sz w:val="21"/>
                      <w:szCs w:val="21"/>
                      <w:lang w:val="en-US" w:eastAsia="zh-CN"/>
                    </w:rPr>
                    <w:t>本项目属于</w:t>
                  </w:r>
                  <w:r>
                    <w:rPr>
                      <w:rFonts w:hint="eastAsia" w:cs="Times New Roman"/>
                      <w:color w:val="121212"/>
                      <w:sz w:val="21"/>
                      <w:szCs w:val="21"/>
                      <w:lang w:val="en-US" w:eastAsia="zh-CN"/>
                    </w:rPr>
                    <w:t>改装汽车</w:t>
                  </w:r>
                  <w:r>
                    <w:rPr>
                      <w:rFonts w:hint="eastAsia" w:ascii="Times New Roman" w:hAnsi="Times New Roman" w:eastAsia="宋体" w:cs="Times New Roman"/>
                      <w:color w:val="121212"/>
                      <w:sz w:val="21"/>
                      <w:szCs w:val="21"/>
                      <w:lang w:val="en-US" w:eastAsia="zh-CN"/>
                    </w:rPr>
                    <w:t>制造，</w:t>
                  </w:r>
                  <w:r>
                    <w:rPr>
                      <w:rFonts w:hint="default" w:ascii="Times New Roman" w:hAnsi="Times New Roman" w:eastAsia="宋体" w:cs="Times New Roman"/>
                      <w:color w:val="121212"/>
                      <w:sz w:val="21"/>
                      <w:szCs w:val="21"/>
                      <w:lang w:eastAsia="zh-CN"/>
                    </w:rPr>
                    <w:t>符合国家和地方产业政策</w:t>
                  </w:r>
                  <w:r>
                    <w:rPr>
                      <w:rFonts w:hint="eastAsia" w:ascii="Times New Roman" w:hAnsi="Times New Roman" w:eastAsia="宋体" w:cs="Times New Roman"/>
                      <w:color w:val="121212"/>
                      <w:sz w:val="21"/>
                      <w:szCs w:val="21"/>
                      <w:lang w:eastAsia="zh-CN"/>
                    </w:rPr>
                    <w:t>；</w:t>
                  </w:r>
                  <w:r>
                    <w:rPr>
                      <w:rFonts w:hint="eastAsia" w:ascii="Times New Roman" w:hAnsi="Times New Roman" w:eastAsia="宋体" w:cs="Times New Roman"/>
                      <w:color w:val="121212"/>
                      <w:sz w:val="21"/>
                      <w:szCs w:val="21"/>
                      <w:lang w:val="en-US" w:eastAsia="zh-CN"/>
                    </w:rPr>
                    <w:t>项目采取切实可行的废气污染防治措施，确保废气可达标排放，固体废物妥善处置，厂区采取地面硬化。</w:t>
                  </w:r>
                </w:p>
              </w:tc>
              <w:tc>
                <w:tcPr>
                  <w:tcW w:w="804"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auto"/>
                    <w:rPr>
                      <w:rFonts w:hint="default" w:eastAsia="宋体"/>
                      <w:color w:val="121212"/>
                      <w:sz w:val="21"/>
                      <w:szCs w:val="21"/>
                      <w:highlight w:val="none"/>
                      <w:vertAlign w:val="baseline"/>
                      <w:lang w:val="en-US" w:eastAsia="zh-CN"/>
                    </w:rPr>
                  </w:pPr>
                  <w:r>
                    <w:rPr>
                      <w:rFonts w:hint="eastAsia"/>
                      <w:color w:val="121212"/>
                      <w:sz w:val="21"/>
                      <w:szCs w:val="21"/>
                      <w:highlight w:val="none"/>
                      <w:vertAlign w:val="baseline"/>
                      <w:lang w:val="en-US" w:eastAsia="zh-CN"/>
                    </w:rPr>
                    <w:t>符合</w:t>
                  </w:r>
                </w:p>
              </w:tc>
            </w:tr>
            <w:tr>
              <w:tblPrEx>
                <w:tblLayout w:type="fixed"/>
              </w:tblPrEx>
              <w:trPr>
                <w:jc w:val="center"/>
              </w:trPr>
              <w:tc>
                <w:tcPr>
                  <w:tcW w:w="709"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auto"/>
                    <w:rPr>
                      <w:rFonts w:hint="default"/>
                      <w:color w:val="121212"/>
                      <w:sz w:val="21"/>
                      <w:szCs w:val="21"/>
                      <w:highlight w:val="none"/>
                      <w:vertAlign w:val="baseline"/>
                      <w:lang w:val="en-US" w:eastAsia="zh-CN"/>
                    </w:rPr>
                  </w:pPr>
                  <w:r>
                    <w:rPr>
                      <w:rFonts w:hint="eastAsia"/>
                      <w:color w:val="121212"/>
                      <w:sz w:val="21"/>
                      <w:szCs w:val="21"/>
                      <w:highlight w:val="none"/>
                      <w:vertAlign w:val="baseline"/>
                      <w:lang w:val="en-US" w:eastAsia="zh-CN"/>
                    </w:rPr>
                    <w:t>2</w:t>
                  </w:r>
                </w:p>
              </w:tc>
              <w:tc>
                <w:tcPr>
                  <w:tcW w:w="3472" w:type="dxa"/>
                  <w:vAlign w:val="center"/>
                </w:tcPr>
                <w:p>
                  <w:pPr>
                    <w:pStyle w:val="47"/>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121212"/>
                      <w:sz w:val="21"/>
                      <w:szCs w:val="21"/>
                      <w:lang w:val="en-US" w:eastAsia="zh-CN"/>
                    </w:rPr>
                  </w:pPr>
                  <w:r>
                    <w:rPr>
                      <w:rFonts w:hint="eastAsia" w:ascii="Times New Roman" w:hAnsi="Times New Roman" w:eastAsia="宋体" w:cs="Times New Roman"/>
                      <w:color w:val="121212"/>
                      <w:sz w:val="21"/>
                      <w:szCs w:val="21"/>
                      <w:lang w:val="en-US" w:eastAsia="zh-CN"/>
                    </w:rPr>
                    <w:t>推动能源结构优化</w:t>
                  </w:r>
                </w:p>
                <w:p>
                  <w:pPr>
                    <w:pStyle w:val="47"/>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121212"/>
                      <w:sz w:val="21"/>
                      <w:szCs w:val="21"/>
                      <w:lang w:val="en-US" w:eastAsia="zh-CN"/>
                    </w:rPr>
                  </w:pPr>
                  <w:r>
                    <w:rPr>
                      <w:rFonts w:hint="eastAsia" w:ascii="Times New Roman" w:hAnsi="Times New Roman" w:eastAsia="宋体" w:cs="Times New Roman"/>
                      <w:color w:val="121212"/>
                      <w:sz w:val="21"/>
                      <w:szCs w:val="21"/>
                      <w:lang w:val="en-US" w:eastAsia="zh-CN"/>
                    </w:rPr>
                    <w:t>强化能源消费总量和强度双控制，严格控制能耗强度，有效控制能源消费增量，坚决遏制“两高”项目盲目发展。</w:t>
                  </w:r>
                </w:p>
              </w:tc>
              <w:tc>
                <w:tcPr>
                  <w:tcW w:w="3070" w:type="dxa"/>
                  <w:vAlign w:val="center"/>
                </w:tcPr>
                <w:p>
                  <w:pPr>
                    <w:pStyle w:val="47"/>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121212"/>
                      <w:sz w:val="21"/>
                      <w:szCs w:val="21"/>
                      <w:lang w:val="en-US" w:eastAsia="zh-CN"/>
                    </w:rPr>
                  </w:pPr>
                  <w:r>
                    <w:rPr>
                      <w:rFonts w:hint="eastAsia" w:ascii="Times New Roman" w:hAnsi="Times New Roman" w:eastAsia="宋体" w:cs="Times New Roman"/>
                      <w:color w:val="121212"/>
                      <w:sz w:val="21"/>
                      <w:szCs w:val="21"/>
                      <w:lang w:val="en-US" w:eastAsia="zh-CN"/>
                    </w:rPr>
                    <w:t>本项目</w:t>
                  </w:r>
                  <w:r>
                    <w:rPr>
                      <w:rFonts w:hint="default" w:ascii="Times New Roman" w:hAnsi="Times New Roman" w:eastAsia="宋体" w:cs="Times New Roman"/>
                      <w:color w:val="121212"/>
                      <w:sz w:val="21"/>
                      <w:szCs w:val="21"/>
                      <w:lang w:eastAsia="zh-CN"/>
                    </w:rPr>
                    <w:t>用电由</w:t>
                  </w:r>
                  <w:r>
                    <w:rPr>
                      <w:rFonts w:hint="eastAsia" w:ascii="Times New Roman" w:hAnsi="Times New Roman" w:eastAsia="宋体" w:cs="Times New Roman"/>
                      <w:color w:val="121212"/>
                      <w:sz w:val="21"/>
                      <w:szCs w:val="21"/>
                      <w:lang w:eastAsia="zh-CN"/>
                    </w:rPr>
                    <w:t>市政</w:t>
                  </w:r>
                  <w:r>
                    <w:rPr>
                      <w:rFonts w:hint="default" w:ascii="Times New Roman" w:hAnsi="Times New Roman" w:eastAsia="宋体" w:cs="Times New Roman"/>
                      <w:color w:val="121212"/>
                      <w:sz w:val="21"/>
                      <w:szCs w:val="21"/>
                      <w:lang w:eastAsia="zh-CN"/>
                    </w:rPr>
                    <w:t>供电网提供，用水由市政自来水管网供给，原材料</w:t>
                  </w:r>
                  <w:r>
                    <w:rPr>
                      <w:rFonts w:hint="eastAsia" w:ascii="Times New Roman" w:hAnsi="Times New Roman" w:eastAsia="宋体" w:cs="Times New Roman"/>
                      <w:color w:val="121212"/>
                      <w:sz w:val="21"/>
                      <w:szCs w:val="21"/>
                      <w:lang w:eastAsia="zh-CN"/>
                    </w:rPr>
                    <w:t>均为周边外购，企业以“节能、降耗、减污”为目标，</w:t>
                  </w:r>
                  <w:r>
                    <w:rPr>
                      <w:rFonts w:hint="default" w:ascii="Times New Roman" w:hAnsi="Times New Roman" w:eastAsia="宋体" w:cs="Times New Roman"/>
                      <w:color w:val="121212"/>
                      <w:sz w:val="21"/>
                      <w:szCs w:val="21"/>
                      <w:lang w:eastAsia="zh-CN"/>
                    </w:rPr>
                    <w:t>贯彻清洁生产原则</w:t>
                  </w:r>
                  <w:r>
                    <w:rPr>
                      <w:rFonts w:hint="eastAsia" w:ascii="Times New Roman" w:hAnsi="Times New Roman" w:eastAsia="宋体" w:cs="Times New Roman"/>
                      <w:color w:val="121212"/>
                      <w:sz w:val="21"/>
                      <w:szCs w:val="21"/>
                      <w:lang w:eastAsia="zh-CN"/>
                    </w:rPr>
                    <w:t>。根据《</w:t>
                  </w:r>
                  <w:r>
                    <w:rPr>
                      <w:rFonts w:hint="eastAsia" w:ascii="Times New Roman" w:hAnsi="Times New Roman" w:eastAsia="宋体" w:cs="Times New Roman"/>
                      <w:color w:val="121212"/>
                      <w:sz w:val="21"/>
                      <w:szCs w:val="21"/>
                      <w:lang w:val="en-US" w:eastAsia="zh-CN"/>
                    </w:rPr>
                    <w:t>安徽省节能减排及应对气候变化工作领导小组关于印发安徽省“两高”项目管理目录（试行）的通知</w:t>
                  </w:r>
                  <w:r>
                    <w:rPr>
                      <w:rFonts w:hint="eastAsia" w:ascii="Times New Roman" w:hAnsi="Times New Roman" w:eastAsia="宋体" w:cs="Times New Roman"/>
                      <w:color w:val="121212"/>
                      <w:sz w:val="21"/>
                      <w:szCs w:val="21"/>
                      <w:lang w:eastAsia="zh-CN"/>
                    </w:rPr>
                    <w:t>》可知，本项目不属于“两高”项目</w:t>
                  </w:r>
                  <w:r>
                    <w:rPr>
                      <w:rFonts w:hint="default" w:ascii="Times New Roman" w:hAnsi="Times New Roman" w:eastAsia="宋体" w:cs="Times New Roman"/>
                      <w:color w:val="121212"/>
                      <w:sz w:val="21"/>
                      <w:szCs w:val="21"/>
                      <w:lang w:eastAsia="zh-CN"/>
                    </w:rPr>
                    <w:t>。</w:t>
                  </w:r>
                </w:p>
              </w:tc>
              <w:tc>
                <w:tcPr>
                  <w:tcW w:w="804"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auto"/>
                    <w:rPr>
                      <w:rFonts w:hint="eastAsia"/>
                      <w:color w:val="121212"/>
                      <w:sz w:val="21"/>
                      <w:szCs w:val="21"/>
                      <w:highlight w:val="none"/>
                      <w:vertAlign w:val="baseline"/>
                      <w:lang w:val="en-US" w:eastAsia="zh-CN"/>
                    </w:rPr>
                  </w:pPr>
                  <w:r>
                    <w:rPr>
                      <w:rFonts w:hint="eastAsia"/>
                      <w:color w:val="121212"/>
                      <w:sz w:val="21"/>
                      <w:szCs w:val="21"/>
                      <w:highlight w:val="none"/>
                      <w:vertAlign w:val="baseline"/>
                      <w:lang w:val="en-US" w:eastAsia="zh-CN"/>
                    </w:rPr>
                    <w:t>符合</w:t>
                  </w:r>
                </w:p>
              </w:tc>
            </w:tr>
            <w:tr>
              <w:tblPrEx>
                <w:tblLayout w:type="fixed"/>
              </w:tblPrEx>
              <w:trPr>
                <w:jc w:val="center"/>
              </w:trPr>
              <w:tc>
                <w:tcPr>
                  <w:tcW w:w="709"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auto"/>
                    <w:rPr>
                      <w:rFonts w:hint="default" w:eastAsia="宋体"/>
                      <w:color w:val="121212"/>
                      <w:sz w:val="21"/>
                      <w:szCs w:val="21"/>
                      <w:highlight w:val="none"/>
                      <w:vertAlign w:val="baseline"/>
                      <w:lang w:val="en-US" w:eastAsia="zh-CN"/>
                    </w:rPr>
                  </w:pPr>
                  <w:r>
                    <w:rPr>
                      <w:rFonts w:hint="eastAsia"/>
                      <w:color w:val="121212"/>
                      <w:sz w:val="21"/>
                      <w:szCs w:val="21"/>
                      <w:highlight w:val="none"/>
                      <w:vertAlign w:val="baseline"/>
                      <w:lang w:val="en-US" w:eastAsia="zh-CN"/>
                    </w:rPr>
                    <w:t>3</w:t>
                  </w:r>
                </w:p>
              </w:tc>
              <w:tc>
                <w:tcPr>
                  <w:tcW w:w="3472" w:type="dxa"/>
                  <w:vAlign w:val="center"/>
                </w:tcPr>
                <w:p>
                  <w:pPr>
                    <w:keepNext w:val="0"/>
                    <w:keepLines w:val="0"/>
                    <w:pageBreakBefore w:val="0"/>
                    <w:widowControl/>
                    <w:suppressLineNumbers w:val="0"/>
                    <w:kinsoku/>
                    <w:wordWrap/>
                    <w:overflowPunct/>
                    <w:topLinePunct w:val="0"/>
                    <w:autoSpaceDE/>
                    <w:autoSpaceDN/>
                    <w:bidi w:val="0"/>
                    <w:spacing w:line="240" w:lineRule="auto"/>
                    <w:ind w:firstLine="420" w:firstLineChars="200"/>
                    <w:jc w:val="both"/>
                    <w:textAlignment w:val="auto"/>
                    <w:rPr>
                      <w:rFonts w:hint="default" w:ascii="Times New Roman" w:hAnsi="Times New Roman" w:eastAsia="宋体" w:cs="Times New Roman"/>
                      <w:color w:val="121212"/>
                      <w:kern w:val="2"/>
                      <w:sz w:val="21"/>
                      <w:szCs w:val="21"/>
                      <w:lang w:val="en-US" w:eastAsia="zh-CN" w:bidi="ar-SA"/>
                    </w:rPr>
                  </w:pPr>
                  <w:r>
                    <w:rPr>
                      <w:rFonts w:hint="eastAsia" w:ascii="Times New Roman" w:hAnsi="Times New Roman" w:eastAsia="宋体" w:cs="Times New Roman"/>
                      <w:color w:val="121212"/>
                      <w:kern w:val="2"/>
                      <w:sz w:val="21"/>
                      <w:szCs w:val="21"/>
                      <w:lang w:val="en-US" w:eastAsia="zh-CN" w:bidi="ar-SA"/>
                    </w:rPr>
                    <w:t>（三）深入打好蓝天碧水净土保卫战</w:t>
                  </w:r>
                </w:p>
                <w:p>
                  <w:pPr>
                    <w:keepNext w:val="0"/>
                    <w:keepLines w:val="0"/>
                    <w:pageBreakBefore w:val="0"/>
                    <w:widowControl/>
                    <w:suppressLineNumbers w:val="0"/>
                    <w:kinsoku/>
                    <w:wordWrap/>
                    <w:overflowPunct/>
                    <w:topLinePunct w:val="0"/>
                    <w:autoSpaceDE/>
                    <w:autoSpaceDN/>
                    <w:bidi w:val="0"/>
                    <w:spacing w:line="240" w:lineRule="auto"/>
                    <w:ind w:firstLine="420" w:firstLineChars="200"/>
                    <w:jc w:val="both"/>
                    <w:textAlignment w:val="auto"/>
                    <w:rPr>
                      <w:rFonts w:hint="eastAsia" w:ascii="Times New Roman" w:hAnsi="Times New Roman" w:eastAsia="宋体" w:cs="Times New Roman"/>
                      <w:color w:val="121212"/>
                      <w:kern w:val="2"/>
                      <w:sz w:val="21"/>
                      <w:szCs w:val="21"/>
                      <w:lang w:val="en-US" w:eastAsia="zh-CN" w:bidi="ar-SA"/>
                    </w:rPr>
                  </w:pPr>
                  <w:r>
                    <w:rPr>
                      <w:rFonts w:hint="eastAsia" w:ascii="Times New Roman" w:hAnsi="Times New Roman" w:eastAsia="宋体" w:cs="Times New Roman"/>
                      <w:color w:val="121212"/>
                      <w:kern w:val="2"/>
                      <w:sz w:val="21"/>
                      <w:szCs w:val="21"/>
                      <w:lang w:val="en-US" w:eastAsia="zh-CN" w:bidi="ar-SA"/>
                    </w:rPr>
                    <w:t>1.精准施策，持续改善大气环境</w:t>
                  </w:r>
                </w:p>
                <w:p>
                  <w:pPr>
                    <w:keepNext w:val="0"/>
                    <w:keepLines w:val="0"/>
                    <w:pageBreakBefore w:val="0"/>
                    <w:widowControl/>
                    <w:suppressLineNumbers w:val="0"/>
                    <w:kinsoku/>
                    <w:wordWrap/>
                    <w:overflowPunct/>
                    <w:topLinePunct w:val="0"/>
                    <w:autoSpaceDE/>
                    <w:autoSpaceDN/>
                    <w:bidi w:val="0"/>
                    <w:spacing w:line="240" w:lineRule="auto"/>
                    <w:ind w:firstLine="420" w:firstLineChars="200"/>
                    <w:jc w:val="both"/>
                    <w:textAlignment w:val="auto"/>
                    <w:rPr>
                      <w:rFonts w:hint="default" w:ascii="Times New Roman" w:hAnsi="Times New Roman" w:eastAsia="宋体" w:cs="Times New Roman"/>
                      <w:color w:val="121212"/>
                      <w:kern w:val="2"/>
                      <w:sz w:val="21"/>
                      <w:szCs w:val="21"/>
                      <w:lang w:val="en-US" w:eastAsia="zh-CN" w:bidi="ar-SA"/>
                    </w:rPr>
                  </w:pPr>
                  <w:r>
                    <w:rPr>
                      <w:rFonts w:hint="default" w:ascii="Times New Roman" w:hAnsi="Times New Roman" w:eastAsia="宋体" w:cs="Times New Roman"/>
                      <w:color w:val="121212"/>
                      <w:kern w:val="2"/>
                      <w:sz w:val="21"/>
                      <w:szCs w:val="21"/>
                      <w:lang w:val="en-US" w:eastAsia="zh-CN" w:bidi="ar-SA"/>
                    </w:rPr>
                    <w:t>（1）坚持分区施策，加强污染协同控制。梯次推进城市空气环境质量改善，已达标的城市，应当加强保护并持续改善，未达标的城市，制定实施限期达标规划，明确阶段性改善目标、达标时间表、路线图和实施的重点任务。到 2025年，已达标城市（芜湖市、宣城市、黄山市、池州市、铜陵市）空气环境质量持续改善</w:t>
                  </w:r>
                  <w:r>
                    <w:rPr>
                      <w:rFonts w:hint="eastAsia" w:ascii="Times New Roman" w:hAnsi="Times New Roman" w:eastAsia="宋体" w:cs="Times New Roman"/>
                      <w:color w:val="121212"/>
                      <w:kern w:val="2"/>
                      <w:sz w:val="21"/>
                      <w:szCs w:val="21"/>
                      <w:lang w:val="en-US" w:eastAsia="zh-CN" w:bidi="ar-SA"/>
                    </w:rPr>
                    <w:t>。</w:t>
                  </w:r>
                </w:p>
              </w:tc>
              <w:tc>
                <w:tcPr>
                  <w:tcW w:w="3070" w:type="dxa"/>
                  <w:vAlign w:val="center"/>
                </w:tcPr>
                <w:p>
                  <w:pPr>
                    <w:pStyle w:val="47"/>
                    <w:keepNext w:val="0"/>
                    <w:keepLines w:val="0"/>
                    <w:pageBreakBefore w:val="0"/>
                    <w:kinsoku/>
                    <w:wordWrap/>
                    <w:overflowPunct/>
                    <w:topLinePunct w:val="0"/>
                    <w:autoSpaceDE/>
                    <w:autoSpaceDN/>
                    <w:bidi w:val="0"/>
                    <w:spacing w:line="240" w:lineRule="auto"/>
                    <w:jc w:val="center"/>
                    <w:textAlignment w:val="auto"/>
                    <w:rPr>
                      <w:rFonts w:hint="eastAsia" w:ascii="Times New Roman" w:hAnsi="Times New Roman" w:eastAsia="宋体" w:cs="Times New Roman"/>
                      <w:color w:val="121212"/>
                      <w:kern w:val="2"/>
                      <w:sz w:val="21"/>
                      <w:szCs w:val="21"/>
                      <w:lang w:val="en-US" w:eastAsia="zh-CN" w:bidi="ar-SA"/>
                    </w:rPr>
                  </w:pPr>
                  <w:r>
                    <w:rPr>
                      <w:rFonts w:hint="default" w:ascii="Times New Roman" w:hAnsi="Times New Roman" w:eastAsia="宋体" w:cs="Times New Roman"/>
                      <w:color w:val="121212"/>
                      <w:kern w:val="2"/>
                      <w:sz w:val="21"/>
                      <w:szCs w:val="21"/>
                      <w:lang w:val="en-US" w:eastAsia="zh-CN" w:bidi="ar-SA"/>
                    </w:rPr>
                    <w:t>根据</w:t>
                  </w:r>
                  <w:r>
                    <w:rPr>
                      <w:rFonts w:hint="eastAsia" w:ascii="Times New Roman" w:hAnsi="Times New Roman" w:eastAsia="宋体" w:cs="Times New Roman"/>
                      <w:color w:val="121212"/>
                      <w:kern w:val="2"/>
                      <w:sz w:val="21"/>
                      <w:szCs w:val="21"/>
                      <w:lang w:val="en-US" w:eastAsia="zh-CN" w:bidi="ar-SA"/>
                    </w:rPr>
                    <w:t>《</w:t>
                  </w:r>
                  <w:r>
                    <w:rPr>
                      <w:rFonts w:hint="eastAsia" w:ascii="Times New Roman" w:hAnsi="Times New Roman" w:eastAsia="宋体" w:cs="Times New Roman"/>
                      <w:color w:val="121212"/>
                      <w:sz w:val="21"/>
                      <w:szCs w:val="21"/>
                      <w:highlight w:val="none"/>
                      <w:lang w:val="en-US" w:eastAsia="zh-CN"/>
                    </w:rPr>
                    <w:t>宿州市202</w:t>
                  </w:r>
                  <w:r>
                    <w:rPr>
                      <w:rFonts w:hint="eastAsia" w:cs="Times New Roman"/>
                      <w:color w:val="121212"/>
                      <w:sz w:val="21"/>
                      <w:szCs w:val="21"/>
                      <w:highlight w:val="none"/>
                      <w:lang w:val="en-US" w:eastAsia="zh-CN"/>
                    </w:rPr>
                    <w:t>2</w:t>
                  </w:r>
                  <w:r>
                    <w:rPr>
                      <w:rFonts w:hint="eastAsia" w:ascii="Times New Roman" w:hAnsi="Times New Roman" w:eastAsia="宋体" w:cs="Times New Roman"/>
                      <w:color w:val="121212"/>
                      <w:sz w:val="21"/>
                      <w:szCs w:val="21"/>
                      <w:highlight w:val="none"/>
                      <w:lang w:val="en-US" w:eastAsia="zh-CN"/>
                    </w:rPr>
                    <w:t>年环境质量状况报告</w:t>
                  </w:r>
                  <w:r>
                    <w:rPr>
                      <w:rFonts w:hint="eastAsia" w:ascii="Times New Roman" w:hAnsi="Times New Roman" w:eastAsia="宋体" w:cs="Times New Roman"/>
                      <w:color w:val="121212"/>
                      <w:kern w:val="2"/>
                      <w:sz w:val="21"/>
                      <w:szCs w:val="21"/>
                      <w:lang w:val="en-US" w:eastAsia="zh-CN" w:bidi="ar-SA"/>
                    </w:rPr>
                    <w:t>》</w:t>
                  </w:r>
                  <w:r>
                    <w:rPr>
                      <w:rFonts w:hint="default" w:ascii="Times New Roman" w:hAnsi="Times New Roman" w:eastAsia="宋体" w:cs="Times New Roman"/>
                      <w:color w:val="121212"/>
                      <w:kern w:val="2"/>
                      <w:sz w:val="21"/>
                      <w:szCs w:val="21"/>
                      <w:lang w:val="en-US" w:eastAsia="zh-CN" w:bidi="ar-SA"/>
                    </w:rPr>
                    <w:t>，项目所在区域空气质量为达标区</w:t>
                  </w:r>
                  <w:r>
                    <w:rPr>
                      <w:rFonts w:hint="eastAsia" w:ascii="Times New Roman" w:hAnsi="Times New Roman" w:eastAsia="宋体" w:cs="Times New Roman"/>
                      <w:color w:val="121212"/>
                      <w:kern w:val="2"/>
                      <w:sz w:val="21"/>
                      <w:szCs w:val="21"/>
                      <w:lang w:val="en-US" w:eastAsia="zh-CN" w:bidi="ar-SA"/>
                    </w:rPr>
                    <w:t>；</w:t>
                  </w:r>
                  <w:r>
                    <w:rPr>
                      <w:color w:val="121212"/>
                    </w:rPr>
                    <w:t>汇入洪泽湖跨省界河流和汇入沱湖跨市界河流水质全部达到Ⅲ类，</w:t>
                  </w:r>
                  <w:r>
                    <w:rPr>
                      <w:rFonts w:hint="default" w:ascii="Times New Roman" w:hAnsi="Times New Roman" w:eastAsia="宋体" w:cs="Times New Roman"/>
                      <w:color w:val="121212"/>
                      <w:kern w:val="2"/>
                      <w:sz w:val="21"/>
                      <w:szCs w:val="21"/>
                      <w:lang w:val="en-US" w:eastAsia="zh-CN" w:bidi="ar-SA"/>
                    </w:rPr>
                    <w:t>区域声环境达到《声环境质量标准》(GB3096-2008)中</w:t>
                  </w:r>
                  <w:r>
                    <w:rPr>
                      <w:rFonts w:hint="eastAsia" w:ascii="Times New Roman" w:hAnsi="Times New Roman" w:eastAsia="宋体" w:cs="Times New Roman"/>
                      <w:color w:val="121212"/>
                      <w:kern w:val="2"/>
                      <w:sz w:val="21"/>
                      <w:szCs w:val="21"/>
                      <w:lang w:val="en-US" w:eastAsia="zh-CN" w:bidi="ar-SA"/>
                    </w:rPr>
                    <w:t>3</w:t>
                  </w:r>
                  <w:r>
                    <w:rPr>
                      <w:rFonts w:hint="default" w:ascii="Times New Roman" w:hAnsi="Times New Roman" w:eastAsia="宋体" w:cs="Times New Roman"/>
                      <w:color w:val="121212"/>
                      <w:kern w:val="2"/>
                      <w:sz w:val="21"/>
                      <w:szCs w:val="21"/>
                      <w:lang w:val="en-US" w:eastAsia="zh-CN" w:bidi="ar-SA"/>
                    </w:rPr>
                    <w:t>类标准</w:t>
                  </w:r>
                  <w:r>
                    <w:rPr>
                      <w:rFonts w:hint="eastAsia" w:cs="Times New Roman"/>
                      <w:color w:val="121212"/>
                      <w:kern w:val="2"/>
                      <w:sz w:val="21"/>
                      <w:szCs w:val="21"/>
                      <w:lang w:val="en-US" w:eastAsia="zh-CN" w:bidi="ar-SA"/>
                    </w:rPr>
                    <w:t>；</w:t>
                  </w:r>
                  <w:r>
                    <w:rPr>
                      <w:rFonts w:hint="default" w:ascii="Times New Roman" w:hAnsi="Times New Roman" w:eastAsia="宋体" w:cs="Times New Roman"/>
                      <w:color w:val="121212"/>
                      <w:kern w:val="2"/>
                      <w:sz w:val="21"/>
                      <w:szCs w:val="21"/>
                      <w:lang w:val="en-US" w:eastAsia="zh-CN" w:bidi="ar-SA"/>
                    </w:rPr>
                    <w:t>本项目建设后营运期产生的各项污染物通过相应的治理措施处理后均可达标排放，本项目环境风险可控制在安全范围内，因此，本项目的建设对区域环境质量影响较小，符合要求。</w:t>
                  </w:r>
                </w:p>
              </w:tc>
              <w:tc>
                <w:tcPr>
                  <w:tcW w:w="804"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auto"/>
                    <w:rPr>
                      <w:rFonts w:hint="default"/>
                      <w:color w:val="121212"/>
                      <w:sz w:val="21"/>
                      <w:szCs w:val="21"/>
                      <w:highlight w:val="none"/>
                      <w:vertAlign w:val="baseline"/>
                      <w:lang w:val="en-US" w:eastAsia="zh-CN"/>
                    </w:rPr>
                  </w:pPr>
                  <w:r>
                    <w:rPr>
                      <w:rFonts w:hint="eastAsia"/>
                      <w:color w:val="121212"/>
                      <w:sz w:val="21"/>
                      <w:szCs w:val="21"/>
                      <w:highlight w:val="none"/>
                      <w:vertAlign w:val="baseline"/>
                      <w:lang w:val="en-US" w:eastAsia="zh-CN"/>
                    </w:rPr>
                    <w:t>符合</w:t>
                  </w:r>
                </w:p>
              </w:tc>
            </w:tr>
            <w:tr>
              <w:tblPrEx>
                <w:tblLayout w:type="fixed"/>
              </w:tblPrEx>
              <w:trPr>
                <w:jc w:val="center"/>
              </w:trPr>
              <w:tc>
                <w:tcPr>
                  <w:tcW w:w="709"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auto"/>
                    <w:rPr>
                      <w:rFonts w:hint="default"/>
                      <w:color w:val="121212"/>
                      <w:sz w:val="21"/>
                      <w:szCs w:val="21"/>
                      <w:highlight w:val="none"/>
                      <w:vertAlign w:val="baseline"/>
                      <w:lang w:val="en-US" w:eastAsia="zh-CN"/>
                    </w:rPr>
                  </w:pPr>
                  <w:r>
                    <w:rPr>
                      <w:rFonts w:hint="eastAsia"/>
                      <w:color w:val="121212"/>
                      <w:sz w:val="21"/>
                      <w:szCs w:val="21"/>
                      <w:highlight w:val="none"/>
                      <w:vertAlign w:val="baseline"/>
                      <w:lang w:val="en-US" w:eastAsia="zh-CN"/>
                    </w:rPr>
                    <w:t>4</w:t>
                  </w:r>
                </w:p>
              </w:tc>
              <w:tc>
                <w:tcPr>
                  <w:tcW w:w="3472" w:type="dxa"/>
                  <w:vAlign w:val="center"/>
                </w:tcPr>
                <w:p>
                  <w:pPr>
                    <w:keepNext w:val="0"/>
                    <w:keepLines w:val="0"/>
                    <w:pageBreakBefore w:val="0"/>
                    <w:widowControl/>
                    <w:numPr>
                      <w:ilvl w:val="0"/>
                      <w:numId w:val="0"/>
                    </w:numPr>
                    <w:suppressLineNumbers w:val="0"/>
                    <w:kinsoku/>
                    <w:wordWrap/>
                    <w:overflowPunct/>
                    <w:topLinePunct w:val="0"/>
                    <w:autoSpaceDE/>
                    <w:autoSpaceDN/>
                    <w:bidi w:val="0"/>
                    <w:spacing w:line="240" w:lineRule="auto"/>
                    <w:ind w:firstLine="420" w:firstLineChars="200"/>
                    <w:jc w:val="both"/>
                    <w:textAlignment w:val="auto"/>
                    <w:rPr>
                      <w:rFonts w:hint="default" w:ascii="Times New Roman" w:hAnsi="Times New Roman" w:eastAsia="宋体" w:cs="Times New Roman"/>
                      <w:color w:val="121212"/>
                      <w:kern w:val="2"/>
                      <w:sz w:val="21"/>
                      <w:szCs w:val="21"/>
                      <w:lang w:val="en-US" w:eastAsia="zh-CN" w:bidi="ar-SA"/>
                    </w:rPr>
                  </w:pPr>
                  <w:r>
                    <w:rPr>
                      <w:rFonts w:hint="default" w:ascii="Times New Roman" w:hAnsi="Times New Roman" w:eastAsia="宋体" w:cs="Times New Roman"/>
                      <w:color w:val="121212"/>
                      <w:kern w:val="2"/>
                      <w:sz w:val="21"/>
                      <w:szCs w:val="21"/>
                      <w:lang w:val="en-US" w:eastAsia="zh-CN" w:bidi="ar-SA"/>
                    </w:rPr>
                    <w:t>（六）严防生态环境风险</w:t>
                  </w:r>
                </w:p>
                <w:p>
                  <w:pPr>
                    <w:keepNext w:val="0"/>
                    <w:keepLines w:val="0"/>
                    <w:pageBreakBefore w:val="0"/>
                    <w:widowControl/>
                    <w:numPr>
                      <w:ilvl w:val="0"/>
                      <w:numId w:val="0"/>
                    </w:numPr>
                    <w:suppressLineNumbers w:val="0"/>
                    <w:kinsoku/>
                    <w:wordWrap/>
                    <w:overflowPunct/>
                    <w:topLinePunct w:val="0"/>
                    <w:autoSpaceDE/>
                    <w:autoSpaceDN/>
                    <w:bidi w:val="0"/>
                    <w:spacing w:line="240" w:lineRule="auto"/>
                    <w:ind w:firstLine="420" w:firstLineChars="200"/>
                    <w:jc w:val="both"/>
                    <w:textAlignment w:val="auto"/>
                    <w:rPr>
                      <w:rFonts w:hint="default" w:ascii="Times New Roman" w:hAnsi="Times New Roman" w:eastAsia="宋体" w:cs="Times New Roman"/>
                      <w:color w:val="121212"/>
                      <w:kern w:val="2"/>
                      <w:sz w:val="21"/>
                      <w:szCs w:val="21"/>
                      <w:lang w:val="en-US" w:eastAsia="zh-CN" w:bidi="ar-SA"/>
                    </w:rPr>
                  </w:pPr>
                  <w:r>
                    <w:rPr>
                      <w:rFonts w:hint="default" w:ascii="Times New Roman" w:hAnsi="Times New Roman" w:eastAsia="宋体" w:cs="Times New Roman"/>
                      <w:color w:val="121212"/>
                      <w:kern w:val="2"/>
                      <w:sz w:val="21"/>
                      <w:szCs w:val="21"/>
                      <w:lang w:val="en-US" w:eastAsia="zh-CN" w:bidi="ar-SA"/>
                    </w:rPr>
                    <w:t>2.强化固体废物、重金属、新污染物环境风险防控</w:t>
                  </w:r>
                </w:p>
                <w:p>
                  <w:pPr>
                    <w:keepNext w:val="0"/>
                    <w:keepLines w:val="0"/>
                    <w:pageBreakBefore w:val="0"/>
                    <w:widowControl/>
                    <w:numPr>
                      <w:ilvl w:val="0"/>
                      <w:numId w:val="0"/>
                    </w:numPr>
                    <w:suppressLineNumbers w:val="0"/>
                    <w:kinsoku/>
                    <w:wordWrap/>
                    <w:overflowPunct/>
                    <w:topLinePunct w:val="0"/>
                    <w:autoSpaceDE/>
                    <w:autoSpaceDN/>
                    <w:bidi w:val="0"/>
                    <w:spacing w:line="240" w:lineRule="auto"/>
                    <w:ind w:firstLine="420" w:firstLineChars="200"/>
                    <w:jc w:val="both"/>
                    <w:textAlignment w:val="auto"/>
                    <w:rPr>
                      <w:rFonts w:hint="default" w:ascii="Times New Roman" w:hAnsi="Times New Roman" w:eastAsia="宋体" w:cs="Times New Roman"/>
                      <w:color w:val="121212"/>
                      <w:kern w:val="2"/>
                      <w:sz w:val="21"/>
                      <w:szCs w:val="21"/>
                      <w:lang w:val="en-US" w:eastAsia="zh-CN" w:bidi="ar-SA"/>
                    </w:rPr>
                  </w:pPr>
                  <w:r>
                    <w:rPr>
                      <w:rFonts w:hint="default" w:ascii="Times New Roman" w:hAnsi="Times New Roman" w:eastAsia="宋体" w:cs="Times New Roman"/>
                      <w:color w:val="121212"/>
                      <w:kern w:val="2"/>
                      <w:sz w:val="21"/>
                      <w:szCs w:val="21"/>
                      <w:lang w:val="en-US" w:eastAsia="zh-CN" w:bidi="ar-SA"/>
                    </w:rPr>
                    <w:t>（1）加强固体废物污染防治。积极推动合肥及沿江沿淮城市开展“无废城市”建设。</w:t>
                  </w:r>
                </w:p>
                <w:p>
                  <w:pPr>
                    <w:keepNext w:val="0"/>
                    <w:keepLines w:val="0"/>
                    <w:pageBreakBefore w:val="0"/>
                    <w:widowControl/>
                    <w:suppressLineNumbers w:val="0"/>
                    <w:kinsoku/>
                    <w:wordWrap/>
                    <w:overflowPunct/>
                    <w:topLinePunct w:val="0"/>
                    <w:autoSpaceDE/>
                    <w:autoSpaceDN/>
                    <w:bidi w:val="0"/>
                    <w:spacing w:line="240" w:lineRule="auto"/>
                    <w:ind w:firstLine="420" w:firstLineChars="200"/>
                    <w:jc w:val="both"/>
                    <w:textAlignment w:val="auto"/>
                    <w:rPr>
                      <w:rFonts w:hint="default" w:ascii="Times New Roman" w:hAnsi="Times New Roman" w:eastAsia="宋体" w:cs="Times New Roman"/>
                      <w:color w:val="121212"/>
                      <w:kern w:val="2"/>
                      <w:sz w:val="21"/>
                      <w:szCs w:val="21"/>
                      <w:lang w:val="en-US" w:eastAsia="zh-CN" w:bidi="ar-SA"/>
                    </w:rPr>
                  </w:pPr>
                  <w:r>
                    <w:rPr>
                      <w:rFonts w:hint="default" w:ascii="Times New Roman" w:hAnsi="Times New Roman" w:eastAsia="宋体" w:cs="Times New Roman"/>
                      <w:color w:val="121212"/>
                      <w:kern w:val="2"/>
                      <w:sz w:val="21"/>
                      <w:szCs w:val="21"/>
                      <w:lang w:val="en-US" w:eastAsia="zh-CN" w:bidi="ar-SA"/>
                    </w:rPr>
                    <w:t>（2）强化危险废物环境监管。着力加强危险废物环境监管能力建设，提升人员监管能力和水平，加快省内危险废物鉴别机构建设。落实危险废物分级分类管理，深入排查危险废物环境风险隐患，持续开展危险废物专项整治，严厉打击涉危险废物违法犯罪行为。</w:t>
                  </w:r>
                </w:p>
              </w:tc>
              <w:tc>
                <w:tcPr>
                  <w:tcW w:w="3070" w:type="dxa"/>
                  <w:vAlign w:val="center"/>
                </w:tcPr>
                <w:p>
                  <w:pPr>
                    <w:pStyle w:val="47"/>
                    <w:keepNext w:val="0"/>
                    <w:keepLines w:val="0"/>
                    <w:pageBreakBefore w:val="0"/>
                    <w:kinsoku/>
                    <w:wordWrap/>
                    <w:overflowPunct/>
                    <w:topLinePunct w:val="0"/>
                    <w:autoSpaceDE/>
                    <w:autoSpaceDN/>
                    <w:bidi w:val="0"/>
                    <w:spacing w:line="240" w:lineRule="auto"/>
                    <w:ind w:firstLine="0" w:firstLineChars="0"/>
                    <w:jc w:val="center"/>
                    <w:textAlignment w:val="auto"/>
                    <w:rPr>
                      <w:rFonts w:hint="default" w:ascii="Times New Roman" w:hAnsi="Times New Roman" w:eastAsia="宋体" w:cs="Times New Roman"/>
                      <w:color w:val="121212"/>
                      <w:kern w:val="2"/>
                      <w:sz w:val="21"/>
                      <w:szCs w:val="21"/>
                      <w:lang w:val="en-US" w:eastAsia="zh-CN" w:bidi="ar-SA"/>
                    </w:rPr>
                  </w:pPr>
                  <w:r>
                    <w:rPr>
                      <w:rFonts w:hint="default" w:ascii="Times New Roman" w:hAnsi="Times New Roman" w:eastAsia="宋体" w:cs="Times New Roman"/>
                      <w:color w:val="121212"/>
                      <w:kern w:val="2"/>
                      <w:sz w:val="21"/>
                      <w:szCs w:val="21"/>
                      <w:lang w:val="en-US" w:eastAsia="zh-CN" w:bidi="ar-SA"/>
                    </w:rPr>
                    <w:t>本项目产生</w:t>
                  </w:r>
                  <w:r>
                    <w:rPr>
                      <w:rFonts w:hint="eastAsia" w:ascii="Times New Roman" w:hAnsi="Times New Roman" w:eastAsia="宋体" w:cs="Times New Roman"/>
                      <w:color w:val="121212"/>
                      <w:kern w:val="2"/>
                      <w:sz w:val="21"/>
                      <w:szCs w:val="21"/>
                      <w:lang w:val="en-US" w:eastAsia="zh-CN" w:bidi="ar-SA"/>
                    </w:rPr>
                    <w:t>的各类</w:t>
                  </w:r>
                  <w:r>
                    <w:rPr>
                      <w:rFonts w:hint="default" w:ascii="Times New Roman" w:hAnsi="Times New Roman" w:eastAsia="宋体" w:cs="Times New Roman"/>
                      <w:color w:val="121212"/>
                      <w:kern w:val="2"/>
                      <w:sz w:val="21"/>
                      <w:szCs w:val="21"/>
                      <w:lang w:val="en-US" w:eastAsia="zh-CN" w:bidi="ar-SA"/>
                    </w:rPr>
                    <w:t>固体废物</w:t>
                  </w:r>
                  <w:r>
                    <w:rPr>
                      <w:rFonts w:hint="eastAsia" w:ascii="Times New Roman" w:hAnsi="Times New Roman" w:eastAsia="宋体" w:cs="Times New Roman"/>
                      <w:color w:val="121212"/>
                      <w:kern w:val="2"/>
                      <w:sz w:val="21"/>
                      <w:szCs w:val="21"/>
                      <w:lang w:val="en-US" w:eastAsia="zh-CN" w:bidi="ar-SA"/>
                    </w:rPr>
                    <w:t>均能</w:t>
                  </w:r>
                  <w:r>
                    <w:rPr>
                      <w:rFonts w:hint="default" w:ascii="Times New Roman" w:hAnsi="Times New Roman" w:eastAsia="宋体" w:cs="Times New Roman"/>
                      <w:color w:val="121212"/>
                      <w:kern w:val="2"/>
                      <w:sz w:val="21"/>
                      <w:szCs w:val="21"/>
                      <w:lang w:val="en-US" w:eastAsia="zh-CN" w:bidi="ar-SA"/>
                    </w:rPr>
                    <w:t>妥善</w:t>
                  </w:r>
                  <w:r>
                    <w:rPr>
                      <w:rFonts w:hint="eastAsia" w:ascii="Times New Roman" w:hAnsi="Times New Roman" w:eastAsia="宋体" w:cs="Times New Roman"/>
                      <w:color w:val="121212"/>
                      <w:kern w:val="2"/>
                      <w:sz w:val="21"/>
                      <w:szCs w:val="21"/>
                      <w:lang w:val="en-US" w:eastAsia="zh-CN" w:bidi="ar-SA"/>
                    </w:rPr>
                    <w:t>收集和</w:t>
                  </w:r>
                  <w:r>
                    <w:rPr>
                      <w:rFonts w:hint="default" w:ascii="Times New Roman" w:hAnsi="Times New Roman" w:eastAsia="宋体" w:cs="Times New Roman"/>
                      <w:color w:val="121212"/>
                      <w:kern w:val="2"/>
                      <w:sz w:val="21"/>
                      <w:szCs w:val="21"/>
                      <w:lang w:val="en-US" w:eastAsia="zh-CN" w:bidi="ar-SA"/>
                    </w:rPr>
                    <w:t>处置。</w:t>
                  </w:r>
                </w:p>
              </w:tc>
              <w:tc>
                <w:tcPr>
                  <w:tcW w:w="804" w:type="dxa"/>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firstLine="0" w:firstLineChars="0"/>
                    <w:jc w:val="center"/>
                    <w:textAlignment w:val="auto"/>
                    <w:rPr>
                      <w:rFonts w:hint="eastAsia"/>
                      <w:color w:val="121212"/>
                      <w:sz w:val="21"/>
                      <w:szCs w:val="21"/>
                      <w:highlight w:val="none"/>
                      <w:vertAlign w:val="baseline"/>
                      <w:lang w:val="en-US" w:eastAsia="zh-CN"/>
                    </w:rPr>
                  </w:pPr>
                  <w:r>
                    <w:rPr>
                      <w:rFonts w:hint="eastAsia"/>
                      <w:color w:val="121212"/>
                      <w:sz w:val="21"/>
                      <w:szCs w:val="21"/>
                      <w:highlight w:val="none"/>
                      <w:vertAlign w:val="baseline"/>
                      <w:lang w:val="en-US" w:eastAsia="zh-CN"/>
                    </w:rPr>
                    <w:t>符合</w:t>
                  </w:r>
                </w:p>
              </w:tc>
            </w:tr>
          </w:tbl>
          <w:p>
            <w:pPr>
              <w:numPr>
                <w:ilvl w:val="0"/>
                <w:numId w:val="0"/>
              </w:numPr>
              <w:ind w:left="0" w:leftChars="0" w:firstLine="0" w:firstLineChars="0"/>
              <w:rPr>
                <w:rFonts w:hint="default" w:ascii="Times New Roman" w:hAnsi="Times New Roman" w:eastAsia="宋体" w:cstheme="minorBidi"/>
                <w:color w:val="121212"/>
                <w:kern w:val="2"/>
                <w:sz w:val="24"/>
                <w:szCs w:val="24"/>
                <w:highlight w:val="none"/>
                <w:vertAlign w:val="baseline"/>
                <w:lang w:val="en-US" w:eastAsia="zh-CN" w:bidi="ar-SA"/>
              </w:rPr>
            </w:pPr>
          </w:p>
        </w:tc>
      </w:tr>
    </w:tbl>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5"/>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二、建设项目工程分析</w:t>
      </w:r>
    </w:p>
    <w:tbl>
      <w:tblPr>
        <w:tblStyle w:val="38"/>
        <w:tblW w:w="9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651"/>
      </w:tblGrid>
      <w:tr>
        <w:tblPrEx>
          <w:tblLayout w:type="fixed"/>
        </w:tblPrEx>
        <w:tc>
          <w:tcPr>
            <w:tcW w:w="726" w:type="dxa"/>
            <w:vAlign w:val="center"/>
          </w:tcPr>
          <w:p>
            <w:pPr>
              <w:pStyle w:val="22"/>
              <w:numPr>
                <w:ilvl w:val="0"/>
                <w:numId w:val="0"/>
              </w:numPr>
              <w:jc w:val="center"/>
              <w:rPr>
                <w:rFonts w:hint="default"/>
                <w:color w:val="121212"/>
                <w:highlight w:val="none"/>
                <w:vertAlign w:val="baseline"/>
                <w:lang w:val="en-US" w:eastAsia="zh-CN"/>
              </w:rPr>
            </w:pPr>
            <w:r>
              <w:rPr>
                <w:rFonts w:hint="default" w:ascii="Times New Roman" w:hAnsi="Times New Roman" w:cs="Times New Roman"/>
                <w:b/>
                <w:bCs/>
                <w:color w:val="121212"/>
                <w:highlight w:val="none"/>
              </w:rPr>
              <w:t>建设内容</w:t>
            </w:r>
          </w:p>
        </w:tc>
        <w:tc>
          <w:tcPr>
            <w:tcW w:w="8651" w:type="dxa"/>
          </w:tcPr>
          <w:p>
            <w:pPr>
              <w:pStyle w:val="7"/>
              <w:bidi w:val="0"/>
              <w:rPr>
                <w:rFonts w:hint="default"/>
                <w:color w:val="121212"/>
                <w:highlight w:val="none"/>
                <w:lang w:val="en-US" w:eastAsia="zh-CN"/>
              </w:rPr>
            </w:pPr>
            <w:r>
              <w:rPr>
                <w:rFonts w:hint="default"/>
                <w:color w:val="121212"/>
                <w:highlight w:val="none"/>
                <w:lang w:val="en-US" w:eastAsia="zh-CN"/>
              </w:rPr>
              <w:t>一、项目建设情况</w:t>
            </w:r>
          </w:p>
          <w:p>
            <w:pPr>
              <w:pStyle w:val="7"/>
              <w:bidi w:val="0"/>
              <w:rPr>
                <w:rFonts w:hint="eastAsia"/>
                <w:color w:val="121212"/>
                <w:highlight w:val="none"/>
                <w:lang w:val="en-US" w:eastAsia="zh-CN"/>
              </w:rPr>
            </w:pPr>
            <w:r>
              <w:rPr>
                <w:rFonts w:hint="eastAsia"/>
                <w:color w:val="121212"/>
                <w:highlight w:val="none"/>
                <w:lang w:val="en-US" w:eastAsia="zh-CN"/>
              </w:rPr>
              <w:t>1、项目由来</w:t>
            </w:r>
          </w:p>
          <w:p>
            <w:pPr>
              <w:bidi w:val="0"/>
              <w:rPr>
                <w:rFonts w:hint="default"/>
                <w:color w:val="121212"/>
                <w:highlight w:val="none"/>
                <w:lang w:val="en-US"/>
              </w:rPr>
            </w:pPr>
            <w:r>
              <w:rPr>
                <w:rFonts w:hint="eastAsia"/>
                <w:color w:val="121212"/>
                <w:highlight w:val="none"/>
                <w:lang w:val="en-US" w:eastAsia="zh-CN"/>
              </w:rPr>
              <w:t>安徽华跃专用汽车装备有限公司位于安徽省宿州市灵璧县灵城镇北部开发区机电产业园二期，企业拟投资10500万元，占地约50亩，购置专业汽车组装生产线2条，配套供电、消防、环保和给排水等辅助设施，建设安徽华跃专用汽车装备有限公司</w:t>
            </w:r>
            <w:r>
              <w:rPr>
                <w:rFonts w:hint="default" w:eastAsia="宋体"/>
                <w:color w:val="121212"/>
                <w:sz w:val="24"/>
                <w:lang w:val="en-US" w:eastAsia="zh-CN"/>
              </w:rPr>
              <w:t>年组装1000</w:t>
            </w:r>
            <w:r>
              <w:rPr>
                <w:rFonts w:hint="eastAsia"/>
                <w:color w:val="121212"/>
                <w:sz w:val="24"/>
                <w:lang w:val="en-US" w:eastAsia="zh-CN"/>
              </w:rPr>
              <w:t>辆</w:t>
            </w:r>
            <w:r>
              <w:rPr>
                <w:rFonts w:hint="default" w:eastAsia="宋体"/>
                <w:color w:val="121212"/>
                <w:sz w:val="24"/>
                <w:lang w:val="en-US" w:eastAsia="zh-CN"/>
              </w:rPr>
              <w:t>专用汽车生产项目</w:t>
            </w:r>
            <w:r>
              <w:rPr>
                <w:rFonts w:hint="eastAsia"/>
                <w:color w:val="121212"/>
                <w:highlight w:val="none"/>
                <w:lang w:val="en-US" w:eastAsia="zh-CN"/>
              </w:rPr>
              <w:t>。本项目已由灵璧县发展改革委备案，项目代码为2112-341323-04-01-107403。</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eastAsia="宋体" w:cs="Times New Roman"/>
                <w:color w:val="121212"/>
                <w:sz w:val="24"/>
                <w:szCs w:val="24"/>
                <w:highlight w:val="none"/>
                <w:lang w:val="en-US" w:eastAsia="zh-CN"/>
              </w:rPr>
            </w:pPr>
            <w:r>
              <w:rPr>
                <w:rFonts w:hint="eastAsia"/>
                <w:color w:val="121212"/>
                <w:sz w:val="24"/>
                <w:lang w:eastAsia="zh-CN"/>
              </w:rPr>
              <w:t>参照</w:t>
            </w:r>
            <w:r>
              <w:rPr>
                <w:color w:val="121212"/>
                <w:sz w:val="24"/>
              </w:rPr>
              <w:t>《国民经济行业分类</w:t>
            </w:r>
            <w:r>
              <w:rPr>
                <w:color w:val="121212"/>
                <w:sz w:val="24"/>
                <w:szCs w:val="24"/>
              </w:rPr>
              <w:t>》（GB/T4574-2017）</w:t>
            </w:r>
            <w:r>
              <w:rPr>
                <w:rFonts w:hint="eastAsia"/>
                <w:color w:val="121212"/>
                <w:sz w:val="24"/>
                <w:szCs w:val="24"/>
                <w:lang w:eastAsia="zh-CN"/>
              </w:rPr>
              <w:t>、</w:t>
            </w:r>
            <w:r>
              <w:rPr>
                <w:rFonts w:hint="default" w:ascii="Times New Roman" w:hAnsi="Times New Roman" w:cs="Times New Roman"/>
                <w:color w:val="121212"/>
                <w:sz w:val="24"/>
                <w:szCs w:val="24"/>
              </w:rPr>
              <w:t>《建设项目环境影响评价分类管理名录》（</w:t>
            </w:r>
            <w:r>
              <w:rPr>
                <w:rFonts w:hint="eastAsia" w:ascii="Times New Roman" w:hAnsi="Times New Roman" w:cs="Times New Roman"/>
                <w:color w:val="121212"/>
                <w:sz w:val="24"/>
                <w:szCs w:val="24"/>
                <w:lang w:val="en-US" w:eastAsia="zh-CN"/>
              </w:rPr>
              <w:t>2021年版</w:t>
            </w:r>
            <w:r>
              <w:rPr>
                <w:rFonts w:hint="default" w:ascii="Times New Roman" w:hAnsi="Times New Roman" w:cs="Times New Roman"/>
                <w:color w:val="121212"/>
                <w:sz w:val="24"/>
                <w:szCs w:val="24"/>
              </w:rPr>
              <w:t>）</w:t>
            </w:r>
            <w:r>
              <w:rPr>
                <w:rFonts w:hint="eastAsia"/>
                <w:color w:val="121212"/>
                <w:sz w:val="24"/>
                <w:szCs w:val="24"/>
                <w:lang w:eastAsia="zh-CN"/>
              </w:rPr>
              <w:t>，本项目</w:t>
            </w:r>
            <w:r>
              <w:rPr>
                <w:rFonts w:hint="default" w:ascii="Times New Roman" w:hAnsi="Times New Roman" w:cs="Times New Roman"/>
                <w:color w:val="121212"/>
                <w:sz w:val="24"/>
                <w:szCs w:val="24"/>
              </w:rPr>
              <w:t>环境影响评价</w:t>
            </w:r>
            <w:r>
              <w:rPr>
                <w:rFonts w:hint="eastAsia" w:cs="Times New Roman"/>
                <w:color w:val="121212"/>
                <w:sz w:val="24"/>
                <w:szCs w:val="24"/>
                <w:lang w:eastAsia="zh-CN"/>
              </w:rPr>
              <w:t>分类如下：</w:t>
            </w:r>
          </w:p>
          <w:tbl>
            <w:tblPr>
              <w:tblStyle w:val="37"/>
              <w:tblW w:w="4998" w:type="pct"/>
              <w:jc w:val="center"/>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3"/>
              <w:gridCol w:w="1086"/>
              <w:gridCol w:w="985"/>
              <w:gridCol w:w="3931"/>
              <w:gridCol w:w="1922"/>
            </w:tblGrid>
            <w:tr>
              <w:tblPrEx>
                <w:tblLayout w:type="fixed"/>
              </w:tblPrEx>
              <w:trPr>
                <w:trHeight w:val="0" w:hRule="atLeast"/>
                <w:jc w:val="center"/>
              </w:trPr>
              <w:tc>
                <w:tcPr>
                  <w:tcW w:w="493"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rPr>
                      <w:rFonts w:hint="default" w:ascii="Times New Roman" w:hAnsi="Times New Roman" w:eastAsia="宋体" w:cs="Times New Roman"/>
                      <w:bCs/>
                      <w:color w:val="121212"/>
                      <w:kern w:val="2"/>
                      <w:sz w:val="21"/>
                      <w:szCs w:val="21"/>
                      <w:lang w:val="en-US" w:eastAsia="zh-CN" w:bidi="ar-SA"/>
                    </w:rPr>
                  </w:pPr>
                  <w:r>
                    <w:rPr>
                      <w:rFonts w:hint="default" w:ascii="Times New Roman" w:hAnsi="Times New Roman" w:eastAsia="宋体" w:cs="Times New Roman"/>
                      <w:bCs/>
                      <w:color w:val="121212"/>
                      <w:sz w:val="21"/>
                      <w:szCs w:val="21"/>
                    </w:rPr>
                    <w:t>序号</w:t>
                  </w:r>
                </w:p>
              </w:tc>
              <w:tc>
                <w:tcPr>
                  <w:tcW w:w="1086" w:type="dxa"/>
                  <w:tcBorders>
                    <w:tl2br w:val="nil"/>
                    <w:tr2bl w:val="nil"/>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Cs/>
                      <w:color w:val="121212"/>
                      <w:kern w:val="2"/>
                      <w:sz w:val="21"/>
                      <w:szCs w:val="21"/>
                      <w:lang w:val="en-US" w:eastAsia="zh-CN" w:bidi="ar-SA"/>
                    </w:rPr>
                  </w:pPr>
                  <w:r>
                    <w:rPr>
                      <w:rFonts w:hint="default" w:ascii="Times New Roman" w:hAnsi="Times New Roman" w:eastAsia="宋体" w:cs="Times New Roman"/>
                      <w:color w:val="121212"/>
                      <w:sz w:val="21"/>
                      <w:szCs w:val="21"/>
                      <w:lang w:val="en-US" w:eastAsia="zh-CN"/>
                    </w:rPr>
                    <w:t>产品</w:t>
                  </w:r>
                  <w:r>
                    <w:rPr>
                      <w:rFonts w:hint="default" w:ascii="Times New Roman" w:hAnsi="Times New Roman" w:cs="Times New Roman"/>
                      <w:color w:val="121212"/>
                      <w:sz w:val="21"/>
                      <w:szCs w:val="21"/>
                      <w:lang w:val="en-US" w:eastAsia="zh-CN"/>
                    </w:rPr>
                    <w:t>名称</w:t>
                  </w:r>
                </w:p>
              </w:tc>
              <w:tc>
                <w:tcPr>
                  <w:tcW w:w="985" w:type="dxa"/>
                  <w:tcBorders>
                    <w:tl2br w:val="nil"/>
                    <w:tr2bl w:val="nil"/>
                  </w:tcBorders>
                  <w:vAlign w:val="center"/>
                </w:tcPr>
                <w:p>
                  <w:pPr>
                    <w:pStyle w:val="2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rPr>
                      <w:rFonts w:hint="default" w:ascii="Times New Roman" w:hAnsi="Times New Roman" w:eastAsia="宋体" w:cs="Times New Roman"/>
                      <w:color w:val="121212"/>
                      <w:sz w:val="21"/>
                      <w:szCs w:val="21"/>
                      <w:lang w:val="en-US" w:eastAsia="zh-CN"/>
                    </w:rPr>
                  </w:pPr>
                  <w:r>
                    <w:rPr>
                      <w:rFonts w:hint="default" w:ascii="Times New Roman" w:hAnsi="Times New Roman" w:eastAsia="宋体" w:cs="Times New Roman"/>
                      <w:bCs/>
                      <w:color w:val="121212"/>
                      <w:sz w:val="21"/>
                      <w:szCs w:val="21"/>
                    </w:rPr>
                    <w:t>行业类别</w:t>
                  </w:r>
                </w:p>
              </w:tc>
              <w:tc>
                <w:tcPr>
                  <w:tcW w:w="3931" w:type="dxa"/>
                  <w:tcBorders>
                    <w:tl2br w:val="nil"/>
                    <w:tr2bl w:val="nil"/>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121212"/>
                      <w:sz w:val="21"/>
                      <w:szCs w:val="21"/>
                      <w:lang w:val="en-US" w:eastAsia="zh-CN"/>
                    </w:rPr>
                  </w:pPr>
                  <w:r>
                    <w:rPr>
                      <w:rFonts w:hint="default" w:ascii="Times New Roman" w:hAnsi="Times New Roman" w:eastAsia="宋体" w:cs="Times New Roman"/>
                      <w:bCs/>
                      <w:color w:val="121212"/>
                      <w:sz w:val="21"/>
                      <w:szCs w:val="21"/>
                    </w:rPr>
                    <w:t>类别</w:t>
                  </w:r>
                </w:p>
              </w:tc>
              <w:tc>
                <w:tcPr>
                  <w:tcW w:w="1922" w:type="dxa"/>
                  <w:tcBorders>
                    <w:tl2br w:val="nil"/>
                    <w:tr2bl w:val="nil"/>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121212"/>
                      <w:sz w:val="21"/>
                      <w:szCs w:val="21"/>
                      <w:lang w:val="en-US" w:eastAsia="zh-CN"/>
                    </w:rPr>
                  </w:pPr>
                  <w:r>
                    <w:rPr>
                      <w:rFonts w:hint="default" w:ascii="Times New Roman" w:hAnsi="Times New Roman" w:cs="Times New Roman"/>
                      <w:color w:val="121212"/>
                      <w:sz w:val="21"/>
                      <w:szCs w:val="21"/>
                      <w:lang w:val="en-US" w:eastAsia="zh-CN"/>
                    </w:rPr>
                    <w:t>备注</w:t>
                  </w:r>
                </w:p>
              </w:tc>
            </w:tr>
            <w:tr>
              <w:tblPrEx>
                <w:tblLayout w:type="fixed"/>
              </w:tblPrEx>
              <w:trPr>
                <w:trHeight w:val="1550" w:hRule="atLeast"/>
                <w:jc w:val="center"/>
              </w:trPr>
              <w:tc>
                <w:tcPr>
                  <w:tcW w:w="493" w:type="dxa"/>
                  <w:tcBorders>
                    <w:tl2br w:val="nil"/>
                    <w:tr2bl w:val="nil"/>
                  </w:tcBorders>
                  <w:vAlign w:val="center"/>
                </w:tcPr>
                <w:p>
                  <w:pPr>
                    <w:pStyle w:val="61"/>
                    <w:keepNext w:val="0"/>
                    <w:keepLines w:val="0"/>
                    <w:pageBreakBefore w:val="0"/>
                    <w:widowControl w:val="0"/>
                    <w:kinsoku/>
                    <w:wordWrap/>
                    <w:overflowPunct/>
                    <w:topLinePunct w:val="0"/>
                    <w:autoSpaceDE/>
                    <w:autoSpaceDN/>
                    <w:bidi w:val="0"/>
                    <w:spacing w:line="240" w:lineRule="auto"/>
                    <w:ind w:firstLine="0" w:firstLineChars="0"/>
                    <w:jc w:val="center"/>
                    <w:rPr>
                      <w:rFonts w:hint="default" w:cs="Times New Roman"/>
                      <w:color w:val="121212"/>
                      <w:kern w:val="2"/>
                      <w:sz w:val="21"/>
                      <w:szCs w:val="21"/>
                      <w:lang w:val="en-US" w:eastAsia="zh-CN" w:bidi="ar-SA"/>
                    </w:rPr>
                  </w:pPr>
                  <w:r>
                    <w:rPr>
                      <w:rFonts w:hint="eastAsia" w:cs="Times New Roman"/>
                      <w:color w:val="121212"/>
                      <w:kern w:val="2"/>
                      <w:sz w:val="21"/>
                      <w:szCs w:val="21"/>
                      <w:lang w:val="en-US" w:eastAsia="zh-CN" w:bidi="ar-SA"/>
                    </w:rPr>
                    <w:t>1</w:t>
                  </w:r>
                </w:p>
              </w:tc>
              <w:tc>
                <w:tcPr>
                  <w:tcW w:w="1086" w:type="dxa"/>
                  <w:tcBorders>
                    <w:tl2br w:val="nil"/>
                    <w:tr2bl w:val="nil"/>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121212"/>
                      <w:kern w:val="2"/>
                      <w:sz w:val="21"/>
                      <w:szCs w:val="21"/>
                      <w:lang w:val="en-US" w:eastAsia="zh-CN" w:bidi="ar-SA"/>
                    </w:rPr>
                  </w:pPr>
                  <w:r>
                    <w:rPr>
                      <w:rFonts w:hint="default" w:eastAsia="宋体"/>
                      <w:color w:val="121212"/>
                      <w:sz w:val="21"/>
                      <w:szCs w:val="21"/>
                      <w:lang w:val="en-US" w:eastAsia="zh-CN"/>
                    </w:rPr>
                    <w:t>专用汽车</w:t>
                  </w:r>
                </w:p>
              </w:tc>
              <w:tc>
                <w:tcPr>
                  <w:tcW w:w="985" w:type="dxa"/>
                  <w:tcBorders>
                    <w:tl2br w:val="nil"/>
                    <w:tr2bl w:val="nil"/>
                  </w:tcBorders>
                  <w:vAlign w:val="center"/>
                </w:tcPr>
                <w:p>
                  <w:pPr>
                    <w:pStyle w:val="61"/>
                    <w:keepNext w:val="0"/>
                    <w:keepLines w:val="0"/>
                    <w:pageBreakBefore w:val="0"/>
                    <w:widowControl w:val="0"/>
                    <w:kinsoku/>
                    <w:wordWrap/>
                    <w:overflowPunct/>
                    <w:topLinePunct w:val="0"/>
                    <w:autoSpaceDE/>
                    <w:autoSpaceDN/>
                    <w:bidi w:val="0"/>
                    <w:spacing w:line="240" w:lineRule="auto"/>
                    <w:ind w:firstLine="0" w:firstLineChars="0"/>
                    <w:jc w:val="center"/>
                    <w:rPr>
                      <w:rFonts w:hint="default" w:ascii="Times New Roman" w:hAnsi="Times New Roman" w:eastAsia="宋体" w:cs="Times New Roman"/>
                      <w:color w:val="121212"/>
                      <w:sz w:val="21"/>
                      <w:szCs w:val="21"/>
                      <w:lang w:val="en-US" w:eastAsia="zh-CN"/>
                    </w:rPr>
                  </w:pPr>
                  <w:r>
                    <w:rPr>
                      <w:rFonts w:hint="eastAsia"/>
                      <w:color w:val="121212"/>
                      <w:sz w:val="21"/>
                      <w:szCs w:val="21"/>
                      <w:highlight w:val="none"/>
                      <w:lang w:val="en-US" w:eastAsia="zh-CN"/>
                    </w:rPr>
                    <w:t>C3630改装汽车制造</w:t>
                  </w:r>
                </w:p>
              </w:tc>
              <w:tc>
                <w:tcPr>
                  <w:tcW w:w="3931" w:type="dxa"/>
                  <w:tcBorders>
                    <w:tl2br w:val="nil"/>
                    <w:tr2bl w:val="nil"/>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color w:val="121212"/>
                      <w:sz w:val="21"/>
                      <w:szCs w:val="21"/>
                      <w:lang w:val="en-US" w:eastAsia="zh-CN"/>
                    </w:rPr>
                  </w:pPr>
                  <w:r>
                    <w:rPr>
                      <w:rFonts w:hint="default" w:ascii="Times New Roman" w:hAnsi="Times New Roman" w:eastAsia="宋体" w:cs="Times New Roman"/>
                      <w:color w:val="121212"/>
                      <w:sz w:val="21"/>
                      <w:szCs w:val="21"/>
                      <w:lang w:val="en-US" w:eastAsia="zh-CN"/>
                    </w:rPr>
                    <w:t>三十三、汽车制造业36</w:t>
                  </w:r>
                  <w:r>
                    <w:rPr>
                      <w:rFonts w:hint="eastAsia" w:ascii="Times New Roman" w:hAnsi="Times New Roman" w:eastAsia="宋体" w:cs="Times New Roman"/>
                      <w:color w:val="121212"/>
                      <w:sz w:val="21"/>
                      <w:szCs w:val="21"/>
                      <w:lang w:val="en-US" w:eastAsia="zh-CN"/>
                    </w:rPr>
                    <w:t>；</w:t>
                  </w:r>
                  <w:r>
                    <w:rPr>
                      <w:rFonts w:hint="default" w:ascii="Times New Roman" w:hAnsi="Times New Roman" w:eastAsia="宋体" w:cs="Times New Roman"/>
                      <w:color w:val="121212"/>
                      <w:sz w:val="21"/>
                      <w:szCs w:val="21"/>
                      <w:lang w:val="en-US" w:eastAsia="zh-CN"/>
                    </w:rPr>
                    <w:t>改装汽车制造363</w:t>
                  </w:r>
                  <w:commentRangeStart w:id="16"/>
                  <w:commentRangeStart w:id="17"/>
                  <w:r>
                    <w:rPr>
                      <w:rFonts w:hint="eastAsia" w:ascii="Times New Roman" w:hAnsi="Times New Roman" w:eastAsia="宋体" w:cs="Times New Roman"/>
                      <w:color w:val="121212"/>
                      <w:sz w:val="21"/>
                      <w:szCs w:val="21"/>
                      <w:lang w:val="en-US" w:eastAsia="zh-CN"/>
                    </w:rPr>
                    <w:t>；</w:t>
                  </w:r>
                  <w:r>
                    <w:rPr>
                      <w:rFonts w:hint="default" w:ascii="Times New Roman" w:hAnsi="Times New Roman" w:eastAsia="宋体" w:cs="Times New Roman"/>
                      <w:color w:val="121212"/>
                      <w:sz w:val="21"/>
                      <w:szCs w:val="21"/>
                      <w:lang w:val="en-US" w:eastAsia="zh-CN"/>
                    </w:rPr>
                    <w:t>其他（年用非溶剂型低VOCs含量涂料10吨以下的除外）</w:t>
                  </w:r>
                  <w:commentRangeEnd w:id="16"/>
                  <w:r>
                    <w:rPr>
                      <w:rFonts w:hint="default" w:ascii="Times New Roman" w:hAnsi="Times New Roman" w:eastAsia="宋体" w:cs="Times New Roman"/>
                      <w:color w:val="121212"/>
                      <w:sz w:val="21"/>
                      <w:szCs w:val="21"/>
                      <w:lang w:val="en-US" w:eastAsia="zh-CN"/>
                    </w:rPr>
                    <w:commentReference w:id="16"/>
                  </w:r>
                  <w:commentRangeEnd w:id="17"/>
                  <w:r>
                    <w:rPr>
                      <w:color w:val="121212"/>
                    </w:rPr>
                    <w:commentReference w:id="17"/>
                  </w:r>
                </w:p>
              </w:tc>
              <w:tc>
                <w:tcPr>
                  <w:tcW w:w="1922" w:type="dxa"/>
                  <w:tcBorders>
                    <w:tl2br w:val="nil"/>
                    <w:tr2bl w:val="nil"/>
                  </w:tcBorders>
                  <w:vAlign w:val="center"/>
                </w:tcPr>
                <w:p>
                  <w:pPr>
                    <w:pStyle w:val="5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121212"/>
                      <w:sz w:val="21"/>
                      <w:szCs w:val="21"/>
                      <w:lang w:val="en-US" w:eastAsia="zh-CN"/>
                    </w:rPr>
                  </w:pPr>
                  <w:r>
                    <w:rPr>
                      <w:rFonts w:hint="default" w:ascii="Times New Roman" w:hAnsi="Times New Roman" w:cs="Times New Roman"/>
                      <w:color w:val="121212"/>
                      <w:sz w:val="21"/>
                      <w:szCs w:val="21"/>
                      <w:lang w:val="en-US" w:eastAsia="zh-CN"/>
                    </w:rPr>
                    <w:t>需要进行环境影响评价</w:t>
                  </w:r>
                  <w:r>
                    <w:rPr>
                      <w:rFonts w:hint="default" w:ascii="Times New Roman" w:hAnsi="Times New Roman" w:cs="Times New Roman"/>
                      <w:color w:val="121212"/>
                      <w:sz w:val="21"/>
                      <w:szCs w:val="21"/>
                      <w:lang w:eastAsia="zh-CN"/>
                    </w:rPr>
                    <w:t>，编制环境影响评价报告表</w:t>
                  </w:r>
                </w:p>
              </w:tc>
            </w:tr>
          </w:tbl>
          <w:p>
            <w:pPr>
              <w:keepNext w:val="0"/>
              <w:keepLines w:val="0"/>
              <w:pageBreakBefore w:val="0"/>
              <w:widowControl w:val="0"/>
              <w:kinsoku/>
              <w:wordWrap/>
              <w:topLinePunct w:val="0"/>
              <w:bidi w:val="0"/>
              <w:ind w:left="0" w:leftChars="0" w:firstLine="480" w:firstLineChars="200"/>
              <w:rPr>
                <w:color w:val="121212"/>
                <w:highlight w:val="none"/>
              </w:rPr>
            </w:pPr>
            <w:r>
              <w:rPr>
                <w:rFonts w:hint="eastAsia"/>
                <w:color w:val="121212"/>
                <w:highlight w:val="none"/>
                <w:lang w:val="en-US" w:eastAsia="zh-CN"/>
              </w:rPr>
              <w:t>综上，</w:t>
            </w:r>
            <w:r>
              <w:rPr>
                <w:rFonts w:hint="eastAsia" w:cs="Times New Roman"/>
                <w:color w:val="121212"/>
                <w:kern w:val="0"/>
                <w:sz w:val="24"/>
                <w:szCs w:val="24"/>
                <w:highlight w:val="none"/>
                <w:lang w:val="en-US" w:eastAsia="zh-CN" w:bidi="ar"/>
              </w:rPr>
              <w:t>安徽华跃专用汽车装备有限公司</w:t>
            </w:r>
            <w:r>
              <w:rPr>
                <w:rFonts w:hint="eastAsia"/>
                <w:color w:val="121212"/>
                <w:highlight w:val="none"/>
                <w:lang w:val="en-US" w:eastAsia="zh-CN"/>
              </w:rPr>
              <w:t>委托安徽沄湍环境科技有限公司承担该项目环境影响评价工作，接受委托后，安徽沄湍环境科技有限公司立即组织有关技术人员进行了现场踏勘并收集资料，依据国家有关法规文件和环境影响评价技术导则，编制了该项目环境影响报告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2" w:firstLineChars="200"/>
              <w:jc w:val="both"/>
              <w:textAlignment w:val="auto"/>
              <w:rPr>
                <w:rFonts w:hint="default" w:ascii="Times New Roman" w:hAnsi="Times New Roman" w:cs="Times New Roman"/>
                <w:b/>
                <w:color w:val="121212"/>
                <w:kern w:val="2"/>
                <w:sz w:val="24"/>
                <w:szCs w:val="32"/>
                <w:highlight w:val="none"/>
              </w:rPr>
            </w:pPr>
            <w:r>
              <w:rPr>
                <w:rFonts w:hint="eastAsia" w:cs="Times New Roman"/>
                <w:b/>
                <w:color w:val="121212"/>
                <w:kern w:val="2"/>
                <w:sz w:val="24"/>
                <w:szCs w:val="32"/>
                <w:highlight w:val="none"/>
                <w:lang w:val="en-US" w:eastAsia="zh-CN"/>
              </w:rPr>
              <w:t>2</w:t>
            </w:r>
            <w:r>
              <w:rPr>
                <w:rFonts w:hint="default" w:ascii="Times New Roman" w:hAnsi="Times New Roman" w:cs="Times New Roman"/>
                <w:b/>
                <w:color w:val="121212"/>
                <w:kern w:val="2"/>
                <w:sz w:val="24"/>
                <w:szCs w:val="32"/>
                <w:highlight w:val="none"/>
              </w:rPr>
              <w:t>、项目名称、地点、建设单位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121212"/>
                <w:kern w:val="2"/>
                <w:sz w:val="24"/>
                <w:szCs w:val="32"/>
                <w:highlight w:val="none"/>
              </w:rPr>
            </w:pPr>
            <w:r>
              <w:rPr>
                <w:rFonts w:hint="default" w:ascii="Times New Roman" w:hAnsi="Times New Roman" w:cs="Times New Roman"/>
                <w:color w:val="121212"/>
                <w:kern w:val="2"/>
                <w:sz w:val="24"/>
                <w:szCs w:val="32"/>
                <w:highlight w:val="none"/>
              </w:rPr>
              <w:t>建设单位：</w:t>
            </w:r>
            <w:r>
              <w:rPr>
                <w:rFonts w:hint="eastAsia" w:cs="Times New Roman"/>
                <w:color w:val="121212"/>
                <w:kern w:val="2"/>
                <w:sz w:val="24"/>
                <w:szCs w:val="32"/>
                <w:highlight w:val="none"/>
                <w:lang w:val="en-US" w:eastAsia="zh-CN"/>
              </w:rPr>
              <w:t>安徽华跃专用汽车装备有限公司</w:t>
            </w:r>
            <w:r>
              <w:rPr>
                <w:rFonts w:hint="default" w:ascii="Times New Roman" w:hAnsi="Times New Roman" w:cs="Times New Roman"/>
                <w:color w:val="121212"/>
                <w:kern w:val="2"/>
                <w:sz w:val="24"/>
                <w:szCs w:val="32"/>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121212"/>
                <w:kern w:val="2"/>
                <w:sz w:val="24"/>
                <w:szCs w:val="32"/>
                <w:highlight w:val="none"/>
              </w:rPr>
            </w:pPr>
            <w:r>
              <w:rPr>
                <w:rFonts w:hint="default" w:ascii="Times New Roman" w:hAnsi="Times New Roman" w:cs="Times New Roman"/>
                <w:color w:val="121212"/>
                <w:kern w:val="2"/>
                <w:sz w:val="24"/>
                <w:szCs w:val="32"/>
                <w:highlight w:val="none"/>
              </w:rPr>
              <w:t>项目名称：</w:t>
            </w:r>
            <w:r>
              <w:rPr>
                <w:rFonts w:hint="eastAsia" w:cs="Times New Roman"/>
                <w:color w:val="121212"/>
                <w:sz w:val="24"/>
                <w:szCs w:val="24"/>
                <w:highlight w:val="none"/>
                <w:lang w:val="en-US" w:eastAsia="zh-CN"/>
              </w:rPr>
              <w:t>安徽华跃专用汽车装备有限公司</w:t>
            </w:r>
            <w:r>
              <w:rPr>
                <w:rFonts w:hint="default" w:eastAsia="宋体"/>
                <w:color w:val="121212"/>
                <w:sz w:val="24"/>
                <w:lang w:val="en-US" w:eastAsia="zh-CN"/>
              </w:rPr>
              <w:t>年组装1000</w:t>
            </w:r>
            <w:r>
              <w:rPr>
                <w:rFonts w:hint="eastAsia"/>
                <w:color w:val="121212"/>
                <w:sz w:val="24"/>
                <w:lang w:val="en-US" w:eastAsia="zh-CN"/>
              </w:rPr>
              <w:t>辆</w:t>
            </w:r>
            <w:r>
              <w:rPr>
                <w:rFonts w:hint="default" w:eastAsia="宋体"/>
                <w:color w:val="121212"/>
                <w:sz w:val="24"/>
                <w:lang w:val="en-US" w:eastAsia="zh-CN"/>
              </w:rPr>
              <w:t>专用汽车生产项目</w:t>
            </w:r>
            <w:r>
              <w:rPr>
                <w:rFonts w:hint="default" w:ascii="Times New Roman" w:hAnsi="Times New Roman" w:cs="Times New Roman"/>
                <w:color w:val="121212"/>
                <w:kern w:val="2"/>
                <w:sz w:val="24"/>
                <w:szCs w:val="32"/>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121212"/>
                <w:kern w:val="2"/>
                <w:sz w:val="24"/>
                <w:szCs w:val="32"/>
                <w:highlight w:val="none"/>
              </w:rPr>
            </w:pPr>
            <w:r>
              <w:rPr>
                <w:rFonts w:hint="default" w:ascii="Times New Roman" w:hAnsi="Times New Roman" w:cs="Times New Roman"/>
                <w:color w:val="121212"/>
                <w:kern w:val="2"/>
                <w:sz w:val="24"/>
                <w:szCs w:val="32"/>
                <w:highlight w:val="none"/>
              </w:rPr>
              <w:t>建设地点：</w:t>
            </w:r>
            <w:r>
              <w:rPr>
                <w:rFonts w:hint="eastAsia" w:cs="Times New Roman"/>
                <w:color w:val="121212"/>
                <w:kern w:val="2"/>
                <w:sz w:val="24"/>
                <w:szCs w:val="32"/>
                <w:highlight w:val="none"/>
                <w:lang w:val="en-US" w:eastAsia="zh-CN"/>
              </w:rPr>
              <w:t>安徽省宿州市灵璧县灵城镇北部开发区机电产业园二期</w:t>
            </w:r>
            <w:r>
              <w:rPr>
                <w:rFonts w:hint="default" w:ascii="Times New Roman" w:hAnsi="Times New Roman" w:cs="Times New Roman"/>
                <w:color w:val="121212"/>
                <w:kern w:val="2"/>
                <w:sz w:val="24"/>
                <w:szCs w:val="32"/>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121212"/>
                <w:kern w:val="2"/>
                <w:sz w:val="24"/>
                <w:szCs w:val="32"/>
                <w:highlight w:val="none"/>
                <w:lang w:val="en-US" w:eastAsia="zh-CN"/>
              </w:rPr>
            </w:pPr>
            <w:r>
              <w:rPr>
                <w:rFonts w:hint="default" w:ascii="Times New Roman" w:hAnsi="Times New Roman" w:cs="Times New Roman"/>
                <w:color w:val="121212"/>
                <w:kern w:val="2"/>
                <w:sz w:val="24"/>
                <w:szCs w:val="32"/>
                <w:highlight w:val="none"/>
                <w:lang w:val="en-US" w:eastAsia="zh-CN"/>
              </w:rPr>
              <w:t>建设规模：</w:t>
            </w:r>
            <w:r>
              <w:rPr>
                <w:rFonts w:hint="eastAsia" w:cs="Times New Roman"/>
                <w:color w:val="121212"/>
                <w:kern w:val="2"/>
                <w:sz w:val="24"/>
                <w:szCs w:val="32"/>
                <w:highlight w:val="none"/>
                <w:lang w:val="en-US" w:eastAsia="zh-CN"/>
              </w:rPr>
              <w:t>计划总</w:t>
            </w:r>
            <w:r>
              <w:rPr>
                <w:rFonts w:hint="eastAsia"/>
                <w:color w:val="121212"/>
                <w:highlight w:val="none"/>
                <w:lang w:val="en-US" w:eastAsia="zh-CN"/>
              </w:rPr>
              <w:t>投资10500万元，置专业汽车组装生产线2条，配套供电、消防、环保和给排水等辅助设施，预计建成后达到</w:t>
            </w:r>
            <w:r>
              <w:rPr>
                <w:rFonts w:hint="default" w:eastAsia="宋体"/>
                <w:color w:val="121212"/>
                <w:sz w:val="24"/>
                <w:lang w:val="en-US" w:eastAsia="zh-CN"/>
              </w:rPr>
              <w:t>组装1000</w:t>
            </w:r>
            <w:r>
              <w:rPr>
                <w:rFonts w:hint="eastAsia"/>
                <w:color w:val="121212"/>
                <w:sz w:val="24"/>
                <w:lang w:val="en-US" w:eastAsia="zh-CN"/>
              </w:rPr>
              <w:t>辆</w:t>
            </w:r>
            <w:r>
              <w:rPr>
                <w:rFonts w:hint="default" w:eastAsia="宋体"/>
                <w:color w:val="121212"/>
                <w:sz w:val="24"/>
                <w:lang w:val="en-US" w:eastAsia="zh-CN"/>
              </w:rPr>
              <w:t>专用汽车</w:t>
            </w:r>
            <w:r>
              <w:rPr>
                <w:rFonts w:hint="eastAsia"/>
                <w:color w:val="121212"/>
                <w:highlight w:val="none"/>
                <w:lang w:val="en-US" w:eastAsia="zh-CN"/>
              </w:rPr>
              <w:t>的生产规模。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121212"/>
                <w:kern w:val="2"/>
                <w:sz w:val="24"/>
                <w:szCs w:val="32"/>
                <w:highlight w:val="none"/>
              </w:rPr>
            </w:pPr>
            <w:r>
              <w:rPr>
                <w:rFonts w:hint="default" w:ascii="Times New Roman" w:hAnsi="Times New Roman" w:cs="Times New Roman"/>
                <w:color w:val="121212"/>
                <w:kern w:val="2"/>
                <w:sz w:val="24"/>
                <w:szCs w:val="32"/>
                <w:highlight w:val="none"/>
              </w:rPr>
              <w:t>建设性质：</w:t>
            </w:r>
            <w:r>
              <w:rPr>
                <w:rFonts w:hint="eastAsia" w:cs="Times New Roman"/>
                <w:color w:val="121212"/>
                <w:kern w:val="2"/>
                <w:sz w:val="24"/>
                <w:szCs w:val="32"/>
                <w:highlight w:val="none"/>
                <w:lang w:val="en-US" w:eastAsia="zh-CN"/>
              </w:rPr>
              <w:t>新建</w:t>
            </w:r>
            <w:r>
              <w:rPr>
                <w:rFonts w:hint="default" w:ascii="Times New Roman" w:hAnsi="Times New Roman" w:cs="Times New Roman"/>
                <w:color w:val="121212"/>
                <w:kern w:val="2"/>
                <w:sz w:val="24"/>
                <w:szCs w:val="32"/>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cs="Times New Roman"/>
                <w:color w:val="121212"/>
                <w:kern w:val="2"/>
                <w:sz w:val="24"/>
                <w:szCs w:val="32"/>
                <w:highlight w:val="none"/>
              </w:rPr>
            </w:pPr>
            <w:r>
              <w:rPr>
                <w:rFonts w:hint="eastAsia" w:cs="Times New Roman"/>
                <w:color w:val="121212"/>
                <w:kern w:val="2"/>
                <w:sz w:val="24"/>
                <w:szCs w:val="32"/>
                <w:highlight w:val="none"/>
                <w:lang w:val="en-US" w:eastAsia="zh-CN"/>
              </w:rPr>
              <w:t>建筑</w:t>
            </w:r>
            <w:r>
              <w:rPr>
                <w:rFonts w:hint="default" w:ascii="Times New Roman" w:hAnsi="Times New Roman" w:cs="Times New Roman"/>
                <w:color w:val="121212"/>
                <w:kern w:val="2"/>
                <w:sz w:val="24"/>
                <w:szCs w:val="32"/>
                <w:highlight w:val="none"/>
              </w:rPr>
              <w:t>面积：</w:t>
            </w:r>
            <w:r>
              <w:rPr>
                <w:rFonts w:hint="eastAsia" w:cs="Times New Roman"/>
                <w:color w:val="121212"/>
                <w:kern w:val="2"/>
                <w:sz w:val="24"/>
                <w:szCs w:val="32"/>
                <w:highlight w:val="none"/>
                <w:lang w:val="en-US" w:eastAsia="zh-CN"/>
              </w:rPr>
              <w:t>16000</w:t>
            </w:r>
            <w:commentRangeStart w:id="18"/>
            <w:commentRangeStart w:id="19"/>
            <w:r>
              <w:rPr>
                <w:rFonts w:hint="eastAsia" w:cs="Times New Roman"/>
                <w:color w:val="121212"/>
                <w:kern w:val="2"/>
                <w:sz w:val="24"/>
                <w:szCs w:val="32"/>
                <w:highlight w:val="none"/>
                <w:lang w:val="en-US" w:eastAsia="zh-CN"/>
              </w:rPr>
              <w:t>平方米</w:t>
            </w:r>
            <w:commentRangeEnd w:id="18"/>
            <w:r>
              <w:rPr>
                <w:color w:val="121212"/>
              </w:rPr>
              <w:commentReference w:id="18"/>
            </w:r>
            <w:commentRangeEnd w:id="19"/>
            <w:r>
              <w:rPr>
                <w:color w:val="121212"/>
              </w:rPr>
              <w:commentReference w:id="19"/>
            </w:r>
            <w:r>
              <w:rPr>
                <w:rFonts w:hint="default" w:ascii="Times New Roman" w:hAnsi="Times New Roman" w:cs="Times New Roman"/>
                <w:color w:val="121212"/>
                <w:kern w:val="2"/>
                <w:sz w:val="24"/>
                <w:szCs w:val="32"/>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color w:val="121212"/>
                <w:kern w:val="2"/>
                <w:sz w:val="24"/>
                <w:szCs w:val="32"/>
                <w:highlight w:val="none"/>
                <w:lang w:val="en-US" w:eastAsia="zh-CN"/>
              </w:rPr>
            </w:pPr>
            <w:r>
              <w:rPr>
                <w:rFonts w:hint="default" w:ascii="Times New Roman" w:hAnsi="Times New Roman" w:cs="Times New Roman"/>
                <w:color w:val="121212"/>
                <w:kern w:val="2"/>
                <w:sz w:val="24"/>
                <w:szCs w:val="32"/>
                <w:highlight w:val="none"/>
              </w:rPr>
              <w:t>总投资：</w:t>
            </w:r>
            <w:r>
              <w:rPr>
                <w:rFonts w:hint="eastAsia" w:cs="Times New Roman"/>
                <w:color w:val="121212"/>
                <w:kern w:val="2"/>
                <w:sz w:val="24"/>
                <w:szCs w:val="32"/>
                <w:highlight w:val="none"/>
                <w:lang w:val="en-US" w:eastAsia="zh-CN"/>
              </w:rPr>
              <w:t>10500</w:t>
            </w:r>
            <w:r>
              <w:rPr>
                <w:rFonts w:hint="default" w:ascii="Times New Roman" w:hAnsi="Times New Roman" w:cs="Times New Roman"/>
                <w:color w:val="121212"/>
                <w:kern w:val="2"/>
                <w:sz w:val="24"/>
                <w:szCs w:val="32"/>
                <w:highlight w:val="none"/>
              </w:rPr>
              <w:t>万元</w:t>
            </w:r>
            <w:r>
              <w:rPr>
                <w:rFonts w:hint="default" w:ascii="Times New Roman" w:hAnsi="Times New Roman" w:cs="Times New Roman"/>
                <w:color w:val="121212"/>
                <w:kern w:val="2"/>
                <w:sz w:val="24"/>
                <w:szCs w:val="32"/>
                <w:highlight w:val="none"/>
                <w:lang w:eastAsia="zh-CN"/>
              </w:rPr>
              <w:t>，</w:t>
            </w:r>
            <w:r>
              <w:rPr>
                <w:rFonts w:hint="default" w:ascii="Times New Roman" w:hAnsi="Times New Roman" w:cs="Times New Roman"/>
                <w:color w:val="121212"/>
                <w:kern w:val="2"/>
                <w:sz w:val="24"/>
                <w:szCs w:val="32"/>
                <w:highlight w:val="none"/>
                <w:lang w:val="en-US" w:eastAsia="zh-CN"/>
              </w:rPr>
              <w:t>其中环保投</w:t>
            </w:r>
            <w:r>
              <w:rPr>
                <w:rFonts w:hint="default" w:ascii="Times New Roman" w:hAnsi="Times New Roman" w:cs="Times New Roman"/>
                <w:color w:val="121212"/>
                <w:kern w:val="2"/>
                <w:sz w:val="24"/>
                <w:szCs w:val="32"/>
                <w:highlight w:val="none"/>
                <w:lang w:val="en-US" w:eastAsia="zh-CN"/>
              </w:rPr>
              <w:t>资</w:t>
            </w:r>
            <w:r>
              <w:rPr>
                <w:rFonts w:hint="eastAsia" w:cs="Times New Roman"/>
                <w:color w:val="121212"/>
                <w:kern w:val="2"/>
                <w:sz w:val="24"/>
                <w:szCs w:val="32"/>
                <w:highlight w:val="none"/>
                <w:lang w:val="en-US" w:eastAsia="zh-CN"/>
              </w:rPr>
              <w:t>30</w:t>
            </w:r>
            <w:r>
              <w:rPr>
                <w:rFonts w:hint="default" w:ascii="Times New Roman" w:hAnsi="Times New Roman" w:cs="Times New Roman"/>
                <w:color w:val="121212"/>
                <w:kern w:val="2"/>
                <w:sz w:val="24"/>
                <w:szCs w:val="32"/>
                <w:highlight w:val="none"/>
                <w:lang w:val="en-US" w:eastAsia="zh-CN"/>
              </w:rPr>
              <w:t>万元</w:t>
            </w:r>
            <w:r>
              <w:rPr>
                <w:rFonts w:hint="eastAsia" w:cs="Times New Roman"/>
                <w:color w:val="121212"/>
                <w:kern w:val="2"/>
                <w:sz w:val="24"/>
                <w:szCs w:val="32"/>
                <w:highlight w:val="none"/>
                <w:lang w:val="en-US" w:eastAsia="zh-CN"/>
              </w:rPr>
              <w:t>，占总投资的0.29%</w:t>
            </w:r>
            <w:r>
              <w:rPr>
                <w:rFonts w:hint="default" w:ascii="Times New Roman" w:hAnsi="Times New Roman" w:cs="Times New Roman"/>
                <w:color w:val="121212"/>
                <w:kern w:val="2"/>
                <w:sz w:val="24"/>
                <w:szCs w:val="32"/>
                <w:highlight w:val="none"/>
                <w:lang w:val="en-US" w:eastAsia="zh-CN"/>
              </w:rPr>
              <w:t>；</w:t>
            </w:r>
          </w:p>
          <w:p>
            <w:pPr>
              <w:keepNext w:val="0"/>
              <w:keepLines w:val="0"/>
              <w:pageBreakBefore w:val="0"/>
              <w:widowControl w:val="0"/>
              <w:suppressLineNumbers w:val="0"/>
              <w:tabs>
                <w:tab w:val="left" w:pos="3255"/>
              </w:tabs>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cs="Times New Roman"/>
                <w:b/>
                <w:color w:val="121212"/>
                <w:kern w:val="2"/>
                <w:sz w:val="24"/>
                <w:szCs w:val="21"/>
                <w:highlight w:val="none"/>
                <w:lang w:val="en-US" w:eastAsia="zh-CN"/>
              </w:rPr>
            </w:pPr>
            <w:r>
              <w:rPr>
                <w:rFonts w:hint="default" w:ascii="Times New Roman" w:hAnsi="Times New Roman" w:cs="Times New Roman"/>
                <w:b/>
                <w:color w:val="121212"/>
                <w:kern w:val="2"/>
                <w:sz w:val="24"/>
                <w:szCs w:val="21"/>
                <w:highlight w:val="none"/>
                <w:lang w:val="en-US" w:eastAsia="zh-CN"/>
              </w:rPr>
              <w:t>表2-</w:t>
            </w:r>
            <w:r>
              <w:rPr>
                <w:rFonts w:hint="eastAsia" w:cs="Times New Roman"/>
                <w:b/>
                <w:color w:val="121212"/>
                <w:kern w:val="2"/>
                <w:sz w:val="24"/>
                <w:szCs w:val="21"/>
                <w:highlight w:val="none"/>
                <w:lang w:val="en-US" w:eastAsia="zh-CN"/>
              </w:rPr>
              <w:t>1</w:t>
            </w:r>
            <w:r>
              <w:rPr>
                <w:rFonts w:hint="default" w:ascii="Times New Roman" w:hAnsi="Times New Roman" w:cs="Times New Roman"/>
                <w:b/>
                <w:color w:val="121212"/>
                <w:kern w:val="2"/>
                <w:sz w:val="24"/>
                <w:szCs w:val="21"/>
                <w:highlight w:val="none"/>
                <w:lang w:val="en-US" w:eastAsia="zh-CN"/>
              </w:rPr>
              <w:t xml:space="preserve">  建设项目组成一览表</w:t>
            </w:r>
          </w:p>
          <w:tbl>
            <w:tblPr>
              <w:tblStyle w:val="38"/>
              <w:tblW w:w="4998" w:type="pct"/>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094"/>
              <w:gridCol w:w="5508"/>
              <w:gridCol w:w="1106"/>
            </w:tblGrid>
            <w:tr>
              <w:tblPrEx>
                <w:tblLayout w:type="fixed"/>
              </w:tblPrEx>
              <w:trPr>
                <w:trHeight w:val="0" w:hRule="atLeast"/>
                <w:jc w:val="center"/>
              </w:trPr>
              <w:tc>
                <w:tcPr>
                  <w:tcW w:w="710" w:type="dxa"/>
                  <w:vAlign w:val="center"/>
                </w:tcPr>
                <w:p>
                  <w:pPr>
                    <w:pStyle w:val="47"/>
                    <w:bidi w:val="0"/>
                    <w:ind w:firstLine="0" w:firstLineChars="0"/>
                    <w:jc w:val="center"/>
                    <w:rPr>
                      <w:rFonts w:ascii="Times New Roman" w:hAnsi="Times New Roman" w:eastAsia="宋体" w:cs="Times New Roman"/>
                      <w:b/>
                      <w:bCs/>
                      <w:color w:val="121212"/>
                      <w:kern w:val="2"/>
                      <w:sz w:val="21"/>
                      <w:szCs w:val="24"/>
                      <w:highlight w:val="none"/>
                      <w:lang w:val="en-US" w:eastAsia="zh-CN" w:bidi="ar-SA"/>
                    </w:rPr>
                  </w:pPr>
                  <w:r>
                    <w:rPr>
                      <w:rFonts w:hint="eastAsia" w:cs="Times New Roman"/>
                      <w:b/>
                      <w:bCs/>
                      <w:color w:val="121212"/>
                      <w:kern w:val="2"/>
                      <w:sz w:val="21"/>
                      <w:szCs w:val="24"/>
                      <w:highlight w:val="none"/>
                      <w:lang w:val="en-US" w:eastAsia="zh-CN" w:bidi="ar-SA"/>
                    </w:rPr>
                    <w:t>类别</w:t>
                  </w:r>
                </w:p>
              </w:tc>
              <w:tc>
                <w:tcPr>
                  <w:tcW w:w="1094" w:type="dxa"/>
                  <w:vAlign w:val="center"/>
                </w:tcPr>
                <w:p>
                  <w:pPr>
                    <w:pStyle w:val="47"/>
                    <w:bidi w:val="0"/>
                    <w:ind w:firstLine="0" w:firstLineChars="0"/>
                    <w:jc w:val="center"/>
                    <w:rPr>
                      <w:rFonts w:ascii="Times New Roman" w:hAnsi="Times New Roman" w:eastAsia="宋体" w:cs="Times New Roman"/>
                      <w:b/>
                      <w:bCs/>
                      <w:color w:val="121212"/>
                      <w:kern w:val="2"/>
                      <w:sz w:val="21"/>
                      <w:szCs w:val="24"/>
                      <w:highlight w:val="none"/>
                      <w:lang w:val="en-US" w:eastAsia="zh-CN" w:bidi="ar-SA"/>
                    </w:rPr>
                  </w:pPr>
                  <w:r>
                    <w:rPr>
                      <w:rFonts w:hint="eastAsia"/>
                      <w:b/>
                      <w:bCs/>
                      <w:color w:val="121212"/>
                      <w:highlight w:val="none"/>
                      <w:lang w:eastAsia="zh-CN"/>
                    </w:rPr>
                    <w:t>建设</w:t>
                  </w:r>
                  <w:r>
                    <w:rPr>
                      <w:rFonts w:hint="default"/>
                      <w:b/>
                      <w:bCs/>
                      <w:color w:val="121212"/>
                      <w:highlight w:val="none"/>
                    </w:rPr>
                    <w:t>名称</w:t>
                  </w:r>
                </w:p>
              </w:tc>
              <w:tc>
                <w:tcPr>
                  <w:tcW w:w="5508" w:type="dxa"/>
                  <w:vAlign w:val="center"/>
                </w:tcPr>
                <w:p>
                  <w:pPr>
                    <w:pStyle w:val="47"/>
                    <w:bidi w:val="0"/>
                    <w:ind w:firstLine="0" w:firstLineChars="0"/>
                    <w:jc w:val="center"/>
                    <w:rPr>
                      <w:rFonts w:ascii="Times New Roman" w:hAnsi="Times New Roman" w:eastAsia="宋体" w:cs="Times New Roman"/>
                      <w:b/>
                      <w:bCs/>
                      <w:color w:val="121212"/>
                      <w:kern w:val="2"/>
                      <w:sz w:val="21"/>
                      <w:szCs w:val="24"/>
                      <w:highlight w:val="none"/>
                      <w:lang w:val="en-US" w:eastAsia="zh-CN" w:bidi="ar-SA"/>
                    </w:rPr>
                  </w:pPr>
                  <w:r>
                    <w:rPr>
                      <w:rFonts w:hint="eastAsia"/>
                      <w:b/>
                      <w:bCs/>
                      <w:color w:val="121212"/>
                      <w:highlight w:val="none"/>
                      <w:lang w:val="en-US" w:eastAsia="zh-CN"/>
                    </w:rPr>
                    <w:t>拟建工程</w:t>
                  </w:r>
                  <w:r>
                    <w:rPr>
                      <w:rFonts w:hint="default"/>
                      <w:b/>
                      <w:bCs/>
                      <w:color w:val="121212"/>
                      <w:highlight w:val="none"/>
                    </w:rPr>
                    <w:t>内容及规模</w:t>
                  </w:r>
                </w:p>
              </w:tc>
              <w:tc>
                <w:tcPr>
                  <w:tcW w:w="1106" w:type="dxa"/>
                  <w:vAlign w:val="center"/>
                </w:tcPr>
                <w:p>
                  <w:pPr>
                    <w:pStyle w:val="47"/>
                    <w:bidi w:val="0"/>
                    <w:ind w:firstLine="0" w:firstLineChars="0"/>
                    <w:jc w:val="center"/>
                    <w:rPr>
                      <w:rFonts w:hint="default"/>
                      <w:b/>
                      <w:bCs/>
                      <w:color w:val="121212"/>
                      <w:highlight w:val="none"/>
                      <w:lang w:val="en-US" w:eastAsia="zh-CN"/>
                    </w:rPr>
                  </w:pPr>
                  <w:r>
                    <w:rPr>
                      <w:rFonts w:hint="eastAsia"/>
                      <w:b/>
                      <w:bCs/>
                      <w:color w:val="121212"/>
                      <w:highlight w:val="none"/>
                      <w:lang w:val="en-US" w:eastAsia="zh-CN"/>
                    </w:rPr>
                    <w:t>备注</w:t>
                  </w:r>
                </w:p>
              </w:tc>
            </w:tr>
            <w:tr>
              <w:tblPrEx>
                <w:tblLayout w:type="fixed"/>
              </w:tblPrEx>
              <w:trPr>
                <w:trHeight w:val="0" w:hRule="atLeast"/>
                <w:jc w:val="center"/>
              </w:trPr>
              <w:tc>
                <w:tcPr>
                  <w:tcW w:w="710" w:type="dxa"/>
                  <w:vMerge w:val="restart"/>
                  <w:vAlign w:val="center"/>
                </w:tcPr>
                <w:p>
                  <w:pPr>
                    <w:pStyle w:val="47"/>
                    <w:bidi w:val="0"/>
                    <w:jc w:val="center"/>
                    <w:rPr>
                      <w:rFonts w:hint="default" w:eastAsia="宋体"/>
                      <w:color w:val="121212"/>
                      <w:highlight w:val="none"/>
                      <w:lang w:val="en-US" w:eastAsia="zh-CN"/>
                    </w:rPr>
                  </w:pPr>
                  <w:r>
                    <w:rPr>
                      <w:rFonts w:hint="eastAsia"/>
                      <w:color w:val="121212"/>
                      <w:highlight w:val="none"/>
                      <w:lang w:val="en-US" w:eastAsia="zh-CN"/>
                    </w:rPr>
                    <w:t>主体工程</w:t>
                  </w:r>
                </w:p>
              </w:tc>
              <w:tc>
                <w:tcPr>
                  <w:tcW w:w="1094" w:type="dxa"/>
                  <w:vAlign w:val="center"/>
                </w:tcPr>
                <w:p>
                  <w:pPr>
                    <w:pStyle w:val="47"/>
                    <w:bidi w:val="0"/>
                    <w:jc w:val="center"/>
                    <w:rPr>
                      <w:rFonts w:hint="default" w:eastAsia="宋体"/>
                      <w:color w:val="121212"/>
                      <w:highlight w:val="none"/>
                      <w:lang w:val="en-US" w:eastAsia="zh-CN"/>
                    </w:rPr>
                  </w:pPr>
                  <w:r>
                    <w:rPr>
                      <w:rFonts w:hint="eastAsia"/>
                      <w:color w:val="121212"/>
                      <w:highlight w:val="none"/>
                      <w:lang w:val="en-US" w:eastAsia="zh-CN"/>
                    </w:rPr>
                    <w:t>1#生产车间</w:t>
                  </w:r>
                </w:p>
              </w:tc>
              <w:tc>
                <w:tcPr>
                  <w:tcW w:w="5508" w:type="dxa"/>
                  <w:vAlign w:val="center"/>
                </w:tcPr>
                <w:p>
                  <w:pPr>
                    <w:pStyle w:val="47"/>
                    <w:bidi w:val="0"/>
                    <w:jc w:val="center"/>
                    <w:rPr>
                      <w:rFonts w:hint="default"/>
                      <w:color w:val="121212"/>
                      <w:highlight w:val="none"/>
                      <w:lang w:val="en-US" w:eastAsia="zh-CN"/>
                    </w:rPr>
                  </w:pPr>
                  <w:r>
                    <w:rPr>
                      <w:rFonts w:hint="eastAsia"/>
                      <w:color w:val="121212"/>
                      <w:highlight w:val="none"/>
                      <w:lang w:val="en-US" w:eastAsia="zh-CN"/>
                    </w:rPr>
                    <w:t>租赁安徽飞松机械股份有限公司新建厂房，生产车间</w:t>
                  </w:r>
                  <w:commentRangeStart w:id="20"/>
                  <w:commentRangeStart w:id="21"/>
                  <w:r>
                    <w:rPr>
                      <w:rFonts w:hint="eastAsia"/>
                      <w:color w:val="121212"/>
                      <w:highlight w:val="none"/>
                      <w:lang w:val="en-US" w:eastAsia="zh-CN"/>
                    </w:rPr>
                    <w:t>位于厂区内东侧，钢结构厂房，地面硬化，建筑面积约8000m</w:t>
                  </w:r>
                  <w:r>
                    <w:rPr>
                      <w:rFonts w:hint="eastAsia"/>
                      <w:color w:val="121212"/>
                      <w:highlight w:val="none"/>
                      <w:vertAlign w:val="superscript"/>
                      <w:lang w:val="en-US" w:eastAsia="zh-CN"/>
                    </w:rPr>
                    <w:t>2</w:t>
                  </w:r>
                  <w:r>
                    <w:rPr>
                      <w:rFonts w:hint="eastAsia"/>
                      <w:color w:val="121212"/>
                      <w:highlight w:val="none"/>
                      <w:lang w:val="en-US" w:eastAsia="zh-CN"/>
                    </w:rPr>
                    <w:t>，高12米。设置旋边机、卷管机、激光切割</w:t>
                  </w:r>
                  <w:commentRangeEnd w:id="20"/>
                  <w:r>
                    <w:rPr>
                      <w:color w:val="121212"/>
                    </w:rPr>
                    <w:commentReference w:id="20"/>
                  </w:r>
                  <w:commentRangeEnd w:id="21"/>
                  <w:r>
                    <w:rPr>
                      <w:color w:val="121212"/>
                    </w:rPr>
                    <w:commentReference w:id="21"/>
                  </w:r>
                  <w:r>
                    <w:rPr>
                      <w:rFonts w:hint="eastAsia"/>
                      <w:color w:val="121212"/>
                      <w:highlight w:val="none"/>
                      <w:lang w:val="en-US" w:eastAsia="zh-CN"/>
                    </w:rPr>
                    <w:t>机、电焊机等设备，主要用于下料、卷圆、切割、焊接和改装等；</w:t>
                  </w:r>
                </w:p>
              </w:tc>
              <w:tc>
                <w:tcPr>
                  <w:tcW w:w="1106" w:type="dxa"/>
                  <w:vAlign w:val="center"/>
                </w:tcPr>
                <w:p>
                  <w:pPr>
                    <w:pStyle w:val="47"/>
                    <w:bidi w:val="0"/>
                    <w:jc w:val="center"/>
                    <w:rPr>
                      <w:rFonts w:hint="default"/>
                      <w:color w:val="121212"/>
                      <w:highlight w:val="none"/>
                      <w:lang w:val="en-US" w:eastAsia="zh-CN"/>
                    </w:rPr>
                  </w:pPr>
                  <w:r>
                    <w:rPr>
                      <w:rFonts w:hint="eastAsia"/>
                      <w:color w:val="121212"/>
                      <w:sz w:val="21"/>
                      <w:szCs w:val="21"/>
                      <w:highlight w:val="none"/>
                      <w:lang w:val="en-US" w:eastAsia="zh-CN"/>
                    </w:rPr>
                    <w:t>新建</w:t>
                  </w:r>
                </w:p>
              </w:tc>
            </w:tr>
            <w:tr>
              <w:tblPrEx>
                <w:tblLayout w:type="fixed"/>
              </w:tblPrEx>
              <w:trPr>
                <w:trHeight w:val="0" w:hRule="atLeast"/>
                <w:jc w:val="center"/>
              </w:trPr>
              <w:tc>
                <w:tcPr>
                  <w:tcW w:w="710" w:type="dxa"/>
                  <w:vMerge w:val="continue"/>
                  <w:vAlign w:val="center"/>
                </w:tcPr>
                <w:p>
                  <w:pPr>
                    <w:pStyle w:val="47"/>
                    <w:bidi w:val="0"/>
                    <w:jc w:val="center"/>
                    <w:rPr>
                      <w:rFonts w:hint="eastAsia"/>
                      <w:color w:val="121212"/>
                      <w:highlight w:val="none"/>
                      <w:lang w:val="en-US" w:eastAsia="zh-CN"/>
                    </w:rPr>
                  </w:pPr>
                </w:p>
              </w:tc>
              <w:tc>
                <w:tcPr>
                  <w:tcW w:w="1094" w:type="dxa"/>
                  <w:vAlign w:val="center"/>
                </w:tcPr>
                <w:p>
                  <w:pPr>
                    <w:pStyle w:val="47"/>
                    <w:bidi w:val="0"/>
                    <w:jc w:val="center"/>
                    <w:rPr>
                      <w:rFonts w:hint="default"/>
                      <w:color w:val="121212"/>
                      <w:highlight w:val="none"/>
                      <w:lang w:val="en-US" w:eastAsia="zh-CN"/>
                    </w:rPr>
                  </w:pPr>
                  <w:r>
                    <w:rPr>
                      <w:rFonts w:hint="eastAsia"/>
                      <w:color w:val="121212"/>
                      <w:highlight w:val="none"/>
                      <w:lang w:val="en-US" w:eastAsia="zh-CN"/>
                    </w:rPr>
                    <w:t>2#生产车间</w:t>
                  </w:r>
                </w:p>
              </w:tc>
              <w:tc>
                <w:tcPr>
                  <w:tcW w:w="5508" w:type="dxa"/>
                  <w:vAlign w:val="center"/>
                </w:tcPr>
                <w:p>
                  <w:pPr>
                    <w:pStyle w:val="47"/>
                    <w:bidi w:val="0"/>
                    <w:jc w:val="center"/>
                    <w:rPr>
                      <w:rFonts w:hint="default"/>
                      <w:color w:val="121212"/>
                      <w:highlight w:val="none"/>
                      <w:lang w:val="en-US" w:eastAsia="zh-CN"/>
                    </w:rPr>
                  </w:pPr>
                  <w:r>
                    <w:rPr>
                      <w:rFonts w:hint="eastAsia"/>
                      <w:color w:val="121212"/>
                      <w:highlight w:val="none"/>
                      <w:lang w:val="en-US" w:eastAsia="zh-CN"/>
                    </w:rPr>
                    <w:t>租赁安徽飞松机械股份有限公司新建厂房，生产车间位于厂区内西侧，钢结构厂房，地面硬化，建筑面积约8000m</w:t>
                  </w:r>
                  <w:r>
                    <w:rPr>
                      <w:rFonts w:hint="eastAsia"/>
                      <w:color w:val="121212"/>
                      <w:highlight w:val="none"/>
                      <w:vertAlign w:val="superscript"/>
                      <w:lang w:val="en-US" w:eastAsia="zh-CN"/>
                    </w:rPr>
                    <w:t>2</w:t>
                  </w:r>
                  <w:r>
                    <w:rPr>
                      <w:rFonts w:hint="eastAsia"/>
                      <w:color w:val="121212"/>
                      <w:highlight w:val="none"/>
                      <w:vertAlign w:val="baseline"/>
                      <w:lang w:val="en-US" w:eastAsia="zh-CN"/>
                    </w:rPr>
                    <w:t>，</w:t>
                  </w:r>
                  <w:r>
                    <w:rPr>
                      <w:rFonts w:hint="eastAsia"/>
                      <w:color w:val="121212"/>
                      <w:highlight w:val="none"/>
                      <w:lang w:val="en-US" w:eastAsia="zh-CN"/>
                    </w:rPr>
                    <w:t>高12米。主要用于车辆的组装与存放等；</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121212"/>
                      <w:sz w:val="21"/>
                      <w:szCs w:val="21"/>
                      <w:highlight w:val="none"/>
                      <w:lang w:val="en-US" w:eastAsia="zh-CN"/>
                    </w:rPr>
                  </w:pPr>
                  <w:r>
                    <w:rPr>
                      <w:rFonts w:hint="eastAsia"/>
                      <w:color w:val="121212"/>
                      <w:sz w:val="21"/>
                      <w:szCs w:val="21"/>
                      <w:highlight w:val="none"/>
                      <w:lang w:val="en-US" w:eastAsia="zh-CN"/>
                    </w:rPr>
                    <w:t>新建</w:t>
                  </w:r>
                </w:p>
              </w:tc>
            </w:tr>
            <w:tr>
              <w:tblPrEx>
                <w:tblLayout w:type="fixed"/>
              </w:tblPrEx>
              <w:trPr>
                <w:trHeight w:val="0" w:hRule="atLeast"/>
                <w:jc w:val="center"/>
              </w:trPr>
              <w:tc>
                <w:tcPr>
                  <w:tcW w:w="710" w:type="dxa"/>
                  <w:vAlign w:val="center"/>
                </w:tcPr>
                <w:p>
                  <w:pPr>
                    <w:pStyle w:val="47"/>
                    <w:bidi w:val="0"/>
                    <w:jc w:val="center"/>
                    <w:rPr>
                      <w:rFonts w:hint="default" w:eastAsia="宋体"/>
                      <w:color w:val="121212"/>
                      <w:highlight w:val="none"/>
                      <w:lang w:val="en-US" w:eastAsia="zh-CN"/>
                    </w:rPr>
                  </w:pPr>
                  <w:r>
                    <w:rPr>
                      <w:rFonts w:hint="eastAsia"/>
                      <w:color w:val="121212"/>
                      <w:highlight w:val="none"/>
                      <w:lang w:val="en-US" w:eastAsia="zh-CN"/>
                    </w:rPr>
                    <w:t>辅助工程</w:t>
                  </w:r>
                </w:p>
              </w:tc>
              <w:tc>
                <w:tcPr>
                  <w:tcW w:w="1094" w:type="dxa"/>
                  <w:vAlign w:val="center"/>
                </w:tcPr>
                <w:p>
                  <w:pPr>
                    <w:pStyle w:val="47"/>
                    <w:bidi w:val="0"/>
                    <w:ind w:firstLine="0" w:firstLineChars="0"/>
                    <w:jc w:val="center"/>
                    <w:rPr>
                      <w:rFonts w:hint="default" w:eastAsia="宋体"/>
                      <w:color w:val="121212"/>
                      <w:highlight w:val="none"/>
                      <w:lang w:val="en-US" w:eastAsia="zh-CN"/>
                    </w:rPr>
                  </w:pPr>
                  <w:r>
                    <w:rPr>
                      <w:rFonts w:hint="eastAsia" w:ascii="Times New Roman" w:hAnsi="Times New Roman" w:eastAsia="宋体" w:cs="Times New Roman"/>
                      <w:color w:val="121212"/>
                      <w:kern w:val="2"/>
                      <w:sz w:val="21"/>
                      <w:szCs w:val="24"/>
                      <w:highlight w:val="none"/>
                      <w:lang w:val="en-US" w:eastAsia="zh-CN" w:bidi="ar-SA"/>
                    </w:rPr>
                    <w:t>办公</w:t>
                  </w:r>
                  <w:r>
                    <w:rPr>
                      <w:rFonts w:hint="eastAsia" w:cs="Times New Roman"/>
                      <w:color w:val="121212"/>
                      <w:kern w:val="2"/>
                      <w:sz w:val="21"/>
                      <w:szCs w:val="24"/>
                      <w:highlight w:val="none"/>
                      <w:lang w:val="en-US" w:eastAsia="zh-CN" w:bidi="ar-SA"/>
                    </w:rPr>
                    <w:t>区</w:t>
                  </w:r>
                </w:p>
              </w:tc>
              <w:tc>
                <w:tcPr>
                  <w:tcW w:w="5508" w:type="dxa"/>
                  <w:vAlign w:val="center"/>
                </w:tcPr>
                <w:p>
                  <w:pPr>
                    <w:pStyle w:val="47"/>
                    <w:bidi w:val="0"/>
                    <w:ind w:firstLine="0" w:firstLineChars="0"/>
                    <w:jc w:val="center"/>
                    <w:rPr>
                      <w:rFonts w:hint="default" w:eastAsia="宋体"/>
                      <w:color w:val="121212"/>
                      <w:highlight w:val="none"/>
                      <w:lang w:val="en-US" w:eastAsia="zh-CN"/>
                    </w:rPr>
                  </w:pPr>
                  <w:r>
                    <w:rPr>
                      <w:rFonts w:hint="eastAsia"/>
                      <w:color w:val="121212"/>
                      <w:highlight w:val="none"/>
                      <w:vertAlign w:val="baseline"/>
                      <w:lang w:val="en-US" w:eastAsia="zh-CN"/>
                    </w:rPr>
                    <w:t>位于</w:t>
                  </w:r>
                  <w:r>
                    <w:rPr>
                      <w:rFonts w:hint="eastAsia"/>
                      <w:color w:val="121212"/>
                      <w:highlight w:val="none"/>
                      <w:lang w:val="en-US" w:eastAsia="zh-CN"/>
                    </w:rPr>
                    <w:t>2#生产车间内</w:t>
                  </w:r>
                  <w:r>
                    <w:rPr>
                      <w:rFonts w:hint="eastAsia"/>
                      <w:color w:val="121212"/>
                      <w:highlight w:val="none"/>
                      <w:vertAlign w:val="baseline"/>
                      <w:lang w:val="en-US" w:eastAsia="zh-CN"/>
                    </w:rPr>
                    <w:t>，</w:t>
                  </w:r>
                  <w:r>
                    <w:rPr>
                      <w:rFonts w:hint="eastAsia"/>
                      <w:color w:val="121212"/>
                      <w:highlight w:val="none"/>
                      <w:lang w:val="en-US" w:eastAsia="zh-CN"/>
                    </w:rPr>
                    <w:t>建筑面积约200m</w:t>
                  </w:r>
                  <w:r>
                    <w:rPr>
                      <w:rFonts w:hint="eastAsia"/>
                      <w:color w:val="121212"/>
                      <w:highlight w:val="none"/>
                      <w:vertAlign w:val="superscript"/>
                      <w:lang w:val="en-US" w:eastAsia="zh-CN"/>
                    </w:rPr>
                    <w:t>2</w:t>
                  </w:r>
                  <w:r>
                    <w:rPr>
                      <w:rFonts w:hint="eastAsia"/>
                      <w:color w:val="121212"/>
                      <w:highlight w:val="none"/>
                      <w:lang w:val="en-US" w:eastAsia="zh-CN"/>
                    </w:rPr>
                    <w:t>，</w:t>
                  </w:r>
                  <w:r>
                    <w:rPr>
                      <w:rFonts w:hint="eastAsia"/>
                      <w:color w:val="121212"/>
                      <w:highlight w:val="none"/>
                      <w:vertAlign w:val="baseline"/>
                      <w:lang w:val="en-US" w:eastAsia="zh-CN"/>
                    </w:rPr>
                    <w:t>用于人员办公、休息；</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121212"/>
                      <w:sz w:val="21"/>
                      <w:szCs w:val="21"/>
                      <w:highlight w:val="none"/>
                      <w:vertAlign w:val="baseline"/>
                      <w:lang w:val="en-US" w:eastAsia="zh-CN"/>
                    </w:rPr>
                  </w:pPr>
                  <w:r>
                    <w:rPr>
                      <w:rFonts w:hint="eastAsia"/>
                      <w:color w:val="121212"/>
                      <w:sz w:val="21"/>
                      <w:szCs w:val="21"/>
                      <w:highlight w:val="none"/>
                      <w:lang w:val="en-US" w:eastAsia="zh-CN"/>
                    </w:rPr>
                    <w:t>新建</w:t>
                  </w:r>
                </w:p>
              </w:tc>
            </w:tr>
            <w:tr>
              <w:tblPrEx>
                <w:tblLayout w:type="fixed"/>
              </w:tblPrEx>
              <w:trPr>
                <w:trHeight w:val="0" w:hRule="atLeast"/>
                <w:jc w:val="center"/>
              </w:trPr>
              <w:tc>
                <w:tcPr>
                  <w:tcW w:w="71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color w:val="121212"/>
                      <w:highlight w:val="none"/>
                    </w:rPr>
                  </w:pPr>
                  <w:r>
                    <w:rPr>
                      <w:rFonts w:hint="default" w:ascii="Times New Roman" w:hAnsi="Times New Roman" w:cs="Times New Roman"/>
                      <w:color w:val="121212"/>
                      <w:kern w:val="2"/>
                      <w:sz w:val="21"/>
                    </w:rPr>
                    <w:t>储运工程</w:t>
                  </w:r>
                </w:p>
              </w:tc>
              <w:tc>
                <w:tcPr>
                  <w:tcW w:w="1094" w:type="dxa"/>
                  <w:vAlign w:val="center"/>
                </w:tcPr>
                <w:p>
                  <w:pPr>
                    <w:pStyle w:val="47"/>
                    <w:bidi w:val="0"/>
                    <w:ind w:firstLine="0" w:firstLineChars="0"/>
                    <w:jc w:val="center"/>
                    <w:rPr>
                      <w:rFonts w:hint="eastAsia"/>
                      <w:color w:val="121212"/>
                      <w:highlight w:val="none"/>
                      <w:lang w:val="en-US" w:eastAsia="zh-CN"/>
                    </w:rPr>
                  </w:pPr>
                  <w:r>
                    <w:rPr>
                      <w:rFonts w:hint="eastAsia"/>
                      <w:color w:val="121212"/>
                      <w:highlight w:val="none"/>
                      <w:lang w:val="en-US" w:eastAsia="zh-CN"/>
                    </w:rPr>
                    <w:t>原料仓库</w:t>
                  </w:r>
                </w:p>
              </w:tc>
              <w:tc>
                <w:tcPr>
                  <w:tcW w:w="5508" w:type="dxa"/>
                  <w:vAlign w:val="center"/>
                </w:tcPr>
                <w:p>
                  <w:pPr>
                    <w:pStyle w:val="47"/>
                    <w:bidi w:val="0"/>
                    <w:ind w:firstLine="0" w:firstLineChars="0"/>
                    <w:jc w:val="center"/>
                    <w:rPr>
                      <w:rFonts w:hint="eastAsia"/>
                      <w:color w:val="121212"/>
                      <w:highlight w:val="none"/>
                      <w:lang w:val="en-US" w:eastAsia="zh-CN"/>
                    </w:rPr>
                  </w:pPr>
                  <w:r>
                    <w:rPr>
                      <w:rFonts w:hint="eastAsia"/>
                      <w:color w:val="121212"/>
                      <w:highlight w:val="none"/>
                      <w:lang w:val="en-US" w:eastAsia="zh-CN"/>
                    </w:rPr>
                    <w:t>位于厂区内东侧，钢结构厂房，地面硬化，建筑面积约2000m</w:t>
                  </w:r>
                  <w:r>
                    <w:rPr>
                      <w:rFonts w:hint="eastAsia"/>
                      <w:color w:val="121212"/>
                      <w:highlight w:val="none"/>
                      <w:vertAlign w:val="superscript"/>
                      <w:lang w:val="en-US" w:eastAsia="zh-CN"/>
                    </w:rPr>
                    <w:t>2</w:t>
                  </w:r>
                  <w:r>
                    <w:rPr>
                      <w:rFonts w:hint="eastAsia"/>
                      <w:color w:val="121212"/>
                      <w:highlight w:val="none"/>
                      <w:lang w:val="en-US" w:eastAsia="zh-CN"/>
                    </w:rPr>
                    <w:t>，用于储存原料；</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121212"/>
                      <w:sz w:val="21"/>
                      <w:szCs w:val="21"/>
                      <w:highlight w:val="none"/>
                      <w:lang w:val="en-US" w:eastAsia="zh-CN"/>
                    </w:rPr>
                  </w:pPr>
                  <w:r>
                    <w:rPr>
                      <w:rFonts w:hint="eastAsia"/>
                      <w:color w:val="121212"/>
                      <w:sz w:val="21"/>
                      <w:szCs w:val="21"/>
                      <w:highlight w:val="none"/>
                      <w:lang w:val="en-US" w:eastAsia="zh-CN"/>
                    </w:rPr>
                    <w:t>新建</w:t>
                  </w:r>
                </w:p>
              </w:tc>
            </w:tr>
            <w:tr>
              <w:tblPrEx>
                <w:tblLayout w:type="fixed"/>
              </w:tblPrEx>
              <w:trPr>
                <w:trHeight w:val="493" w:hRule="atLeast"/>
                <w:jc w:val="center"/>
              </w:trPr>
              <w:tc>
                <w:tcPr>
                  <w:tcW w:w="71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121212"/>
                      <w:kern w:val="2"/>
                      <w:sz w:val="21"/>
                    </w:rPr>
                  </w:pPr>
                </w:p>
              </w:tc>
              <w:tc>
                <w:tcPr>
                  <w:tcW w:w="1094" w:type="dxa"/>
                  <w:vAlign w:val="center"/>
                </w:tcPr>
                <w:p>
                  <w:pPr>
                    <w:pStyle w:val="47"/>
                    <w:bidi w:val="0"/>
                    <w:ind w:firstLine="0" w:firstLineChars="0"/>
                    <w:jc w:val="center"/>
                    <w:rPr>
                      <w:rFonts w:hint="eastAsia" w:cs="Times New Roman"/>
                      <w:color w:val="121212"/>
                      <w:kern w:val="2"/>
                      <w:sz w:val="21"/>
                      <w:lang w:val="en-US" w:eastAsia="zh-CN"/>
                    </w:rPr>
                  </w:pPr>
                  <w:r>
                    <w:rPr>
                      <w:rFonts w:hint="eastAsia"/>
                      <w:color w:val="121212"/>
                      <w:highlight w:val="none"/>
                      <w:lang w:val="en-US" w:eastAsia="zh-CN"/>
                    </w:rPr>
                    <w:t>成品厂库</w:t>
                  </w:r>
                </w:p>
              </w:tc>
              <w:tc>
                <w:tcPr>
                  <w:tcW w:w="5508" w:type="dxa"/>
                  <w:vAlign w:val="center"/>
                </w:tcPr>
                <w:p>
                  <w:pPr>
                    <w:pStyle w:val="47"/>
                    <w:bidi w:val="0"/>
                    <w:ind w:firstLine="0" w:firstLineChars="0"/>
                    <w:jc w:val="center"/>
                    <w:rPr>
                      <w:rFonts w:hint="eastAsia"/>
                      <w:color w:val="121212"/>
                      <w:highlight w:val="none"/>
                      <w:lang w:val="en-US" w:eastAsia="zh-CN"/>
                    </w:rPr>
                  </w:pPr>
                  <w:r>
                    <w:rPr>
                      <w:rFonts w:hint="eastAsia"/>
                      <w:color w:val="121212"/>
                      <w:highlight w:val="none"/>
                      <w:lang w:val="en-US" w:eastAsia="zh-CN"/>
                    </w:rPr>
                    <w:t>位于厂区内西侧，地面硬化，占地面积约4000m</w:t>
                  </w:r>
                  <w:r>
                    <w:rPr>
                      <w:rFonts w:hint="eastAsia"/>
                      <w:color w:val="121212"/>
                      <w:highlight w:val="none"/>
                      <w:vertAlign w:val="superscript"/>
                      <w:lang w:val="en-US" w:eastAsia="zh-CN"/>
                    </w:rPr>
                    <w:t>2</w:t>
                  </w:r>
                  <w:r>
                    <w:rPr>
                      <w:rFonts w:hint="eastAsia"/>
                      <w:color w:val="121212"/>
                      <w:highlight w:val="none"/>
                      <w:lang w:val="en-US" w:eastAsia="zh-CN"/>
                    </w:rPr>
                    <w:t>，用于储存成品车辆；</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121212"/>
                      <w:sz w:val="21"/>
                      <w:szCs w:val="21"/>
                      <w:highlight w:val="none"/>
                      <w:lang w:val="en-US" w:eastAsia="zh-CN"/>
                    </w:rPr>
                  </w:pPr>
                  <w:r>
                    <w:rPr>
                      <w:rFonts w:hint="eastAsia"/>
                      <w:color w:val="121212"/>
                      <w:sz w:val="21"/>
                      <w:szCs w:val="21"/>
                      <w:highlight w:val="none"/>
                      <w:lang w:val="en-US" w:eastAsia="zh-CN"/>
                    </w:rPr>
                    <w:t>新建</w:t>
                  </w:r>
                </w:p>
              </w:tc>
            </w:tr>
            <w:tr>
              <w:tblPrEx>
                <w:tblLayout w:type="fixed"/>
              </w:tblPrEx>
              <w:trPr>
                <w:trHeight w:val="0" w:hRule="atLeast"/>
                <w:jc w:val="center"/>
              </w:trPr>
              <w:tc>
                <w:tcPr>
                  <w:tcW w:w="710" w:type="dxa"/>
                  <w:vMerge w:val="restart"/>
                  <w:vAlign w:val="center"/>
                </w:tcPr>
                <w:p>
                  <w:pPr>
                    <w:pStyle w:val="47"/>
                    <w:bidi w:val="0"/>
                    <w:jc w:val="center"/>
                    <w:rPr>
                      <w:rFonts w:hint="default" w:eastAsia="宋体"/>
                      <w:color w:val="121212"/>
                      <w:highlight w:val="none"/>
                      <w:lang w:val="en-US" w:eastAsia="zh-CN"/>
                    </w:rPr>
                  </w:pPr>
                  <w:r>
                    <w:rPr>
                      <w:rFonts w:hint="eastAsia"/>
                      <w:color w:val="121212"/>
                      <w:highlight w:val="none"/>
                      <w:lang w:val="en-US" w:eastAsia="zh-CN"/>
                    </w:rPr>
                    <w:t>公用工程</w:t>
                  </w:r>
                </w:p>
              </w:tc>
              <w:tc>
                <w:tcPr>
                  <w:tcW w:w="1094" w:type="dxa"/>
                  <w:vAlign w:val="center"/>
                </w:tcPr>
                <w:p>
                  <w:pPr>
                    <w:pStyle w:val="47"/>
                    <w:bidi w:val="0"/>
                    <w:jc w:val="center"/>
                    <w:rPr>
                      <w:rFonts w:hint="eastAsia" w:eastAsia="宋体"/>
                      <w:color w:val="121212"/>
                      <w:highlight w:val="none"/>
                      <w:lang w:val="en-US" w:eastAsia="zh-CN"/>
                    </w:rPr>
                  </w:pPr>
                  <w:r>
                    <w:rPr>
                      <w:rFonts w:hint="eastAsia"/>
                      <w:color w:val="121212"/>
                      <w:highlight w:val="none"/>
                      <w:lang w:val="en-US" w:eastAsia="zh-CN"/>
                    </w:rPr>
                    <w:t>供水</w:t>
                  </w:r>
                </w:p>
              </w:tc>
              <w:tc>
                <w:tcPr>
                  <w:tcW w:w="5508" w:type="dxa"/>
                  <w:vAlign w:val="center"/>
                </w:tcPr>
                <w:p>
                  <w:pPr>
                    <w:pStyle w:val="47"/>
                    <w:bidi w:val="0"/>
                    <w:jc w:val="center"/>
                    <w:rPr>
                      <w:rFonts w:hint="default" w:eastAsia="宋体"/>
                      <w:color w:val="121212"/>
                      <w:highlight w:val="none"/>
                      <w:lang w:val="en-US" w:eastAsia="zh-CN"/>
                    </w:rPr>
                  </w:pPr>
                  <w:r>
                    <w:rPr>
                      <w:rFonts w:hint="eastAsia"/>
                      <w:color w:val="121212"/>
                      <w:highlight w:val="none"/>
                      <w:lang w:val="en-US" w:eastAsia="zh-CN"/>
                    </w:rPr>
                    <w:t>市政管网供给，年用水量为250t/a</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olor w:val="121212"/>
                      <w:sz w:val="21"/>
                      <w:szCs w:val="21"/>
                      <w:highlight w:val="none"/>
                      <w:lang w:val="en-US" w:eastAsia="zh-CN"/>
                    </w:rPr>
                  </w:pPr>
                  <w:r>
                    <w:rPr>
                      <w:rFonts w:hint="eastAsia" w:ascii="Times New Roman" w:hAnsi="Times New Roman" w:eastAsia="宋体" w:cs="Times New Roman"/>
                      <w:color w:val="121212"/>
                      <w:sz w:val="21"/>
                      <w:szCs w:val="21"/>
                      <w:highlight w:val="none"/>
                      <w:lang w:val="en-US" w:eastAsia="zh-CN"/>
                    </w:rPr>
                    <w:t>依托现有</w:t>
                  </w:r>
                </w:p>
              </w:tc>
            </w:tr>
            <w:tr>
              <w:tblPrEx>
                <w:tblLayout w:type="fixed"/>
              </w:tblPrEx>
              <w:trPr>
                <w:trHeight w:val="0" w:hRule="atLeast"/>
                <w:jc w:val="center"/>
              </w:trPr>
              <w:tc>
                <w:tcPr>
                  <w:tcW w:w="710" w:type="dxa"/>
                  <w:vMerge w:val="continue"/>
                  <w:vAlign w:val="center"/>
                </w:tcPr>
                <w:p>
                  <w:pPr>
                    <w:pStyle w:val="47"/>
                    <w:bidi w:val="0"/>
                    <w:jc w:val="center"/>
                    <w:rPr>
                      <w:color w:val="121212"/>
                      <w:highlight w:val="none"/>
                    </w:rPr>
                  </w:pPr>
                </w:p>
              </w:tc>
              <w:tc>
                <w:tcPr>
                  <w:tcW w:w="1094" w:type="dxa"/>
                  <w:vAlign w:val="center"/>
                </w:tcPr>
                <w:p>
                  <w:pPr>
                    <w:pStyle w:val="47"/>
                    <w:bidi w:val="0"/>
                    <w:jc w:val="center"/>
                    <w:rPr>
                      <w:rFonts w:hint="eastAsia" w:eastAsia="宋体"/>
                      <w:color w:val="121212"/>
                      <w:highlight w:val="none"/>
                      <w:lang w:val="en-US" w:eastAsia="zh-CN"/>
                    </w:rPr>
                  </w:pPr>
                  <w:r>
                    <w:rPr>
                      <w:rFonts w:hint="eastAsia"/>
                      <w:color w:val="121212"/>
                      <w:highlight w:val="none"/>
                      <w:lang w:val="en-US" w:eastAsia="zh-CN"/>
                    </w:rPr>
                    <w:t>排水</w:t>
                  </w:r>
                </w:p>
              </w:tc>
              <w:tc>
                <w:tcPr>
                  <w:tcW w:w="5508" w:type="dxa"/>
                  <w:vAlign w:val="center"/>
                </w:tcPr>
                <w:p>
                  <w:pPr>
                    <w:pStyle w:val="47"/>
                    <w:bidi w:val="0"/>
                    <w:jc w:val="center"/>
                    <w:rPr>
                      <w:rFonts w:hint="default"/>
                      <w:color w:val="121212"/>
                      <w:highlight w:val="none"/>
                      <w:lang w:val="en-US"/>
                    </w:rPr>
                  </w:pPr>
                  <w:r>
                    <w:rPr>
                      <w:rFonts w:hint="eastAsia" w:cs="Times New Roman"/>
                      <w:color w:val="121212"/>
                      <w:sz w:val="21"/>
                      <w:szCs w:val="21"/>
                      <w:lang w:val="en-US" w:eastAsia="zh-CN"/>
                    </w:rPr>
                    <w:t>实行雨污分流制。</w:t>
                  </w:r>
                  <w:r>
                    <w:rPr>
                      <w:rFonts w:hint="eastAsia" w:cs="Times New Roman"/>
                      <w:color w:val="121212"/>
                      <w:sz w:val="21"/>
                      <w:szCs w:val="21"/>
                      <w:lang w:eastAsia="zh-CN"/>
                    </w:rPr>
                    <w:t>生活污水</w:t>
                  </w:r>
                  <w:r>
                    <w:rPr>
                      <w:rFonts w:hint="eastAsia" w:cs="Times New Roman"/>
                      <w:color w:val="121212"/>
                      <w:sz w:val="21"/>
                      <w:szCs w:val="21"/>
                      <w:lang w:val="en-US" w:eastAsia="zh-CN"/>
                    </w:rPr>
                    <w:t>依托安徽飞松机械股份有限公司</w:t>
                  </w:r>
                  <w:r>
                    <w:rPr>
                      <w:rFonts w:hint="eastAsia" w:cs="Times New Roman"/>
                      <w:color w:val="121212"/>
                      <w:sz w:val="21"/>
                      <w:szCs w:val="21"/>
                      <w:lang w:eastAsia="zh-CN"/>
                    </w:rPr>
                    <w:t>化粪池处理后，排入灵璧开发区北部新区污水处理厂集中处理；</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121212"/>
                      <w:sz w:val="21"/>
                      <w:szCs w:val="21"/>
                      <w:lang w:val="en-US" w:eastAsia="zh-CN"/>
                    </w:rPr>
                  </w:pPr>
                  <w:r>
                    <w:rPr>
                      <w:rFonts w:hint="eastAsia" w:ascii="Times New Roman" w:hAnsi="Times New Roman" w:eastAsia="宋体" w:cs="Times New Roman"/>
                      <w:color w:val="121212"/>
                      <w:sz w:val="21"/>
                      <w:szCs w:val="21"/>
                      <w:highlight w:val="none"/>
                      <w:lang w:val="en-US" w:eastAsia="zh-CN"/>
                    </w:rPr>
                    <w:t>依托现有</w:t>
                  </w:r>
                  <w:r>
                    <w:rPr>
                      <w:rFonts w:hint="eastAsia" w:cs="Times New Roman"/>
                      <w:color w:val="121212"/>
                      <w:sz w:val="21"/>
                      <w:szCs w:val="21"/>
                      <w:highlight w:val="none"/>
                      <w:lang w:val="en-US" w:eastAsia="zh-CN"/>
                    </w:rPr>
                    <w:t>化粪池</w:t>
                  </w:r>
                </w:p>
              </w:tc>
            </w:tr>
            <w:tr>
              <w:tblPrEx>
                <w:tblLayout w:type="fixed"/>
              </w:tblPrEx>
              <w:trPr>
                <w:trHeight w:val="0" w:hRule="atLeast"/>
                <w:jc w:val="center"/>
              </w:trPr>
              <w:tc>
                <w:tcPr>
                  <w:tcW w:w="710" w:type="dxa"/>
                  <w:vMerge w:val="continue"/>
                  <w:vAlign w:val="center"/>
                </w:tcPr>
                <w:p>
                  <w:pPr>
                    <w:pStyle w:val="47"/>
                    <w:bidi w:val="0"/>
                    <w:jc w:val="center"/>
                    <w:rPr>
                      <w:color w:val="121212"/>
                      <w:highlight w:val="none"/>
                    </w:rPr>
                  </w:pPr>
                </w:p>
              </w:tc>
              <w:tc>
                <w:tcPr>
                  <w:tcW w:w="1094" w:type="dxa"/>
                  <w:vAlign w:val="center"/>
                </w:tcPr>
                <w:p>
                  <w:pPr>
                    <w:pStyle w:val="47"/>
                    <w:bidi w:val="0"/>
                    <w:jc w:val="center"/>
                    <w:rPr>
                      <w:rFonts w:hint="eastAsia" w:eastAsia="宋体"/>
                      <w:color w:val="121212"/>
                      <w:highlight w:val="none"/>
                      <w:lang w:val="en-US" w:eastAsia="zh-CN"/>
                    </w:rPr>
                  </w:pPr>
                  <w:r>
                    <w:rPr>
                      <w:rFonts w:hint="eastAsia"/>
                      <w:color w:val="121212"/>
                      <w:highlight w:val="none"/>
                      <w:lang w:val="en-US" w:eastAsia="zh-CN"/>
                    </w:rPr>
                    <w:t>供电</w:t>
                  </w:r>
                </w:p>
              </w:tc>
              <w:tc>
                <w:tcPr>
                  <w:tcW w:w="5508" w:type="dxa"/>
                  <w:vAlign w:val="center"/>
                </w:tcPr>
                <w:p>
                  <w:pPr>
                    <w:pStyle w:val="47"/>
                    <w:bidi w:val="0"/>
                    <w:jc w:val="center"/>
                    <w:rPr>
                      <w:rFonts w:hint="eastAsia" w:eastAsia="宋体"/>
                      <w:color w:val="121212"/>
                      <w:highlight w:val="none"/>
                      <w:lang w:val="en-US" w:eastAsia="zh-CN"/>
                    </w:rPr>
                  </w:pPr>
                  <w:r>
                    <w:rPr>
                      <w:rFonts w:hint="eastAsia" w:cs="Times New Roman"/>
                      <w:bCs/>
                      <w:color w:val="121212"/>
                      <w:kern w:val="0"/>
                      <w:sz w:val="21"/>
                      <w:szCs w:val="21"/>
                      <w:lang w:val="en-US" w:eastAsia="zh-CN"/>
                    </w:rPr>
                    <w:t>市供电电网供</w:t>
                  </w:r>
                  <w:r>
                    <w:rPr>
                      <w:rFonts w:hint="default" w:ascii="Times New Roman" w:hAnsi="Times New Roman" w:cs="Times New Roman"/>
                      <w:bCs/>
                      <w:color w:val="121212"/>
                      <w:kern w:val="0"/>
                      <w:sz w:val="21"/>
                      <w:szCs w:val="21"/>
                    </w:rPr>
                    <w:t>电</w:t>
                  </w:r>
                  <w:r>
                    <w:rPr>
                      <w:rFonts w:hint="eastAsia" w:cs="Times New Roman"/>
                      <w:bCs/>
                      <w:color w:val="121212"/>
                      <w:kern w:val="0"/>
                      <w:sz w:val="21"/>
                      <w:szCs w:val="21"/>
                      <w:lang w:eastAsia="zh-CN"/>
                    </w:rPr>
                    <w:t>，</w:t>
                  </w:r>
                  <w:r>
                    <w:rPr>
                      <w:rFonts w:hint="eastAsia" w:cs="Times New Roman"/>
                      <w:bCs/>
                      <w:color w:val="121212"/>
                      <w:kern w:val="0"/>
                      <w:sz w:val="21"/>
                      <w:szCs w:val="21"/>
                      <w:lang w:val="en-US" w:eastAsia="zh-CN"/>
                    </w:rPr>
                    <w:t>年用电量20</w:t>
                  </w:r>
                  <w:r>
                    <w:rPr>
                      <w:rFonts w:hint="eastAsia" w:cs="Times New Roman"/>
                      <w:color w:val="121212"/>
                      <w:kern w:val="0"/>
                      <w:sz w:val="21"/>
                      <w:szCs w:val="21"/>
                      <w:lang w:val="en-US" w:eastAsia="zh-CN"/>
                    </w:rPr>
                    <w:t>万</w:t>
                  </w:r>
                  <w:r>
                    <w:rPr>
                      <w:rFonts w:hint="default" w:ascii="Times New Roman" w:hAnsi="Times New Roman" w:cs="Times New Roman"/>
                      <w:bCs/>
                      <w:color w:val="121212"/>
                      <w:kern w:val="0"/>
                      <w:sz w:val="21"/>
                      <w:szCs w:val="21"/>
                    </w:rPr>
                    <w:t>Kwh</w:t>
                  </w:r>
                  <w:r>
                    <w:rPr>
                      <w:rFonts w:hint="eastAsia" w:ascii="Times New Roman" w:hAnsi="Times New Roman" w:cs="Times New Roman"/>
                      <w:bCs/>
                      <w:color w:val="121212"/>
                      <w:kern w:val="0"/>
                      <w:sz w:val="21"/>
                      <w:szCs w:val="21"/>
                      <w:lang w:eastAsia="zh-CN"/>
                    </w:rPr>
                    <w:t>；</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bCs/>
                      <w:color w:val="121212"/>
                      <w:kern w:val="0"/>
                      <w:sz w:val="21"/>
                      <w:szCs w:val="21"/>
                      <w:lang w:val="en-US" w:eastAsia="zh-CN"/>
                    </w:rPr>
                  </w:pPr>
                  <w:r>
                    <w:rPr>
                      <w:rFonts w:hint="eastAsia" w:ascii="Times New Roman" w:hAnsi="Times New Roman" w:eastAsia="宋体" w:cs="Times New Roman"/>
                      <w:color w:val="121212"/>
                      <w:sz w:val="21"/>
                      <w:szCs w:val="21"/>
                      <w:highlight w:val="none"/>
                      <w:lang w:val="en-US" w:eastAsia="zh-CN"/>
                    </w:rPr>
                    <w:t>依托现有</w:t>
                  </w:r>
                </w:p>
              </w:tc>
            </w:tr>
            <w:tr>
              <w:tblPrEx>
                <w:tblLayout w:type="fixed"/>
              </w:tblPrEx>
              <w:trPr>
                <w:trHeight w:val="0" w:hRule="atLeast"/>
                <w:jc w:val="center"/>
              </w:trPr>
              <w:tc>
                <w:tcPr>
                  <w:tcW w:w="710" w:type="dxa"/>
                  <w:vMerge w:val="restart"/>
                  <w:vAlign w:val="center"/>
                </w:tcPr>
                <w:p>
                  <w:pPr>
                    <w:pStyle w:val="47"/>
                    <w:bidi w:val="0"/>
                    <w:jc w:val="center"/>
                    <w:rPr>
                      <w:rFonts w:hint="default" w:eastAsia="宋体"/>
                      <w:color w:val="121212"/>
                      <w:highlight w:val="none"/>
                      <w:lang w:val="en-US" w:eastAsia="zh-CN"/>
                    </w:rPr>
                  </w:pPr>
                  <w:r>
                    <w:rPr>
                      <w:rFonts w:hint="eastAsia"/>
                      <w:color w:val="121212"/>
                      <w:highlight w:val="none"/>
                      <w:lang w:val="en-US" w:eastAsia="zh-CN"/>
                    </w:rPr>
                    <w:t>环保工程</w:t>
                  </w:r>
                </w:p>
              </w:tc>
              <w:tc>
                <w:tcPr>
                  <w:tcW w:w="1094" w:type="dxa"/>
                  <w:vAlign w:val="center"/>
                </w:tcPr>
                <w:p>
                  <w:pPr>
                    <w:pStyle w:val="47"/>
                    <w:bidi w:val="0"/>
                    <w:jc w:val="center"/>
                    <w:rPr>
                      <w:rFonts w:hint="default" w:eastAsia="宋体"/>
                      <w:color w:val="121212"/>
                      <w:highlight w:val="none"/>
                      <w:lang w:val="en-US" w:eastAsia="zh-CN"/>
                    </w:rPr>
                  </w:pPr>
                  <w:r>
                    <w:rPr>
                      <w:rFonts w:hint="eastAsia"/>
                      <w:color w:val="121212"/>
                      <w:highlight w:val="none"/>
                      <w:lang w:val="en-US" w:eastAsia="zh-CN"/>
                    </w:rPr>
                    <w:t>废水治理</w:t>
                  </w:r>
                </w:p>
              </w:tc>
              <w:tc>
                <w:tcPr>
                  <w:tcW w:w="5508" w:type="dxa"/>
                  <w:vAlign w:val="center"/>
                </w:tcPr>
                <w:p>
                  <w:pPr>
                    <w:pStyle w:val="47"/>
                    <w:bidi w:val="0"/>
                    <w:rPr>
                      <w:rFonts w:hint="default"/>
                      <w:color w:val="121212"/>
                      <w:highlight w:val="none"/>
                      <w:lang w:val="en-US" w:eastAsia="zh-CN"/>
                    </w:rPr>
                  </w:pPr>
                  <w:r>
                    <w:rPr>
                      <w:rFonts w:hint="eastAsia" w:cs="Times New Roman"/>
                      <w:color w:val="121212"/>
                      <w:sz w:val="21"/>
                      <w:szCs w:val="21"/>
                      <w:lang w:eastAsia="zh-CN"/>
                    </w:rPr>
                    <w:t>生活污水</w:t>
                  </w:r>
                  <w:r>
                    <w:rPr>
                      <w:rFonts w:hint="eastAsia" w:cs="Times New Roman"/>
                      <w:color w:val="121212"/>
                      <w:sz w:val="21"/>
                      <w:szCs w:val="21"/>
                      <w:lang w:val="en-US" w:eastAsia="zh-CN"/>
                    </w:rPr>
                    <w:t>依托安徽飞松机械股份有限公司</w:t>
                  </w:r>
                  <w:r>
                    <w:rPr>
                      <w:rFonts w:hint="eastAsia" w:cs="Times New Roman"/>
                      <w:color w:val="121212"/>
                      <w:sz w:val="21"/>
                      <w:szCs w:val="21"/>
                      <w:lang w:eastAsia="zh-CN"/>
                    </w:rPr>
                    <w:t>化粪池处理后，排入灵璧开发区北部新区污水处理厂集中处理；</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cs="Times New Roman"/>
                      <w:color w:val="121212"/>
                      <w:sz w:val="21"/>
                      <w:szCs w:val="21"/>
                      <w:lang w:val="en-US" w:eastAsia="zh-CN"/>
                    </w:rPr>
                  </w:pPr>
                  <w:r>
                    <w:rPr>
                      <w:rFonts w:hint="eastAsia" w:ascii="Times New Roman" w:hAnsi="Times New Roman" w:eastAsia="宋体" w:cs="Times New Roman"/>
                      <w:color w:val="121212"/>
                      <w:sz w:val="21"/>
                      <w:szCs w:val="21"/>
                      <w:highlight w:val="none"/>
                      <w:lang w:val="en-US" w:eastAsia="zh-CN"/>
                    </w:rPr>
                    <w:t>依托现有</w:t>
                  </w:r>
                  <w:r>
                    <w:rPr>
                      <w:rFonts w:hint="eastAsia" w:cs="Times New Roman"/>
                      <w:color w:val="121212"/>
                      <w:sz w:val="21"/>
                      <w:szCs w:val="21"/>
                      <w:highlight w:val="none"/>
                      <w:lang w:val="en-US" w:eastAsia="zh-CN"/>
                    </w:rPr>
                    <w:t>化粪池</w:t>
                  </w:r>
                </w:p>
              </w:tc>
            </w:tr>
            <w:tr>
              <w:tblPrEx>
                <w:tblLayout w:type="fixed"/>
              </w:tblPrEx>
              <w:trPr>
                <w:trHeight w:val="90" w:hRule="atLeast"/>
                <w:jc w:val="center"/>
              </w:trPr>
              <w:tc>
                <w:tcPr>
                  <w:tcW w:w="710" w:type="dxa"/>
                  <w:vMerge w:val="continue"/>
                  <w:vAlign w:val="center"/>
                </w:tcPr>
                <w:p>
                  <w:pPr>
                    <w:pStyle w:val="47"/>
                    <w:bidi w:val="0"/>
                    <w:jc w:val="center"/>
                    <w:rPr>
                      <w:color w:val="121212"/>
                      <w:highlight w:val="none"/>
                    </w:rPr>
                  </w:pPr>
                </w:p>
              </w:tc>
              <w:tc>
                <w:tcPr>
                  <w:tcW w:w="1094" w:type="dxa"/>
                  <w:vAlign w:val="center"/>
                </w:tcPr>
                <w:p>
                  <w:pPr>
                    <w:pStyle w:val="47"/>
                    <w:bidi w:val="0"/>
                    <w:jc w:val="center"/>
                    <w:rPr>
                      <w:rFonts w:hint="default" w:eastAsia="宋体"/>
                      <w:color w:val="121212"/>
                      <w:highlight w:val="none"/>
                      <w:lang w:val="en-US" w:eastAsia="zh-CN"/>
                    </w:rPr>
                  </w:pPr>
                  <w:r>
                    <w:rPr>
                      <w:rFonts w:hint="eastAsia"/>
                      <w:color w:val="121212"/>
                      <w:highlight w:val="none"/>
                      <w:lang w:val="en-US" w:eastAsia="zh-CN"/>
                    </w:rPr>
                    <w:t>废气治理</w:t>
                  </w:r>
                </w:p>
              </w:tc>
              <w:tc>
                <w:tcPr>
                  <w:tcW w:w="5508" w:type="dxa"/>
                  <w:vAlign w:val="center"/>
                </w:tcPr>
                <w:p>
                  <w:pPr>
                    <w:pStyle w:val="47"/>
                    <w:keepNext w:val="0"/>
                    <w:keepLines w:val="0"/>
                    <w:pageBreakBefore w:val="0"/>
                    <w:widowControl w:val="0"/>
                    <w:kinsoku/>
                    <w:wordWrap/>
                    <w:overflowPunct/>
                    <w:topLinePunct w:val="0"/>
                    <w:autoSpaceDE/>
                    <w:autoSpaceDN/>
                    <w:bidi w:val="0"/>
                    <w:ind w:firstLine="0" w:firstLineChars="0"/>
                    <w:jc w:val="center"/>
                    <w:textAlignment w:val="auto"/>
                    <w:rPr>
                      <w:rFonts w:hint="default" w:ascii="Times New Roman" w:hAnsi="Times New Roman" w:eastAsia="宋体" w:cs="Times New Roman"/>
                      <w:color w:val="121212"/>
                      <w:kern w:val="2"/>
                      <w:sz w:val="21"/>
                      <w:szCs w:val="24"/>
                      <w:highlight w:val="none"/>
                      <w:lang w:val="en-US" w:eastAsia="zh-CN" w:bidi="ar-SA"/>
                    </w:rPr>
                  </w:pPr>
                  <w:r>
                    <w:rPr>
                      <w:rFonts w:hint="eastAsia"/>
                      <w:color w:val="121212"/>
                      <w:highlight w:val="none"/>
                      <w:lang w:val="en-US" w:eastAsia="zh-CN"/>
                    </w:rPr>
                    <w:t>切割、打磨</w:t>
                  </w:r>
                  <w:r>
                    <w:rPr>
                      <w:rFonts w:hint="eastAsia" w:ascii="Times New Roman" w:hAnsi="Times New Roman" w:eastAsia="宋体"/>
                      <w:color w:val="121212"/>
                      <w:highlight w:val="none"/>
                      <w:lang w:val="en-US" w:eastAsia="zh-CN"/>
                    </w:rPr>
                    <w:t>粉尘经集气罩收集后</w:t>
                  </w:r>
                  <w:r>
                    <w:rPr>
                      <w:rFonts w:hint="eastAsia"/>
                      <w:color w:val="121212"/>
                      <w:highlight w:val="none"/>
                      <w:lang w:val="en-US" w:eastAsia="zh-CN"/>
                    </w:rPr>
                    <w:t>，</w:t>
                  </w:r>
                  <w:r>
                    <w:rPr>
                      <w:rFonts w:hint="eastAsia" w:ascii="Times New Roman" w:hAnsi="Times New Roman" w:eastAsia="宋体"/>
                      <w:color w:val="121212"/>
                      <w:highlight w:val="none"/>
                      <w:lang w:val="en-US" w:eastAsia="zh-CN"/>
                    </w:rPr>
                    <w:t>经集气罩收集一起通过布袋除尘器处理后由1根15m高的排气筒（DA001）排放；</w:t>
                  </w:r>
                  <w:r>
                    <w:rPr>
                      <w:rFonts w:hint="eastAsia"/>
                      <w:color w:val="121212"/>
                      <w:highlight w:val="none"/>
                      <w:lang w:val="en-US" w:eastAsia="zh-CN"/>
                    </w:rPr>
                    <w:t>焊接粉尘经</w:t>
                  </w:r>
                  <w:r>
                    <w:rPr>
                      <w:rFonts w:hint="default" w:ascii="Times New Roman" w:hAnsi="Times New Roman" w:eastAsia="宋体" w:cs="Times New Roman"/>
                      <w:bCs/>
                      <w:color w:val="121212"/>
                      <w:kern w:val="2"/>
                      <w:sz w:val="21"/>
                      <w:szCs w:val="21"/>
                      <w:highlight w:val="none"/>
                      <w:lang w:val="en-US" w:eastAsia="zh-CN" w:bidi="ar-SA"/>
                    </w:rPr>
                    <w:t>移动式焊接烟尘净化器</w:t>
                  </w:r>
                  <w:r>
                    <w:rPr>
                      <w:rFonts w:hint="eastAsia" w:ascii="Times New Roman" w:hAnsi="Times New Roman" w:eastAsia="宋体" w:cs="Times New Roman"/>
                      <w:bCs/>
                      <w:color w:val="121212"/>
                      <w:kern w:val="2"/>
                      <w:sz w:val="21"/>
                      <w:szCs w:val="21"/>
                      <w:highlight w:val="none"/>
                      <w:lang w:val="en-US" w:eastAsia="zh-CN" w:bidi="ar-SA"/>
                    </w:rPr>
                    <w:t>收集处理后，厂区无组织排放；</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121212"/>
                      <w:sz w:val="21"/>
                      <w:szCs w:val="21"/>
                      <w:lang w:eastAsia="zh-CN"/>
                    </w:rPr>
                  </w:pPr>
                  <w:r>
                    <w:rPr>
                      <w:rFonts w:hint="eastAsia"/>
                      <w:color w:val="121212"/>
                      <w:sz w:val="21"/>
                      <w:szCs w:val="21"/>
                      <w:highlight w:val="none"/>
                      <w:lang w:val="en-US" w:eastAsia="zh-CN"/>
                    </w:rPr>
                    <w:t>新建</w:t>
                  </w:r>
                </w:p>
              </w:tc>
            </w:tr>
            <w:tr>
              <w:tblPrEx>
                <w:tblLayout w:type="fixed"/>
              </w:tblPrEx>
              <w:trPr>
                <w:trHeight w:val="0" w:hRule="atLeast"/>
                <w:jc w:val="center"/>
              </w:trPr>
              <w:tc>
                <w:tcPr>
                  <w:tcW w:w="710" w:type="dxa"/>
                  <w:vMerge w:val="continue"/>
                  <w:vAlign w:val="center"/>
                </w:tcPr>
                <w:p>
                  <w:pPr>
                    <w:pStyle w:val="47"/>
                    <w:bidi w:val="0"/>
                    <w:jc w:val="center"/>
                    <w:rPr>
                      <w:color w:val="121212"/>
                      <w:highlight w:val="none"/>
                    </w:rPr>
                  </w:pPr>
                </w:p>
              </w:tc>
              <w:tc>
                <w:tcPr>
                  <w:tcW w:w="1094" w:type="dxa"/>
                  <w:vAlign w:val="center"/>
                </w:tcPr>
                <w:p>
                  <w:pPr>
                    <w:pStyle w:val="47"/>
                    <w:bidi w:val="0"/>
                    <w:jc w:val="center"/>
                    <w:rPr>
                      <w:rFonts w:hint="default" w:eastAsia="宋体"/>
                      <w:color w:val="121212"/>
                      <w:highlight w:val="none"/>
                      <w:lang w:val="en-US" w:eastAsia="zh-CN"/>
                    </w:rPr>
                  </w:pPr>
                  <w:r>
                    <w:rPr>
                      <w:rFonts w:hint="eastAsia"/>
                      <w:color w:val="121212"/>
                      <w:highlight w:val="none"/>
                      <w:lang w:val="en-US" w:eastAsia="zh-CN"/>
                    </w:rPr>
                    <w:t>固废治理</w:t>
                  </w:r>
                </w:p>
              </w:tc>
              <w:tc>
                <w:tcPr>
                  <w:tcW w:w="5508" w:type="dxa"/>
                  <w:vAlign w:val="center"/>
                </w:tcPr>
                <w:p>
                  <w:pPr>
                    <w:pStyle w:val="47"/>
                    <w:bidi w:val="0"/>
                    <w:jc w:val="center"/>
                    <w:rPr>
                      <w:rFonts w:hint="default" w:eastAsia="宋体"/>
                      <w:color w:val="121212"/>
                      <w:highlight w:val="none"/>
                      <w:lang w:val="en-US" w:eastAsia="zh-CN"/>
                    </w:rPr>
                  </w:pPr>
                  <w:r>
                    <w:rPr>
                      <w:rFonts w:hint="eastAsia" w:cs="Times New Roman"/>
                      <w:color w:val="121212"/>
                      <w:sz w:val="21"/>
                      <w:szCs w:val="21"/>
                      <w:lang w:val="en-US" w:eastAsia="zh-CN"/>
                    </w:rPr>
                    <w:t>在厂房内设置一般工业固废暂存点，暂存点面积约为10m</w:t>
                  </w:r>
                  <w:r>
                    <w:rPr>
                      <w:rFonts w:hint="eastAsia" w:cs="Times New Roman"/>
                      <w:color w:val="121212"/>
                      <w:sz w:val="21"/>
                      <w:szCs w:val="21"/>
                      <w:vertAlign w:val="superscript"/>
                      <w:lang w:val="en-US" w:eastAsia="zh-CN"/>
                    </w:rPr>
                    <w:t>2</w:t>
                  </w:r>
                  <w:r>
                    <w:rPr>
                      <w:rFonts w:hint="eastAsia" w:cs="Times New Roman"/>
                      <w:color w:val="121212"/>
                      <w:sz w:val="21"/>
                      <w:szCs w:val="21"/>
                      <w:vertAlign w:val="baseline"/>
                      <w:lang w:val="en-US" w:eastAsia="zh-CN"/>
                    </w:rPr>
                    <w:t>；</w:t>
                  </w:r>
                  <w:r>
                    <w:rPr>
                      <w:rFonts w:hint="eastAsia"/>
                      <w:color w:val="121212"/>
                      <w:highlight w:val="none"/>
                      <w:lang w:val="en-US" w:eastAsia="zh-CN"/>
                    </w:rPr>
                    <w:t>在</w:t>
                  </w:r>
                  <w:r>
                    <w:rPr>
                      <w:rFonts w:hint="eastAsia" w:cs="Times New Roman"/>
                      <w:color w:val="121212"/>
                      <w:sz w:val="21"/>
                      <w:szCs w:val="21"/>
                      <w:lang w:val="en-US" w:eastAsia="zh-CN"/>
                    </w:rPr>
                    <w:t>厂房内</w:t>
                  </w:r>
                  <w:r>
                    <w:rPr>
                      <w:rFonts w:hint="eastAsia" w:cs="Times New Roman"/>
                      <w:color w:val="121212"/>
                      <w:sz w:val="21"/>
                      <w:szCs w:val="21"/>
                      <w:vertAlign w:val="baseline"/>
                      <w:lang w:val="en-US" w:eastAsia="zh-CN"/>
                    </w:rPr>
                    <w:t>设置危废仓库，仓库面积约10</w:t>
                  </w:r>
                  <w:r>
                    <w:rPr>
                      <w:rFonts w:hint="eastAsia" w:cs="Times New Roman"/>
                      <w:color w:val="121212"/>
                      <w:sz w:val="21"/>
                      <w:szCs w:val="21"/>
                      <w:lang w:val="en-US" w:eastAsia="zh-CN"/>
                    </w:rPr>
                    <w:t>m</w:t>
                  </w:r>
                  <w:r>
                    <w:rPr>
                      <w:rFonts w:hint="eastAsia" w:cs="Times New Roman"/>
                      <w:color w:val="121212"/>
                      <w:sz w:val="21"/>
                      <w:szCs w:val="21"/>
                      <w:vertAlign w:val="superscript"/>
                      <w:lang w:val="en-US" w:eastAsia="zh-CN"/>
                    </w:rPr>
                    <w:t>2</w:t>
                  </w:r>
                  <w:r>
                    <w:rPr>
                      <w:rFonts w:hint="default" w:ascii="Times New Roman" w:hAnsi="Times New Roman" w:cs="Times New Roman"/>
                      <w:color w:val="121212"/>
                      <w:sz w:val="21"/>
                      <w:szCs w:val="21"/>
                      <w:lang w:val="en-US" w:eastAsia="zh-CN"/>
                    </w:rPr>
                    <w:t>；生活垃圾交由环卫部门统一处置</w:t>
                  </w:r>
                  <w:r>
                    <w:rPr>
                      <w:rFonts w:hint="eastAsia" w:ascii="Times New Roman" w:hAnsi="Times New Roman" w:cs="Times New Roman"/>
                      <w:color w:val="121212"/>
                      <w:sz w:val="21"/>
                      <w:szCs w:val="21"/>
                      <w:lang w:val="en-US" w:eastAsia="zh-CN"/>
                    </w:rPr>
                    <w:t>；</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121212"/>
                      <w:sz w:val="21"/>
                      <w:szCs w:val="21"/>
                      <w:lang w:val="en-US" w:eastAsia="zh-CN"/>
                    </w:rPr>
                  </w:pPr>
                  <w:r>
                    <w:rPr>
                      <w:rFonts w:hint="eastAsia"/>
                      <w:color w:val="121212"/>
                      <w:sz w:val="21"/>
                      <w:szCs w:val="21"/>
                      <w:highlight w:val="none"/>
                      <w:lang w:val="en-US" w:eastAsia="zh-CN"/>
                    </w:rPr>
                    <w:t>新建</w:t>
                  </w:r>
                </w:p>
              </w:tc>
            </w:tr>
            <w:tr>
              <w:tblPrEx>
                <w:tblLayout w:type="fixed"/>
              </w:tblPrEx>
              <w:trPr>
                <w:trHeight w:val="0" w:hRule="atLeast"/>
                <w:jc w:val="center"/>
              </w:trPr>
              <w:tc>
                <w:tcPr>
                  <w:tcW w:w="710" w:type="dxa"/>
                  <w:vMerge w:val="continue"/>
                  <w:vAlign w:val="center"/>
                </w:tcPr>
                <w:p>
                  <w:pPr>
                    <w:pStyle w:val="47"/>
                    <w:bidi w:val="0"/>
                    <w:jc w:val="center"/>
                    <w:rPr>
                      <w:color w:val="121212"/>
                      <w:highlight w:val="none"/>
                    </w:rPr>
                  </w:pPr>
                </w:p>
              </w:tc>
              <w:tc>
                <w:tcPr>
                  <w:tcW w:w="1094" w:type="dxa"/>
                  <w:vAlign w:val="center"/>
                </w:tcPr>
                <w:p>
                  <w:pPr>
                    <w:pStyle w:val="47"/>
                    <w:bidi w:val="0"/>
                    <w:jc w:val="center"/>
                    <w:rPr>
                      <w:rFonts w:hint="eastAsia" w:eastAsia="宋体"/>
                      <w:color w:val="121212"/>
                      <w:highlight w:val="none"/>
                      <w:lang w:val="en-US" w:eastAsia="zh-CN"/>
                    </w:rPr>
                  </w:pPr>
                  <w:r>
                    <w:rPr>
                      <w:rFonts w:hint="eastAsia"/>
                      <w:color w:val="121212"/>
                      <w:highlight w:val="none"/>
                      <w:lang w:val="en-US" w:eastAsia="zh-CN"/>
                    </w:rPr>
                    <w:t>噪声</w:t>
                  </w:r>
                </w:p>
              </w:tc>
              <w:tc>
                <w:tcPr>
                  <w:tcW w:w="5508" w:type="dxa"/>
                  <w:vAlign w:val="center"/>
                </w:tcPr>
                <w:p>
                  <w:pPr>
                    <w:pStyle w:val="47"/>
                    <w:bidi w:val="0"/>
                    <w:jc w:val="center"/>
                    <w:rPr>
                      <w:rFonts w:hint="default"/>
                      <w:color w:val="121212"/>
                      <w:highlight w:val="none"/>
                      <w:lang w:val="en-US"/>
                    </w:rPr>
                  </w:pPr>
                  <w:r>
                    <w:rPr>
                      <w:rFonts w:hint="default" w:ascii="Times New Roman" w:hAnsi="Times New Roman" w:cs="Times New Roman"/>
                      <w:b w:val="0"/>
                      <w:bCs/>
                      <w:color w:val="121212"/>
                      <w:kern w:val="0"/>
                      <w:szCs w:val="21"/>
                      <w:highlight w:val="none"/>
                    </w:rPr>
                    <w:t>采取优选低噪声设备、车间内布置、隔声、</w:t>
                  </w:r>
                  <w:r>
                    <w:rPr>
                      <w:rFonts w:hint="eastAsia" w:cs="Times New Roman"/>
                      <w:b w:val="0"/>
                      <w:bCs/>
                      <w:color w:val="121212"/>
                      <w:kern w:val="0"/>
                      <w:szCs w:val="21"/>
                      <w:highlight w:val="none"/>
                      <w:lang w:val="en-US" w:eastAsia="zh-CN"/>
                    </w:rPr>
                    <w:t>消声、</w:t>
                  </w:r>
                  <w:r>
                    <w:rPr>
                      <w:rFonts w:hint="default" w:ascii="Times New Roman" w:hAnsi="Times New Roman" w:cs="Times New Roman"/>
                      <w:b w:val="0"/>
                      <w:bCs/>
                      <w:color w:val="121212"/>
                      <w:kern w:val="0"/>
                      <w:szCs w:val="21"/>
                      <w:highlight w:val="none"/>
                    </w:rPr>
                    <w:t>减振等措施</w:t>
                  </w:r>
                  <w:r>
                    <w:rPr>
                      <w:rFonts w:hint="eastAsia" w:cs="Times New Roman"/>
                      <w:b w:val="0"/>
                      <w:bCs/>
                      <w:color w:val="121212"/>
                      <w:kern w:val="0"/>
                      <w:szCs w:val="21"/>
                      <w:highlight w:val="none"/>
                      <w:lang w:eastAsia="zh-CN"/>
                    </w:rPr>
                    <w:t>，</w:t>
                  </w:r>
                  <w:r>
                    <w:rPr>
                      <w:rFonts w:hint="eastAsia" w:cs="Times New Roman"/>
                      <w:b w:val="0"/>
                      <w:bCs/>
                      <w:color w:val="121212"/>
                      <w:kern w:val="0"/>
                      <w:szCs w:val="21"/>
                      <w:highlight w:val="none"/>
                      <w:lang w:val="en-US" w:eastAsia="zh-CN"/>
                    </w:rPr>
                    <w:t>确保噪声达标排放；</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121212"/>
                      <w:kern w:val="0"/>
                      <w:sz w:val="21"/>
                      <w:szCs w:val="21"/>
                      <w:highlight w:val="none"/>
                    </w:rPr>
                  </w:pPr>
                  <w:r>
                    <w:rPr>
                      <w:rFonts w:hint="eastAsia"/>
                      <w:color w:val="121212"/>
                      <w:sz w:val="21"/>
                      <w:szCs w:val="21"/>
                      <w:highlight w:val="none"/>
                      <w:lang w:val="en-US" w:eastAsia="zh-CN"/>
                    </w:rPr>
                    <w:t>新建</w:t>
                  </w:r>
                </w:p>
              </w:tc>
            </w:tr>
            <w:tr>
              <w:tblPrEx>
                <w:tblLayout w:type="fixed"/>
              </w:tblPrEx>
              <w:trPr>
                <w:trHeight w:val="0" w:hRule="atLeast"/>
                <w:jc w:val="center"/>
              </w:trPr>
              <w:tc>
                <w:tcPr>
                  <w:tcW w:w="710" w:type="dxa"/>
                  <w:vMerge w:val="continue"/>
                  <w:vAlign w:val="center"/>
                </w:tcPr>
                <w:p>
                  <w:pPr>
                    <w:pStyle w:val="47"/>
                    <w:bidi w:val="0"/>
                    <w:jc w:val="center"/>
                    <w:rPr>
                      <w:color w:val="121212"/>
                      <w:highlight w:val="none"/>
                    </w:rPr>
                  </w:pPr>
                </w:p>
              </w:tc>
              <w:tc>
                <w:tcPr>
                  <w:tcW w:w="109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olor w:val="121212"/>
                      <w:highlight w:val="none"/>
                      <w:lang w:val="en-US" w:eastAsia="zh-CN"/>
                    </w:rPr>
                  </w:pPr>
                  <w:r>
                    <w:rPr>
                      <w:rFonts w:hint="default" w:ascii="Times New Roman" w:hAnsi="Times New Roman" w:cs="Times New Roman"/>
                      <w:color w:val="121212"/>
                      <w:kern w:val="2"/>
                      <w:sz w:val="21"/>
                      <w:lang w:val="en-US" w:eastAsia="zh-CN"/>
                    </w:rPr>
                    <w:t>环境风险</w:t>
                  </w:r>
                </w:p>
              </w:tc>
              <w:tc>
                <w:tcPr>
                  <w:tcW w:w="550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val="0"/>
                      <w:bCs/>
                      <w:color w:val="121212"/>
                      <w:kern w:val="0"/>
                      <w:szCs w:val="21"/>
                      <w:highlight w:val="none"/>
                    </w:rPr>
                  </w:pPr>
                  <w:r>
                    <w:rPr>
                      <w:rFonts w:hint="eastAsia" w:cs="Times New Roman"/>
                      <w:color w:val="121212"/>
                      <w:kern w:val="0"/>
                      <w:sz w:val="21"/>
                      <w:szCs w:val="21"/>
                      <w:lang w:val="en-US" w:eastAsia="zh-CN"/>
                    </w:rPr>
                    <w:t>危废仓库</w:t>
                  </w:r>
                  <w:r>
                    <w:rPr>
                      <w:rFonts w:hint="default" w:ascii="Times New Roman" w:hAnsi="Times New Roman" w:cs="Times New Roman"/>
                      <w:color w:val="121212"/>
                      <w:kern w:val="0"/>
                      <w:sz w:val="21"/>
                      <w:szCs w:val="21"/>
                      <w:lang w:val="en-US" w:eastAsia="zh-CN"/>
                    </w:rPr>
                    <w:t>采取重点防腐防渗措施</w:t>
                  </w:r>
                  <w:r>
                    <w:rPr>
                      <w:rFonts w:hint="eastAsia" w:cs="Times New Roman"/>
                      <w:color w:val="121212"/>
                      <w:kern w:val="0"/>
                      <w:sz w:val="21"/>
                      <w:szCs w:val="21"/>
                      <w:lang w:val="en-US" w:eastAsia="zh-CN"/>
                    </w:rPr>
                    <w:t>，</w:t>
                  </w:r>
                  <w:r>
                    <w:rPr>
                      <w:rFonts w:hint="eastAsia" w:cs="Times New Roman"/>
                      <w:color w:val="121212"/>
                      <w:sz w:val="21"/>
                      <w:szCs w:val="21"/>
                      <w:lang w:val="en-US" w:eastAsia="zh-CN"/>
                    </w:rPr>
                    <w:t>其它区域设置一般防渗。</w:t>
                  </w:r>
                </w:p>
              </w:tc>
              <w:tc>
                <w:tcPr>
                  <w:tcW w:w="110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cs="Times New Roman"/>
                      <w:color w:val="121212"/>
                      <w:kern w:val="0"/>
                      <w:sz w:val="21"/>
                      <w:szCs w:val="21"/>
                      <w:lang w:val="en-US" w:eastAsia="zh-CN"/>
                    </w:rPr>
                  </w:pPr>
                  <w:r>
                    <w:rPr>
                      <w:rFonts w:hint="eastAsia"/>
                      <w:color w:val="121212"/>
                      <w:sz w:val="21"/>
                      <w:szCs w:val="21"/>
                      <w:highlight w:val="none"/>
                      <w:lang w:val="en-US" w:eastAsia="zh-CN"/>
                    </w:rPr>
                    <w:t>新建</w:t>
                  </w:r>
                </w:p>
              </w:tc>
            </w:tr>
          </w:tbl>
          <w:p>
            <w:pPr>
              <w:pStyle w:val="7"/>
              <w:bidi w:val="0"/>
              <w:rPr>
                <w:rFonts w:hint="default"/>
                <w:color w:val="121212"/>
                <w:highlight w:val="none"/>
              </w:rPr>
            </w:pPr>
            <w:r>
              <w:rPr>
                <w:rFonts w:hint="eastAsia"/>
                <w:color w:val="121212"/>
                <w:highlight w:val="none"/>
                <w:lang w:val="en-US" w:eastAsia="zh-CN"/>
              </w:rPr>
              <w:t>3</w:t>
            </w:r>
            <w:r>
              <w:rPr>
                <w:rFonts w:hint="default"/>
                <w:color w:val="121212"/>
                <w:highlight w:val="none"/>
              </w:rPr>
              <w:t>、项目规模及产品方案</w:t>
            </w:r>
          </w:p>
          <w:p>
            <w:pPr>
              <w:bidi w:val="0"/>
              <w:rPr>
                <w:rFonts w:hint="default"/>
                <w:color w:val="121212"/>
                <w:highlight w:val="none"/>
                <w:lang w:val="en-US" w:eastAsia="zh-CN"/>
              </w:rPr>
            </w:pPr>
            <w:commentRangeStart w:id="22"/>
            <w:commentRangeStart w:id="23"/>
            <w:r>
              <w:rPr>
                <w:rFonts w:hint="default"/>
                <w:color w:val="121212"/>
                <w:highlight w:val="none"/>
              </w:rPr>
              <w:t>项目主要产品为</w:t>
            </w:r>
            <w:r>
              <w:rPr>
                <w:rFonts w:hint="eastAsia" w:ascii="Times New Roman" w:hAnsi="Times New Roman" w:eastAsia="宋体"/>
                <w:color w:val="121212"/>
                <w:highlight w:val="none"/>
                <w:lang w:val="en-US" w:eastAsia="zh-CN"/>
              </w:rPr>
              <w:t>洒水车、吸污车、吸粪车、洗扫车</w:t>
            </w:r>
            <w:commentRangeEnd w:id="22"/>
            <w:r>
              <w:rPr>
                <w:color w:val="121212"/>
              </w:rPr>
              <w:commentReference w:id="22"/>
            </w:r>
            <w:commentRangeEnd w:id="23"/>
            <w:r>
              <w:rPr>
                <w:color w:val="121212"/>
              </w:rPr>
              <w:commentReference w:id="23"/>
            </w:r>
            <w:r>
              <w:rPr>
                <w:rFonts w:hint="default"/>
                <w:color w:val="121212"/>
                <w:highlight w:val="none"/>
              </w:rPr>
              <w:t>，产品方案及规模详见</w:t>
            </w:r>
            <w:r>
              <w:rPr>
                <w:rFonts w:hint="default"/>
                <w:color w:val="121212"/>
                <w:highlight w:val="none"/>
                <w:lang w:val="en-US" w:eastAsia="zh-CN"/>
              </w:rPr>
              <w:t>下</w:t>
            </w:r>
            <w:r>
              <w:rPr>
                <w:rFonts w:hint="default"/>
                <w:color w:val="121212"/>
                <w:highlight w:val="none"/>
              </w:rPr>
              <w:t>表。</w:t>
            </w:r>
          </w:p>
          <w:p>
            <w:pPr>
              <w:pStyle w:val="39"/>
              <w:bidi w:val="0"/>
              <w:rPr>
                <w:rFonts w:hint="default"/>
                <w:color w:val="121212"/>
                <w:highlight w:val="none"/>
                <w:lang w:val="en-US" w:eastAsia="zh-CN"/>
              </w:rPr>
            </w:pPr>
            <w:r>
              <w:rPr>
                <w:rFonts w:hint="default"/>
                <w:color w:val="121212"/>
                <w:highlight w:val="none"/>
                <w:lang w:val="en-US" w:eastAsia="zh-CN"/>
              </w:rPr>
              <w:t>表2-</w:t>
            </w:r>
            <w:r>
              <w:rPr>
                <w:rFonts w:hint="eastAsia"/>
                <w:color w:val="121212"/>
                <w:highlight w:val="none"/>
                <w:lang w:val="en-US" w:eastAsia="zh-CN"/>
              </w:rPr>
              <w:t>2  建设项目产品方案及规模</w:t>
            </w:r>
          </w:p>
          <w:tbl>
            <w:tblPr>
              <w:tblStyle w:val="3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2401"/>
              <w:gridCol w:w="1852"/>
              <w:gridCol w:w="1469"/>
              <w:gridCol w:w="1512"/>
            </w:tblGrid>
            <w:tr>
              <w:tblPrEx>
                <w:tblLayout w:type="fixed"/>
              </w:tblPrEx>
              <w:tc>
                <w:tcPr>
                  <w:tcW w:w="117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b w:val="0"/>
                      <w:bCs/>
                      <w:color w:val="121212"/>
                      <w:kern w:val="2"/>
                      <w:sz w:val="21"/>
                      <w:szCs w:val="21"/>
                      <w:vertAlign w:val="baseline"/>
                      <w:lang w:val="en-US" w:eastAsia="zh-CN" w:bidi="ar-SA"/>
                    </w:rPr>
                  </w:pPr>
                  <w:r>
                    <w:rPr>
                      <w:rFonts w:hint="eastAsia"/>
                      <w:b w:val="0"/>
                      <w:bCs/>
                      <w:color w:val="121212"/>
                      <w:sz w:val="21"/>
                      <w:szCs w:val="21"/>
                      <w:vertAlign w:val="baseline"/>
                      <w:lang w:val="en-US" w:eastAsia="zh-CN"/>
                    </w:rPr>
                    <w:t>序号</w:t>
                  </w:r>
                </w:p>
              </w:tc>
              <w:tc>
                <w:tcPr>
                  <w:tcW w:w="240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b w:val="0"/>
                      <w:bCs/>
                      <w:color w:val="121212"/>
                      <w:kern w:val="2"/>
                      <w:sz w:val="21"/>
                      <w:szCs w:val="21"/>
                      <w:vertAlign w:val="baseline"/>
                      <w:lang w:val="en-US" w:eastAsia="zh-CN" w:bidi="ar-SA"/>
                    </w:rPr>
                  </w:pPr>
                  <w:r>
                    <w:rPr>
                      <w:rFonts w:hint="eastAsia"/>
                      <w:b w:val="0"/>
                      <w:bCs/>
                      <w:color w:val="121212"/>
                      <w:sz w:val="21"/>
                      <w:szCs w:val="21"/>
                      <w:vertAlign w:val="baseline"/>
                      <w:lang w:val="en-US" w:eastAsia="zh-CN"/>
                    </w:rPr>
                    <w:t>名称</w:t>
                  </w:r>
                </w:p>
              </w:tc>
              <w:tc>
                <w:tcPr>
                  <w:tcW w:w="18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b w:val="0"/>
                      <w:bCs/>
                      <w:color w:val="121212"/>
                      <w:kern w:val="2"/>
                      <w:sz w:val="21"/>
                      <w:szCs w:val="21"/>
                      <w:vertAlign w:val="baseline"/>
                      <w:lang w:val="en-US" w:eastAsia="zh-CN" w:bidi="ar-SA"/>
                    </w:rPr>
                  </w:pPr>
                  <w:r>
                    <w:rPr>
                      <w:rFonts w:hint="eastAsia"/>
                      <w:b w:val="0"/>
                      <w:bCs/>
                      <w:color w:val="121212"/>
                      <w:sz w:val="21"/>
                      <w:szCs w:val="21"/>
                      <w:vertAlign w:val="baseline"/>
                      <w:lang w:val="en-US" w:eastAsia="zh-CN"/>
                    </w:rPr>
                    <w:t>数量</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b w:val="0"/>
                      <w:bCs/>
                      <w:color w:val="121212"/>
                      <w:kern w:val="2"/>
                      <w:sz w:val="21"/>
                      <w:szCs w:val="21"/>
                      <w:vertAlign w:val="baseline"/>
                      <w:lang w:val="en-US" w:eastAsia="zh-CN" w:bidi="ar-SA"/>
                    </w:rPr>
                  </w:pPr>
                  <w:r>
                    <w:rPr>
                      <w:rFonts w:hint="eastAsia"/>
                      <w:b w:val="0"/>
                      <w:bCs/>
                      <w:color w:val="121212"/>
                      <w:sz w:val="21"/>
                      <w:szCs w:val="21"/>
                      <w:vertAlign w:val="baseline"/>
                      <w:lang w:val="en-US" w:eastAsia="zh-CN"/>
                    </w:rPr>
                    <w:t>规格型号</w:t>
                  </w:r>
                </w:p>
              </w:tc>
              <w:tc>
                <w:tcPr>
                  <w:tcW w:w="15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b w:val="0"/>
                      <w:bCs/>
                      <w:color w:val="121212"/>
                      <w:kern w:val="2"/>
                      <w:sz w:val="21"/>
                      <w:szCs w:val="21"/>
                      <w:vertAlign w:val="baseline"/>
                      <w:lang w:val="en-US" w:eastAsia="zh-CN" w:bidi="ar-SA"/>
                    </w:rPr>
                  </w:pPr>
                  <w:r>
                    <w:rPr>
                      <w:rFonts w:hint="eastAsia"/>
                      <w:b w:val="0"/>
                      <w:bCs/>
                      <w:color w:val="121212"/>
                      <w:sz w:val="21"/>
                      <w:szCs w:val="21"/>
                      <w:vertAlign w:val="baseline"/>
                      <w:lang w:val="en-US" w:eastAsia="zh-CN"/>
                    </w:rPr>
                    <w:t>备注</w:t>
                  </w:r>
                </w:p>
              </w:tc>
            </w:tr>
            <w:tr>
              <w:tblPrEx>
                <w:tblLayout w:type="fixed"/>
              </w:tblPrEx>
              <w:tc>
                <w:tcPr>
                  <w:tcW w:w="117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b w:val="0"/>
                      <w:bCs/>
                      <w:color w:val="121212"/>
                      <w:sz w:val="21"/>
                      <w:szCs w:val="21"/>
                      <w:vertAlign w:val="baseline"/>
                      <w:lang w:val="en-US" w:eastAsia="zh-CN"/>
                    </w:rPr>
                  </w:pPr>
                  <w:r>
                    <w:rPr>
                      <w:rFonts w:hint="eastAsia"/>
                      <w:b w:val="0"/>
                      <w:bCs/>
                      <w:color w:val="121212"/>
                      <w:sz w:val="21"/>
                      <w:szCs w:val="21"/>
                      <w:vertAlign w:val="baseline"/>
                      <w:lang w:val="en-US" w:eastAsia="zh-CN"/>
                    </w:rPr>
                    <w:t>1</w:t>
                  </w:r>
                </w:p>
              </w:tc>
              <w:tc>
                <w:tcPr>
                  <w:tcW w:w="240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b w:val="0"/>
                      <w:bCs/>
                      <w:color w:val="121212"/>
                      <w:sz w:val="21"/>
                      <w:szCs w:val="21"/>
                      <w:vertAlign w:val="baseline"/>
                      <w:lang w:val="en-US" w:eastAsia="zh-CN"/>
                    </w:rPr>
                  </w:pPr>
                  <w:r>
                    <w:rPr>
                      <w:rFonts w:hint="eastAsia"/>
                      <w:b w:val="0"/>
                      <w:bCs/>
                      <w:color w:val="121212"/>
                      <w:sz w:val="21"/>
                      <w:szCs w:val="21"/>
                      <w:vertAlign w:val="baseline"/>
                      <w:lang w:val="en-US" w:eastAsia="zh-CN"/>
                    </w:rPr>
                    <w:t>洒水车</w:t>
                  </w:r>
                </w:p>
              </w:tc>
              <w:tc>
                <w:tcPr>
                  <w:tcW w:w="18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b w:val="0"/>
                      <w:bCs/>
                      <w:color w:val="121212"/>
                      <w:sz w:val="21"/>
                      <w:szCs w:val="21"/>
                      <w:vertAlign w:val="baseline"/>
                      <w:lang w:val="en-US" w:eastAsia="zh-CN"/>
                    </w:rPr>
                  </w:pPr>
                  <w:r>
                    <w:rPr>
                      <w:rFonts w:hint="eastAsia"/>
                      <w:b w:val="0"/>
                      <w:bCs/>
                      <w:color w:val="121212"/>
                      <w:sz w:val="21"/>
                      <w:szCs w:val="21"/>
                      <w:vertAlign w:val="baseline"/>
                      <w:lang w:val="en-US" w:eastAsia="zh-CN"/>
                    </w:rPr>
                    <w:t>300</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b w:val="0"/>
                      <w:bCs/>
                      <w:color w:val="121212"/>
                      <w:sz w:val="21"/>
                      <w:szCs w:val="21"/>
                      <w:vertAlign w:val="baseline"/>
                      <w:lang w:val="en-US" w:eastAsia="zh-CN"/>
                    </w:rPr>
                  </w:pPr>
                  <w:r>
                    <w:rPr>
                      <w:rFonts w:hint="eastAsia"/>
                      <w:b w:val="0"/>
                      <w:bCs/>
                      <w:color w:val="121212"/>
                      <w:sz w:val="21"/>
                      <w:szCs w:val="21"/>
                      <w:vertAlign w:val="baseline"/>
                      <w:lang w:val="en-US" w:eastAsia="zh-CN"/>
                    </w:rPr>
                    <w:t>5方</w:t>
                  </w:r>
                </w:p>
              </w:tc>
              <w:tc>
                <w:tcPr>
                  <w:tcW w:w="151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b w:val="0"/>
                      <w:bCs/>
                      <w:color w:val="121212"/>
                      <w:sz w:val="21"/>
                      <w:szCs w:val="21"/>
                      <w:vertAlign w:val="baseline"/>
                      <w:lang w:val="en-US" w:eastAsia="zh-CN"/>
                    </w:rPr>
                  </w:pPr>
                  <w:r>
                    <w:rPr>
                      <w:rFonts w:hint="eastAsia"/>
                      <w:b w:val="0"/>
                      <w:bCs/>
                      <w:color w:val="121212"/>
                      <w:sz w:val="21"/>
                      <w:szCs w:val="21"/>
                      <w:vertAlign w:val="baseline"/>
                      <w:lang w:val="en-US" w:eastAsia="zh-CN"/>
                    </w:rPr>
                    <w:t>/</w:t>
                  </w:r>
                </w:p>
              </w:tc>
            </w:tr>
            <w:tr>
              <w:tblPrEx>
                <w:tblLayout w:type="fixed"/>
              </w:tblPrEx>
              <w:tc>
                <w:tcPr>
                  <w:tcW w:w="117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b w:val="0"/>
                      <w:bCs/>
                      <w:color w:val="121212"/>
                      <w:sz w:val="21"/>
                      <w:szCs w:val="21"/>
                      <w:vertAlign w:val="baseline"/>
                      <w:lang w:val="en-US" w:eastAsia="zh-CN"/>
                    </w:rPr>
                  </w:pPr>
                  <w:r>
                    <w:rPr>
                      <w:rFonts w:hint="eastAsia"/>
                      <w:b w:val="0"/>
                      <w:bCs/>
                      <w:color w:val="121212"/>
                      <w:sz w:val="21"/>
                      <w:szCs w:val="21"/>
                      <w:vertAlign w:val="baseline"/>
                      <w:lang w:val="en-US" w:eastAsia="zh-CN"/>
                    </w:rPr>
                    <w:t>2</w:t>
                  </w:r>
                </w:p>
              </w:tc>
              <w:tc>
                <w:tcPr>
                  <w:tcW w:w="240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b w:val="0"/>
                      <w:bCs/>
                      <w:color w:val="121212"/>
                      <w:kern w:val="2"/>
                      <w:sz w:val="21"/>
                      <w:szCs w:val="21"/>
                      <w:vertAlign w:val="baseline"/>
                      <w:lang w:val="en-US" w:eastAsia="zh-CN" w:bidi="ar-SA"/>
                    </w:rPr>
                  </w:pPr>
                  <w:r>
                    <w:rPr>
                      <w:rFonts w:hint="eastAsia"/>
                      <w:b w:val="0"/>
                      <w:bCs/>
                      <w:color w:val="121212"/>
                      <w:kern w:val="2"/>
                      <w:sz w:val="21"/>
                      <w:szCs w:val="21"/>
                      <w:vertAlign w:val="baseline"/>
                      <w:lang w:val="en-US" w:eastAsia="zh-CN" w:bidi="ar-SA"/>
                    </w:rPr>
                    <w:t>吸污车</w:t>
                  </w:r>
                </w:p>
              </w:tc>
              <w:tc>
                <w:tcPr>
                  <w:tcW w:w="18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b w:val="0"/>
                      <w:bCs/>
                      <w:color w:val="121212"/>
                      <w:kern w:val="2"/>
                      <w:sz w:val="21"/>
                      <w:szCs w:val="21"/>
                      <w:vertAlign w:val="baseline"/>
                      <w:lang w:val="en-US" w:eastAsia="zh-CN" w:bidi="ar-SA"/>
                    </w:rPr>
                  </w:pPr>
                  <w:r>
                    <w:rPr>
                      <w:rFonts w:hint="eastAsia"/>
                      <w:b w:val="0"/>
                      <w:bCs/>
                      <w:color w:val="121212"/>
                      <w:kern w:val="2"/>
                      <w:sz w:val="21"/>
                      <w:szCs w:val="21"/>
                      <w:vertAlign w:val="baseline"/>
                      <w:lang w:val="en-US" w:eastAsia="zh-CN" w:bidi="ar-SA"/>
                    </w:rPr>
                    <w:t>200</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b w:val="0"/>
                      <w:bCs/>
                      <w:color w:val="121212"/>
                      <w:kern w:val="2"/>
                      <w:sz w:val="21"/>
                      <w:szCs w:val="21"/>
                      <w:vertAlign w:val="baseline"/>
                      <w:lang w:val="en-US" w:eastAsia="zh-CN" w:bidi="ar-SA"/>
                    </w:rPr>
                  </w:pPr>
                  <w:r>
                    <w:rPr>
                      <w:rFonts w:hint="eastAsia"/>
                      <w:b w:val="0"/>
                      <w:bCs/>
                      <w:color w:val="121212"/>
                      <w:kern w:val="2"/>
                      <w:sz w:val="21"/>
                      <w:szCs w:val="21"/>
                      <w:vertAlign w:val="baseline"/>
                      <w:lang w:val="en-US" w:eastAsia="zh-CN" w:bidi="ar-SA"/>
                    </w:rPr>
                    <w:t>10方</w:t>
                  </w:r>
                </w:p>
              </w:tc>
              <w:tc>
                <w:tcPr>
                  <w:tcW w:w="151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b w:val="0"/>
                      <w:bCs/>
                      <w:color w:val="121212"/>
                      <w:kern w:val="2"/>
                      <w:sz w:val="21"/>
                      <w:szCs w:val="21"/>
                      <w:vertAlign w:val="baseline"/>
                      <w:lang w:val="en-US" w:eastAsia="zh-CN" w:bidi="ar-SA"/>
                    </w:rPr>
                  </w:pPr>
                </w:p>
              </w:tc>
            </w:tr>
            <w:tr>
              <w:tblPrEx>
                <w:tblLayout w:type="fixed"/>
              </w:tblPrEx>
              <w:tc>
                <w:tcPr>
                  <w:tcW w:w="117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b w:val="0"/>
                      <w:bCs/>
                      <w:color w:val="121212"/>
                      <w:sz w:val="21"/>
                      <w:szCs w:val="21"/>
                      <w:vertAlign w:val="baseline"/>
                      <w:lang w:val="en-US" w:eastAsia="zh-CN"/>
                    </w:rPr>
                  </w:pPr>
                  <w:r>
                    <w:rPr>
                      <w:rFonts w:hint="eastAsia"/>
                      <w:b w:val="0"/>
                      <w:bCs/>
                      <w:color w:val="121212"/>
                      <w:sz w:val="21"/>
                      <w:szCs w:val="21"/>
                      <w:vertAlign w:val="baseline"/>
                      <w:lang w:val="en-US" w:eastAsia="zh-CN"/>
                    </w:rPr>
                    <w:t>3</w:t>
                  </w:r>
                </w:p>
              </w:tc>
              <w:tc>
                <w:tcPr>
                  <w:tcW w:w="240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b w:val="0"/>
                      <w:bCs/>
                      <w:color w:val="121212"/>
                      <w:kern w:val="2"/>
                      <w:sz w:val="21"/>
                      <w:szCs w:val="21"/>
                      <w:vertAlign w:val="baseline"/>
                      <w:lang w:val="en-US" w:eastAsia="zh-CN" w:bidi="ar-SA"/>
                    </w:rPr>
                  </w:pPr>
                  <w:r>
                    <w:rPr>
                      <w:rFonts w:hint="eastAsia"/>
                      <w:b w:val="0"/>
                      <w:bCs/>
                      <w:color w:val="121212"/>
                      <w:kern w:val="2"/>
                      <w:sz w:val="21"/>
                      <w:szCs w:val="21"/>
                      <w:vertAlign w:val="baseline"/>
                      <w:lang w:val="en-US" w:eastAsia="zh-CN" w:bidi="ar-SA"/>
                    </w:rPr>
                    <w:t>吸粪车</w:t>
                  </w:r>
                </w:p>
              </w:tc>
              <w:tc>
                <w:tcPr>
                  <w:tcW w:w="18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b w:val="0"/>
                      <w:bCs/>
                      <w:color w:val="121212"/>
                      <w:kern w:val="2"/>
                      <w:sz w:val="21"/>
                      <w:szCs w:val="21"/>
                      <w:vertAlign w:val="baseline"/>
                      <w:lang w:val="en-US" w:eastAsia="zh-CN" w:bidi="ar-SA"/>
                    </w:rPr>
                  </w:pPr>
                  <w:r>
                    <w:rPr>
                      <w:rFonts w:hint="eastAsia"/>
                      <w:b w:val="0"/>
                      <w:bCs/>
                      <w:color w:val="121212"/>
                      <w:kern w:val="2"/>
                      <w:sz w:val="21"/>
                      <w:szCs w:val="21"/>
                      <w:vertAlign w:val="baseline"/>
                      <w:lang w:val="en-US" w:eastAsia="zh-CN" w:bidi="ar-SA"/>
                    </w:rPr>
                    <w:t>300</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b w:val="0"/>
                      <w:bCs/>
                      <w:color w:val="121212"/>
                      <w:kern w:val="2"/>
                      <w:sz w:val="21"/>
                      <w:szCs w:val="21"/>
                      <w:vertAlign w:val="baseline"/>
                      <w:lang w:val="en-US" w:eastAsia="zh-CN" w:bidi="ar-SA"/>
                    </w:rPr>
                  </w:pPr>
                  <w:r>
                    <w:rPr>
                      <w:rFonts w:hint="eastAsia"/>
                      <w:b w:val="0"/>
                      <w:bCs/>
                      <w:color w:val="121212"/>
                      <w:kern w:val="2"/>
                      <w:sz w:val="21"/>
                      <w:szCs w:val="21"/>
                      <w:vertAlign w:val="baseline"/>
                      <w:lang w:val="en-US" w:eastAsia="zh-CN" w:bidi="ar-SA"/>
                    </w:rPr>
                    <w:t>12方</w:t>
                  </w:r>
                </w:p>
              </w:tc>
              <w:tc>
                <w:tcPr>
                  <w:tcW w:w="151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b w:val="0"/>
                      <w:bCs/>
                      <w:color w:val="121212"/>
                      <w:kern w:val="2"/>
                      <w:sz w:val="21"/>
                      <w:szCs w:val="21"/>
                      <w:vertAlign w:val="baseline"/>
                      <w:lang w:val="en-US" w:eastAsia="zh-CN" w:bidi="ar-SA"/>
                    </w:rPr>
                  </w:pPr>
                </w:p>
              </w:tc>
            </w:tr>
            <w:tr>
              <w:tblPrEx>
                <w:tblLayout w:type="fixed"/>
              </w:tblPrEx>
              <w:tc>
                <w:tcPr>
                  <w:tcW w:w="117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b w:val="0"/>
                      <w:bCs/>
                      <w:color w:val="121212"/>
                      <w:sz w:val="21"/>
                      <w:szCs w:val="21"/>
                      <w:vertAlign w:val="baseline"/>
                      <w:lang w:val="en-US" w:eastAsia="zh-CN"/>
                    </w:rPr>
                  </w:pPr>
                  <w:r>
                    <w:rPr>
                      <w:rFonts w:hint="eastAsia"/>
                      <w:b w:val="0"/>
                      <w:bCs/>
                      <w:color w:val="121212"/>
                      <w:sz w:val="21"/>
                      <w:szCs w:val="21"/>
                      <w:vertAlign w:val="baseline"/>
                      <w:lang w:val="en-US" w:eastAsia="zh-CN"/>
                    </w:rPr>
                    <w:t>4</w:t>
                  </w:r>
                </w:p>
              </w:tc>
              <w:tc>
                <w:tcPr>
                  <w:tcW w:w="240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b w:val="0"/>
                      <w:bCs/>
                      <w:color w:val="121212"/>
                      <w:kern w:val="2"/>
                      <w:sz w:val="21"/>
                      <w:szCs w:val="21"/>
                      <w:vertAlign w:val="baseline"/>
                      <w:lang w:val="en-US" w:eastAsia="zh-CN" w:bidi="ar-SA"/>
                    </w:rPr>
                  </w:pPr>
                  <w:r>
                    <w:rPr>
                      <w:rFonts w:hint="eastAsia"/>
                      <w:b w:val="0"/>
                      <w:bCs/>
                      <w:color w:val="121212"/>
                      <w:kern w:val="2"/>
                      <w:sz w:val="21"/>
                      <w:szCs w:val="21"/>
                      <w:vertAlign w:val="baseline"/>
                      <w:lang w:val="en-US" w:eastAsia="zh-CN" w:bidi="ar-SA"/>
                    </w:rPr>
                    <w:t>洗扫车</w:t>
                  </w:r>
                </w:p>
              </w:tc>
              <w:tc>
                <w:tcPr>
                  <w:tcW w:w="185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b w:val="0"/>
                      <w:bCs/>
                      <w:color w:val="121212"/>
                      <w:kern w:val="2"/>
                      <w:sz w:val="21"/>
                      <w:szCs w:val="21"/>
                      <w:vertAlign w:val="baseline"/>
                      <w:lang w:val="en-US" w:eastAsia="zh-CN" w:bidi="ar-SA"/>
                    </w:rPr>
                  </w:pPr>
                  <w:r>
                    <w:rPr>
                      <w:rFonts w:hint="eastAsia"/>
                      <w:b w:val="0"/>
                      <w:bCs/>
                      <w:color w:val="121212"/>
                      <w:kern w:val="2"/>
                      <w:sz w:val="21"/>
                      <w:szCs w:val="21"/>
                      <w:vertAlign w:val="baseline"/>
                      <w:lang w:val="en-US" w:eastAsia="zh-CN" w:bidi="ar-SA"/>
                    </w:rPr>
                    <w:t>200</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b w:val="0"/>
                      <w:bCs/>
                      <w:color w:val="121212"/>
                      <w:kern w:val="2"/>
                      <w:sz w:val="21"/>
                      <w:szCs w:val="21"/>
                      <w:vertAlign w:val="baseline"/>
                      <w:lang w:val="en-US" w:eastAsia="zh-CN" w:bidi="ar-SA"/>
                    </w:rPr>
                  </w:pPr>
                  <w:r>
                    <w:rPr>
                      <w:rFonts w:hint="eastAsia"/>
                      <w:b w:val="0"/>
                      <w:bCs/>
                      <w:color w:val="121212"/>
                      <w:kern w:val="2"/>
                      <w:sz w:val="21"/>
                      <w:szCs w:val="21"/>
                      <w:vertAlign w:val="baseline"/>
                      <w:lang w:val="en-US" w:eastAsia="zh-CN" w:bidi="ar-SA"/>
                    </w:rPr>
                    <w:t>7方</w:t>
                  </w:r>
                </w:p>
              </w:tc>
              <w:tc>
                <w:tcPr>
                  <w:tcW w:w="151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b w:val="0"/>
                      <w:bCs/>
                      <w:color w:val="121212"/>
                      <w:kern w:val="2"/>
                      <w:sz w:val="21"/>
                      <w:szCs w:val="21"/>
                      <w:vertAlign w:val="baseline"/>
                      <w:lang w:val="en-US" w:eastAsia="zh-CN" w:bidi="ar-SA"/>
                    </w:rPr>
                  </w:pPr>
                </w:p>
              </w:tc>
            </w:tr>
          </w:tbl>
          <w:p>
            <w:pPr>
              <w:pStyle w:val="7"/>
              <w:bidi w:val="0"/>
              <w:rPr>
                <w:rFonts w:hint="default"/>
                <w:color w:val="121212"/>
                <w:highlight w:val="none"/>
              </w:rPr>
            </w:pPr>
            <w:r>
              <w:rPr>
                <w:rFonts w:hint="eastAsia"/>
                <w:color w:val="121212"/>
                <w:highlight w:val="none"/>
                <w:lang w:val="en-US" w:eastAsia="zh-CN"/>
              </w:rPr>
              <w:t>4</w:t>
            </w:r>
            <w:r>
              <w:rPr>
                <w:rFonts w:hint="default"/>
                <w:color w:val="121212"/>
                <w:highlight w:val="none"/>
              </w:rPr>
              <w:t>、主要生产设备</w:t>
            </w:r>
          </w:p>
          <w:p>
            <w:pPr>
              <w:bidi w:val="0"/>
              <w:rPr>
                <w:rFonts w:hint="default"/>
                <w:color w:val="121212"/>
                <w:highlight w:val="none"/>
                <w:lang w:val="en-US" w:eastAsia="zh-CN"/>
              </w:rPr>
            </w:pPr>
            <w:r>
              <w:rPr>
                <w:rFonts w:hint="default"/>
                <w:color w:val="121212"/>
                <w:highlight w:val="none"/>
              </w:rPr>
              <w:t>项目主要设备见</w:t>
            </w:r>
            <w:r>
              <w:rPr>
                <w:rFonts w:hint="default"/>
                <w:color w:val="121212"/>
                <w:highlight w:val="none"/>
                <w:lang w:val="en-US" w:eastAsia="zh-CN"/>
              </w:rPr>
              <w:t>下</w:t>
            </w:r>
            <w:r>
              <w:rPr>
                <w:rFonts w:hint="default"/>
                <w:color w:val="121212"/>
                <w:highlight w:val="none"/>
              </w:rPr>
              <w:t>表。</w:t>
            </w:r>
          </w:p>
          <w:p>
            <w:pPr>
              <w:pStyle w:val="39"/>
              <w:bidi w:val="0"/>
              <w:rPr>
                <w:rFonts w:hint="default"/>
                <w:color w:val="121212"/>
                <w:highlight w:val="none"/>
                <w:lang w:val="en-US" w:eastAsia="zh-CN"/>
              </w:rPr>
            </w:pPr>
          </w:p>
          <w:p>
            <w:pPr>
              <w:pStyle w:val="39"/>
              <w:bidi w:val="0"/>
              <w:rPr>
                <w:rFonts w:hint="default"/>
                <w:color w:val="121212"/>
                <w:highlight w:val="none"/>
                <w:lang w:val="en-US" w:eastAsia="zh-CN"/>
              </w:rPr>
            </w:pPr>
            <w:r>
              <w:rPr>
                <w:rFonts w:hint="default"/>
                <w:color w:val="121212"/>
                <w:highlight w:val="none"/>
                <w:lang w:val="en-US" w:eastAsia="zh-CN"/>
              </w:rPr>
              <w:t>表2-</w:t>
            </w:r>
            <w:r>
              <w:rPr>
                <w:rFonts w:hint="eastAsia"/>
                <w:color w:val="121212"/>
                <w:highlight w:val="none"/>
                <w:lang w:val="en-US" w:eastAsia="zh-CN"/>
              </w:rPr>
              <w:t>3</w:t>
            </w:r>
            <w:r>
              <w:rPr>
                <w:rFonts w:hint="default"/>
                <w:color w:val="121212"/>
                <w:highlight w:val="none"/>
                <w:lang w:val="en-US" w:eastAsia="zh-CN"/>
              </w:rPr>
              <w:t xml:space="preserve">  项目主要设备一览表</w:t>
            </w:r>
          </w:p>
          <w:tbl>
            <w:tblPr>
              <w:tblStyle w:val="38"/>
              <w:tblW w:w="4997" w:type="pct"/>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951"/>
              <w:gridCol w:w="1938"/>
              <w:gridCol w:w="1348"/>
              <w:gridCol w:w="2010"/>
            </w:tblGrid>
            <w:tr>
              <w:tblPrEx>
                <w:tblLayout w:type="fixed"/>
              </w:tblPrEx>
              <w:trPr>
                <w:trHeight w:val="397" w:hRule="atLeast"/>
                <w:jc w:val="center"/>
              </w:trPr>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0"/>
                    <w:rPr>
                      <w:rFonts w:hint="default"/>
                      <w:b w:val="0"/>
                      <w:bCs/>
                      <w:color w:val="121212"/>
                      <w:sz w:val="21"/>
                      <w:szCs w:val="21"/>
                      <w:vertAlign w:val="baseline"/>
                      <w:lang w:val="en-US" w:eastAsia="zh-CN"/>
                    </w:rPr>
                  </w:pPr>
                  <w:r>
                    <w:rPr>
                      <w:rFonts w:hint="eastAsia"/>
                      <w:b w:val="0"/>
                      <w:bCs/>
                      <w:color w:val="121212"/>
                      <w:sz w:val="21"/>
                      <w:szCs w:val="21"/>
                      <w:vertAlign w:val="baseline"/>
                      <w:lang w:val="en-US" w:eastAsia="zh-CN"/>
                    </w:rPr>
                    <w:t>序号</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0"/>
                    <w:rPr>
                      <w:rFonts w:hint="default"/>
                      <w:b w:val="0"/>
                      <w:bCs/>
                      <w:color w:val="121212"/>
                      <w:sz w:val="21"/>
                      <w:szCs w:val="21"/>
                      <w:vertAlign w:val="baseline"/>
                      <w:lang w:val="en-US" w:eastAsia="zh-CN"/>
                    </w:rPr>
                  </w:pPr>
                  <w:r>
                    <w:rPr>
                      <w:rFonts w:hint="eastAsia"/>
                      <w:b w:val="0"/>
                      <w:bCs/>
                      <w:color w:val="121212"/>
                      <w:sz w:val="21"/>
                      <w:szCs w:val="21"/>
                      <w:vertAlign w:val="baseline"/>
                      <w:lang w:val="en-US" w:eastAsia="zh-CN"/>
                    </w:rPr>
                    <w:t>名称</w:t>
                  </w:r>
                </w:p>
              </w:tc>
              <w:tc>
                <w:tcPr>
                  <w:tcW w:w="193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0"/>
                    <w:rPr>
                      <w:rFonts w:hint="default"/>
                      <w:b w:val="0"/>
                      <w:bCs/>
                      <w:color w:val="121212"/>
                      <w:sz w:val="21"/>
                      <w:szCs w:val="21"/>
                      <w:vertAlign w:val="baseline"/>
                      <w:lang w:val="en-US" w:eastAsia="zh-CN"/>
                    </w:rPr>
                  </w:pPr>
                  <w:r>
                    <w:rPr>
                      <w:rFonts w:hint="eastAsia"/>
                      <w:b w:val="0"/>
                      <w:bCs/>
                      <w:color w:val="121212"/>
                      <w:sz w:val="21"/>
                      <w:szCs w:val="21"/>
                      <w:vertAlign w:val="baseline"/>
                      <w:lang w:val="en-US" w:eastAsia="zh-CN"/>
                    </w:rPr>
                    <w:t>规格型号</w:t>
                  </w:r>
                </w:p>
              </w:tc>
              <w:tc>
                <w:tcPr>
                  <w:tcW w:w="134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0"/>
                    <w:rPr>
                      <w:rFonts w:hint="default"/>
                      <w:b w:val="0"/>
                      <w:bCs/>
                      <w:color w:val="121212"/>
                      <w:sz w:val="21"/>
                      <w:szCs w:val="21"/>
                      <w:vertAlign w:val="baseline"/>
                      <w:lang w:val="en-US" w:eastAsia="zh-CN"/>
                    </w:rPr>
                  </w:pPr>
                  <w:r>
                    <w:rPr>
                      <w:rFonts w:hint="eastAsia"/>
                      <w:b w:val="0"/>
                      <w:bCs/>
                      <w:color w:val="121212"/>
                      <w:sz w:val="21"/>
                      <w:szCs w:val="21"/>
                      <w:highlight w:val="none"/>
                      <w:vertAlign w:val="baseline"/>
                      <w:lang w:val="en-US" w:eastAsia="zh-CN"/>
                    </w:rPr>
                    <w:t>数量</w:t>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0"/>
                    <w:rPr>
                      <w:rFonts w:hint="default"/>
                      <w:b w:val="0"/>
                      <w:bCs/>
                      <w:color w:val="121212"/>
                      <w:sz w:val="21"/>
                      <w:szCs w:val="21"/>
                      <w:vertAlign w:val="baseline"/>
                      <w:lang w:val="en-US" w:eastAsia="zh-CN"/>
                    </w:rPr>
                  </w:pPr>
                  <w:r>
                    <w:rPr>
                      <w:rFonts w:hint="eastAsia"/>
                      <w:b w:val="0"/>
                      <w:bCs/>
                      <w:color w:val="121212"/>
                      <w:sz w:val="21"/>
                      <w:szCs w:val="21"/>
                      <w:vertAlign w:val="baseline"/>
                      <w:lang w:val="en-US" w:eastAsia="zh-CN"/>
                    </w:rPr>
                    <w:t>备注</w:t>
                  </w:r>
                </w:p>
              </w:tc>
            </w:tr>
            <w:tr>
              <w:tblPrEx>
                <w:tblLayout w:type="fixed"/>
              </w:tblPrEx>
              <w:trPr>
                <w:trHeight w:val="397" w:hRule="atLeast"/>
                <w:jc w:val="center"/>
              </w:trPr>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0"/>
                    <w:rPr>
                      <w:rFonts w:hint="default"/>
                      <w:b w:val="0"/>
                      <w:bCs/>
                      <w:color w:val="121212"/>
                      <w:sz w:val="21"/>
                      <w:szCs w:val="21"/>
                      <w:vertAlign w:val="baseline"/>
                      <w:lang w:val="en-US" w:eastAsia="zh-CN"/>
                    </w:rPr>
                  </w:pPr>
                  <w:r>
                    <w:rPr>
                      <w:rFonts w:hint="eastAsia"/>
                      <w:b w:val="0"/>
                      <w:bCs/>
                      <w:color w:val="121212"/>
                      <w:sz w:val="21"/>
                      <w:szCs w:val="21"/>
                      <w:vertAlign w:val="baseline"/>
                      <w:lang w:val="en-US" w:eastAsia="zh-CN"/>
                    </w:rPr>
                    <w:t>1</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0"/>
                    <w:rPr>
                      <w:rFonts w:hint="default"/>
                      <w:b w:val="0"/>
                      <w:bCs/>
                      <w:color w:val="121212"/>
                      <w:sz w:val="21"/>
                      <w:szCs w:val="21"/>
                      <w:vertAlign w:val="baseline"/>
                      <w:lang w:val="en-US" w:eastAsia="zh-CN"/>
                    </w:rPr>
                  </w:pPr>
                  <w:r>
                    <w:rPr>
                      <w:rFonts w:hint="eastAsia" w:ascii="宋体" w:hAnsi="宋体" w:eastAsia="宋体" w:cs="宋体"/>
                      <w:color w:val="121212"/>
                      <w:sz w:val="21"/>
                      <w:szCs w:val="21"/>
                      <w:lang w:val="en-US" w:eastAsia="zh-CN"/>
                    </w:rPr>
                    <w:t>旋边机</w:t>
                  </w:r>
                </w:p>
              </w:tc>
              <w:tc>
                <w:tcPr>
                  <w:tcW w:w="193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0"/>
                    <w:rPr>
                      <w:rFonts w:hint="default"/>
                      <w:b w:val="0"/>
                      <w:bCs/>
                      <w:color w:val="121212"/>
                      <w:sz w:val="21"/>
                      <w:szCs w:val="21"/>
                      <w:vertAlign w:val="baseline"/>
                      <w:lang w:val="en-US" w:eastAsia="zh-CN"/>
                    </w:rPr>
                  </w:pPr>
                  <w:r>
                    <w:rPr>
                      <w:rFonts w:hint="eastAsia" w:ascii="宋体" w:hAnsi="宋体" w:eastAsia="宋体" w:cs="宋体"/>
                      <w:color w:val="121212"/>
                      <w:sz w:val="21"/>
                      <w:szCs w:val="21"/>
                      <w:lang w:val="en-US" w:eastAsia="zh-CN"/>
                    </w:rPr>
                    <w:t>XB-3000-V</w:t>
                  </w:r>
                </w:p>
              </w:tc>
              <w:tc>
                <w:tcPr>
                  <w:tcW w:w="134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0"/>
                    <w:rPr>
                      <w:rFonts w:hint="default"/>
                      <w:b w:val="0"/>
                      <w:bCs/>
                      <w:color w:val="121212"/>
                      <w:sz w:val="21"/>
                      <w:szCs w:val="21"/>
                      <w:vertAlign w:val="baseline"/>
                      <w:lang w:val="en-US" w:eastAsia="zh-CN"/>
                    </w:rPr>
                  </w:pPr>
                  <w:r>
                    <w:rPr>
                      <w:rFonts w:hint="eastAsia"/>
                      <w:b w:val="0"/>
                      <w:bCs/>
                      <w:color w:val="121212"/>
                      <w:sz w:val="21"/>
                      <w:szCs w:val="21"/>
                      <w:vertAlign w:val="baseline"/>
                      <w:lang w:val="en-US" w:eastAsia="zh-CN"/>
                    </w:rPr>
                    <w:t>2台</w:t>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0"/>
                    <w:rPr>
                      <w:rFonts w:hint="default"/>
                      <w:b w:val="0"/>
                      <w:bCs/>
                      <w:color w:val="121212"/>
                      <w:sz w:val="21"/>
                      <w:szCs w:val="21"/>
                      <w:vertAlign w:val="baseline"/>
                      <w:lang w:val="en-US" w:eastAsia="zh-CN"/>
                    </w:rPr>
                  </w:pPr>
                  <w:r>
                    <w:rPr>
                      <w:rFonts w:hint="eastAsia"/>
                      <w:b w:val="0"/>
                      <w:bCs/>
                      <w:color w:val="121212"/>
                      <w:sz w:val="21"/>
                      <w:szCs w:val="21"/>
                      <w:vertAlign w:val="baseline"/>
                      <w:lang w:val="en-US" w:eastAsia="zh-CN"/>
                    </w:rPr>
                    <w:t>外购</w:t>
                  </w:r>
                </w:p>
              </w:tc>
            </w:tr>
            <w:tr>
              <w:tblPrEx>
                <w:tblLayout w:type="fixed"/>
              </w:tblPrEx>
              <w:trPr>
                <w:trHeight w:val="397" w:hRule="atLeast"/>
                <w:jc w:val="center"/>
              </w:trPr>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0"/>
                    <w:rPr>
                      <w:rFonts w:hint="default"/>
                      <w:b w:val="0"/>
                      <w:bCs/>
                      <w:color w:val="121212"/>
                      <w:sz w:val="21"/>
                      <w:szCs w:val="21"/>
                      <w:vertAlign w:val="baseline"/>
                      <w:lang w:val="en-US" w:eastAsia="zh-CN"/>
                    </w:rPr>
                  </w:pPr>
                  <w:r>
                    <w:rPr>
                      <w:rFonts w:hint="eastAsia"/>
                      <w:b w:val="0"/>
                      <w:bCs/>
                      <w:color w:val="121212"/>
                      <w:sz w:val="21"/>
                      <w:szCs w:val="21"/>
                      <w:vertAlign w:val="baseline"/>
                      <w:lang w:val="en-US" w:eastAsia="zh-CN"/>
                    </w:rPr>
                    <w:t>2</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0"/>
                    <w:rPr>
                      <w:rFonts w:hint="default"/>
                      <w:b w:val="0"/>
                      <w:bCs/>
                      <w:color w:val="121212"/>
                      <w:kern w:val="2"/>
                      <w:sz w:val="21"/>
                      <w:szCs w:val="21"/>
                      <w:vertAlign w:val="baseline"/>
                      <w:lang w:val="en-US" w:eastAsia="zh-CN" w:bidi="ar-SA"/>
                    </w:rPr>
                  </w:pPr>
                  <w:r>
                    <w:rPr>
                      <w:rFonts w:hint="eastAsia"/>
                      <w:b w:val="0"/>
                      <w:bCs/>
                      <w:color w:val="121212"/>
                      <w:kern w:val="2"/>
                      <w:sz w:val="21"/>
                      <w:szCs w:val="21"/>
                      <w:vertAlign w:val="baseline"/>
                      <w:lang w:val="en-US" w:eastAsia="zh-CN" w:bidi="ar-SA"/>
                    </w:rPr>
                    <w:t>卷圆机</w:t>
                  </w:r>
                </w:p>
              </w:tc>
              <w:tc>
                <w:tcPr>
                  <w:tcW w:w="193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0"/>
                    <w:rPr>
                      <w:rFonts w:hint="default"/>
                      <w:b w:val="0"/>
                      <w:bCs/>
                      <w:color w:val="121212"/>
                      <w:kern w:val="2"/>
                      <w:sz w:val="21"/>
                      <w:szCs w:val="21"/>
                      <w:vertAlign w:val="baseline"/>
                      <w:lang w:val="en-US" w:eastAsia="zh-CN" w:bidi="ar-SA"/>
                    </w:rPr>
                  </w:pPr>
                  <w:r>
                    <w:rPr>
                      <w:rFonts w:hint="eastAsia"/>
                      <w:b w:val="0"/>
                      <w:bCs/>
                      <w:color w:val="121212"/>
                      <w:kern w:val="2"/>
                      <w:sz w:val="21"/>
                      <w:szCs w:val="21"/>
                      <w:vertAlign w:val="baseline"/>
                      <w:lang w:val="en-US" w:eastAsia="zh-CN" w:bidi="ar-SA"/>
                    </w:rPr>
                    <w:t>/</w:t>
                  </w:r>
                </w:p>
              </w:tc>
              <w:tc>
                <w:tcPr>
                  <w:tcW w:w="134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0"/>
                    <w:rPr>
                      <w:rFonts w:hint="default"/>
                      <w:b w:val="0"/>
                      <w:bCs/>
                      <w:color w:val="121212"/>
                      <w:kern w:val="2"/>
                      <w:sz w:val="21"/>
                      <w:szCs w:val="21"/>
                      <w:vertAlign w:val="baseline"/>
                      <w:lang w:val="en-US" w:eastAsia="zh-CN" w:bidi="ar-SA"/>
                    </w:rPr>
                  </w:pPr>
                  <w:r>
                    <w:rPr>
                      <w:rFonts w:hint="eastAsia"/>
                      <w:b w:val="0"/>
                      <w:bCs/>
                      <w:color w:val="121212"/>
                      <w:kern w:val="2"/>
                      <w:sz w:val="21"/>
                      <w:szCs w:val="21"/>
                      <w:vertAlign w:val="baseline"/>
                      <w:lang w:val="en-US" w:eastAsia="zh-CN" w:bidi="ar-SA"/>
                    </w:rPr>
                    <w:t>2台</w:t>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0"/>
                    <w:rPr>
                      <w:rFonts w:hint="default"/>
                      <w:b w:val="0"/>
                      <w:bCs/>
                      <w:color w:val="121212"/>
                      <w:sz w:val="21"/>
                      <w:szCs w:val="21"/>
                      <w:vertAlign w:val="baseline"/>
                      <w:lang w:val="en-US" w:eastAsia="zh-CN"/>
                    </w:rPr>
                  </w:pPr>
                  <w:r>
                    <w:rPr>
                      <w:rFonts w:hint="eastAsia"/>
                      <w:b w:val="0"/>
                      <w:bCs/>
                      <w:color w:val="121212"/>
                      <w:sz w:val="21"/>
                      <w:szCs w:val="21"/>
                      <w:vertAlign w:val="baseline"/>
                      <w:lang w:val="en-US" w:eastAsia="zh-CN"/>
                    </w:rPr>
                    <w:t>外购</w:t>
                  </w:r>
                </w:p>
              </w:tc>
            </w:tr>
            <w:tr>
              <w:tblPrEx>
                <w:tblLayout w:type="fixed"/>
              </w:tblPrEx>
              <w:trPr>
                <w:trHeight w:val="397" w:hRule="atLeast"/>
                <w:jc w:val="center"/>
              </w:trPr>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0"/>
                    <w:rPr>
                      <w:rFonts w:hint="default"/>
                      <w:b w:val="0"/>
                      <w:bCs/>
                      <w:color w:val="121212"/>
                      <w:sz w:val="21"/>
                      <w:szCs w:val="21"/>
                      <w:vertAlign w:val="baseline"/>
                      <w:lang w:val="en-US" w:eastAsia="zh-CN"/>
                    </w:rPr>
                  </w:pPr>
                  <w:r>
                    <w:rPr>
                      <w:rFonts w:hint="eastAsia"/>
                      <w:b w:val="0"/>
                      <w:bCs/>
                      <w:color w:val="121212"/>
                      <w:sz w:val="21"/>
                      <w:szCs w:val="21"/>
                      <w:vertAlign w:val="baseline"/>
                      <w:lang w:val="en-US" w:eastAsia="zh-CN"/>
                    </w:rPr>
                    <w:t>3</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0"/>
                    <w:rPr>
                      <w:rFonts w:hint="default"/>
                      <w:b w:val="0"/>
                      <w:bCs/>
                      <w:color w:val="121212"/>
                      <w:sz w:val="21"/>
                      <w:szCs w:val="21"/>
                      <w:vertAlign w:val="baseline"/>
                      <w:lang w:val="en-US" w:eastAsia="zh-CN"/>
                    </w:rPr>
                  </w:pPr>
                  <w:r>
                    <w:rPr>
                      <w:rFonts w:hint="eastAsia"/>
                      <w:b w:val="0"/>
                      <w:bCs/>
                      <w:color w:val="121212"/>
                      <w:sz w:val="21"/>
                      <w:szCs w:val="21"/>
                      <w:vertAlign w:val="baseline"/>
                      <w:lang w:val="en-US" w:eastAsia="zh-CN"/>
                    </w:rPr>
                    <w:t>激光切割机</w:t>
                  </w:r>
                </w:p>
              </w:tc>
              <w:tc>
                <w:tcPr>
                  <w:tcW w:w="193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0"/>
                    <w:rPr>
                      <w:rFonts w:hint="default"/>
                      <w:b w:val="0"/>
                      <w:bCs/>
                      <w:color w:val="121212"/>
                      <w:sz w:val="21"/>
                      <w:szCs w:val="21"/>
                      <w:vertAlign w:val="baseline"/>
                      <w:lang w:val="en-US" w:eastAsia="zh-CN"/>
                    </w:rPr>
                  </w:pPr>
                  <w:r>
                    <w:rPr>
                      <w:rFonts w:hint="eastAsia" w:ascii="宋体" w:hAnsi="宋体" w:eastAsia="宋体" w:cs="宋体"/>
                      <w:color w:val="121212"/>
                      <w:sz w:val="21"/>
                      <w:szCs w:val="21"/>
                      <w:lang w:val="en-US" w:eastAsia="zh-CN"/>
                    </w:rPr>
                    <w:t>350型</w:t>
                  </w:r>
                </w:p>
              </w:tc>
              <w:tc>
                <w:tcPr>
                  <w:tcW w:w="134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0"/>
                    <w:rPr>
                      <w:rFonts w:hint="default"/>
                      <w:b w:val="0"/>
                      <w:bCs/>
                      <w:color w:val="121212"/>
                      <w:sz w:val="21"/>
                      <w:szCs w:val="21"/>
                      <w:vertAlign w:val="baseline"/>
                      <w:lang w:val="en-US" w:eastAsia="zh-CN"/>
                    </w:rPr>
                  </w:pPr>
                  <w:r>
                    <w:rPr>
                      <w:rFonts w:hint="eastAsia"/>
                      <w:b w:val="0"/>
                      <w:bCs/>
                      <w:color w:val="121212"/>
                      <w:sz w:val="21"/>
                      <w:szCs w:val="21"/>
                      <w:vertAlign w:val="baseline"/>
                      <w:lang w:val="en-US" w:eastAsia="zh-CN"/>
                    </w:rPr>
                    <w:t>2台</w:t>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0"/>
                    <w:rPr>
                      <w:rFonts w:hint="default"/>
                      <w:b w:val="0"/>
                      <w:bCs/>
                      <w:color w:val="121212"/>
                      <w:sz w:val="21"/>
                      <w:szCs w:val="21"/>
                      <w:vertAlign w:val="baseline"/>
                      <w:lang w:val="en-US" w:eastAsia="zh-CN"/>
                    </w:rPr>
                  </w:pPr>
                  <w:r>
                    <w:rPr>
                      <w:rFonts w:hint="eastAsia"/>
                      <w:b w:val="0"/>
                      <w:bCs/>
                      <w:color w:val="121212"/>
                      <w:sz w:val="21"/>
                      <w:szCs w:val="21"/>
                      <w:vertAlign w:val="baseline"/>
                      <w:lang w:val="en-US" w:eastAsia="zh-CN"/>
                    </w:rPr>
                    <w:t>外购</w:t>
                  </w:r>
                </w:p>
              </w:tc>
            </w:tr>
            <w:tr>
              <w:tblPrEx>
                <w:tblLayout w:type="fixed"/>
              </w:tblPrEx>
              <w:trPr>
                <w:trHeight w:val="397" w:hRule="atLeast"/>
                <w:jc w:val="center"/>
              </w:trPr>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0"/>
                    <w:rPr>
                      <w:rFonts w:hint="default"/>
                      <w:b w:val="0"/>
                      <w:bCs/>
                      <w:color w:val="121212"/>
                      <w:sz w:val="21"/>
                      <w:szCs w:val="21"/>
                      <w:vertAlign w:val="baseline"/>
                      <w:lang w:val="en-US" w:eastAsia="zh-CN"/>
                    </w:rPr>
                  </w:pPr>
                  <w:r>
                    <w:rPr>
                      <w:rFonts w:hint="eastAsia"/>
                      <w:b w:val="0"/>
                      <w:bCs/>
                      <w:color w:val="121212"/>
                      <w:sz w:val="21"/>
                      <w:szCs w:val="21"/>
                      <w:vertAlign w:val="baseline"/>
                      <w:lang w:val="en-US" w:eastAsia="zh-CN"/>
                    </w:rPr>
                    <w:t>4</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0"/>
                    <w:rPr>
                      <w:rFonts w:hint="default"/>
                      <w:b w:val="0"/>
                      <w:bCs/>
                      <w:color w:val="121212"/>
                      <w:sz w:val="21"/>
                      <w:szCs w:val="21"/>
                      <w:vertAlign w:val="baseline"/>
                      <w:lang w:val="en-US" w:eastAsia="zh-CN"/>
                    </w:rPr>
                  </w:pPr>
                  <w:r>
                    <w:rPr>
                      <w:rFonts w:hint="eastAsia"/>
                      <w:b w:val="0"/>
                      <w:bCs/>
                      <w:color w:val="121212"/>
                      <w:sz w:val="21"/>
                      <w:szCs w:val="21"/>
                      <w:vertAlign w:val="baseline"/>
                      <w:lang w:val="en-US" w:eastAsia="zh-CN"/>
                    </w:rPr>
                    <w:t>电焊机</w:t>
                  </w:r>
                </w:p>
              </w:tc>
              <w:tc>
                <w:tcPr>
                  <w:tcW w:w="193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0"/>
                    <w:rPr>
                      <w:rFonts w:hint="default"/>
                      <w:b w:val="0"/>
                      <w:bCs/>
                      <w:color w:val="121212"/>
                      <w:sz w:val="21"/>
                      <w:szCs w:val="21"/>
                      <w:vertAlign w:val="baseline"/>
                      <w:lang w:val="en-US" w:eastAsia="zh-CN"/>
                    </w:rPr>
                  </w:pPr>
                  <w:r>
                    <w:rPr>
                      <w:rFonts w:hint="eastAsia"/>
                      <w:b w:val="0"/>
                      <w:bCs/>
                      <w:color w:val="121212"/>
                      <w:sz w:val="21"/>
                      <w:szCs w:val="21"/>
                      <w:vertAlign w:val="baseline"/>
                      <w:lang w:val="en-US" w:eastAsia="zh-CN"/>
                    </w:rPr>
                    <w:t>二保焊机</w:t>
                  </w:r>
                </w:p>
              </w:tc>
              <w:tc>
                <w:tcPr>
                  <w:tcW w:w="134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0"/>
                    <w:rPr>
                      <w:rFonts w:hint="default"/>
                      <w:b w:val="0"/>
                      <w:bCs/>
                      <w:color w:val="121212"/>
                      <w:sz w:val="21"/>
                      <w:szCs w:val="21"/>
                      <w:vertAlign w:val="baseline"/>
                      <w:lang w:val="en-US" w:eastAsia="zh-CN"/>
                    </w:rPr>
                  </w:pPr>
                  <w:r>
                    <w:rPr>
                      <w:rFonts w:hint="eastAsia"/>
                      <w:b w:val="0"/>
                      <w:bCs/>
                      <w:color w:val="121212"/>
                      <w:sz w:val="21"/>
                      <w:szCs w:val="21"/>
                      <w:vertAlign w:val="baseline"/>
                      <w:lang w:val="en-US" w:eastAsia="zh-CN"/>
                    </w:rPr>
                    <w:t>6台</w:t>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0"/>
                    <w:rPr>
                      <w:rFonts w:hint="default"/>
                      <w:b w:val="0"/>
                      <w:bCs/>
                      <w:color w:val="121212"/>
                      <w:sz w:val="21"/>
                      <w:szCs w:val="21"/>
                      <w:vertAlign w:val="baseline"/>
                      <w:lang w:val="en-US" w:eastAsia="zh-CN"/>
                    </w:rPr>
                  </w:pPr>
                  <w:r>
                    <w:rPr>
                      <w:rFonts w:hint="eastAsia"/>
                      <w:b w:val="0"/>
                      <w:bCs/>
                      <w:color w:val="121212"/>
                      <w:sz w:val="21"/>
                      <w:szCs w:val="21"/>
                      <w:vertAlign w:val="baseline"/>
                      <w:lang w:val="en-US" w:eastAsia="zh-CN"/>
                    </w:rPr>
                    <w:t>外购</w:t>
                  </w:r>
                </w:p>
              </w:tc>
            </w:tr>
            <w:tr>
              <w:tblPrEx>
                <w:tblLayout w:type="fixed"/>
              </w:tblPrEx>
              <w:trPr>
                <w:trHeight w:val="397" w:hRule="atLeast"/>
                <w:jc w:val="center"/>
              </w:trPr>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0"/>
                    <w:rPr>
                      <w:rFonts w:hint="default"/>
                      <w:b w:val="0"/>
                      <w:bCs/>
                      <w:color w:val="121212"/>
                      <w:sz w:val="21"/>
                      <w:szCs w:val="21"/>
                      <w:vertAlign w:val="baseline"/>
                      <w:lang w:val="en-US" w:eastAsia="zh-CN"/>
                    </w:rPr>
                  </w:pPr>
                  <w:r>
                    <w:rPr>
                      <w:rFonts w:hint="eastAsia"/>
                      <w:b w:val="0"/>
                      <w:bCs/>
                      <w:color w:val="121212"/>
                      <w:sz w:val="21"/>
                      <w:szCs w:val="21"/>
                      <w:vertAlign w:val="baseline"/>
                      <w:lang w:val="en-US" w:eastAsia="zh-CN"/>
                    </w:rPr>
                    <w:t>5</w:t>
                  </w:r>
                </w:p>
              </w:tc>
              <w:tc>
                <w:tcPr>
                  <w:tcW w:w="1951" w:type="dxa"/>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color w:val="121212"/>
                      <w:sz w:val="21"/>
                      <w:szCs w:val="21"/>
                      <w:vertAlign w:val="baseline"/>
                      <w:lang w:val="en-US" w:eastAsia="zh-CN"/>
                    </w:rPr>
                  </w:pPr>
                  <w:r>
                    <w:rPr>
                      <w:color w:val="121212"/>
                      <w:spacing w:val="-4"/>
                      <w:sz w:val="21"/>
                      <w:szCs w:val="21"/>
                    </w:rPr>
                    <w:t>钻床</w:t>
                  </w:r>
                </w:p>
              </w:tc>
              <w:tc>
                <w:tcPr>
                  <w:tcW w:w="193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color w:val="121212"/>
                      <w:sz w:val="21"/>
                      <w:szCs w:val="21"/>
                      <w:vertAlign w:val="baseline"/>
                      <w:lang w:val="en-US" w:eastAsia="zh-CN"/>
                    </w:rPr>
                  </w:pPr>
                  <w:r>
                    <w:rPr>
                      <w:rFonts w:ascii="Times New Roman" w:hAnsi="Times New Roman" w:eastAsia="Times New Roman" w:cs="Times New Roman"/>
                      <w:color w:val="121212"/>
                      <w:spacing w:val="-1"/>
                      <w:sz w:val="21"/>
                      <w:szCs w:val="21"/>
                    </w:rPr>
                    <w:t>Z3050</w:t>
                  </w:r>
                </w:p>
              </w:tc>
              <w:tc>
                <w:tcPr>
                  <w:tcW w:w="1348" w:type="dxa"/>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color w:val="121212"/>
                      <w:sz w:val="21"/>
                      <w:szCs w:val="21"/>
                      <w:vertAlign w:val="baseline"/>
                      <w:lang w:val="en-US" w:eastAsia="zh-CN"/>
                    </w:rPr>
                  </w:pPr>
                  <w:r>
                    <w:rPr>
                      <w:rFonts w:hint="eastAsia" w:ascii="Times New Roman" w:hAnsi="Times New Roman" w:eastAsia="宋体" w:cs="Times New Roman"/>
                      <w:color w:val="121212"/>
                      <w:spacing w:val="-13"/>
                      <w:sz w:val="21"/>
                      <w:szCs w:val="21"/>
                      <w:lang w:val="en-US" w:eastAsia="zh-CN"/>
                    </w:rPr>
                    <w:t>2</w:t>
                  </w:r>
                  <w:r>
                    <w:rPr>
                      <w:color w:val="121212"/>
                      <w:spacing w:val="-13"/>
                      <w:sz w:val="21"/>
                      <w:szCs w:val="21"/>
                    </w:rPr>
                    <w:t>台</w:t>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0"/>
                    <w:rPr>
                      <w:rFonts w:hint="default"/>
                      <w:b w:val="0"/>
                      <w:bCs/>
                      <w:color w:val="121212"/>
                      <w:sz w:val="21"/>
                      <w:szCs w:val="21"/>
                      <w:vertAlign w:val="baseline"/>
                      <w:lang w:val="en-US" w:eastAsia="zh-CN"/>
                    </w:rPr>
                  </w:pPr>
                  <w:r>
                    <w:rPr>
                      <w:rFonts w:hint="eastAsia"/>
                      <w:b w:val="0"/>
                      <w:bCs/>
                      <w:color w:val="121212"/>
                      <w:sz w:val="21"/>
                      <w:szCs w:val="21"/>
                      <w:vertAlign w:val="baseline"/>
                      <w:lang w:val="en-US" w:eastAsia="zh-CN"/>
                    </w:rPr>
                    <w:t>外购</w:t>
                  </w:r>
                </w:p>
              </w:tc>
            </w:tr>
            <w:tr>
              <w:tblPrEx>
                <w:tblLayout w:type="fixed"/>
              </w:tblPrEx>
              <w:trPr>
                <w:trHeight w:val="397" w:hRule="atLeast"/>
                <w:jc w:val="center"/>
              </w:trPr>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eastAsia" w:ascii="Times New Roman" w:hAnsi="Times New Roman" w:eastAsia="宋体" w:cstheme="minorBidi"/>
                      <w:b w:val="0"/>
                      <w:bCs/>
                      <w:color w:val="121212"/>
                      <w:kern w:val="2"/>
                      <w:sz w:val="21"/>
                      <w:szCs w:val="21"/>
                      <w:vertAlign w:val="baseline"/>
                      <w:lang w:val="en-US" w:eastAsia="zh-CN" w:bidi="ar-SA"/>
                    </w:rPr>
                  </w:pPr>
                  <w:r>
                    <w:rPr>
                      <w:rFonts w:hint="eastAsia"/>
                      <w:b w:val="0"/>
                      <w:bCs/>
                      <w:color w:val="121212"/>
                      <w:sz w:val="21"/>
                      <w:szCs w:val="21"/>
                      <w:vertAlign w:val="baseline"/>
                      <w:lang w:val="en-US" w:eastAsia="zh-CN"/>
                    </w:rPr>
                    <w:t>6</w:t>
                  </w:r>
                </w:p>
              </w:tc>
              <w:tc>
                <w:tcPr>
                  <w:tcW w:w="1951" w:type="dxa"/>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color w:val="121212"/>
                      <w:spacing w:val="-4"/>
                      <w:sz w:val="21"/>
                      <w:szCs w:val="21"/>
                      <w:lang w:val="en-US" w:eastAsia="zh-CN"/>
                    </w:rPr>
                  </w:pPr>
                  <w:r>
                    <w:rPr>
                      <w:rFonts w:hint="eastAsia"/>
                      <w:color w:val="121212"/>
                      <w:spacing w:val="-4"/>
                      <w:sz w:val="21"/>
                      <w:szCs w:val="21"/>
                      <w:lang w:val="en-US" w:eastAsia="zh-CN"/>
                    </w:rPr>
                    <w:t>折弯机</w:t>
                  </w:r>
                </w:p>
              </w:tc>
              <w:tc>
                <w:tcPr>
                  <w:tcW w:w="193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Times New Roman" w:cs="Times New Roman"/>
                      <w:color w:val="121212"/>
                      <w:spacing w:val="-1"/>
                      <w:sz w:val="21"/>
                      <w:szCs w:val="21"/>
                    </w:rPr>
                  </w:pPr>
                  <w:r>
                    <w:rPr>
                      <w:rFonts w:ascii="Times New Roman" w:hAnsi="Times New Roman" w:eastAsia="Times New Roman" w:cs="Times New Roman"/>
                      <w:color w:val="121212"/>
                      <w:spacing w:val="-1"/>
                      <w:sz w:val="22"/>
                      <w:szCs w:val="22"/>
                    </w:rPr>
                    <w:t>250T/4000</w:t>
                  </w:r>
                </w:p>
              </w:tc>
              <w:tc>
                <w:tcPr>
                  <w:tcW w:w="1348" w:type="dxa"/>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Times New Roman" w:cs="Times New Roman"/>
                      <w:color w:val="121212"/>
                      <w:spacing w:val="-13"/>
                      <w:sz w:val="21"/>
                      <w:szCs w:val="21"/>
                    </w:rPr>
                  </w:pPr>
                  <w:r>
                    <w:rPr>
                      <w:rFonts w:hint="eastAsia" w:ascii="Times New Roman" w:hAnsi="Times New Roman" w:eastAsia="宋体" w:cs="Times New Roman"/>
                      <w:color w:val="121212"/>
                      <w:spacing w:val="-13"/>
                      <w:sz w:val="21"/>
                      <w:szCs w:val="21"/>
                      <w:lang w:val="en-US" w:eastAsia="zh-CN"/>
                    </w:rPr>
                    <w:t>2</w:t>
                  </w:r>
                  <w:r>
                    <w:rPr>
                      <w:color w:val="121212"/>
                      <w:spacing w:val="-13"/>
                      <w:sz w:val="21"/>
                      <w:szCs w:val="21"/>
                    </w:rPr>
                    <w:t>台</w:t>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0"/>
                    <w:rPr>
                      <w:rFonts w:hint="eastAsia"/>
                      <w:b w:val="0"/>
                      <w:bCs/>
                      <w:color w:val="121212"/>
                      <w:sz w:val="21"/>
                      <w:szCs w:val="21"/>
                      <w:vertAlign w:val="baseline"/>
                      <w:lang w:val="en-US" w:eastAsia="zh-CN"/>
                    </w:rPr>
                  </w:pPr>
                  <w:r>
                    <w:rPr>
                      <w:rFonts w:hint="eastAsia"/>
                      <w:b w:val="0"/>
                      <w:bCs/>
                      <w:color w:val="121212"/>
                      <w:sz w:val="21"/>
                      <w:szCs w:val="21"/>
                      <w:vertAlign w:val="baseline"/>
                      <w:lang w:val="en-US" w:eastAsia="zh-CN"/>
                    </w:rPr>
                    <w:t>外购</w:t>
                  </w:r>
                </w:p>
              </w:tc>
            </w:tr>
            <w:tr>
              <w:tblPrEx>
                <w:tblLayout w:type="fixed"/>
              </w:tblPrEx>
              <w:trPr>
                <w:trHeight w:val="397" w:hRule="atLeast"/>
                <w:jc w:val="center"/>
              </w:trPr>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default" w:ascii="Times New Roman" w:hAnsi="Times New Roman" w:eastAsia="宋体" w:cstheme="minorBidi"/>
                      <w:b w:val="0"/>
                      <w:bCs/>
                      <w:color w:val="121212"/>
                      <w:kern w:val="2"/>
                      <w:sz w:val="21"/>
                      <w:szCs w:val="21"/>
                      <w:vertAlign w:val="baseline"/>
                      <w:lang w:val="en-US" w:eastAsia="zh-CN" w:bidi="ar-SA"/>
                    </w:rPr>
                  </w:pPr>
                  <w:r>
                    <w:rPr>
                      <w:rFonts w:hint="eastAsia"/>
                      <w:b w:val="0"/>
                      <w:bCs/>
                      <w:color w:val="121212"/>
                      <w:sz w:val="21"/>
                      <w:szCs w:val="21"/>
                      <w:vertAlign w:val="baseline"/>
                      <w:lang w:val="en-US" w:eastAsia="zh-CN"/>
                    </w:rPr>
                    <w:t>7</w:t>
                  </w:r>
                </w:p>
              </w:tc>
              <w:tc>
                <w:tcPr>
                  <w:tcW w:w="1951" w:type="dxa"/>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color w:val="121212"/>
                      <w:sz w:val="21"/>
                      <w:szCs w:val="21"/>
                      <w:vertAlign w:val="baseline"/>
                      <w:lang w:val="en-US" w:eastAsia="zh-CN"/>
                    </w:rPr>
                  </w:pPr>
                  <w:r>
                    <w:rPr>
                      <w:color w:val="121212"/>
                      <w:spacing w:val="-3"/>
                      <w:sz w:val="21"/>
                      <w:szCs w:val="21"/>
                    </w:rPr>
                    <w:t>龙门吊</w:t>
                  </w:r>
                </w:p>
              </w:tc>
              <w:tc>
                <w:tcPr>
                  <w:tcW w:w="193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color w:val="121212"/>
                      <w:sz w:val="21"/>
                      <w:szCs w:val="21"/>
                      <w:vertAlign w:val="baseline"/>
                      <w:lang w:val="en-US" w:eastAsia="zh-CN"/>
                    </w:rPr>
                  </w:pPr>
                  <w:r>
                    <w:rPr>
                      <w:rFonts w:ascii="Times New Roman" w:hAnsi="Times New Roman" w:eastAsia="Times New Roman" w:cs="Times New Roman"/>
                      <w:color w:val="121212"/>
                      <w:spacing w:val="-1"/>
                      <w:sz w:val="21"/>
                      <w:szCs w:val="21"/>
                    </w:rPr>
                    <w:t>H17000/6500/5T</w:t>
                  </w:r>
                </w:p>
              </w:tc>
              <w:tc>
                <w:tcPr>
                  <w:tcW w:w="1348" w:type="dxa"/>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color w:val="121212"/>
                      <w:sz w:val="21"/>
                      <w:szCs w:val="21"/>
                      <w:vertAlign w:val="baseline"/>
                      <w:lang w:val="en-US" w:eastAsia="zh-CN"/>
                    </w:rPr>
                  </w:pPr>
                  <w:r>
                    <w:rPr>
                      <w:rFonts w:ascii="Times New Roman" w:hAnsi="Times New Roman" w:eastAsia="Times New Roman" w:cs="Times New Roman"/>
                      <w:color w:val="121212"/>
                      <w:spacing w:val="-13"/>
                      <w:sz w:val="21"/>
                      <w:szCs w:val="21"/>
                    </w:rPr>
                    <w:t>1</w:t>
                  </w:r>
                  <w:r>
                    <w:rPr>
                      <w:color w:val="121212"/>
                      <w:spacing w:val="-13"/>
                      <w:sz w:val="21"/>
                      <w:szCs w:val="21"/>
                    </w:rPr>
                    <w:t>台</w:t>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0"/>
                    <w:rPr>
                      <w:rFonts w:hint="default"/>
                      <w:b w:val="0"/>
                      <w:bCs/>
                      <w:color w:val="121212"/>
                      <w:sz w:val="21"/>
                      <w:szCs w:val="21"/>
                      <w:vertAlign w:val="baseline"/>
                      <w:lang w:val="en-US" w:eastAsia="zh-CN"/>
                    </w:rPr>
                  </w:pPr>
                  <w:r>
                    <w:rPr>
                      <w:rFonts w:hint="eastAsia"/>
                      <w:b w:val="0"/>
                      <w:bCs/>
                      <w:color w:val="121212"/>
                      <w:sz w:val="21"/>
                      <w:szCs w:val="21"/>
                      <w:vertAlign w:val="baseline"/>
                      <w:lang w:val="en-US" w:eastAsia="zh-CN"/>
                    </w:rPr>
                    <w:t>外购</w:t>
                  </w:r>
                </w:p>
              </w:tc>
            </w:tr>
            <w:tr>
              <w:tblPrEx>
                <w:tblLayout w:type="fixed"/>
              </w:tblPrEx>
              <w:trPr>
                <w:trHeight w:val="397" w:hRule="atLeast"/>
                <w:jc w:val="center"/>
              </w:trPr>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default" w:ascii="Times New Roman" w:hAnsi="Times New Roman" w:eastAsia="宋体" w:cstheme="minorBidi"/>
                      <w:b w:val="0"/>
                      <w:bCs/>
                      <w:color w:val="121212"/>
                      <w:kern w:val="2"/>
                      <w:sz w:val="21"/>
                      <w:szCs w:val="21"/>
                      <w:vertAlign w:val="baseline"/>
                      <w:lang w:val="en-US" w:eastAsia="zh-CN" w:bidi="ar-SA"/>
                    </w:rPr>
                  </w:pPr>
                  <w:r>
                    <w:rPr>
                      <w:rFonts w:hint="eastAsia"/>
                      <w:b w:val="0"/>
                      <w:bCs/>
                      <w:color w:val="121212"/>
                      <w:sz w:val="21"/>
                      <w:szCs w:val="21"/>
                      <w:vertAlign w:val="baseline"/>
                      <w:lang w:val="en-US" w:eastAsia="zh-CN"/>
                    </w:rPr>
                    <w:t>8</w:t>
                  </w:r>
                </w:p>
              </w:tc>
              <w:tc>
                <w:tcPr>
                  <w:tcW w:w="1951" w:type="dxa"/>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color w:val="121212"/>
                      <w:sz w:val="21"/>
                      <w:szCs w:val="21"/>
                      <w:vertAlign w:val="baseline"/>
                      <w:lang w:val="en-US" w:eastAsia="zh-CN"/>
                    </w:rPr>
                  </w:pPr>
                  <w:r>
                    <w:rPr>
                      <w:color w:val="121212"/>
                      <w:spacing w:val="-3"/>
                      <w:sz w:val="21"/>
                      <w:szCs w:val="21"/>
                    </w:rPr>
                    <w:t>龙门吊</w:t>
                  </w:r>
                </w:p>
              </w:tc>
              <w:tc>
                <w:tcPr>
                  <w:tcW w:w="193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color w:val="121212"/>
                      <w:sz w:val="21"/>
                      <w:szCs w:val="21"/>
                      <w:vertAlign w:val="baseline"/>
                      <w:lang w:val="en-US" w:eastAsia="zh-CN"/>
                    </w:rPr>
                  </w:pPr>
                  <w:r>
                    <w:rPr>
                      <w:rFonts w:ascii="Times New Roman" w:hAnsi="Times New Roman" w:eastAsia="Times New Roman" w:cs="Times New Roman"/>
                      <w:color w:val="121212"/>
                      <w:spacing w:val="-1"/>
                      <w:sz w:val="21"/>
                      <w:szCs w:val="21"/>
                    </w:rPr>
                    <w:t>H23000/6500/5T</w:t>
                  </w:r>
                </w:p>
              </w:tc>
              <w:tc>
                <w:tcPr>
                  <w:tcW w:w="1348" w:type="dxa"/>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color w:val="121212"/>
                      <w:sz w:val="21"/>
                      <w:szCs w:val="21"/>
                      <w:vertAlign w:val="baseline"/>
                      <w:lang w:val="en-US" w:eastAsia="zh-CN"/>
                    </w:rPr>
                  </w:pPr>
                  <w:r>
                    <w:rPr>
                      <w:rFonts w:ascii="Times New Roman" w:hAnsi="Times New Roman" w:eastAsia="Times New Roman" w:cs="Times New Roman"/>
                      <w:color w:val="121212"/>
                      <w:spacing w:val="-13"/>
                      <w:sz w:val="21"/>
                      <w:szCs w:val="21"/>
                    </w:rPr>
                    <w:t>1</w:t>
                  </w:r>
                  <w:r>
                    <w:rPr>
                      <w:color w:val="121212"/>
                      <w:spacing w:val="-13"/>
                      <w:sz w:val="21"/>
                      <w:szCs w:val="21"/>
                    </w:rPr>
                    <w:t>台</w:t>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0"/>
                    <w:rPr>
                      <w:rFonts w:hint="default"/>
                      <w:b w:val="0"/>
                      <w:bCs/>
                      <w:color w:val="121212"/>
                      <w:sz w:val="21"/>
                      <w:szCs w:val="21"/>
                      <w:vertAlign w:val="baseline"/>
                      <w:lang w:val="en-US" w:eastAsia="zh-CN"/>
                    </w:rPr>
                  </w:pPr>
                  <w:r>
                    <w:rPr>
                      <w:rFonts w:hint="eastAsia"/>
                      <w:b w:val="0"/>
                      <w:bCs/>
                      <w:color w:val="121212"/>
                      <w:sz w:val="21"/>
                      <w:szCs w:val="21"/>
                      <w:vertAlign w:val="baseline"/>
                      <w:lang w:val="en-US" w:eastAsia="zh-CN"/>
                    </w:rPr>
                    <w:t>外购</w:t>
                  </w:r>
                </w:p>
              </w:tc>
            </w:tr>
            <w:tr>
              <w:tblPrEx>
                <w:tblLayout w:type="fixed"/>
              </w:tblPrEx>
              <w:trPr>
                <w:trHeight w:val="397" w:hRule="atLeast"/>
                <w:jc w:val="center"/>
              </w:trPr>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default" w:ascii="Times New Roman" w:hAnsi="Times New Roman" w:eastAsia="宋体" w:cstheme="minorBidi"/>
                      <w:b w:val="0"/>
                      <w:bCs/>
                      <w:color w:val="121212"/>
                      <w:kern w:val="2"/>
                      <w:sz w:val="21"/>
                      <w:szCs w:val="21"/>
                      <w:vertAlign w:val="baseline"/>
                      <w:lang w:val="en-US" w:eastAsia="zh-CN" w:bidi="ar-SA"/>
                    </w:rPr>
                  </w:pPr>
                  <w:r>
                    <w:rPr>
                      <w:rFonts w:hint="eastAsia"/>
                      <w:b w:val="0"/>
                      <w:bCs/>
                      <w:color w:val="121212"/>
                      <w:sz w:val="21"/>
                      <w:szCs w:val="21"/>
                      <w:vertAlign w:val="baseline"/>
                      <w:lang w:val="en-US" w:eastAsia="zh-CN"/>
                    </w:rPr>
                    <w:t>9</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0"/>
                    <w:rPr>
                      <w:rFonts w:hint="default"/>
                      <w:b w:val="0"/>
                      <w:bCs/>
                      <w:color w:val="121212"/>
                      <w:sz w:val="21"/>
                      <w:szCs w:val="21"/>
                      <w:vertAlign w:val="baseline"/>
                      <w:lang w:val="en-US" w:eastAsia="zh-CN"/>
                    </w:rPr>
                  </w:pPr>
                  <w:r>
                    <w:rPr>
                      <w:color w:val="121212"/>
                      <w:spacing w:val="-5"/>
                      <w:sz w:val="21"/>
                      <w:szCs w:val="21"/>
                    </w:rPr>
                    <w:t>空压机</w:t>
                  </w:r>
                </w:p>
              </w:tc>
              <w:tc>
                <w:tcPr>
                  <w:tcW w:w="193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0"/>
                    <w:rPr>
                      <w:rFonts w:hint="default"/>
                      <w:b w:val="0"/>
                      <w:bCs/>
                      <w:color w:val="121212"/>
                      <w:sz w:val="21"/>
                      <w:szCs w:val="21"/>
                      <w:vertAlign w:val="baseline"/>
                      <w:lang w:val="en-US" w:eastAsia="zh-CN"/>
                    </w:rPr>
                  </w:pPr>
                  <w:r>
                    <w:rPr>
                      <w:rFonts w:hint="eastAsia"/>
                      <w:b w:val="0"/>
                      <w:bCs/>
                      <w:color w:val="121212"/>
                      <w:sz w:val="21"/>
                      <w:szCs w:val="21"/>
                      <w:vertAlign w:val="baseline"/>
                      <w:lang w:val="en-US" w:eastAsia="zh-CN"/>
                    </w:rPr>
                    <w:t>/</w:t>
                  </w:r>
                </w:p>
              </w:tc>
              <w:tc>
                <w:tcPr>
                  <w:tcW w:w="134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0"/>
                    <w:rPr>
                      <w:rFonts w:hint="default"/>
                      <w:b w:val="0"/>
                      <w:bCs/>
                      <w:color w:val="121212"/>
                      <w:sz w:val="21"/>
                      <w:szCs w:val="21"/>
                      <w:vertAlign w:val="baseline"/>
                      <w:lang w:val="en-US" w:eastAsia="zh-CN"/>
                    </w:rPr>
                  </w:pPr>
                  <w:r>
                    <w:rPr>
                      <w:rFonts w:ascii="Times New Roman" w:hAnsi="Times New Roman" w:eastAsia="Times New Roman" w:cs="Times New Roman"/>
                      <w:color w:val="121212"/>
                      <w:spacing w:val="-13"/>
                      <w:sz w:val="21"/>
                      <w:szCs w:val="21"/>
                    </w:rPr>
                    <w:t>1</w:t>
                  </w:r>
                  <w:r>
                    <w:rPr>
                      <w:color w:val="121212"/>
                      <w:spacing w:val="-13"/>
                      <w:sz w:val="21"/>
                      <w:szCs w:val="21"/>
                    </w:rPr>
                    <w:t>台</w:t>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0"/>
                    <w:rPr>
                      <w:rFonts w:hint="default"/>
                      <w:b w:val="0"/>
                      <w:bCs/>
                      <w:color w:val="121212"/>
                      <w:sz w:val="21"/>
                      <w:szCs w:val="21"/>
                      <w:vertAlign w:val="baseline"/>
                      <w:lang w:val="en-US" w:eastAsia="zh-CN"/>
                    </w:rPr>
                  </w:pPr>
                  <w:r>
                    <w:rPr>
                      <w:rFonts w:hint="eastAsia"/>
                      <w:b w:val="0"/>
                      <w:bCs/>
                      <w:color w:val="121212"/>
                      <w:sz w:val="21"/>
                      <w:szCs w:val="21"/>
                      <w:vertAlign w:val="baseline"/>
                      <w:lang w:val="en-US" w:eastAsia="zh-CN"/>
                    </w:rPr>
                    <w:t>外购</w:t>
                  </w:r>
                </w:p>
              </w:tc>
            </w:tr>
            <w:tr>
              <w:tblPrEx>
                <w:tblLayout w:type="fixed"/>
              </w:tblPrEx>
              <w:trPr>
                <w:trHeight w:val="397" w:hRule="atLeast"/>
                <w:jc w:val="center"/>
              </w:trPr>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default" w:ascii="Times New Roman" w:hAnsi="Times New Roman" w:eastAsia="宋体" w:cstheme="minorBidi"/>
                      <w:b w:val="0"/>
                      <w:bCs/>
                      <w:color w:val="121212"/>
                      <w:kern w:val="2"/>
                      <w:sz w:val="21"/>
                      <w:szCs w:val="21"/>
                      <w:vertAlign w:val="baseline"/>
                      <w:lang w:val="en-US" w:eastAsia="zh-CN" w:bidi="ar-SA"/>
                    </w:rPr>
                  </w:pPr>
                  <w:r>
                    <w:rPr>
                      <w:rFonts w:hint="eastAsia"/>
                      <w:b w:val="0"/>
                      <w:bCs/>
                      <w:color w:val="121212"/>
                      <w:sz w:val="21"/>
                      <w:szCs w:val="21"/>
                      <w:vertAlign w:val="baseline"/>
                      <w:lang w:val="en-US" w:eastAsia="zh-CN"/>
                    </w:rPr>
                    <w:t>10</w:t>
                  </w:r>
                </w:p>
              </w:tc>
              <w:tc>
                <w:tcPr>
                  <w:tcW w:w="1951" w:type="dxa"/>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121212"/>
                      <w:spacing w:val="-2"/>
                      <w:kern w:val="2"/>
                      <w:sz w:val="21"/>
                      <w:szCs w:val="21"/>
                      <w:lang w:val="en-US" w:eastAsia="zh-CN" w:bidi="ar-SA"/>
                    </w:rPr>
                  </w:pPr>
                  <w:r>
                    <w:rPr>
                      <w:color w:val="121212"/>
                      <w:spacing w:val="-2"/>
                      <w:sz w:val="21"/>
                      <w:szCs w:val="21"/>
                    </w:rPr>
                    <w:t>叉车</w:t>
                  </w:r>
                </w:p>
              </w:tc>
              <w:tc>
                <w:tcPr>
                  <w:tcW w:w="193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Times New Roman" w:cs="Times New Roman"/>
                      <w:color w:val="121212"/>
                      <w:spacing w:val="-7"/>
                      <w:kern w:val="2"/>
                      <w:sz w:val="21"/>
                      <w:szCs w:val="21"/>
                      <w:lang w:val="en-US" w:eastAsia="zh-CN" w:bidi="ar-SA"/>
                    </w:rPr>
                  </w:pPr>
                  <w:r>
                    <w:rPr>
                      <w:rFonts w:hint="eastAsia" w:ascii="Times New Roman" w:hAnsi="Times New Roman" w:eastAsia="宋体" w:cs="Times New Roman"/>
                      <w:color w:val="121212"/>
                      <w:spacing w:val="-7"/>
                      <w:sz w:val="21"/>
                      <w:szCs w:val="21"/>
                      <w:lang w:val="en-US" w:eastAsia="zh-CN"/>
                    </w:rPr>
                    <w:t>2</w:t>
                  </w:r>
                  <w:r>
                    <w:rPr>
                      <w:rFonts w:ascii="Times New Roman" w:hAnsi="Times New Roman" w:eastAsia="Times New Roman" w:cs="Times New Roman"/>
                      <w:color w:val="121212"/>
                      <w:spacing w:val="-7"/>
                      <w:sz w:val="21"/>
                      <w:szCs w:val="21"/>
                    </w:rPr>
                    <w:t>T</w:t>
                  </w:r>
                </w:p>
              </w:tc>
              <w:tc>
                <w:tcPr>
                  <w:tcW w:w="1348" w:type="dxa"/>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color w:val="121212"/>
                      <w:kern w:val="2"/>
                      <w:sz w:val="21"/>
                      <w:szCs w:val="21"/>
                      <w:vertAlign w:val="baseline"/>
                      <w:lang w:val="en-US" w:eastAsia="zh-CN" w:bidi="ar-SA"/>
                    </w:rPr>
                  </w:pPr>
                  <w:r>
                    <w:rPr>
                      <w:rFonts w:ascii="Times New Roman" w:hAnsi="Times New Roman" w:eastAsia="Times New Roman" w:cs="Times New Roman"/>
                      <w:color w:val="121212"/>
                      <w:spacing w:val="-13"/>
                      <w:sz w:val="21"/>
                      <w:szCs w:val="21"/>
                    </w:rPr>
                    <w:t>1</w:t>
                  </w:r>
                  <w:r>
                    <w:rPr>
                      <w:color w:val="121212"/>
                      <w:spacing w:val="-13"/>
                      <w:sz w:val="21"/>
                      <w:szCs w:val="21"/>
                    </w:rPr>
                    <w:t>台</w:t>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0"/>
                    <w:rPr>
                      <w:rFonts w:hint="default"/>
                      <w:b w:val="0"/>
                      <w:bCs/>
                      <w:color w:val="121212"/>
                      <w:sz w:val="21"/>
                      <w:szCs w:val="21"/>
                      <w:vertAlign w:val="baseline"/>
                      <w:lang w:val="en-US" w:eastAsia="zh-CN"/>
                    </w:rPr>
                  </w:pPr>
                  <w:r>
                    <w:rPr>
                      <w:rFonts w:hint="eastAsia"/>
                      <w:b w:val="0"/>
                      <w:bCs/>
                      <w:color w:val="121212"/>
                      <w:sz w:val="21"/>
                      <w:szCs w:val="21"/>
                      <w:vertAlign w:val="baseline"/>
                      <w:lang w:val="en-US" w:eastAsia="zh-CN"/>
                    </w:rPr>
                    <w:t>外购</w:t>
                  </w:r>
                </w:p>
              </w:tc>
            </w:tr>
            <w:tr>
              <w:tblPrEx>
                <w:tblLayout w:type="fixed"/>
              </w:tblPrEx>
              <w:trPr>
                <w:trHeight w:val="397" w:hRule="atLeast"/>
                <w:jc w:val="center"/>
              </w:trPr>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default" w:ascii="Times New Roman" w:hAnsi="Times New Roman" w:eastAsia="宋体" w:cstheme="minorBidi"/>
                      <w:b w:val="0"/>
                      <w:bCs/>
                      <w:color w:val="121212"/>
                      <w:kern w:val="2"/>
                      <w:sz w:val="21"/>
                      <w:szCs w:val="21"/>
                      <w:vertAlign w:val="baseline"/>
                      <w:lang w:val="en-US" w:eastAsia="zh-CN" w:bidi="ar-SA"/>
                    </w:rPr>
                  </w:pPr>
                  <w:r>
                    <w:rPr>
                      <w:rFonts w:hint="eastAsia"/>
                      <w:b w:val="0"/>
                      <w:bCs/>
                      <w:color w:val="121212"/>
                      <w:sz w:val="21"/>
                      <w:szCs w:val="21"/>
                      <w:vertAlign w:val="baseline"/>
                      <w:lang w:val="en-US" w:eastAsia="zh-CN"/>
                    </w:rPr>
                    <w:t>11</w:t>
                  </w:r>
                </w:p>
              </w:tc>
              <w:tc>
                <w:tcPr>
                  <w:tcW w:w="1951" w:type="dxa"/>
                  <w:vMerge w:val="restart"/>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color w:val="121212"/>
                      <w:sz w:val="21"/>
                      <w:szCs w:val="21"/>
                      <w:vertAlign w:val="baseline"/>
                      <w:lang w:val="en-US" w:eastAsia="zh-CN"/>
                    </w:rPr>
                  </w:pPr>
                  <w:r>
                    <w:rPr>
                      <w:color w:val="121212"/>
                      <w:spacing w:val="-5"/>
                      <w:sz w:val="21"/>
                      <w:szCs w:val="21"/>
                    </w:rPr>
                    <w:t>卷尺</w:t>
                  </w:r>
                </w:p>
              </w:tc>
              <w:tc>
                <w:tcPr>
                  <w:tcW w:w="193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color w:val="121212"/>
                      <w:sz w:val="21"/>
                      <w:szCs w:val="21"/>
                      <w:vertAlign w:val="baseline"/>
                      <w:lang w:val="en-US" w:eastAsia="zh-CN"/>
                    </w:rPr>
                  </w:pPr>
                  <w:r>
                    <w:rPr>
                      <w:rFonts w:ascii="Times New Roman" w:hAnsi="Times New Roman" w:eastAsia="Times New Roman" w:cs="Times New Roman"/>
                      <w:color w:val="121212"/>
                      <w:spacing w:val="-5"/>
                      <w:sz w:val="21"/>
                      <w:szCs w:val="21"/>
                    </w:rPr>
                    <w:t>3m</w:t>
                  </w:r>
                </w:p>
              </w:tc>
              <w:tc>
                <w:tcPr>
                  <w:tcW w:w="134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color w:val="121212"/>
                      <w:sz w:val="21"/>
                      <w:szCs w:val="21"/>
                      <w:vertAlign w:val="baseline"/>
                      <w:lang w:val="en-US" w:eastAsia="zh-CN"/>
                    </w:rPr>
                  </w:pPr>
                  <w:r>
                    <w:rPr>
                      <w:rFonts w:ascii="Times New Roman" w:hAnsi="Times New Roman" w:eastAsia="Times New Roman" w:cs="Times New Roman"/>
                      <w:color w:val="121212"/>
                      <w:sz w:val="21"/>
                      <w:szCs w:val="21"/>
                    </w:rPr>
                    <w:t>5</w:t>
                  </w:r>
                  <w:r>
                    <w:rPr>
                      <w:color w:val="121212"/>
                      <w:spacing w:val="-6"/>
                      <w:sz w:val="21"/>
                      <w:szCs w:val="21"/>
                    </w:rPr>
                    <w:t>个</w:t>
                  </w:r>
                </w:p>
              </w:tc>
              <w:tc>
                <w:tcPr>
                  <w:tcW w:w="201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color w:val="121212"/>
                      <w:sz w:val="21"/>
                      <w:szCs w:val="21"/>
                      <w:vertAlign w:val="baseline"/>
                      <w:lang w:val="en-US" w:eastAsia="zh-CN"/>
                    </w:rPr>
                  </w:pPr>
                  <w:r>
                    <w:rPr>
                      <w:rFonts w:hint="eastAsia"/>
                      <w:b w:val="0"/>
                      <w:bCs/>
                      <w:color w:val="121212"/>
                      <w:sz w:val="21"/>
                      <w:szCs w:val="21"/>
                      <w:vertAlign w:val="baseline"/>
                      <w:lang w:val="en-US" w:eastAsia="zh-CN"/>
                    </w:rPr>
                    <w:t>外购</w:t>
                  </w:r>
                </w:p>
              </w:tc>
            </w:tr>
            <w:tr>
              <w:tblPrEx>
                <w:tblLayout w:type="fixed"/>
              </w:tblPrEx>
              <w:trPr>
                <w:trHeight w:val="397" w:hRule="atLeast"/>
                <w:jc w:val="center"/>
              </w:trPr>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default" w:ascii="Times New Roman" w:hAnsi="Times New Roman" w:eastAsia="宋体" w:cstheme="minorBidi"/>
                      <w:b w:val="0"/>
                      <w:bCs/>
                      <w:color w:val="121212"/>
                      <w:kern w:val="2"/>
                      <w:sz w:val="21"/>
                      <w:szCs w:val="21"/>
                      <w:vertAlign w:val="baseline"/>
                      <w:lang w:val="en-US" w:eastAsia="zh-CN" w:bidi="ar-SA"/>
                    </w:rPr>
                  </w:pPr>
                  <w:r>
                    <w:rPr>
                      <w:rFonts w:hint="eastAsia"/>
                      <w:b w:val="0"/>
                      <w:bCs/>
                      <w:color w:val="121212"/>
                      <w:sz w:val="21"/>
                      <w:szCs w:val="21"/>
                      <w:vertAlign w:val="baseline"/>
                      <w:lang w:val="en-US" w:eastAsia="zh-CN"/>
                    </w:rPr>
                    <w:t>12</w:t>
                  </w:r>
                </w:p>
              </w:tc>
              <w:tc>
                <w:tcPr>
                  <w:tcW w:w="195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b w:val="0"/>
                      <w:bCs/>
                      <w:color w:val="121212"/>
                      <w:sz w:val="21"/>
                      <w:szCs w:val="21"/>
                      <w:vertAlign w:val="baseline"/>
                      <w:lang w:val="en-US" w:eastAsia="zh-CN"/>
                    </w:rPr>
                  </w:pPr>
                </w:p>
              </w:tc>
              <w:tc>
                <w:tcPr>
                  <w:tcW w:w="193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color w:val="121212"/>
                      <w:sz w:val="21"/>
                      <w:szCs w:val="21"/>
                      <w:vertAlign w:val="baseline"/>
                      <w:lang w:val="en-US" w:eastAsia="zh-CN"/>
                    </w:rPr>
                  </w:pPr>
                  <w:r>
                    <w:rPr>
                      <w:rFonts w:ascii="Times New Roman" w:hAnsi="Times New Roman" w:eastAsia="Times New Roman" w:cs="Times New Roman"/>
                      <w:color w:val="121212"/>
                      <w:spacing w:val="-5"/>
                      <w:sz w:val="21"/>
                      <w:szCs w:val="21"/>
                    </w:rPr>
                    <w:t>5m</w:t>
                  </w:r>
                </w:p>
              </w:tc>
              <w:tc>
                <w:tcPr>
                  <w:tcW w:w="134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color w:val="121212"/>
                      <w:sz w:val="21"/>
                      <w:szCs w:val="21"/>
                      <w:vertAlign w:val="baseline"/>
                      <w:lang w:val="en-US" w:eastAsia="zh-CN"/>
                    </w:rPr>
                  </w:pPr>
                  <w:r>
                    <w:rPr>
                      <w:rFonts w:ascii="Times New Roman" w:hAnsi="Times New Roman" w:eastAsia="Times New Roman" w:cs="Times New Roman"/>
                      <w:color w:val="121212"/>
                      <w:sz w:val="21"/>
                      <w:szCs w:val="21"/>
                    </w:rPr>
                    <w:t>5</w:t>
                  </w:r>
                  <w:r>
                    <w:rPr>
                      <w:color w:val="121212"/>
                      <w:spacing w:val="-6"/>
                      <w:sz w:val="21"/>
                      <w:szCs w:val="21"/>
                    </w:rPr>
                    <w:t>个</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b w:val="0"/>
                      <w:bCs/>
                      <w:color w:val="121212"/>
                      <w:sz w:val="21"/>
                      <w:szCs w:val="21"/>
                      <w:vertAlign w:val="baseline"/>
                      <w:lang w:val="en-US" w:eastAsia="zh-CN"/>
                    </w:rPr>
                  </w:pPr>
                </w:p>
              </w:tc>
            </w:tr>
            <w:tr>
              <w:tblPrEx>
                <w:tblLayout w:type="fixed"/>
              </w:tblPrEx>
              <w:trPr>
                <w:trHeight w:val="397" w:hRule="atLeast"/>
                <w:jc w:val="center"/>
              </w:trPr>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default" w:ascii="Times New Roman" w:hAnsi="Times New Roman" w:eastAsia="宋体" w:cstheme="minorBidi"/>
                      <w:b w:val="0"/>
                      <w:bCs/>
                      <w:color w:val="121212"/>
                      <w:kern w:val="2"/>
                      <w:sz w:val="21"/>
                      <w:szCs w:val="21"/>
                      <w:vertAlign w:val="baseline"/>
                      <w:lang w:val="en-US" w:eastAsia="zh-CN" w:bidi="ar-SA"/>
                    </w:rPr>
                  </w:pPr>
                  <w:r>
                    <w:rPr>
                      <w:rFonts w:hint="eastAsia"/>
                      <w:b w:val="0"/>
                      <w:bCs/>
                      <w:color w:val="121212"/>
                      <w:sz w:val="21"/>
                      <w:szCs w:val="21"/>
                      <w:vertAlign w:val="baseline"/>
                      <w:lang w:val="en-US" w:eastAsia="zh-CN"/>
                    </w:rPr>
                    <w:t>13</w:t>
                  </w:r>
                </w:p>
              </w:tc>
              <w:tc>
                <w:tcPr>
                  <w:tcW w:w="195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b w:val="0"/>
                      <w:bCs/>
                      <w:color w:val="121212"/>
                      <w:sz w:val="21"/>
                      <w:szCs w:val="21"/>
                      <w:vertAlign w:val="baseline"/>
                      <w:lang w:val="en-US" w:eastAsia="zh-CN"/>
                    </w:rPr>
                  </w:pPr>
                </w:p>
              </w:tc>
              <w:tc>
                <w:tcPr>
                  <w:tcW w:w="193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color w:val="121212"/>
                      <w:sz w:val="21"/>
                      <w:szCs w:val="21"/>
                      <w:vertAlign w:val="baseline"/>
                      <w:lang w:val="en-US" w:eastAsia="zh-CN"/>
                    </w:rPr>
                  </w:pPr>
                  <w:r>
                    <w:rPr>
                      <w:rFonts w:ascii="Times New Roman" w:hAnsi="Times New Roman" w:eastAsia="Times New Roman" w:cs="Times New Roman"/>
                      <w:color w:val="121212"/>
                      <w:spacing w:val="-9"/>
                      <w:sz w:val="21"/>
                      <w:szCs w:val="21"/>
                    </w:rPr>
                    <w:t>10m</w:t>
                  </w:r>
                </w:p>
              </w:tc>
              <w:tc>
                <w:tcPr>
                  <w:tcW w:w="134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color w:val="121212"/>
                      <w:sz w:val="21"/>
                      <w:szCs w:val="21"/>
                      <w:vertAlign w:val="baseline"/>
                      <w:lang w:val="en-US" w:eastAsia="zh-CN"/>
                    </w:rPr>
                  </w:pPr>
                  <w:r>
                    <w:rPr>
                      <w:rFonts w:ascii="Times New Roman" w:hAnsi="Times New Roman" w:eastAsia="Times New Roman" w:cs="Times New Roman"/>
                      <w:color w:val="121212"/>
                      <w:sz w:val="21"/>
                      <w:szCs w:val="21"/>
                    </w:rPr>
                    <w:t>5</w:t>
                  </w:r>
                  <w:r>
                    <w:rPr>
                      <w:color w:val="121212"/>
                      <w:spacing w:val="-6"/>
                      <w:sz w:val="21"/>
                      <w:szCs w:val="21"/>
                    </w:rPr>
                    <w:t>个</w:t>
                  </w:r>
                </w:p>
              </w:tc>
              <w:tc>
                <w:tcPr>
                  <w:tcW w:w="201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b w:val="0"/>
                      <w:bCs/>
                      <w:color w:val="121212"/>
                      <w:sz w:val="21"/>
                      <w:szCs w:val="21"/>
                      <w:vertAlign w:val="baseline"/>
                      <w:lang w:val="en-US" w:eastAsia="zh-CN"/>
                    </w:rPr>
                  </w:pPr>
                </w:p>
              </w:tc>
            </w:tr>
            <w:tr>
              <w:tblPrEx>
                <w:tblLayout w:type="fixed"/>
              </w:tblPrEx>
              <w:trPr>
                <w:trHeight w:val="397" w:hRule="atLeast"/>
                <w:jc w:val="center"/>
              </w:trPr>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default" w:ascii="Times New Roman" w:hAnsi="Times New Roman" w:eastAsia="宋体" w:cstheme="minorBidi"/>
                      <w:b w:val="0"/>
                      <w:bCs/>
                      <w:color w:val="121212"/>
                      <w:kern w:val="2"/>
                      <w:sz w:val="21"/>
                      <w:szCs w:val="21"/>
                      <w:vertAlign w:val="baseline"/>
                      <w:lang w:val="en-US" w:eastAsia="zh-CN" w:bidi="ar-SA"/>
                    </w:rPr>
                  </w:pPr>
                  <w:r>
                    <w:rPr>
                      <w:rFonts w:hint="eastAsia"/>
                      <w:b w:val="0"/>
                      <w:bCs/>
                      <w:color w:val="121212"/>
                      <w:sz w:val="21"/>
                      <w:szCs w:val="21"/>
                      <w:vertAlign w:val="baseline"/>
                      <w:lang w:val="en-US" w:eastAsia="zh-CN"/>
                    </w:rPr>
                    <w:t>14</w:t>
                  </w:r>
                </w:p>
              </w:tc>
              <w:tc>
                <w:tcPr>
                  <w:tcW w:w="1951" w:type="dxa"/>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color w:val="121212"/>
                      <w:sz w:val="21"/>
                      <w:szCs w:val="21"/>
                      <w:vertAlign w:val="baseline"/>
                      <w:lang w:val="en-US" w:eastAsia="zh-CN"/>
                    </w:rPr>
                  </w:pPr>
                  <w:r>
                    <w:rPr>
                      <w:color w:val="121212"/>
                      <w:spacing w:val="-3"/>
                      <w:sz w:val="21"/>
                      <w:szCs w:val="21"/>
                    </w:rPr>
                    <w:t>外径千分尺</w:t>
                  </w:r>
                </w:p>
              </w:tc>
              <w:tc>
                <w:tcPr>
                  <w:tcW w:w="193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color w:val="121212"/>
                      <w:sz w:val="21"/>
                      <w:szCs w:val="21"/>
                      <w:vertAlign w:val="baseline"/>
                      <w:lang w:val="en-US" w:eastAsia="zh-CN"/>
                    </w:rPr>
                  </w:pPr>
                  <w:r>
                    <w:rPr>
                      <w:rFonts w:ascii="Times New Roman" w:hAnsi="Times New Roman" w:eastAsia="Times New Roman" w:cs="Times New Roman"/>
                      <w:color w:val="121212"/>
                      <w:spacing w:val="-2"/>
                      <w:sz w:val="21"/>
                      <w:szCs w:val="21"/>
                    </w:rPr>
                    <w:t>50-75mm</w:t>
                  </w:r>
                </w:p>
              </w:tc>
              <w:tc>
                <w:tcPr>
                  <w:tcW w:w="134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color w:val="121212"/>
                      <w:sz w:val="21"/>
                      <w:szCs w:val="21"/>
                      <w:vertAlign w:val="baseline"/>
                      <w:lang w:val="en-US" w:eastAsia="zh-CN"/>
                    </w:rPr>
                  </w:pPr>
                  <w:r>
                    <w:rPr>
                      <w:rFonts w:ascii="Times New Roman" w:hAnsi="Times New Roman" w:eastAsia="Times New Roman" w:cs="Times New Roman"/>
                      <w:color w:val="121212"/>
                      <w:sz w:val="21"/>
                      <w:szCs w:val="21"/>
                    </w:rPr>
                    <w:t>2</w:t>
                  </w:r>
                  <w:r>
                    <w:rPr>
                      <w:color w:val="121212"/>
                      <w:spacing w:val="-6"/>
                      <w:sz w:val="21"/>
                      <w:szCs w:val="21"/>
                    </w:rPr>
                    <w:t>个</w:t>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color w:val="121212"/>
                      <w:sz w:val="21"/>
                      <w:szCs w:val="21"/>
                      <w:vertAlign w:val="baseline"/>
                      <w:lang w:val="en-US" w:eastAsia="zh-CN"/>
                    </w:rPr>
                  </w:pPr>
                  <w:r>
                    <w:rPr>
                      <w:rFonts w:hint="eastAsia"/>
                      <w:b w:val="0"/>
                      <w:bCs/>
                      <w:color w:val="121212"/>
                      <w:sz w:val="21"/>
                      <w:szCs w:val="21"/>
                      <w:vertAlign w:val="baseline"/>
                      <w:lang w:val="en-US" w:eastAsia="zh-CN"/>
                    </w:rPr>
                    <w:t>外购</w:t>
                  </w:r>
                </w:p>
              </w:tc>
            </w:tr>
            <w:tr>
              <w:tblPrEx>
                <w:tblLayout w:type="fixed"/>
              </w:tblPrEx>
              <w:trPr>
                <w:trHeight w:val="397" w:hRule="atLeast"/>
                <w:jc w:val="center"/>
              </w:trPr>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default" w:ascii="Times New Roman" w:hAnsi="Times New Roman" w:eastAsia="宋体" w:cstheme="minorBidi"/>
                      <w:b w:val="0"/>
                      <w:bCs/>
                      <w:color w:val="121212"/>
                      <w:kern w:val="2"/>
                      <w:sz w:val="21"/>
                      <w:szCs w:val="21"/>
                      <w:vertAlign w:val="baseline"/>
                      <w:lang w:val="en-US" w:eastAsia="zh-CN" w:bidi="ar-SA"/>
                    </w:rPr>
                  </w:pPr>
                  <w:r>
                    <w:rPr>
                      <w:rFonts w:hint="eastAsia"/>
                      <w:b w:val="0"/>
                      <w:bCs/>
                      <w:color w:val="121212"/>
                      <w:sz w:val="21"/>
                      <w:szCs w:val="21"/>
                      <w:vertAlign w:val="baseline"/>
                      <w:lang w:val="en-US" w:eastAsia="zh-CN"/>
                    </w:rPr>
                    <w:t>15</w:t>
                  </w:r>
                </w:p>
              </w:tc>
              <w:tc>
                <w:tcPr>
                  <w:tcW w:w="1951" w:type="dxa"/>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color w:val="121212"/>
                      <w:kern w:val="2"/>
                      <w:sz w:val="21"/>
                      <w:szCs w:val="21"/>
                      <w:vertAlign w:val="baseline"/>
                      <w:lang w:val="en-US" w:eastAsia="zh-CN" w:bidi="ar-SA"/>
                    </w:rPr>
                  </w:pPr>
                  <w:r>
                    <w:rPr>
                      <w:color w:val="121212"/>
                      <w:spacing w:val="-3"/>
                      <w:sz w:val="21"/>
                      <w:szCs w:val="21"/>
                    </w:rPr>
                    <w:t>外径千分尺</w:t>
                  </w:r>
                </w:p>
              </w:tc>
              <w:tc>
                <w:tcPr>
                  <w:tcW w:w="193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color w:val="121212"/>
                      <w:kern w:val="2"/>
                      <w:sz w:val="21"/>
                      <w:szCs w:val="21"/>
                      <w:vertAlign w:val="baseline"/>
                      <w:lang w:val="en-US" w:eastAsia="zh-CN" w:bidi="ar-SA"/>
                    </w:rPr>
                  </w:pPr>
                  <w:r>
                    <w:rPr>
                      <w:rFonts w:ascii="Times New Roman" w:hAnsi="Times New Roman" w:eastAsia="Times New Roman" w:cs="Times New Roman"/>
                      <w:color w:val="121212"/>
                      <w:spacing w:val="-1"/>
                      <w:sz w:val="21"/>
                      <w:szCs w:val="21"/>
                    </w:rPr>
                    <w:t>25-50mm</w:t>
                  </w:r>
                </w:p>
              </w:tc>
              <w:tc>
                <w:tcPr>
                  <w:tcW w:w="134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color w:val="121212"/>
                      <w:kern w:val="2"/>
                      <w:sz w:val="21"/>
                      <w:szCs w:val="21"/>
                      <w:vertAlign w:val="baseline"/>
                      <w:lang w:val="en-US" w:eastAsia="zh-CN" w:bidi="ar-SA"/>
                    </w:rPr>
                  </w:pPr>
                  <w:r>
                    <w:rPr>
                      <w:rFonts w:ascii="Times New Roman" w:hAnsi="Times New Roman" w:eastAsia="Times New Roman" w:cs="Times New Roman"/>
                      <w:color w:val="121212"/>
                      <w:sz w:val="21"/>
                      <w:szCs w:val="21"/>
                    </w:rPr>
                    <w:t>2</w:t>
                  </w:r>
                  <w:r>
                    <w:rPr>
                      <w:color w:val="121212"/>
                      <w:spacing w:val="-6"/>
                      <w:sz w:val="21"/>
                      <w:szCs w:val="21"/>
                    </w:rPr>
                    <w:t>个</w:t>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color w:val="121212"/>
                      <w:sz w:val="21"/>
                      <w:szCs w:val="21"/>
                      <w:vertAlign w:val="baseline"/>
                      <w:lang w:val="en-US" w:eastAsia="zh-CN"/>
                    </w:rPr>
                  </w:pPr>
                  <w:r>
                    <w:rPr>
                      <w:rFonts w:hint="eastAsia"/>
                      <w:b w:val="0"/>
                      <w:bCs/>
                      <w:color w:val="121212"/>
                      <w:sz w:val="21"/>
                      <w:szCs w:val="21"/>
                      <w:vertAlign w:val="baseline"/>
                      <w:lang w:val="en-US" w:eastAsia="zh-CN"/>
                    </w:rPr>
                    <w:t>外购</w:t>
                  </w:r>
                </w:p>
              </w:tc>
            </w:tr>
            <w:tr>
              <w:tblPrEx>
                <w:tblLayout w:type="fixed"/>
              </w:tblPrEx>
              <w:trPr>
                <w:trHeight w:val="397" w:hRule="atLeast"/>
                <w:jc w:val="center"/>
              </w:trPr>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default" w:ascii="Times New Roman" w:hAnsi="Times New Roman" w:eastAsia="宋体" w:cstheme="minorBidi"/>
                      <w:b w:val="0"/>
                      <w:bCs/>
                      <w:color w:val="121212"/>
                      <w:kern w:val="2"/>
                      <w:sz w:val="21"/>
                      <w:szCs w:val="21"/>
                      <w:vertAlign w:val="baseline"/>
                      <w:lang w:val="en-US" w:eastAsia="zh-CN" w:bidi="ar-SA"/>
                    </w:rPr>
                  </w:pPr>
                  <w:r>
                    <w:rPr>
                      <w:rFonts w:hint="eastAsia"/>
                      <w:b w:val="0"/>
                      <w:bCs/>
                      <w:color w:val="121212"/>
                      <w:sz w:val="21"/>
                      <w:szCs w:val="21"/>
                      <w:vertAlign w:val="baseline"/>
                      <w:lang w:val="en-US" w:eastAsia="zh-CN"/>
                    </w:rPr>
                    <w:t>16</w:t>
                  </w:r>
                </w:p>
              </w:tc>
              <w:tc>
                <w:tcPr>
                  <w:tcW w:w="1951" w:type="dxa"/>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color w:val="121212"/>
                      <w:sz w:val="21"/>
                      <w:szCs w:val="21"/>
                      <w:vertAlign w:val="baseline"/>
                      <w:lang w:val="en-US" w:eastAsia="zh-CN"/>
                    </w:rPr>
                  </w:pPr>
                  <w:r>
                    <w:rPr>
                      <w:color w:val="121212"/>
                      <w:spacing w:val="-3"/>
                      <w:sz w:val="21"/>
                      <w:szCs w:val="21"/>
                    </w:rPr>
                    <w:t>直角尺</w:t>
                  </w:r>
                </w:p>
              </w:tc>
              <w:tc>
                <w:tcPr>
                  <w:tcW w:w="193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color w:val="121212"/>
                      <w:sz w:val="21"/>
                      <w:szCs w:val="21"/>
                      <w:vertAlign w:val="baseline"/>
                      <w:lang w:val="en-US" w:eastAsia="zh-CN"/>
                    </w:rPr>
                  </w:pPr>
                  <w:r>
                    <w:rPr>
                      <w:rFonts w:ascii="Times New Roman" w:hAnsi="Times New Roman" w:eastAsia="Times New Roman" w:cs="Times New Roman"/>
                      <w:color w:val="121212"/>
                      <w:spacing w:val="-2"/>
                      <w:sz w:val="21"/>
                      <w:szCs w:val="21"/>
                    </w:rPr>
                    <w:t>0-500mm</w:t>
                  </w:r>
                </w:p>
              </w:tc>
              <w:tc>
                <w:tcPr>
                  <w:tcW w:w="134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color w:val="121212"/>
                      <w:sz w:val="21"/>
                      <w:szCs w:val="21"/>
                      <w:vertAlign w:val="baseline"/>
                      <w:lang w:val="en-US" w:eastAsia="zh-CN"/>
                    </w:rPr>
                  </w:pPr>
                  <w:r>
                    <w:rPr>
                      <w:rFonts w:ascii="Times New Roman" w:hAnsi="Times New Roman" w:eastAsia="Times New Roman" w:cs="Times New Roman"/>
                      <w:color w:val="121212"/>
                      <w:sz w:val="21"/>
                      <w:szCs w:val="21"/>
                    </w:rPr>
                    <w:t>1</w:t>
                  </w:r>
                  <w:r>
                    <w:rPr>
                      <w:color w:val="121212"/>
                      <w:spacing w:val="-6"/>
                      <w:sz w:val="21"/>
                      <w:szCs w:val="21"/>
                    </w:rPr>
                    <w:t>个</w:t>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color w:val="121212"/>
                      <w:sz w:val="21"/>
                      <w:szCs w:val="21"/>
                      <w:vertAlign w:val="baseline"/>
                      <w:lang w:val="en-US" w:eastAsia="zh-CN"/>
                    </w:rPr>
                  </w:pPr>
                  <w:r>
                    <w:rPr>
                      <w:rFonts w:hint="eastAsia"/>
                      <w:b w:val="0"/>
                      <w:bCs/>
                      <w:color w:val="121212"/>
                      <w:sz w:val="21"/>
                      <w:szCs w:val="21"/>
                      <w:vertAlign w:val="baseline"/>
                      <w:lang w:val="en-US" w:eastAsia="zh-CN"/>
                    </w:rPr>
                    <w:t>外购</w:t>
                  </w:r>
                </w:p>
              </w:tc>
            </w:tr>
            <w:tr>
              <w:tblPrEx>
                <w:tblLayout w:type="fixed"/>
              </w:tblPrEx>
              <w:trPr>
                <w:trHeight w:val="397" w:hRule="atLeast"/>
                <w:jc w:val="center"/>
              </w:trPr>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default" w:ascii="Times New Roman" w:hAnsi="Times New Roman" w:eastAsia="宋体" w:cstheme="minorBidi"/>
                      <w:b w:val="0"/>
                      <w:bCs/>
                      <w:color w:val="121212"/>
                      <w:kern w:val="2"/>
                      <w:sz w:val="21"/>
                      <w:szCs w:val="21"/>
                      <w:vertAlign w:val="baseline"/>
                      <w:lang w:val="en-US" w:eastAsia="zh-CN" w:bidi="ar-SA"/>
                    </w:rPr>
                  </w:pPr>
                  <w:r>
                    <w:rPr>
                      <w:rFonts w:hint="eastAsia"/>
                      <w:b w:val="0"/>
                      <w:bCs/>
                      <w:color w:val="121212"/>
                      <w:sz w:val="21"/>
                      <w:szCs w:val="21"/>
                      <w:vertAlign w:val="baseline"/>
                      <w:lang w:val="en-US" w:eastAsia="zh-CN"/>
                    </w:rPr>
                    <w:t>17</w:t>
                  </w:r>
                </w:p>
              </w:tc>
              <w:tc>
                <w:tcPr>
                  <w:tcW w:w="1951" w:type="dxa"/>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color w:val="121212"/>
                      <w:sz w:val="21"/>
                      <w:szCs w:val="21"/>
                      <w:vertAlign w:val="baseline"/>
                      <w:lang w:val="en-US" w:eastAsia="zh-CN"/>
                    </w:rPr>
                  </w:pPr>
                  <w:r>
                    <w:rPr>
                      <w:color w:val="121212"/>
                      <w:spacing w:val="-3"/>
                      <w:sz w:val="21"/>
                      <w:szCs w:val="21"/>
                    </w:rPr>
                    <w:t>手电钻</w:t>
                  </w:r>
                </w:p>
              </w:tc>
              <w:tc>
                <w:tcPr>
                  <w:tcW w:w="193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color w:val="121212"/>
                      <w:sz w:val="21"/>
                      <w:szCs w:val="21"/>
                      <w:vertAlign w:val="baseline"/>
                      <w:lang w:val="en-US" w:eastAsia="zh-CN"/>
                    </w:rPr>
                  </w:pPr>
                  <w:r>
                    <w:rPr>
                      <w:rFonts w:ascii="Times New Roman" w:hAnsi="Times New Roman" w:eastAsia="Times New Roman" w:cs="Times New Roman"/>
                      <w:color w:val="121212"/>
                      <w:spacing w:val="-1"/>
                      <w:sz w:val="21"/>
                      <w:szCs w:val="21"/>
                    </w:rPr>
                    <w:t>450W</w:t>
                  </w:r>
                </w:p>
              </w:tc>
              <w:tc>
                <w:tcPr>
                  <w:tcW w:w="134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color w:val="121212"/>
                      <w:sz w:val="21"/>
                      <w:szCs w:val="21"/>
                      <w:vertAlign w:val="baseline"/>
                      <w:lang w:val="en-US" w:eastAsia="zh-CN"/>
                    </w:rPr>
                  </w:pPr>
                  <w:r>
                    <w:rPr>
                      <w:rFonts w:ascii="Times New Roman" w:hAnsi="Times New Roman" w:eastAsia="Times New Roman" w:cs="Times New Roman"/>
                      <w:color w:val="121212"/>
                      <w:sz w:val="21"/>
                      <w:szCs w:val="21"/>
                    </w:rPr>
                    <w:t>4</w:t>
                  </w:r>
                  <w:r>
                    <w:rPr>
                      <w:color w:val="121212"/>
                      <w:spacing w:val="-6"/>
                      <w:sz w:val="21"/>
                      <w:szCs w:val="21"/>
                    </w:rPr>
                    <w:t>个</w:t>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0"/>
                    <w:rPr>
                      <w:rFonts w:hint="default"/>
                      <w:b w:val="0"/>
                      <w:bCs/>
                      <w:color w:val="121212"/>
                      <w:sz w:val="21"/>
                      <w:szCs w:val="21"/>
                      <w:vertAlign w:val="baseline"/>
                      <w:lang w:val="en-US" w:eastAsia="zh-CN"/>
                    </w:rPr>
                  </w:pPr>
                  <w:r>
                    <w:rPr>
                      <w:rFonts w:hint="eastAsia"/>
                      <w:b w:val="0"/>
                      <w:bCs/>
                      <w:color w:val="121212"/>
                      <w:sz w:val="21"/>
                      <w:szCs w:val="21"/>
                      <w:vertAlign w:val="baseline"/>
                      <w:lang w:val="en-US" w:eastAsia="zh-CN"/>
                    </w:rPr>
                    <w:t>外购</w:t>
                  </w:r>
                </w:p>
              </w:tc>
            </w:tr>
            <w:tr>
              <w:tblPrEx>
                <w:tblLayout w:type="fixed"/>
              </w:tblPrEx>
              <w:trPr>
                <w:trHeight w:val="397" w:hRule="atLeast"/>
                <w:jc w:val="center"/>
              </w:trPr>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default" w:ascii="Times New Roman" w:hAnsi="Times New Roman" w:eastAsia="宋体" w:cstheme="minorBidi"/>
                      <w:b w:val="0"/>
                      <w:bCs/>
                      <w:color w:val="121212"/>
                      <w:kern w:val="2"/>
                      <w:sz w:val="21"/>
                      <w:szCs w:val="21"/>
                      <w:vertAlign w:val="baseline"/>
                      <w:lang w:val="en-US" w:eastAsia="zh-CN" w:bidi="ar-SA"/>
                    </w:rPr>
                  </w:pPr>
                  <w:r>
                    <w:rPr>
                      <w:rFonts w:hint="eastAsia"/>
                      <w:b w:val="0"/>
                      <w:bCs/>
                      <w:color w:val="121212"/>
                      <w:sz w:val="21"/>
                      <w:szCs w:val="21"/>
                      <w:vertAlign w:val="baseline"/>
                      <w:lang w:val="en-US" w:eastAsia="zh-CN"/>
                    </w:rPr>
                    <w:t>18</w:t>
                  </w:r>
                </w:p>
              </w:tc>
              <w:tc>
                <w:tcPr>
                  <w:tcW w:w="1951" w:type="dxa"/>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color w:val="121212"/>
                      <w:sz w:val="21"/>
                      <w:szCs w:val="21"/>
                      <w:vertAlign w:val="baseline"/>
                      <w:lang w:val="en-US" w:eastAsia="zh-CN"/>
                    </w:rPr>
                  </w:pPr>
                  <w:r>
                    <w:rPr>
                      <w:color w:val="121212"/>
                      <w:spacing w:val="-2"/>
                      <w:sz w:val="21"/>
                      <w:szCs w:val="21"/>
                    </w:rPr>
                    <w:t>砂轮机</w:t>
                  </w:r>
                </w:p>
              </w:tc>
              <w:tc>
                <w:tcPr>
                  <w:tcW w:w="193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color w:val="121212"/>
                      <w:sz w:val="21"/>
                      <w:szCs w:val="21"/>
                      <w:vertAlign w:val="baseline"/>
                      <w:lang w:val="en-US" w:eastAsia="zh-CN"/>
                    </w:rPr>
                  </w:pPr>
                  <w:r>
                    <w:rPr>
                      <w:rFonts w:ascii="Times New Roman" w:hAnsi="Times New Roman" w:eastAsia="Times New Roman" w:cs="Times New Roman"/>
                      <w:color w:val="121212"/>
                      <w:spacing w:val="-4"/>
                      <w:sz w:val="21"/>
                      <w:szCs w:val="21"/>
                    </w:rPr>
                    <w:t>S180</w:t>
                  </w:r>
                </w:p>
              </w:tc>
              <w:tc>
                <w:tcPr>
                  <w:tcW w:w="134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color w:val="121212"/>
                      <w:sz w:val="21"/>
                      <w:szCs w:val="21"/>
                      <w:vertAlign w:val="baseline"/>
                      <w:lang w:val="en-US" w:eastAsia="zh-CN"/>
                    </w:rPr>
                  </w:pPr>
                  <w:r>
                    <w:rPr>
                      <w:rFonts w:ascii="Times New Roman" w:hAnsi="Times New Roman" w:eastAsia="Times New Roman" w:cs="Times New Roman"/>
                      <w:color w:val="121212"/>
                      <w:sz w:val="21"/>
                      <w:szCs w:val="21"/>
                    </w:rPr>
                    <w:t>4</w:t>
                  </w:r>
                  <w:r>
                    <w:rPr>
                      <w:color w:val="121212"/>
                      <w:spacing w:val="-6"/>
                      <w:sz w:val="21"/>
                      <w:szCs w:val="21"/>
                    </w:rPr>
                    <w:t>个</w:t>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0"/>
                    <w:rPr>
                      <w:rFonts w:hint="default"/>
                      <w:b w:val="0"/>
                      <w:bCs/>
                      <w:color w:val="121212"/>
                      <w:sz w:val="21"/>
                      <w:szCs w:val="21"/>
                      <w:vertAlign w:val="baseline"/>
                      <w:lang w:val="en-US" w:eastAsia="zh-CN"/>
                    </w:rPr>
                  </w:pPr>
                  <w:r>
                    <w:rPr>
                      <w:rFonts w:hint="eastAsia"/>
                      <w:b w:val="0"/>
                      <w:bCs/>
                      <w:color w:val="121212"/>
                      <w:sz w:val="21"/>
                      <w:szCs w:val="21"/>
                      <w:vertAlign w:val="baseline"/>
                      <w:lang w:val="en-US" w:eastAsia="zh-CN"/>
                    </w:rPr>
                    <w:t>外购</w:t>
                  </w:r>
                </w:p>
              </w:tc>
            </w:tr>
            <w:tr>
              <w:tblPrEx>
                <w:tblLayout w:type="fixed"/>
              </w:tblPrEx>
              <w:trPr>
                <w:trHeight w:val="397" w:hRule="atLeast"/>
                <w:jc w:val="center"/>
              </w:trPr>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default" w:ascii="Times New Roman" w:hAnsi="Times New Roman" w:eastAsia="宋体" w:cstheme="minorBidi"/>
                      <w:b w:val="0"/>
                      <w:bCs/>
                      <w:color w:val="121212"/>
                      <w:kern w:val="2"/>
                      <w:sz w:val="21"/>
                      <w:szCs w:val="21"/>
                      <w:vertAlign w:val="baseline"/>
                      <w:lang w:val="en-US" w:eastAsia="zh-CN" w:bidi="ar-SA"/>
                    </w:rPr>
                  </w:pPr>
                  <w:r>
                    <w:rPr>
                      <w:rFonts w:hint="eastAsia"/>
                      <w:b w:val="0"/>
                      <w:bCs/>
                      <w:color w:val="121212"/>
                      <w:sz w:val="21"/>
                      <w:szCs w:val="21"/>
                      <w:vertAlign w:val="baseline"/>
                      <w:lang w:val="en-US" w:eastAsia="zh-CN"/>
                    </w:rPr>
                    <w:t>19</w:t>
                  </w:r>
                </w:p>
              </w:tc>
              <w:tc>
                <w:tcPr>
                  <w:tcW w:w="1951" w:type="dxa"/>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color w:val="121212"/>
                      <w:sz w:val="21"/>
                      <w:szCs w:val="21"/>
                      <w:vertAlign w:val="baseline"/>
                      <w:lang w:val="en-US" w:eastAsia="zh-CN"/>
                    </w:rPr>
                  </w:pPr>
                  <w:r>
                    <w:rPr>
                      <w:color w:val="121212"/>
                      <w:spacing w:val="-4"/>
                      <w:sz w:val="21"/>
                      <w:szCs w:val="21"/>
                    </w:rPr>
                    <w:t>磨光机</w:t>
                  </w:r>
                </w:p>
              </w:tc>
              <w:tc>
                <w:tcPr>
                  <w:tcW w:w="193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color w:val="121212"/>
                      <w:kern w:val="2"/>
                      <w:sz w:val="21"/>
                      <w:szCs w:val="21"/>
                      <w:vertAlign w:val="baseline"/>
                      <w:lang w:val="en-US" w:eastAsia="zh-CN" w:bidi="ar-SA"/>
                    </w:rPr>
                  </w:pPr>
                  <w:r>
                    <w:rPr>
                      <w:rFonts w:ascii="Times New Roman" w:hAnsi="Times New Roman" w:eastAsia="Times New Roman" w:cs="Times New Roman"/>
                      <w:color w:val="121212"/>
                      <w:spacing w:val="-1"/>
                      <w:sz w:val="21"/>
                      <w:szCs w:val="21"/>
                    </w:rPr>
                    <w:t>U808</w:t>
                  </w:r>
                </w:p>
              </w:tc>
              <w:tc>
                <w:tcPr>
                  <w:tcW w:w="134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color w:val="121212"/>
                      <w:kern w:val="2"/>
                      <w:sz w:val="21"/>
                      <w:szCs w:val="21"/>
                      <w:vertAlign w:val="baseline"/>
                      <w:lang w:val="en-US" w:eastAsia="zh-CN" w:bidi="ar-SA"/>
                    </w:rPr>
                  </w:pPr>
                  <w:r>
                    <w:rPr>
                      <w:rFonts w:ascii="Times New Roman" w:hAnsi="Times New Roman" w:eastAsia="Times New Roman" w:cs="Times New Roman"/>
                      <w:color w:val="121212"/>
                      <w:sz w:val="21"/>
                      <w:szCs w:val="21"/>
                    </w:rPr>
                    <w:t>4</w:t>
                  </w:r>
                  <w:r>
                    <w:rPr>
                      <w:color w:val="121212"/>
                      <w:spacing w:val="-6"/>
                      <w:sz w:val="21"/>
                      <w:szCs w:val="21"/>
                    </w:rPr>
                    <w:t>个</w:t>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0"/>
                    <w:rPr>
                      <w:rFonts w:hint="default"/>
                      <w:b w:val="0"/>
                      <w:bCs/>
                      <w:color w:val="121212"/>
                      <w:sz w:val="21"/>
                      <w:szCs w:val="21"/>
                      <w:vertAlign w:val="baseline"/>
                      <w:lang w:val="en-US" w:eastAsia="zh-CN"/>
                    </w:rPr>
                  </w:pPr>
                  <w:r>
                    <w:rPr>
                      <w:rFonts w:hint="eastAsia"/>
                      <w:b w:val="0"/>
                      <w:bCs/>
                      <w:color w:val="121212"/>
                      <w:sz w:val="21"/>
                      <w:szCs w:val="21"/>
                      <w:vertAlign w:val="baseline"/>
                      <w:lang w:val="en-US" w:eastAsia="zh-CN"/>
                    </w:rPr>
                    <w:t>外购</w:t>
                  </w:r>
                </w:p>
              </w:tc>
            </w:tr>
            <w:tr>
              <w:tblPrEx>
                <w:tblLayout w:type="fixed"/>
              </w:tblPrEx>
              <w:trPr>
                <w:trHeight w:val="397" w:hRule="atLeast"/>
                <w:jc w:val="center"/>
              </w:trPr>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default" w:ascii="Times New Roman" w:hAnsi="Times New Roman" w:eastAsia="宋体" w:cstheme="minorBidi"/>
                      <w:b w:val="0"/>
                      <w:bCs/>
                      <w:color w:val="121212"/>
                      <w:kern w:val="2"/>
                      <w:sz w:val="21"/>
                      <w:szCs w:val="21"/>
                      <w:vertAlign w:val="baseline"/>
                      <w:lang w:val="en-US" w:eastAsia="zh-CN" w:bidi="ar-SA"/>
                    </w:rPr>
                  </w:pPr>
                  <w:r>
                    <w:rPr>
                      <w:rFonts w:hint="eastAsia"/>
                      <w:b w:val="0"/>
                      <w:bCs/>
                      <w:color w:val="121212"/>
                      <w:sz w:val="21"/>
                      <w:szCs w:val="21"/>
                      <w:vertAlign w:val="baseline"/>
                      <w:lang w:val="en-US" w:eastAsia="zh-CN"/>
                    </w:rPr>
                    <w:t>20</w:t>
                  </w:r>
                </w:p>
              </w:tc>
              <w:tc>
                <w:tcPr>
                  <w:tcW w:w="1951" w:type="dxa"/>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color w:val="121212"/>
                      <w:sz w:val="21"/>
                      <w:szCs w:val="21"/>
                      <w:vertAlign w:val="baseline"/>
                      <w:lang w:val="en-US" w:eastAsia="zh-CN"/>
                    </w:rPr>
                  </w:pPr>
                  <w:r>
                    <w:rPr>
                      <w:color w:val="121212"/>
                      <w:spacing w:val="-2"/>
                      <w:sz w:val="21"/>
                      <w:szCs w:val="21"/>
                    </w:rPr>
                    <w:t>切割机</w:t>
                  </w:r>
                </w:p>
              </w:tc>
              <w:tc>
                <w:tcPr>
                  <w:tcW w:w="193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color w:val="121212"/>
                      <w:kern w:val="2"/>
                      <w:sz w:val="21"/>
                      <w:szCs w:val="21"/>
                      <w:vertAlign w:val="baseline"/>
                      <w:lang w:val="en-US" w:eastAsia="zh-CN" w:bidi="ar-SA"/>
                    </w:rPr>
                  </w:pPr>
                  <w:r>
                    <w:rPr>
                      <w:rFonts w:ascii="Times New Roman" w:hAnsi="Times New Roman" w:eastAsia="Times New Roman" w:cs="Times New Roman"/>
                      <w:color w:val="121212"/>
                      <w:spacing w:val="-4"/>
                      <w:sz w:val="21"/>
                      <w:szCs w:val="21"/>
                    </w:rPr>
                    <w:t>S180</w:t>
                  </w:r>
                </w:p>
              </w:tc>
              <w:tc>
                <w:tcPr>
                  <w:tcW w:w="134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b w:val="0"/>
                      <w:bCs/>
                      <w:color w:val="121212"/>
                      <w:kern w:val="2"/>
                      <w:sz w:val="21"/>
                      <w:szCs w:val="21"/>
                      <w:vertAlign w:val="baseline"/>
                      <w:lang w:val="en-US" w:eastAsia="zh-CN" w:bidi="ar-SA"/>
                    </w:rPr>
                  </w:pPr>
                  <w:r>
                    <w:rPr>
                      <w:rFonts w:ascii="Times New Roman" w:hAnsi="Times New Roman" w:eastAsia="Times New Roman" w:cs="Times New Roman"/>
                      <w:color w:val="121212"/>
                      <w:sz w:val="21"/>
                      <w:szCs w:val="21"/>
                    </w:rPr>
                    <w:t>2</w:t>
                  </w:r>
                  <w:r>
                    <w:rPr>
                      <w:color w:val="121212"/>
                      <w:spacing w:val="-6"/>
                      <w:sz w:val="21"/>
                      <w:szCs w:val="21"/>
                    </w:rPr>
                    <w:t>个</w:t>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0"/>
                    <w:rPr>
                      <w:rFonts w:hint="default"/>
                      <w:b w:val="0"/>
                      <w:bCs/>
                      <w:color w:val="121212"/>
                      <w:sz w:val="21"/>
                      <w:szCs w:val="21"/>
                      <w:vertAlign w:val="baseline"/>
                      <w:lang w:val="en-US" w:eastAsia="zh-CN"/>
                    </w:rPr>
                  </w:pPr>
                  <w:r>
                    <w:rPr>
                      <w:rFonts w:hint="eastAsia"/>
                      <w:b w:val="0"/>
                      <w:bCs/>
                      <w:color w:val="121212"/>
                      <w:sz w:val="21"/>
                      <w:szCs w:val="21"/>
                      <w:vertAlign w:val="baseline"/>
                      <w:lang w:val="en-US" w:eastAsia="zh-CN"/>
                    </w:rPr>
                    <w:t>外购</w:t>
                  </w:r>
                </w:p>
              </w:tc>
            </w:tr>
            <w:tr>
              <w:tblPrEx>
                <w:tblLayout w:type="fixed"/>
              </w:tblPrEx>
              <w:trPr>
                <w:trHeight w:val="397" w:hRule="atLeast"/>
                <w:jc w:val="center"/>
              </w:trPr>
              <w:tc>
                <w:tcPr>
                  <w:tcW w:w="116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default"/>
                      <w:b w:val="0"/>
                      <w:bCs/>
                      <w:color w:val="121212"/>
                      <w:sz w:val="21"/>
                      <w:szCs w:val="21"/>
                      <w:vertAlign w:val="baseline"/>
                      <w:lang w:val="en-US" w:eastAsia="zh-CN"/>
                    </w:rPr>
                  </w:pPr>
                  <w:r>
                    <w:rPr>
                      <w:rFonts w:hint="eastAsia"/>
                      <w:b w:val="0"/>
                      <w:bCs/>
                      <w:color w:val="121212"/>
                      <w:sz w:val="21"/>
                      <w:szCs w:val="21"/>
                      <w:vertAlign w:val="baseline"/>
                      <w:lang w:val="en-US" w:eastAsia="zh-CN"/>
                    </w:rPr>
                    <w:t>21</w:t>
                  </w:r>
                </w:p>
              </w:tc>
              <w:tc>
                <w:tcPr>
                  <w:tcW w:w="1951" w:type="dxa"/>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eastAsia="宋体"/>
                      <w:color w:val="121212"/>
                      <w:spacing w:val="-2"/>
                      <w:sz w:val="21"/>
                      <w:szCs w:val="21"/>
                      <w:lang w:val="en-US" w:eastAsia="zh-CN"/>
                    </w:rPr>
                  </w:pPr>
                  <w:r>
                    <w:rPr>
                      <w:rFonts w:hint="eastAsia"/>
                      <w:color w:val="121212"/>
                      <w:spacing w:val="-2"/>
                      <w:sz w:val="21"/>
                      <w:szCs w:val="21"/>
                      <w:lang w:val="en-US" w:eastAsia="zh-CN"/>
                    </w:rPr>
                    <w:t>布袋除尘器</w:t>
                  </w:r>
                </w:p>
              </w:tc>
              <w:tc>
                <w:tcPr>
                  <w:tcW w:w="193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pacing w:val="-4"/>
                      <w:sz w:val="21"/>
                      <w:szCs w:val="21"/>
                      <w:lang w:val="en-US" w:eastAsia="zh-CN"/>
                    </w:rPr>
                  </w:pPr>
                  <w:r>
                    <w:rPr>
                      <w:rFonts w:hint="eastAsia" w:ascii="Times New Roman" w:hAnsi="Times New Roman" w:eastAsia="宋体" w:cs="Times New Roman"/>
                      <w:color w:val="121212"/>
                      <w:spacing w:val="-4"/>
                      <w:sz w:val="21"/>
                      <w:szCs w:val="21"/>
                      <w:lang w:val="en-US" w:eastAsia="zh-CN"/>
                    </w:rPr>
                    <w:t>/</w:t>
                  </w:r>
                </w:p>
              </w:tc>
              <w:tc>
                <w:tcPr>
                  <w:tcW w:w="134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z w:val="21"/>
                      <w:szCs w:val="21"/>
                      <w:lang w:val="en-US" w:eastAsia="zh-CN"/>
                    </w:rPr>
                  </w:pPr>
                  <w:r>
                    <w:rPr>
                      <w:rFonts w:hint="eastAsia" w:ascii="Times New Roman" w:hAnsi="Times New Roman" w:eastAsia="宋体" w:cs="Times New Roman"/>
                      <w:color w:val="121212"/>
                      <w:sz w:val="21"/>
                      <w:szCs w:val="21"/>
                      <w:lang w:val="en-US" w:eastAsia="zh-CN"/>
                    </w:rPr>
                    <w:t>1个</w:t>
                  </w:r>
                </w:p>
              </w:tc>
              <w:tc>
                <w:tcPr>
                  <w:tcW w:w="201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outlineLvl w:val="0"/>
                    <w:rPr>
                      <w:rFonts w:hint="eastAsia"/>
                      <w:b w:val="0"/>
                      <w:bCs/>
                      <w:color w:val="121212"/>
                      <w:sz w:val="21"/>
                      <w:szCs w:val="21"/>
                      <w:vertAlign w:val="baseline"/>
                      <w:lang w:val="en-US" w:eastAsia="zh-CN"/>
                    </w:rPr>
                  </w:pPr>
                  <w:r>
                    <w:rPr>
                      <w:rFonts w:hint="eastAsia"/>
                      <w:b w:val="0"/>
                      <w:bCs/>
                      <w:color w:val="121212"/>
                      <w:sz w:val="21"/>
                      <w:szCs w:val="21"/>
                      <w:vertAlign w:val="baseline"/>
                      <w:lang w:val="en-US" w:eastAsia="zh-CN"/>
                    </w:rPr>
                    <w:t>外购</w:t>
                  </w:r>
                </w:p>
              </w:tc>
            </w:tr>
          </w:tbl>
          <w:p>
            <w:pPr>
              <w:pStyle w:val="7"/>
              <w:bidi w:val="0"/>
              <w:rPr>
                <w:rFonts w:hint="default"/>
                <w:color w:val="121212"/>
                <w:highlight w:val="none"/>
              </w:rPr>
            </w:pPr>
            <w:r>
              <w:rPr>
                <w:rFonts w:hint="eastAsia"/>
                <w:color w:val="121212"/>
                <w:highlight w:val="none"/>
                <w:lang w:val="en-US" w:eastAsia="zh-CN"/>
              </w:rPr>
              <w:t>5</w:t>
            </w:r>
            <w:r>
              <w:rPr>
                <w:rFonts w:hint="default"/>
                <w:color w:val="121212"/>
                <w:highlight w:val="none"/>
              </w:rPr>
              <w:t>、主要原辅材料</w:t>
            </w:r>
          </w:p>
          <w:p>
            <w:pPr>
              <w:bidi w:val="0"/>
              <w:rPr>
                <w:rFonts w:hint="default" w:eastAsia="宋体"/>
                <w:color w:val="121212"/>
                <w:highlight w:val="none"/>
                <w:lang w:val="en-US" w:eastAsia="zh-CN"/>
              </w:rPr>
            </w:pPr>
            <w:r>
              <w:rPr>
                <w:rFonts w:hint="default"/>
                <w:color w:val="121212"/>
                <w:highlight w:val="none"/>
              </w:rPr>
              <w:t>本项目主要原辅材料</w:t>
            </w:r>
            <w:r>
              <w:rPr>
                <w:rFonts w:hint="eastAsia"/>
                <w:color w:val="121212"/>
                <w:highlight w:val="none"/>
                <w:lang w:eastAsia="zh-CN"/>
              </w:rPr>
              <w:t>及能源</w:t>
            </w:r>
            <w:r>
              <w:rPr>
                <w:rFonts w:hint="default"/>
                <w:color w:val="121212"/>
                <w:highlight w:val="none"/>
              </w:rPr>
              <w:t>消耗情况见</w:t>
            </w:r>
            <w:r>
              <w:rPr>
                <w:rFonts w:hint="default"/>
                <w:color w:val="121212"/>
                <w:highlight w:val="none"/>
                <w:lang w:val="en-US" w:eastAsia="zh-CN"/>
              </w:rPr>
              <w:t>下</w:t>
            </w:r>
            <w:r>
              <w:rPr>
                <w:rFonts w:hint="default"/>
                <w:color w:val="121212"/>
                <w:highlight w:val="none"/>
              </w:rPr>
              <w:t>表。</w:t>
            </w:r>
          </w:p>
          <w:p>
            <w:pPr>
              <w:pStyle w:val="39"/>
              <w:bidi w:val="0"/>
              <w:rPr>
                <w:rFonts w:hint="default"/>
                <w:color w:val="121212"/>
                <w:highlight w:val="none"/>
              </w:rPr>
            </w:pPr>
            <w:r>
              <w:rPr>
                <w:rFonts w:hint="default"/>
                <w:color w:val="121212"/>
                <w:highlight w:val="none"/>
              </w:rPr>
              <w:t>表</w:t>
            </w:r>
            <w:r>
              <w:rPr>
                <w:rFonts w:hint="default"/>
                <w:color w:val="121212"/>
                <w:highlight w:val="none"/>
                <w:lang w:val="en-US" w:eastAsia="zh-CN"/>
              </w:rPr>
              <w:t>2-</w:t>
            </w:r>
            <w:r>
              <w:rPr>
                <w:rFonts w:hint="eastAsia"/>
                <w:color w:val="121212"/>
                <w:highlight w:val="none"/>
                <w:lang w:val="en-US" w:eastAsia="zh-CN"/>
              </w:rPr>
              <w:t>4</w:t>
            </w:r>
            <w:r>
              <w:rPr>
                <w:rFonts w:hint="default"/>
                <w:color w:val="121212"/>
                <w:highlight w:val="none"/>
              </w:rPr>
              <w:t xml:space="preserve">  本项目原辅材料</w:t>
            </w:r>
            <w:r>
              <w:rPr>
                <w:rFonts w:hint="eastAsia"/>
                <w:color w:val="121212"/>
                <w:highlight w:val="none"/>
                <w:lang w:val="en-US" w:eastAsia="zh-CN"/>
              </w:rPr>
              <w:t>及能源消耗</w:t>
            </w:r>
            <w:r>
              <w:rPr>
                <w:rFonts w:hint="default"/>
                <w:color w:val="121212"/>
                <w:highlight w:val="none"/>
              </w:rPr>
              <w:t>一览表</w:t>
            </w:r>
          </w:p>
          <w:tbl>
            <w:tblPr>
              <w:tblStyle w:val="37"/>
              <w:tblW w:w="4997" w:type="pct"/>
              <w:jc w:val="center"/>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745"/>
              <w:gridCol w:w="599"/>
              <w:gridCol w:w="1311"/>
              <w:gridCol w:w="1388"/>
              <w:gridCol w:w="1188"/>
              <w:gridCol w:w="1188"/>
              <w:gridCol w:w="1552"/>
            </w:tblGrid>
            <w:tr>
              <w:tblPrEx>
                <w:tblLayout w:type="fixed"/>
              </w:tblPrEx>
              <w:trPr>
                <w:trHeight w:val="397" w:hRule="atLeast"/>
                <w:tblHeader/>
                <w:jc w:val="center"/>
              </w:trPr>
              <w:tc>
                <w:tcPr>
                  <w:tcW w:w="4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宋体" w:hAnsi="宋体"/>
                      <w:b/>
                      <w:bCs/>
                      <w:snapToGrid w:val="0"/>
                      <w:color w:val="121212"/>
                      <w:kern w:val="0"/>
                      <w:sz w:val="21"/>
                      <w:szCs w:val="21"/>
                    </w:rPr>
                  </w:pPr>
                  <w:r>
                    <w:rPr>
                      <w:rFonts w:ascii="宋体" w:hAnsi="宋体"/>
                      <w:b/>
                      <w:bCs/>
                      <w:snapToGrid w:val="0"/>
                      <w:color w:val="121212"/>
                      <w:kern w:val="0"/>
                      <w:sz w:val="21"/>
                      <w:szCs w:val="21"/>
                    </w:rPr>
                    <w:t>序号</w:t>
                  </w:r>
                </w:p>
              </w:tc>
              <w:tc>
                <w:tcPr>
                  <w:tcW w:w="1344"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宋体" w:hAnsi="宋体"/>
                      <w:b/>
                      <w:bCs/>
                      <w:snapToGrid w:val="0"/>
                      <w:color w:val="121212"/>
                      <w:kern w:val="0"/>
                      <w:sz w:val="21"/>
                      <w:szCs w:val="21"/>
                    </w:rPr>
                  </w:pPr>
                  <w:r>
                    <w:rPr>
                      <w:rFonts w:ascii="宋体" w:hAnsi="宋体"/>
                      <w:b/>
                      <w:bCs/>
                      <w:snapToGrid w:val="0"/>
                      <w:color w:val="121212"/>
                      <w:kern w:val="0"/>
                      <w:sz w:val="21"/>
                      <w:szCs w:val="21"/>
                    </w:rPr>
                    <w:t>名称</w:t>
                  </w:r>
                </w:p>
              </w:tc>
              <w:tc>
                <w:tcPr>
                  <w:tcW w:w="1311" w:type="dxa"/>
                  <w:tcBorders>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b/>
                      <w:bCs/>
                      <w:snapToGrid w:val="0"/>
                      <w:color w:val="121212"/>
                      <w:kern w:val="0"/>
                      <w:sz w:val="21"/>
                      <w:szCs w:val="21"/>
                    </w:rPr>
                  </w:pPr>
                  <w:r>
                    <w:rPr>
                      <w:rFonts w:ascii="宋体" w:hAnsi="宋体"/>
                      <w:b/>
                      <w:bCs/>
                      <w:snapToGrid w:val="0"/>
                      <w:color w:val="121212"/>
                      <w:kern w:val="0"/>
                      <w:sz w:val="21"/>
                      <w:szCs w:val="21"/>
                    </w:rPr>
                    <w:t>年耗量</w:t>
                  </w:r>
                </w:p>
              </w:tc>
              <w:tc>
                <w:tcPr>
                  <w:tcW w:w="1388" w:type="dxa"/>
                  <w:tcBorders>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b/>
                      <w:bCs/>
                      <w:snapToGrid w:val="0"/>
                      <w:color w:val="121212"/>
                      <w:kern w:val="0"/>
                      <w:sz w:val="21"/>
                      <w:szCs w:val="21"/>
                    </w:rPr>
                  </w:pPr>
                  <w:r>
                    <w:rPr>
                      <w:rFonts w:hint="eastAsia" w:ascii="宋体" w:hAnsi="宋体"/>
                      <w:b/>
                      <w:bCs/>
                      <w:snapToGrid w:val="0"/>
                      <w:color w:val="121212"/>
                      <w:kern w:val="0"/>
                      <w:sz w:val="21"/>
                      <w:szCs w:val="21"/>
                    </w:rPr>
                    <w:t>厂区储存量</w:t>
                  </w:r>
                </w:p>
              </w:tc>
              <w:tc>
                <w:tcPr>
                  <w:tcW w:w="11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eastAsia="宋体"/>
                      <w:b/>
                      <w:bCs/>
                      <w:snapToGrid w:val="0"/>
                      <w:color w:val="121212"/>
                      <w:kern w:val="0"/>
                      <w:sz w:val="21"/>
                      <w:szCs w:val="21"/>
                      <w:lang w:val="en-US" w:eastAsia="zh-CN"/>
                    </w:rPr>
                  </w:pPr>
                  <w:r>
                    <w:rPr>
                      <w:rFonts w:hint="eastAsia" w:ascii="宋体" w:hAnsi="宋体"/>
                      <w:b/>
                      <w:bCs/>
                      <w:snapToGrid w:val="0"/>
                      <w:color w:val="121212"/>
                      <w:kern w:val="0"/>
                      <w:sz w:val="21"/>
                      <w:szCs w:val="21"/>
                      <w:lang w:val="en-US" w:eastAsia="zh-CN"/>
                    </w:rPr>
                    <w:t>包装方式</w:t>
                  </w:r>
                </w:p>
              </w:tc>
              <w:tc>
                <w:tcPr>
                  <w:tcW w:w="11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宋体" w:hAnsi="宋体"/>
                      <w:b/>
                      <w:bCs/>
                      <w:snapToGrid w:val="0"/>
                      <w:color w:val="121212"/>
                      <w:kern w:val="0"/>
                      <w:sz w:val="21"/>
                      <w:szCs w:val="21"/>
                    </w:rPr>
                  </w:pPr>
                  <w:r>
                    <w:rPr>
                      <w:rFonts w:hint="eastAsia" w:ascii="宋体" w:hAnsi="宋体"/>
                      <w:b/>
                      <w:bCs/>
                      <w:snapToGrid w:val="0"/>
                      <w:color w:val="121212"/>
                      <w:kern w:val="0"/>
                      <w:sz w:val="21"/>
                      <w:szCs w:val="21"/>
                    </w:rPr>
                    <w:t>贮存位置</w:t>
                  </w:r>
                </w:p>
              </w:tc>
              <w:tc>
                <w:tcPr>
                  <w:tcW w:w="15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b/>
                      <w:bCs/>
                      <w:snapToGrid w:val="0"/>
                      <w:color w:val="121212"/>
                      <w:kern w:val="0"/>
                      <w:sz w:val="21"/>
                      <w:szCs w:val="21"/>
                    </w:rPr>
                  </w:pPr>
                  <w:r>
                    <w:rPr>
                      <w:rFonts w:hint="eastAsia" w:ascii="宋体" w:hAnsi="宋体"/>
                      <w:b/>
                      <w:bCs/>
                      <w:snapToGrid w:val="0"/>
                      <w:color w:val="121212"/>
                      <w:kern w:val="0"/>
                      <w:sz w:val="21"/>
                      <w:szCs w:val="21"/>
                    </w:rPr>
                    <w:t>备注</w:t>
                  </w:r>
                </w:p>
              </w:tc>
            </w:tr>
            <w:tr>
              <w:tblPrEx>
                <w:tblLayout w:type="fixed"/>
              </w:tblPrEx>
              <w:trPr>
                <w:trHeight w:val="397" w:hRule="atLeast"/>
                <w:tblHeader/>
                <w:jc w:val="center"/>
              </w:trPr>
              <w:tc>
                <w:tcPr>
                  <w:tcW w:w="8412" w:type="dxa"/>
                  <w:gridSpan w:val="8"/>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宋体"/>
                      <w:b/>
                      <w:bCs/>
                      <w:snapToGrid w:val="0"/>
                      <w:color w:val="121212"/>
                      <w:kern w:val="0"/>
                      <w:sz w:val="21"/>
                      <w:szCs w:val="21"/>
                      <w:lang w:val="en-US" w:eastAsia="zh-CN"/>
                    </w:rPr>
                  </w:pPr>
                  <w:r>
                    <w:rPr>
                      <w:rFonts w:hint="eastAsia" w:ascii="宋体" w:hAnsi="宋体"/>
                      <w:b/>
                      <w:bCs/>
                      <w:snapToGrid w:val="0"/>
                      <w:color w:val="121212"/>
                      <w:kern w:val="0"/>
                      <w:sz w:val="21"/>
                      <w:szCs w:val="21"/>
                      <w:lang w:val="en-US" w:eastAsia="zh-CN"/>
                    </w:rPr>
                    <w:t>原辅料</w:t>
                  </w:r>
                </w:p>
              </w:tc>
            </w:tr>
            <w:tr>
              <w:tblPrEx>
                <w:tblLayout w:type="fixed"/>
              </w:tblPrEx>
              <w:trPr>
                <w:trHeight w:val="397" w:hRule="atLeast"/>
                <w:jc w:val="center"/>
              </w:trPr>
              <w:tc>
                <w:tcPr>
                  <w:tcW w:w="4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宋体" w:hAnsi="宋体"/>
                      <w:snapToGrid w:val="0"/>
                      <w:color w:val="121212"/>
                      <w:kern w:val="0"/>
                      <w:sz w:val="21"/>
                      <w:szCs w:val="21"/>
                    </w:rPr>
                  </w:pPr>
                  <w:r>
                    <w:rPr>
                      <w:rFonts w:ascii="宋体" w:hAnsi="宋体"/>
                      <w:snapToGrid w:val="0"/>
                      <w:color w:val="121212"/>
                      <w:kern w:val="0"/>
                      <w:sz w:val="21"/>
                      <w:szCs w:val="21"/>
                    </w:rPr>
                    <w:t>1</w:t>
                  </w:r>
                </w:p>
              </w:tc>
              <w:tc>
                <w:tcPr>
                  <w:tcW w:w="1344"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eastAsia="宋体"/>
                      <w:snapToGrid w:val="0"/>
                      <w:color w:val="121212"/>
                      <w:kern w:val="0"/>
                      <w:sz w:val="21"/>
                      <w:szCs w:val="21"/>
                      <w:lang w:val="en-US" w:eastAsia="zh-CN"/>
                    </w:rPr>
                  </w:pPr>
                  <w:r>
                    <w:rPr>
                      <w:rFonts w:hint="eastAsia" w:ascii="宋体" w:hAnsi="宋体" w:eastAsia="宋体"/>
                      <w:snapToGrid w:val="0"/>
                      <w:color w:val="121212"/>
                      <w:kern w:val="0"/>
                      <w:sz w:val="21"/>
                      <w:szCs w:val="21"/>
                      <w:lang w:val="en-US" w:eastAsia="zh-CN"/>
                    </w:rPr>
                    <w:t>钢材</w:t>
                  </w:r>
                </w:p>
              </w:tc>
              <w:tc>
                <w:tcPr>
                  <w:tcW w:w="1311" w:type="dxa"/>
                  <w:tcBorders>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eastAsia="宋体"/>
                      <w:snapToGrid w:val="0"/>
                      <w:color w:val="121212"/>
                      <w:kern w:val="0"/>
                      <w:sz w:val="21"/>
                      <w:szCs w:val="21"/>
                      <w:lang w:val="en-US" w:eastAsia="zh-CN"/>
                    </w:rPr>
                  </w:pPr>
                  <w:commentRangeStart w:id="24"/>
                  <w:commentRangeStart w:id="25"/>
                  <w:r>
                    <w:rPr>
                      <w:rFonts w:hint="eastAsia" w:ascii="宋体" w:hAnsi="宋体" w:eastAsia="宋体"/>
                      <w:snapToGrid w:val="0"/>
                      <w:color w:val="121212"/>
                      <w:kern w:val="0"/>
                      <w:sz w:val="21"/>
                      <w:szCs w:val="21"/>
                      <w:lang w:val="en-US" w:eastAsia="zh-CN"/>
                    </w:rPr>
                    <w:t>500吨</w:t>
                  </w:r>
                </w:p>
              </w:tc>
              <w:tc>
                <w:tcPr>
                  <w:tcW w:w="1388" w:type="dxa"/>
                  <w:tcBorders>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eastAsia="宋体"/>
                      <w:snapToGrid w:val="0"/>
                      <w:color w:val="121212"/>
                      <w:kern w:val="0"/>
                      <w:sz w:val="21"/>
                      <w:szCs w:val="21"/>
                      <w:lang w:val="en-US" w:eastAsia="zh-CN"/>
                    </w:rPr>
                  </w:pPr>
                  <w:r>
                    <w:rPr>
                      <w:rFonts w:hint="eastAsia" w:ascii="宋体" w:hAnsi="宋体" w:eastAsia="宋体"/>
                      <w:snapToGrid w:val="0"/>
                      <w:color w:val="121212"/>
                      <w:kern w:val="0"/>
                      <w:sz w:val="21"/>
                      <w:szCs w:val="21"/>
                      <w:lang w:val="en-US" w:eastAsia="zh-CN"/>
                    </w:rPr>
                    <w:t>50吨</w:t>
                  </w:r>
                  <w:commentRangeEnd w:id="24"/>
                  <w:r>
                    <w:rPr>
                      <w:color w:val="121212"/>
                    </w:rPr>
                    <w:commentReference w:id="24"/>
                  </w:r>
                  <w:commentRangeEnd w:id="25"/>
                  <w:r>
                    <w:rPr>
                      <w:color w:val="121212"/>
                    </w:rPr>
                    <w:commentReference w:id="25"/>
                  </w:r>
                </w:p>
              </w:tc>
              <w:tc>
                <w:tcPr>
                  <w:tcW w:w="11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default" w:ascii="宋体" w:hAnsi="宋体" w:eastAsia="宋体" w:cs="宋体"/>
                      <w:color w:val="121212"/>
                      <w:kern w:val="0"/>
                      <w:sz w:val="21"/>
                      <w:szCs w:val="21"/>
                      <w:lang w:val="en-US" w:eastAsia="zh-CN"/>
                    </w:rPr>
                  </w:pPr>
                  <w:r>
                    <w:rPr>
                      <w:rFonts w:hint="eastAsia" w:ascii="宋体" w:hAnsi="宋体" w:cs="宋体"/>
                      <w:color w:val="121212"/>
                      <w:kern w:val="0"/>
                      <w:sz w:val="21"/>
                      <w:szCs w:val="21"/>
                      <w:lang w:val="en-US" w:eastAsia="zh-CN"/>
                    </w:rPr>
                    <w:t>厂区堆放</w:t>
                  </w:r>
                </w:p>
              </w:tc>
              <w:tc>
                <w:tcPr>
                  <w:tcW w:w="11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eastAsia="宋体" w:cs="宋体"/>
                      <w:color w:val="121212"/>
                      <w:kern w:val="0"/>
                      <w:sz w:val="21"/>
                      <w:szCs w:val="21"/>
                      <w:lang w:val="en-US" w:eastAsia="zh-CN" w:bidi="ar-SA"/>
                    </w:rPr>
                  </w:pPr>
                  <w:r>
                    <w:rPr>
                      <w:rFonts w:hint="eastAsia" w:ascii="宋体" w:hAnsi="宋体" w:eastAsia="宋体" w:cs="宋体"/>
                      <w:color w:val="121212"/>
                      <w:kern w:val="0"/>
                      <w:sz w:val="21"/>
                      <w:szCs w:val="21"/>
                      <w:lang w:val="en-US" w:eastAsia="zh-CN"/>
                    </w:rPr>
                    <w:t>生产车间</w:t>
                  </w:r>
                </w:p>
              </w:tc>
              <w:tc>
                <w:tcPr>
                  <w:tcW w:w="15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eastAsia="宋体" w:cs="宋体"/>
                      <w:color w:val="121212"/>
                      <w:kern w:val="0"/>
                      <w:sz w:val="21"/>
                      <w:szCs w:val="21"/>
                      <w:lang w:val="en-US" w:eastAsia="zh-CN"/>
                    </w:rPr>
                  </w:pPr>
                  <w:r>
                    <w:rPr>
                      <w:rFonts w:hint="eastAsia" w:ascii="宋体" w:hAnsi="宋体" w:eastAsia="宋体"/>
                      <w:snapToGrid w:val="0"/>
                      <w:color w:val="121212"/>
                      <w:kern w:val="0"/>
                      <w:sz w:val="21"/>
                      <w:szCs w:val="21"/>
                      <w:lang w:val="en-US" w:eastAsia="zh-CN"/>
                    </w:rPr>
                    <w:t>外购、4-6mm厚度</w:t>
                  </w:r>
                </w:p>
              </w:tc>
            </w:tr>
            <w:tr>
              <w:tblPrEx>
                <w:tblLayout w:type="fixed"/>
              </w:tblPrEx>
              <w:trPr>
                <w:trHeight w:val="397" w:hRule="atLeast"/>
                <w:jc w:val="center"/>
              </w:trPr>
              <w:tc>
                <w:tcPr>
                  <w:tcW w:w="4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宋体" w:hAnsi="宋体"/>
                      <w:snapToGrid w:val="0"/>
                      <w:color w:val="121212"/>
                      <w:kern w:val="0"/>
                      <w:sz w:val="21"/>
                      <w:szCs w:val="21"/>
                    </w:rPr>
                  </w:pPr>
                  <w:r>
                    <w:rPr>
                      <w:rFonts w:ascii="宋体" w:hAnsi="宋体"/>
                      <w:snapToGrid w:val="0"/>
                      <w:color w:val="121212"/>
                      <w:kern w:val="0"/>
                      <w:sz w:val="21"/>
                      <w:szCs w:val="21"/>
                    </w:rPr>
                    <w:t>2</w:t>
                  </w:r>
                </w:p>
              </w:tc>
              <w:tc>
                <w:tcPr>
                  <w:tcW w:w="1344"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snapToGrid w:val="0"/>
                      <w:color w:val="121212"/>
                      <w:kern w:val="0"/>
                      <w:sz w:val="21"/>
                      <w:szCs w:val="21"/>
                      <w:lang w:val="en-US"/>
                    </w:rPr>
                  </w:pPr>
                  <w:r>
                    <w:rPr>
                      <w:color w:val="121212"/>
                      <w:spacing w:val="8"/>
                      <w:sz w:val="21"/>
                      <w:szCs w:val="21"/>
                    </w:rPr>
                    <w:t>焊丝</w:t>
                  </w:r>
                </w:p>
              </w:tc>
              <w:tc>
                <w:tcPr>
                  <w:tcW w:w="1311" w:type="dxa"/>
                  <w:tcBorders>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eastAsia="宋体"/>
                      <w:snapToGrid w:val="0"/>
                      <w:color w:val="121212"/>
                      <w:kern w:val="0"/>
                      <w:sz w:val="21"/>
                      <w:szCs w:val="21"/>
                      <w:lang w:val="en-US" w:eastAsia="zh-CN"/>
                    </w:rPr>
                  </w:pPr>
                  <w:r>
                    <w:rPr>
                      <w:rFonts w:hint="eastAsia" w:ascii="宋体" w:hAnsi="宋体" w:eastAsia="宋体"/>
                      <w:snapToGrid w:val="0"/>
                      <w:color w:val="121212"/>
                      <w:kern w:val="0"/>
                      <w:sz w:val="21"/>
                      <w:szCs w:val="21"/>
                      <w:lang w:val="en-US" w:eastAsia="zh-CN"/>
                    </w:rPr>
                    <w:t>6吨</w:t>
                  </w:r>
                </w:p>
              </w:tc>
              <w:tc>
                <w:tcPr>
                  <w:tcW w:w="1388" w:type="dxa"/>
                  <w:tcBorders>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eastAsia="宋体"/>
                      <w:snapToGrid w:val="0"/>
                      <w:color w:val="121212"/>
                      <w:kern w:val="0"/>
                      <w:sz w:val="21"/>
                      <w:szCs w:val="21"/>
                      <w:lang w:val="en-US" w:eastAsia="zh-CN"/>
                    </w:rPr>
                  </w:pPr>
                  <w:r>
                    <w:rPr>
                      <w:rFonts w:hint="eastAsia" w:ascii="宋体" w:hAnsi="宋体"/>
                      <w:snapToGrid w:val="0"/>
                      <w:color w:val="121212"/>
                      <w:kern w:val="0"/>
                      <w:sz w:val="21"/>
                      <w:szCs w:val="21"/>
                      <w:lang w:val="en-US" w:eastAsia="zh-CN"/>
                    </w:rPr>
                    <w:t>0.3</w:t>
                  </w:r>
                  <w:r>
                    <w:rPr>
                      <w:rFonts w:hint="eastAsia" w:ascii="宋体" w:hAnsi="宋体" w:eastAsia="宋体"/>
                      <w:snapToGrid w:val="0"/>
                      <w:color w:val="121212"/>
                      <w:kern w:val="0"/>
                      <w:sz w:val="21"/>
                      <w:szCs w:val="21"/>
                      <w:lang w:val="en-US" w:eastAsia="zh-CN"/>
                    </w:rPr>
                    <w:t>吨</w:t>
                  </w:r>
                </w:p>
              </w:tc>
              <w:tc>
                <w:tcPr>
                  <w:tcW w:w="11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eastAsia="宋体" w:cs="宋体"/>
                      <w:color w:val="121212"/>
                      <w:kern w:val="0"/>
                      <w:sz w:val="21"/>
                      <w:szCs w:val="21"/>
                      <w:lang w:val="en-US" w:eastAsia="zh-CN"/>
                    </w:rPr>
                  </w:pPr>
                  <w:r>
                    <w:rPr>
                      <w:rFonts w:hint="eastAsia" w:ascii="宋体" w:hAnsi="宋体" w:cs="宋体"/>
                      <w:color w:val="121212"/>
                      <w:kern w:val="0"/>
                      <w:sz w:val="21"/>
                      <w:szCs w:val="21"/>
                      <w:lang w:val="en-US" w:eastAsia="zh-CN"/>
                    </w:rPr>
                    <w:t>盒装</w:t>
                  </w:r>
                </w:p>
              </w:tc>
              <w:tc>
                <w:tcPr>
                  <w:tcW w:w="11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eastAsia="宋体" w:cs="宋体"/>
                      <w:color w:val="121212"/>
                      <w:kern w:val="0"/>
                      <w:sz w:val="21"/>
                      <w:szCs w:val="21"/>
                      <w:lang w:val="en-US" w:eastAsia="zh-CN" w:bidi="ar-SA"/>
                    </w:rPr>
                  </w:pPr>
                  <w:r>
                    <w:rPr>
                      <w:rFonts w:hint="eastAsia" w:ascii="宋体" w:hAnsi="宋体" w:eastAsia="宋体" w:cs="宋体"/>
                      <w:color w:val="121212"/>
                      <w:kern w:val="0"/>
                      <w:sz w:val="21"/>
                      <w:szCs w:val="21"/>
                      <w:lang w:val="en-US" w:eastAsia="zh-CN"/>
                    </w:rPr>
                    <w:t>生产车间</w:t>
                  </w:r>
                </w:p>
              </w:tc>
              <w:tc>
                <w:tcPr>
                  <w:tcW w:w="15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cs="宋体"/>
                      <w:color w:val="121212"/>
                      <w:kern w:val="0"/>
                      <w:sz w:val="21"/>
                      <w:szCs w:val="21"/>
                    </w:rPr>
                  </w:pPr>
                  <w:r>
                    <w:rPr>
                      <w:rFonts w:hint="eastAsia" w:ascii="宋体" w:hAnsi="宋体" w:eastAsia="宋体" w:cs="宋体"/>
                      <w:color w:val="121212"/>
                      <w:kern w:val="0"/>
                      <w:sz w:val="21"/>
                      <w:szCs w:val="21"/>
                      <w:lang w:val="en-US" w:eastAsia="zh-CN"/>
                    </w:rPr>
                    <w:t>外购</w:t>
                  </w:r>
                </w:p>
              </w:tc>
            </w:tr>
            <w:tr>
              <w:tblPrEx>
                <w:tblLayout w:type="fixed"/>
              </w:tblPrEx>
              <w:trPr>
                <w:trHeight w:val="397" w:hRule="atLeast"/>
                <w:jc w:val="center"/>
              </w:trPr>
              <w:tc>
                <w:tcPr>
                  <w:tcW w:w="4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宋体" w:hAnsi="宋体"/>
                      <w:snapToGrid w:val="0"/>
                      <w:color w:val="121212"/>
                      <w:kern w:val="0"/>
                      <w:sz w:val="21"/>
                      <w:szCs w:val="21"/>
                    </w:rPr>
                  </w:pPr>
                  <w:r>
                    <w:rPr>
                      <w:rFonts w:ascii="宋体" w:hAnsi="宋体"/>
                      <w:snapToGrid w:val="0"/>
                      <w:color w:val="121212"/>
                      <w:kern w:val="0"/>
                      <w:sz w:val="21"/>
                      <w:szCs w:val="21"/>
                    </w:rPr>
                    <w:t>3</w:t>
                  </w:r>
                </w:p>
              </w:tc>
              <w:tc>
                <w:tcPr>
                  <w:tcW w:w="1344" w:type="dxa"/>
                  <w:gridSpan w:val="2"/>
                  <w:vAlign w:val="center"/>
                </w:tcPr>
                <w:p>
                  <w:pPr>
                    <w:pStyle w:val="70"/>
                    <w:keepNext w:val="0"/>
                    <w:keepLines w:val="0"/>
                    <w:pageBreakBefore w:val="0"/>
                    <w:widowControl w:val="0"/>
                    <w:kinsoku/>
                    <w:wordWrap/>
                    <w:overflowPunct/>
                    <w:topLinePunct w:val="0"/>
                    <w:autoSpaceDE/>
                    <w:autoSpaceDN/>
                    <w:bidi w:val="0"/>
                    <w:adjustRightInd/>
                    <w:spacing w:line="240" w:lineRule="auto"/>
                    <w:ind w:left="0" w:leftChars="0" w:firstLine="0" w:firstLineChars="0"/>
                    <w:jc w:val="center"/>
                    <w:textAlignment w:val="auto"/>
                    <w:rPr>
                      <w:rFonts w:hint="default" w:ascii="宋体" w:hAnsi="宋体" w:eastAsia="宋体"/>
                      <w:snapToGrid w:val="0"/>
                      <w:color w:val="121212"/>
                      <w:kern w:val="0"/>
                      <w:sz w:val="21"/>
                      <w:szCs w:val="21"/>
                      <w:lang w:val="en-US" w:eastAsia="zh-CN"/>
                    </w:rPr>
                  </w:pPr>
                  <w:r>
                    <w:rPr>
                      <w:rFonts w:hint="eastAsia"/>
                      <w:snapToGrid w:val="0"/>
                      <w:color w:val="121212"/>
                      <w:kern w:val="0"/>
                      <w:sz w:val="21"/>
                      <w:szCs w:val="21"/>
                      <w:lang w:val="en-US" w:eastAsia="zh-CN"/>
                    </w:rPr>
                    <w:t>切削液</w:t>
                  </w:r>
                </w:p>
              </w:tc>
              <w:tc>
                <w:tcPr>
                  <w:tcW w:w="1311" w:type="dxa"/>
                  <w:tcBorders>
                    <w:right w:val="single" w:color="auto" w:sz="2" w:space="0"/>
                  </w:tcBorders>
                  <w:vAlign w:val="center"/>
                </w:tcPr>
                <w:p>
                  <w:pPr>
                    <w:keepNext w:val="0"/>
                    <w:keepLines w:val="0"/>
                    <w:pageBreakBefore w:val="0"/>
                    <w:widowControl w:val="0"/>
                    <w:kinsoku/>
                    <w:wordWrap/>
                    <w:overflowPunct/>
                    <w:topLinePunct w:val="0"/>
                    <w:autoSpaceDE/>
                    <w:autoSpaceDN/>
                    <w:bidi w:val="0"/>
                    <w:adjustRightInd/>
                    <w:spacing w:line="240" w:lineRule="auto"/>
                    <w:ind w:left="0" w:firstLine="0" w:firstLineChars="0"/>
                    <w:jc w:val="center"/>
                    <w:textAlignment w:val="auto"/>
                    <w:rPr>
                      <w:rFonts w:hint="default" w:ascii="宋体" w:hAnsi="宋体" w:eastAsia="宋体"/>
                      <w:snapToGrid w:val="0"/>
                      <w:color w:val="121212"/>
                      <w:kern w:val="0"/>
                      <w:sz w:val="21"/>
                      <w:szCs w:val="21"/>
                      <w:lang w:val="en-US" w:eastAsia="zh-CN"/>
                    </w:rPr>
                  </w:pPr>
                  <w:r>
                    <w:rPr>
                      <w:rFonts w:hint="eastAsia" w:ascii="宋体" w:hAnsi="宋体"/>
                      <w:snapToGrid w:val="0"/>
                      <w:color w:val="121212"/>
                      <w:kern w:val="0"/>
                      <w:sz w:val="21"/>
                      <w:szCs w:val="21"/>
                      <w:lang w:val="en-US" w:eastAsia="zh-CN"/>
                    </w:rPr>
                    <w:t>0.2</w:t>
                  </w:r>
                </w:p>
              </w:tc>
              <w:tc>
                <w:tcPr>
                  <w:tcW w:w="1388" w:type="dxa"/>
                  <w:tcBorders>
                    <w:right w:val="single" w:color="auto" w:sz="2" w:space="0"/>
                  </w:tcBorders>
                  <w:vAlign w:val="center"/>
                </w:tcPr>
                <w:p>
                  <w:pPr>
                    <w:pStyle w:val="70"/>
                    <w:keepNext w:val="0"/>
                    <w:keepLines w:val="0"/>
                    <w:pageBreakBefore w:val="0"/>
                    <w:widowControl w:val="0"/>
                    <w:kinsoku/>
                    <w:wordWrap/>
                    <w:overflowPunct/>
                    <w:topLinePunct w:val="0"/>
                    <w:autoSpaceDE/>
                    <w:autoSpaceDN/>
                    <w:bidi w:val="0"/>
                    <w:adjustRightInd/>
                    <w:spacing w:line="240" w:lineRule="auto"/>
                    <w:ind w:left="0" w:firstLine="0" w:firstLineChars="0"/>
                    <w:jc w:val="center"/>
                    <w:textAlignment w:val="auto"/>
                    <w:rPr>
                      <w:rFonts w:hint="default" w:ascii="宋体" w:hAnsi="宋体" w:eastAsia="宋体"/>
                      <w:snapToGrid w:val="0"/>
                      <w:color w:val="121212"/>
                      <w:kern w:val="0"/>
                      <w:sz w:val="21"/>
                      <w:szCs w:val="21"/>
                      <w:lang w:val="en-US" w:eastAsia="zh-CN"/>
                    </w:rPr>
                  </w:pPr>
                  <w:r>
                    <w:rPr>
                      <w:rFonts w:hint="eastAsia"/>
                      <w:snapToGrid w:val="0"/>
                      <w:color w:val="121212"/>
                      <w:kern w:val="0"/>
                      <w:sz w:val="21"/>
                      <w:szCs w:val="21"/>
                      <w:lang w:val="en-US" w:eastAsia="zh-CN"/>
                    </w:rPr>
                    <w:t>0.05</w:t>
                  </w:r>
                  <w:r>
                    <w:rPr>
                      <w:rFonts w:hint="eastAsia" w:ascii="宋体" w:hAnsi="宋体" w:eastAsia="宋体"/>
                      <w:snapToGrid w:val="0"/>
                      <w:color w:val="121212"/>
                      <w:kern w:val="0"/>
                      <w:sz w:val="21"/>
                      <w:szCs w:val="21"/>
                      <w:lang w:val="en-US" w:eastAsia="zh-CN"/>
                    </w:rPr>
                    <w:t>吨</w:t>
                  </w:r>
                </w:p>
              </w:tc>
              <w:tc>
                <w:tcPr>
                  <w:tcW w:w="11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eastAsia="宋体" w:cs="宋体"/>
                      <w:color w:val="121212"/>
                      <w:kern w:val="0"/>
                      <w:sz w:val="21"/>
                      <w:szCs w:val="21"/>
                      <w:lang w:val="en-US" w:eastAsia="zh-CN"/>
                    </w:rPr>
                  </w:pPr>
                  <w:r>
                    <w:rPr>
                      <w:rFonts w:hint="eastAsia" w:ascii="宋体" w:hAnsi="宋体" w:cs="宋体"/>
                      <w:color w:val="121212"/>
                      <w:kern w:val="0"/>
                      <w:sz w:val="21"/>
                      <w:szCs w:val="21"/>
                      <w:lang w:val="en-US" w:eastAsia="zh-CN"/>
                    </w:rPr>
                    <w:t>桶装</w:t>
                  </w:r>
                </w:p>
              </w:tc>
              <w:tc>
                <w:tcPr>
                  <w:tcW w:w="11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宋体" w:cs="宋体"/>
                      <w:color w:val="121212"/>
                      <w:kern w:val="0"/>
                      <w:sz w:val="21"/>
                      <w:szCs w:val="21"/>
                      <w:lang w:val="en-US" w:eastAsia="zh-CN" w:bidi="ar-SA"/>
                    </w:rPr>
                  </w:pPr>
                  <w:r>
                    <w:rPr>
                      <w:rFonts w:hint="eastAsia" w:ascii="宋体" w:hAnsi="宋体" w:eastAsia="宋体" w:cs="宋体"/>
                      <w:color w:val="121212"/>
                      <w:kern w:val="0"/>
                      <w:sz w:val="21"/>
                      <w:szCs w:val="21"/>
                      <w:lang w:val="en-US" w:eastAsia="zh-CN"/>
                    </w:rPr>
                    <w:t>生产车间</w:t>
                  </w:r>
                </w:p>
              </w:tc>
              <w:tc>
                <w:tcPr>
                  <w:tcW w:w="15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cs="宋体"/>
                      <w:color w:val="121212"/>
                      <w:kern w:val="0"/>
                      <w:sz w:val="21"/>
                      <w:szCs w:val="21"/>
                    </w:rPr>
                  </w:pPr>
                  <w:r>
                    <w:rPr>
                      <w:rFonts w:hint="eastAsia" w:ascii="宋体" w:hAnsi="宋体" w:eastAsia="宋体" w:cs="宋体"/>
                      <w:color w:val="121212"/>
                      <w:kern w:val="0"/>
                      <w:sz w:val="21"/>
                      <w:szCs w:val="21"/>
                      <w:lang w:val="en-US" w:eastAsia="zh-CN"/>
                    </w:rPr>
                    <w:t>外购</w:t>
                  </w:r>
                </w:p>
              </w:tc>
            </w:tr>
            <w:tr>
              <w:tblPrEx>
                <w:tblLayout w:type="fixed"/>
              </w:tblPrEx>
              <w:trPr>
                <w:trHeight w:val="397" w:hRule="atLeast"/>
                <w:jc w:val="center"/>
              </w:trPr>
              <w:tc>
                <w:tcPr>
                  <w:tcW w:w="4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宋体"/>
                      <w:snapToGrid w:val="0"/>
                      <w:color w:val="121212"/>
                      <w:kern w:val="0"/>
                      <w:sz w:val="21"/>
                      <w:szCs w:val="21"/>
                      <w:lang w:val="en-US" w:eastAsia="zh-CN"/>
                    </w:rPr>
                  </w:pPr>
                  <w:r>
                    <w:rPr>
                      <w:rFonts w:hint="eastAsia" w:ascii="宋体" w:hAnsi="宋体"/>
                      <w:snapToGrid w:val="0"/>
                      <w:color w:val="121212"/>
                      <w:kern w:val="0"/>
                      <w:sz w:val="21"/>
                      <w:szCs w:val="21"/>
                      <w:lang w:val="en-US" w:eastAsia="zh-CN"/>
                    </w:rPr>
                    <w:t>4</w:t>
                  </w:r>
                </w:p>
              </w:tc>
              <w:tc>
                <w:tcPr>
                  <w:tcW w:w="1344" w:type="dxa"/>
                  <w:gridSpan w:val="2"/>
                  <w:vAlign w:val="center"/>
                </w:tcPr>
                <w:p>
                  <w:pPr>
                    <w:pStyle w:val="70"/>
                    <w:keepNext w:val="0"/>
                    <w:keepLines w:val="0"/>
                    <w:pageBreakBefore w:val="0"/>
                    <w:widowControl w:val="0"/>
                    <w:kinsoku/>
                    <w:wordWrap/>
                    <w:overflowPunct/>
                    <w:topLinePunct w:val="0"/>
                    <w:autoSpaceDE/>
                    <w:autoSpaceDN/>
                    <w:bidi w:val="0"/>
                    <w:adjustRightInd/>
                    <w:spacing w:line="240" w:lineRule="auto"/>
                    <w:ind w:left="0" w:firstLine="0" w:firstLineChars="0"/>
                    <w:jc w:val="center"/>
                    <w:textAlignment w:val="auto"/>
                    <w:rPr>
                      <w:rFonts w:hint="eastAsia" w:ascii="宋体" w:hAnsi="宋体"/>
                      <w:snapToGrid w:val="0"/>
                      <w:color w:val="121212"/>
                      <w:kern w:val="0"/>
                      <w:sz w:val="21"/>
                      <w:szCs w:val="21"/>
                    </w:rPr>
                  </w:pPr>
                  <w:r>
                    <w:rPr>
                      <w:color w:val="121212"/>
                      <w:spacing w:val="6"/>
                      <w:sz w:val="21"/>
                      <w:szCs w:val="21"/>
                    </w:rPr>
                    <w:t>二氧化碳</w:t>
                  </w:r>
                </w:p>
              </w:tc>
              <w:tc>
                <w:tcPr>
                  <w:tcW w:w="1311" w:type="dxa"/>
                  <w:tcBorders>
                    <w:right w:val="single" w:color="auto" w:sz="2" w:space="0"/>
                  </w:tcBorders>
                  <w:vAlign w:val="center"/>
                </w:tcPr>
                <w:p>
                  <w:pPr>
                    <w:keepNext w:val="0"/>
                    <w:keepLines w:val="0"/>
                    <w:pageBreakBefore w:val="0"/>
                    <w:widowControl w:val="0"/>
                    <w:kinsoku/>
                    <w:wordWrap/>
                    <w:overflowPunct/>
                    <w:topLinePunct w:val="0"/>
                    <w:autoSpaceDE/>
                    <w:autoSpaceDN/>
                    <w:bidi w:val="0"/>
                    <w:adjustRightInd/>
                    <w:spacing w:line="240" w:lineRule="auto"/>
                    <w:ind w:left="0" w:firstLine="0" w:firstLineChars="0"/>
                    <w:jc w:val="center"/>
                    <w:textAlignment w:val="auto"/>
                    <w:rPr>
                      <w:rFonts w:ascii="宋体" w:hAnsi="宋体"/>
                      <w:snapToGrid w:val="0"/>
                      <w:color w:val="121212"/>
                      <w:kern w:val="0"/>
                      <w:sz w:val="21"/>
                      <w:szCs w:val="21"/>
                    </w:rPr>
                  </w:pPr>
                  <w:r>
                    <w:rPr>
                      <w:rFonts w:ascii="Times New Roman" w:hAnsi="Times New Roman" w:eastAsia="Times New Roman" w:cs="Times New Roman"/>
                      <w:color w:val="121212"/>
                      <w:spacing w:val="-4"/>
                      <w:sz w:val="21"/>
                      <w:szCs w:val="21"/>
                    </w:rPr>
                    <w:t>1.2</w:t>
                  </w:r>
                  <w:r>
                    <w:rPr>
                      <w:rFonts w:hint="eastAsia" w:ascii="宋体" w:hAnsi="宋体" w:eastAsia="宋体"/>
                      <w:snapToGrid w:val="0"/>
                      <w:color w:val="121212"/>
                      <w:kern w:val="0"/>
                      <w:sz w:val="21"/>
                      <w:szCs w:val="21"/>
                      <w:lang w:val="en-US" w:eastAsia="zh-CN"/>
                    </w:rPr>
                    <w:t>吨</w:t>
                  </w:r>
                </w:p>
              </w:tc>
              <w:tc>
                <w:tcPr>
                  <w:tcW w:w="1388" w:type="dxa"/>
                  <w:tcBorders>
                    <w:right w:val="single" w:color="auto" w:sz="2" w:space="0"/>
                  </w:tcBorders>
                  <w:vAlign w:val="center"/>
                </w:tcPr>
                <w:p>
                  <w:pPr>
                    <w:pStyle w:val="70"/>
                    <w:keepNext w:val="0"/>
                    <w:keepLines w:val="0"/>
                    <w:pageBreakBefore w:val="0"/>
                    <w:widowControl w:val="0"/>
                    <w:kinsoku/>
                    <w:wordWrap/>
                    <w:overflowPunct/>
                    <w:topLinePunct w:val="0"/>
                    <w:autoSpaceDE/>
                    <w:autoSpaceDN/>
                    <w:bidi w:val="0"/>
                    <w:adjustRightInd/>
                    <w:spacing w:line="240" w:lineRule="auto"/>
                    <w:ind w:left="0" w:firstLine="0" w:firstLineChars="0"/>
                    <w:jc w:val="center"/>
                    <w:textAlignment w:val="auto"/>
                    <w:rPr>
                      <w:rFonts w:hint="default" w:ascii="宋体" w:hAnsi="宋体" w:eastAsia="宋体"/>
                      <w:snapToGrid w:val="0"/>
                      <w:color w:val="121212"/>
                      <w:kern w:val="0"/>
                      <w:sz w:val="21"/>
                      <w:szCs w:val="21"/>
                      <w:lang w:val="en-US" w:eastAsia="zh-CN"/>
                    </w:rPr>
                  </w:pPr>
                  <w:r>
                    <w:rPr>
                      <w:rFonts w:hint="eastAsia" w:ascii="宋体" w:hAnsi="宋体"/>
                      <w:snapToGrid w:val="0"/>
                      <w:color w:val="121212"/>
                      <w:kern w:val="0"/>
                      <w:sz w:val="21"/>
                      <w:szCs w:val="21"/>
                      <w:lang w:val="en-US" w:eastAsia="zh-CN"/>
                    </w:rPr>
                    <w:t>0.1</w:t>
                  </w:r>
                  <w:r>
                    <w:rPr>
                      <w:rFonts w:hint="eastAsia" w:ascii="宋体" w:hAnsi="宋体" w:eastAsia="宋体"/>
                      <w:snapToGrid w:val="0"/>
                      <w:color w:val="121212"/>
                      <w:kern w:val="0"/>
                      <w:sz w:val="21"/>
                      <w:szCs w:val="21"/>
                      <w:lang w:val="en-US" w:eastAsia="zh-CN"/>
                    </w:rPr>
                    <w:t>吨</w:t>
                  </w:r>
                </w:p>
              </w:tc>
              <w:tc>
                <w:tcPr>
                  <w:tcW w:w="11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eastAsia="宋体" w:cs="宋体"/>
                      <w:color w:val="121212"/>
                      <w:kern w:val="0"/>
                      <w:sz w:val="21"/>
                      <w:szCs w:val="21"/>
                      <w:lang w:val="en-US" w:eastAsia="zh-CN"/>
                    </w:rPr>
                  </w:pPr>
                  <w:r>
                    <w:rPr>
                      <w:rFonts w:hint="eastAsia" w:ascii="宋体" w:hAnsi="宋体" w:cs="宋体"/>
                      <w:color w:val="121212"/>
                      <w:kern w:val="0"/>
                      <w:sz w:val="21"/>
                      <w:szCs w:val="21"/>
                      <w:lang w:val="en-US" w:eastAsia="zh-CN"/>
                    </w:rPr>
                    <w:t>罐装</w:t>
                  </w:r>
                </w:p>
              </w:tc>
              <w:tc>
                <w:tcPr>
                  <w:tcW w:w="11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宋体" w:cs="宋体"/>
                      <w:color w:val="121212"/>
                      <w:kern w:val="0"/>
                      <w:sz w:val="21"/>
                      <w:szCs w:val="21"/>
                      <w:lang w:val="en-US" w:eastAsia="zh-CN" w:bidi="ar-SA"/>
                    </w:rPr>
                  </w:pPr>
                  <w:r>
                    <w:rPr>
                      <w:rFonts w:hint="eastAsia" w:ascii="宋体" w:hAnsi="宋体" w:eastAsia="宋体" w:cs="宋体"/>
                      <w:color w:val="121212"/>
                      <w:kern w:val="0"/>
                      <w:sz w:val="21"/>
                      <w:szCs w:val="21"/>
                      <w:lang w:val="en-US" w:eastAsia="zh-CN"/>
                    </w:rPr>
                    <w:t>生产车间</w:t>
                  </w:r>
                </w:p>
              </w:tc>
              <w:tc>
                <w:tcPr>
                  <w:tcW w:w="15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cs="宋体"/>
                      <w:color w:val="121212"/>
                      <w:kern w:val="0"/>
                      <w:sz w:val="21"/>
                      <w:szCs w:val="21"/>
                    </w:rPr>
                  </w:pPr>
                  <w:r>
                    <w:rPr>
                      <w:color w:val="121212"/>
                      <w:spacing w:val="7"/>
                      <w:sz w:val="21"/>
                      <w:szCs w:val="21"/>
                    </w:rPr>
                    <w:t>外购</w:t>
                  </w:r>
                  <w:r>
                    <w:rPr>
                      <w:rFonts w:hint="eastAsia"/>
                      <w:color w:val="121212"/>
                      <w:spacing w:val="7"/>
                      <w:sz w:val="21"/>
                      <w:szCs w:val="21"/>
                      <w:lang w:eastAsia="zh-CN"/>
                    </w:rPr>
                    <w:t>，</w:t>
                  </w:r>
                  <w:r>
                    <w:rPr>
                      <w:rFonts w:ascii="Times New Roman" w:hAnsi="Times New Roman" w:eastAsia="Times New Roman" w:cs="Times New Roman"/>
                      <w:color w:val="121212"/>
                      <w:spacing w:val="7"/>
                      <w:sz w:val="21"/>
                      <w:szCs w:val="21"/>
                    </w:rPr>
                    <w:t>50</w:t>
                  </w:r>
                  <w:r>
                    <w:rPr>
                      <w:rFonts w:ascii="Times New Roman" w:hAnsi="Times New Roman" w:eastAsia="Times New Roman" w:cs="Times New Roman"/>
                      <w:color w:val="121212"/>
                      <w:sz w:val="21"/>
                      <w:szCs w:val="21"/>
                    </w:rPr>
                    <w:t>kg</w:t>
                  </w:r>
                  <w:r>
                    <w:rPr>
                      <w:rFonts w:ascii="Times New Roman" w:hAnsi="Times New Roman" w:eastAsia="Times New Roman" w:cs="Times New Roman"/>
                      <w:color w:val="121212"/>
                      <w:spacing w:val="7"/>
                      <w:sz w:val="21"/>
                      <w:szCs w:val="21"/>
                    </w:rPr>
                    <w:t>/</w:t>
                  </w:r>
                  <w:r>
                    <w:rPr>
                      <w:color w:val="121212"/>
                      <w:spacing w:val="7"/>
                      <w:sz w:val="21"/>
                      <w:szCs w:val="21"/>
                    </w:rPr>
                    <w:t>瓶</w:t>
                  </w:r>
                </w:p>
              </w:tc>
            </w:tr>
            <w:tr>
              <w:tblPrEx>
                <w:tblLayout w:type="fixed"/>
              </w:tblPrEx>
              <w:trPr>
                <w:trHeight w:val="397" w:hRule="atLeast"/>
                <w:jc w:val="center"/>
              </w:trPr>
              <w:tc>
                <w:tcPr>
                  <w:tcW w:w="4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宋体"/>
                      <w:snapToGrid w:val="0"/>
                      <w:color w:val="121212"/>
                      <w:kern w:val="0"/>
                      <w:sz w:val="21"/>
                      <w:szCs w:val="21"/>
                      <w:lang w:val="en-US" w:eastAsia="zh-CN"/>
                    </w:rPr>
                  </w:pPr>
                  <w:r>
                    <w:rPr>
                      <w:rFonts w:hint="eastAsia" w:ascii="宋体" w:hAnsi="宋体"/>
                      <w:snapToGrid w:val="0"/>
                      <w:color w:val="121212"/>
                      <w:kern w:val="0"/>
                      <w:sz w:val="21"/>
                      <w:szCs w:val="21"/>
                      <w:lang w:val="en-US" w:eastAsia="zh-CN"/>
                    </w:rPr>
                    <w:t>5</w:t>
                  </w:r>
                </w:p>
              </w:tc>
              <w:tc>
                <w:tcPr>
                  <w:tcW w:w="1344" w:type="dxa"/>
                  <w:gridSpan w:val="2"/>
                  <w:vAlign w:val="center"/>
                </w:tcPr>
                <w:p>
                  <w:pPr>
                    <w:pStyle w:val="70"/>
                    <w:keepNext w:val="0"/>
                    <w:keepLines w:val="0"/>
                    <w:pageBreakBefore w:val="0"/>
                    <w:widowControl w:val="0"/>
                    <w:kinsoku/>
                    <w:wordWrap/>
                    <w:overflowPunct/>
                    <w:topLinePunct w:val="0"/>
                    <w:autoSpaceDE/>
                    <w:autoSpaceDN/>
                    <w:bidi w:val="0"/>
                    <w:adjustRightInd/>
                    <w:spacing w:line="240" w:lineRule="auto"/>
                    <w:ind w:left="0" w:firstLine="0" w:firstLineChars="0"/>
                    <w:jc w:val="center"/>
                    <w:textAlignment w:val="auto"/>
                    <w:rPr>
                      <w:rFonts w:hint="eastAsia" w:ascii="宋体" w:hAnsi="宋体"/>
                      <w:snapToGrid w:val="0"/>
                      <w:color w:val="121212"/>
                      <w:kern w:val="0"/>
                      <w:sz w:val="21"/>
                      <w:szCs w:val="21"/>
                    </w:rPr>
                  </w:pPr>
                  <w:r>
                    <w:rPr>
                      <w:color w:val="121212"/>
                      <w:spacing w:val="6"/>
                      <w:sz w:val="21"/>
                      <w:szCs w:val="21"/>
                    </w:rPr>
                    <w:t>液压油</w:t>
                  </w:r>
                </w:p>
              </w:tc>
              <w:tc>
                <w:tcPr>
                  <w:tcW w:w="1311" w:type="dxa"/>
                  <w:tcBorders>
                    <w:right w:val="single" w:color="auto" w:sz="2" w:space="0"/>
                  </w:tcBorders>
                  <w:vAlign w:val="center"/>
                </w:tcPr>
                <w:p>
                  <w:pPr>
                    <w:keepNext w:val="0"/>
                    <w:keepLines w:val="0"/>
                    <w:pageBreakBefore w:val="0"/>
                    <w:widowControl w:val="0"/>
                    <w:kinsoku/>
                    <w:wordWrap/>
                    <w:overflowPunct/>
                    <w:topLinePunct w:val="0"/>
                    <w:autoSpaceDE/>
                    <w:autoSpaceDN/>
                    <w:bidi w:val="0"/>
                    <w:adjustRightInd/>
                    <w:spacing w:line="240" w:lineRule="auto"/>
                    <w:ind w:left="0" w:firstLine="0" w:firstLineChars="0"/>
                    <w:jc w:val="center"/>
                    <w:textAlignment w:val="auto"/>
                    <w:rPr>
                      <w:rFonts w:ascii="宋体" w:hAnsi="宋体"/>
                      <w:snapToGrid w:val="0"/>
                      <w:color w:val="121212"/>
                      <w:kern w:val="0"/>
                      <w:sz w:val="21"/>
                      <w:szCs w:val="21"/>
                    </w:rPr>
                  </w:pPr>
                  <w:r>
                    <w:rPr>
                      <w:rFonts w:ascii="Times New Roman" w:hAnsi="Times New Roman" w:eastAsia="Times New Roman" w:cs="Times New Roman"/>
                      <w:color w:val="121212"/>
                      <w:spacing w:val="-4"/>
                      <w:sz w:val="21"/>
                      <w:szCs w:val="21"/>
                    </w:rPr>
                    <w:t>1.2</w:t>
                  </w:r>
                  <w:r>
                    <w:rPr>
                      <w:rFonts w:hint="eastAsia" w:ascii="宋体" w:hAnsi="宋体" w:eastAsia="宋体"/>
                      <w:snapToGrid w:val="0"/>
                      <w:color w:val="121212"/>
                      <w:kern w:val="0"/>
                      <w:sz w:val="21"/>
                      <w:szCs w:val="21"/>
                      <w:lang w:val="en-US" w:eastAsia="zh-CN"/>
                    </w:rPr>
                    <w:t>吨</w:t>
                  </w:r>
                </w:p>
              </w:tc>
              <w:tc>
                <w:tcPr>
                  <w:tcW w:w="1388" w:type="dxa"/>
                  <w:tcBorders>
                    <w:right w:val="single" w:color="auto" w:sz="2" w:space="0"/>
                  </w:tcBorders>
                  <w:vAlign w:val="center"/>
                </w:tcPr>
                <w:p>
                  <w:pPr>
                    <w:pStyle w:val="70"/>
                    <w:keepNext w:val="0"/>
                    <w:keepLines w:val="0"/>
                    <w:pageBreakBefore w:val="0"/>
                    <w:widowControl w:val="0"/>
                    <w:kinsoku/>
                    <w:wordWrap/>
                    <w:overflowPunct/>
                    <w:topLinePunct w:val="0"/>
                    <w:autoSpaceDE/>
                    <w:autoSpaceDN/>
                    <w:bidi w:val="0"/>
                    <w:adjustRightInd/>
                    <w:spacing w:line="240" w:lineRule="auto"/>
                    <w:ind w:left="0" w:firstLine="0" w:firstLineChars="0"/>
                    <w:jc w:val="center"/>
                    <w:textAlignment w:val="auto"/>
                    <w:rPr>
                      <w:rFonts w:hint="default" w:ascii="宋体" w:hAnsi="宋体" w:eastAsia="宋体"/>
                      <w:snapToGrid w:val="0"/>
                      <w:color w:val="121212"/>
                      <w:kern w:val="0"/>
                      <w:sz w:val="21"/>
                      <w:szCs w:val="21"/>
                      <w:lang w:val="en-US" w:eastAsia="zh-CN"/>
                    </w:rPr>
                  </w:pPr>
                  <w:r>
                    <w:rPr>
                      <w:rFonts w:hint="eastAsia" w:ascii="宋体" w:hAnsi="宋体"/>
                      <w:snapToGrid w:val="0"/>
                      <w:color w:val="121212"/>
                      <w:kern w:val="0"/>
                      <w:sz w:val="21"/>
                      <w:szCs w:val="21"/>
                      <w:lang w:val="en-US" w:eastAsia="zh-CN"/>
                    </w:rPr>
                    <w:t>0.3</w:t>
                  </w:r>
                  <w:r>
                    <w:rPr>
                      <w:rFonts w:hint="eastAsia" w:ascii="宋体" w:hAnsi="宋体" w:eastAsia="宋体"/>
                      <w:snapToGrid w:val="0"/>
                      <w:color w:val="121212"/>
                      <w:kern w:val="0"/>
                      <w:sz w:val="21"/>
                      <w:szCs w:val="21"/>
                      <w:lang w:val="en-US" w:eastAsia="zh-CN"/>
                    </w:rPr>
                    <w:t>吨</w:t>
                  </w:r>
                </w:p>
              </w:tc>
              <w:tc>
                <w:tcPr>
                  <w:tcW w:w="11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eastAsia="宋体" w:cs="宋体"/>
                      <w:color w:val="121212"/>
                      <w:kern w:val="0"/>
                      <w:sz w:val="21"/>
                      <w:szCs w:val="21"/>
                      <w:lang w:val="en-US" w:eastAsia="zh-CN"/>
                    </w:rPr>
                  </w:pPr>
                  <w:r>
                    <w:rPr>
                      <w:rFonts w:hint="eastAsia" w:ascii="宋体" w:hAnsi="宋体" w:cs="宋体"/>
                      <w:color w:val="121212"/>
                      <w:kern w:val="0"/>
                      <w:sz w:val="21"/>
                      <w:szCs w:val="21"/>
                      <w:lang w:val="en-US" w:eastAsia="zh-CN"/>
                    </w:rPr>
                    <w:t>桶装</w:t>
                  </w:r>
                </w:p>
              </w:tc>
              <w:tc>
                <w:tcPr>
                  <w:tcW w:w="11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宋体" w:cs="宋体"/>
                      <w:color w:val="121212"/>
                      <w:kern w:val="0"/>
                      <w:sz w:val="21"/>
                      <w:szCs w:val="21"/>
                      <w:lang w:val="en-US" w:eastAsia="zh-CN" w:bidi="ar-SA"/>
                    </w:rPr>
                  </w:pPr>
                  <w:r>
                    <w:rPr>
                      <w:rFonts w:hint="eastAsia" w:ascii="宋体" w:hAnsi="宋体" w:eastAsia="宋体" w:cs="宋体"/>
                      <w:color w:val="121212"/>
                      <w:kern w:val="0"/>
                      <w:sz w:val="21"/>
                      <w:szCs w:val="21"/>
                      <w:lang w:val="en-US" w:eastAsia="zh-CN"/>
                    </w:rPr>
                    <w:t>生产车间</w:t>
                  </w:r>
                </w:p>
              </w:tc>
              <w:tc>
                <w:tcPr>
                  <w:tcW w:w="15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cs="宋体"/>
                      <w:color w:val="121212"/>
                      <w:kern w:val="0"/>
                      <w:sz w:val="21"/>
                      <w:szCs w:val="21"/>
                    </w:rPr>
                  </w:pPr>
                  <w:r>
                    <w:rPr>
                      <w:color w:val="121212"/>
                      <w:spacing w:val="2"/>
                      <w:sz w:val="21"/>
                      <w:szCs w:val="21"/>
                    </w:rPr>
                    <w:t>外购</w:t>
                  </w:r>
                </w:p>
              </w:tc>
            </w:tr>
            <w:tr>
              <w:tblPrEx>
                <w:tblLayout w:type="fixed"/>
              </w:tblPrEx>
              <w:trPr>
                <w:trHeight w:val="397" w:hRule="atLeast"/>
                <w:jc w:val="center"/>
              </w:trPr>
              <w:tc>
                <w:tcPr>
                  <w:tcW w:w="4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宋体"/>
                      <w:snapToGrid w:val="0"/>
                      <w:color w:val="121212"/>
                      <w:kern w:val="0"/>
                      <w:sz w:val="21"/>
                      <w:szCs w:val="21"/>
                      <w:lang w:val="en-US" w:eastAsia="zh-CN"/>
                    </w:rPr>
                  </w:pPr>
                  <w:r>
                    <w:rPr>
                      <w:rFonts w:hint="eastAsia" w:ascii="宋体" w:hAnsi="宋体"/>
                      <w:snapToGrid w:val="0"/>
                      <w:color w:val="121212"/>
                      <w:kern w:val="0"/>
                      <w:sz w:val="21"/>
                      <w:szCs w:val="21"/>
                      <w:lang w:val="en-US" w:eastAsia="zh-CN"/>
                    </w:rPr>
                    <w:t>6</w:t>
                  </w:r>
                </w:p>
              </w:tc>
              <w:tc>
                <w:tcPr>
                  <w:tcW w:w="1344" w:type="dxa"/>
                  <w:gridSpan w:val="2"/>
                  <w:vAlign w:val="center"/>
                </w:tcPr>
                <w:p>
                  <w:pPr>
                    <w:pStyle w:val="70"/>
                    <w:keepNext w:val="0"/>
                    <w:keepLines w:val="0"/>
                    <w:pageBreakBefore w:val="0"/>
                    <w:widowControl w:val="0"/>
                    <w:kinsoku/>
                    <w:wordWrap/>
                    <w:overflowPunct/>
                    <w:topLinePunct w:val="0"/>
                    <w:autoSpaceDE/>
                    <w:autoSpaceDN/>
                    <w:bidi w:val="0"/>
                    <w:adjustRightInd/>
                    <w:spacing w:line="240" w:lineRule="auto"/>
                    <w:ind w:left="0" w:firstLine="0" w:firstLineChars="0"/>
                    <w:jc w:val="center"/>
                    <w:textAlignment w:val="auto"/>
                    <w:rPr>
                      <w:rFonts w:hint="eastAsia" w:ascii="宋体" w:hAnsi="宋体"/>
                      <w:snapToGrid w:val="0"/>
                      <w:color w:val="121212"/>
                      <w:kern w:val="0"/>
                      <w:sz w:val="21"/>
                      <w:szCs w:val="21"/>
                    </w:rPr>
                  </w:pPr>
                  <w:r>
                    <w:rPr>
                      <w:color w:val="121212"/>
                      <w:spacing w:val="9"/>
                      <w:sz w:val="21"/>
                      <w:szCs w:val="21"/>
                    </w:rPr>
                    <w:t>车头、底盘、等部件</w:t>
                  </w:r>
                </w:p>
              </w:tc>
              <w:tc>
                <w:tcPr>
                  <w:tcW w:w="1311" w:type="dxa"/>
                  <w:tcBorders>
                    <w:right w:val="single" w:color="auto" w:sz="2" w:space="0"/>
                  </w:tcBorders>
                  <w:vAlign w:val="center"/>
                </w:tcPr>
                <w:p>
                  <w:pPr>
                    <w:pStyle w:val="70"/>
                    <w:keepNext w:val="0"/>
                    <w:keepLines w:val="0"/>
                    <w:pageBreakBefore w:val="0"/>
                    <w:widowControl w:val="0"/>
                    <w:kinsoku/>
                    <w:wordWrap/>
                    <w:overflowPunct/>
                    <w:topLinePunct w:val="0"/>
                    <w:autoSpaceDE/>
                    <w:autoSpaceDN/>
                    <w:bidi w:val="0"/>
                    <w:adjustRightInd/>
                    <w:spacing w:line="240" w:lineRule="auto"/>
                    <w:ind w:left="0" w:firstLine="0" w:firstLineChars="0"/>
                    <w:jc w:val="center"/>
                    <w:textAlignment w:val="auto"/>
                    <w:rPr>
                      <w:rFonts w:ascii="宋体" w:hAnsi="宋体"/>
                      <w:snapToGrid w:val="0"/>
                      <w:color w:val="121212"/>
                      <w:kern w:val="0"/>
                      <w:sz w:val="21"/>
                      <w:szCs w:val="21"/>
                    </w:rPr>
                  </w:pPr>
                  <w:r>
                    <w:rPr>
                      <w:rFonts w:hint="eastAsia" w:ascii="Times New Roman" w:hAnsi="Times New Roman" w:eastAsia="宋体" w:cs="Times New Roman"/>
                      <w:color w:val="121212"/>
                      <w:spacing w:val="1"/>
                      <w:sz w:val="21"/>
                      <w:szCs w:val="21"/>
                      <w:lang w:val="en-US" w:eastAsia="zh-CN"/>
                    </w:rPr>
                    <w:t>1000</w:t>
                  </w:r>
                  <w:r>
                    <w:rPr>
                      <w:color w:val="121212"/>
                      <w:spacing w:val="1"/>
                      <w:sz w:val="21"/>
                      <w:szCs w:val="21"/>
                    </w:rPr>
                    <w:t>套</w:t>
                  </w:r>
                </w:p>
              </w:tc>
              <w:tc>
                <w:tcPr>
                  <w:tcW w:w="1388" w:type="dxa"/>
                  <w:tcBorders>
                    <w:right w:val="single" w:color="auto" w:sz="2" w:space="0"/>
                  </w:tcBorders>
                  <w:vAlign w:val="center"/>
                </w:tcPr>
                <w:p>
                  <w:pPr>
                    <w:pStyle w:val="70"/>
                    <w:keepNext w:val="0"/>
                    <w:keepLines w:val="0"/>
                    <w:pageBreakBefore w:val="0"/>
                    <w:widowControl w:val="0"/>
                    <w:kinsoku/>
                    <w:wordWrap/>
                    <w:overflowPunct/>
                    <w:topLinePunct w:val="0"/>
                    <w:autoSpaceDE/>
                    <w:autoSpaceDN/>
                    <w:bidi w:val="0"/>
                    <w:adjustRightInd/>
                    <w:spacing w:line="240" w:lineRule="auto"/>
                    <w:ind w:left="0" w:firstLine="0" w:firstLineChars="0"/>
                    <w:jc w:val="center"/>
                    <w:textAlignment w:val="auto"/>
                    <w:rPr>
                      <w:rFonts w:hint="default" w:ascii="宋体" w:hAnsi="宋体" w:eastAsia="宋体"/>
                      <w:snapToGrid w:val="0"/>
                      <w:color w:val="121212"/>
                      <w:kern w:val="0"/>
                      <w:sz w:val="21"/>
                      <w:szCs w:val="21"/>
                      <w:lang w:val="en-US" w:eastAsia="zh-CN"/>
                    </w:rPr>
                  </w:pPr>
                  <w:r>
                    <w:rPr>
                      <w:rFonts w:hint="eastAsia" w:ascii="宋体" w:hAnsi="宋体"/>
                      <w:snapToGrid w:val="0"/>
                      <w:color w:val="121212"/>
                      <w:kern w:val="0"/>
                      <w:sz w:val="21"/>
                      <w:szCs w:val="21"/>
                      <w:lang w:val="en-US" w:eastAsia="zh-CN"/>
                    </w:rPr>
                    <w:t>20</w:t>
                  </w:r>
                  <w:r>
                    <w:rPr>
                      <w:color w:val="121212"/>
                      <w:spacing w:val="1"/>
                      <w:sz w:val="21"/>
                      <w:szCs w:val="21"/>
                    </w:rPr>
                    <w:t>套</w:t>
                  </w:r>
                </w:p>
              </w:tc>
              <w:tc>
                <w:tcPr>
                  <w:tcW w:w="11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eastAsia="宋体" w:cs="宋体"/>
                      <w:color w:val="121212"/>
                      <w:kern w:val="0"/>
                      <w:sz w:val="21"/>
                      <w:szCs w:val="21"/>
                      <w:lang w:val="en-US" w:eastAsia="zh-CN"/>
                    </w:rPr>
                  </w:pPr>
                  <w:r>
                    <w:rPr>
                      <w:rFonts w:hint="eastAsia" w:ascii="宋体" w:hAnsi="宋体" w:cs="宋体"/>
                      <w:color w:val="121212"/>
                      <w:kern w:val="0"/>
                      <w:sz w:val="21"/>
                      <w:szCs w:val="21"/>
                      <w:lang w:val="en-US" w:eastAsia="zh-CN"/>
                    </w:rPr>
                    <w:t>箱装</w:t>
                  </w:r>
                </w:p>
              </w:tc>
              <w:tc>
                <w:tcPr>
                  <w:tcW w:w="11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宋体" w:cs="宋体"/>
                      <w:color w:val="121212"/>
                      <w:kern w:val="0"/>
                      <w:sz w:val="21"/>
                      <w:szCs w:val="21"/>
                      <w:lang w:val="en-US" w:eastAsia="zh-CN" w:bidi="ar-SA"/>
                    </w:rPr>
                  </w:pPr>
                  <w:r>
                    <w:rPr>
                      <w:rFonts w:hint="eastAsia" w:ascii="宋体" w:hAnsi="宋体" w:eastAsia="宋体" w:cs="宋体"/>
                      <w:color w:val="121212"/>
                      <w:kern w:val="0"/>
                      <w:sz w:val="21"/>
                      <w:szCs w:val="21"/>
                      <w:lang w:val="en-US" w:eastAsia="zh-CN"/>
                    </w:rPr>
                    <w:t>生产车间</w:t>
                  </w:r>
                </w:p>
              </w:tc>
              <w:tc>
                <w:tcPr>
                  <w:tcW w:w="15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cs="宋体"/>
                      <w:color w:val="121212"/>
                      <w:kern w:val="0"/>
                      <w:sz w:val="21"/>
                      <w:szCs w:val="21"/>
                    </w:rPr>
                  </w:pPr>
                  <w:r>
                    <w:rPr>
                      <w:color w:val="121212"/>
                      <w:spacing w:val="8"/>
                      <w:sz w:val="21"/>
                      <w:szCs w:val="21"/>
                    </w:rPr>
                    <w:t>外购成品部件，厂内直接组装</w:t>
                  </w:r>
                </w:p>
              </w:tc>
            </w:tr>
            <w:tr>
              <w:tblPrEx>
                <w:tblLayout w:type="fixed"/>
              </w:tblPrEx>
              <w:trPr>
                <w:trHeight w:val="397" w:hRule="atLeast"/>
                <w:jc w:val="center"/>
              </w:trPr>
              <w:tc>
                <w:tcPr>
                  <w:tcW w:w="4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宋体"/>
                      <w:snapToGrid w:val="0"/>
                      <w:color w:val="121212"/>
                      <w:kern w:val="0"/>
                      <w:sz w:val="21"/>
                      <w:szCs w:val="21"/>
                      <w:lang w:val="en-US" w:eastAsia="zh-CN"/>
                    </w:rPr>
                  </w:pPr>
                  <w:r>
                    <w:rPr>
                      <w:rFonts w:hint="eastAsia" w:ascii="宋体" w:hAnsi="宋体"/>
                      <w:snapToGrid w:val="0"/>
                      <w:color w:val="121212"/>
                      <w:kern w:val="0"/>
                      <w:sz w:val="21"/>
                      <w:szCs w:val="21"/>
                      <w:lang w:val="en-US" w:eastAsia="zh-CN"/>
                    </w:rPr>
                    <w:t>7</w:t>
                  </w:r>
                </w:p>
              </w:tc>
              <w:tc>
                <w:tcPr>
                  <w:tcW w:w="1344"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宋体"/>
                      <w:snapToGrid w:val="0"/>
                      <w:color w:val="121212"/>
                      <w:kern w:val="0"/>
                      <w:sz w:val="21"/>
                      <w:szCs w:val="21"/>
                      <w:lang w:val="en-US" w:eastAsia="zh-CN"/>
                    </w:rPr>
                  </w:pPr>
                  <w:r>
                    <w:rPr>
                      <w:rFonts w:hint="eastAsia" w:ascii="宋体" w:hAnsi="宋体"/>
                      <w:snapToGrid w:val="0"/>
                      <w:color w:val="121212"/>
                      <w:kern w:val="0"/>
                      <w:sz w:val="21"/>
                      <w:szCs w:val="21"/>
                      <w:lang w:val="en-US" w:eastAsia="zh-CN"/>
                    </w:rPr>
                    <w:t>水泵</w:t>
                  </w:r>
                </w:p>
              </w:tc>
              <w:tc>
                <w:tcPr>
                  <w:tcW w:w="1311" w:type="dxa"/>
                  <w:tcBorders>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eastAsia="宋体"/>
                      <w:snapToGrid w:val="0"/>
                      <w:color w:val="121212"/>
                      <w:kern w:val="0"/>
                      <w:sz w:val="21"/>
                      <w:szCs w:val="21"/>
                      <w:lang w:val="en-US" w:eastAsia="zh-CN"/>
                    </w:rPr>
                  </w:pPr>
                  <w:r>
                    <w:rPr>
                      <w:rFonts w:hint="eastAsia" w:ascii="宋体" w:hAnsi="宋体"/>
                      <w:snapToGrid w:val="0"/>
                      <w:color w:val="121212"/>
                      <w:kern w:val="0"/>
                      <w:sz w:val="21"/>
                      <w:szCs w:val="21"/>
                      <w:lang w:val="en-US" w:eastAsia="zh-CN"/>
                    </w:rPr>
                    <w:t>1000</w:t>
                  </w:r>
                  <w:r>
                    <w:rPr>
                      <w:color w:val="121212"/>
                      <w:spacing w:val="1"/>
                      <w:sz w:val="21"/>
                      <w:szCs w:val="21"/>
                    </w:rPr>
                    <w:t>套</w:t>
                  </w:r>
                </w:p>
              </w:tc>
              <w:tc>
                <w:tcPr>
                  <w:tcW w:w="1388" w:type="dxa"/>
                  <w:tcBorders>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snapToGrid w:val="0"/>
                      <w:color w:val="121212"/>
                      <w:kern w:val="0"/>
                      <w:sz w:val="21"/>
                      <w:szCs w:val="21"/>
                    </w:rPr>
                  </w:pPr>
                  <w:r>
                    <w:rPr>
                      <w:rFonts w:hint="eastAsia" w:ascii="宋体" w:hAnsi="宋体"/>
                      <w:snapToGrid w:val="0"/>
                      <w:color w:val="121212"/>
                      <w:kern w:val="0"/>
                      <w:sz w:val="21"/>
                      <w:szCs w:val="21"/>
                      <w:lang w:val="en-US" w:eastAsia="zh-CN"/>
                    </w:rPr>
                    <w:t>30</w:t>
                  </w:r>
                  <w:r>
                    <w:rPr>
                      <w:color w:val="121212"/>
                      <w:spacing w:val="1"/>
                      <w:sz w:val="21"/>
                      <w:szCs w:val="21"/>
                    </w:rPr>
                    <w:t>套</w:t>
                  </w:r>
                </w:p>
              </w:tc>
              <w:tc>
                <w:tcPr>
                  <w:tcW w:w="11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宋体" w:cs="宋体"/>
                      <w:color w:val="121212"/>
                      <w:kern w:val="0"/>
                      <w:sz w:val="21"/>
                      <w:szCs w:val="21"/>
                      <w:lang w:val="en-US" w:eastAsia="zh-CN"/>
                    </w:rPr>
                  </w:pPr>
                  <w:r>
                    <w:rPr>
                      <w:rFonts w:hint="eastAsia" w:ascii="宋体" w:hAnsi="宋体" w:cs="宋体"/>
                      <w:color w:val="121212"/>
                      <w:kern w:val="0"/>
                      <w:sz w:val="21"/>
                      <w:szCs w:val="21"/>
                      <w:lang w:val="en-US" w:eastAsia="zh-CN"/>
                    </w:rPr>
                    <w:t>箱装</w:t>
                  </w:r>
                </w:p>
              </w:tc>
              <w:tc>
                <w:tcPr>
                  <w:tcW w:w="11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宋体" w:cs="宋体"/>
                      <w:color w:val="121212"/>
                      <w:kern w:val="0"/>
                      <w:sz w:val="21"/>
                      <w:szCs w:val="21"/>
                      <w:lang w:val="en-US" w:eastAsia="zh-CN" w:bidi="ar-SA"/>
                    </w:rPr>
                  </w:pPr>
                  <w:r>
                    <w:rPr>
                      <w:rFonts w:hint="eastAsia" w:ascii="宋体" w:hAnsi="宋体" w:eastAsia="宋体" w:cs="宋体"/>
                      <w:color w:val="121212"/>
                      <w:kern w:val="0"/>
                      <w:sz w:val="21"/>
                      <w:szCs w:val="21"/>
                      <w:lang w:val="en-US" w:eastAsia="zh-CN"/>
                    </w:rPr>
                    <w:t>生产车间</w:t>
                  </w:r>
                </w:p>
              </w:tc>
              <w:tc>
                <w:tcPr>
                  <w:tcW w:w="15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cs="宋体"/>
                      <w:color w:val="121212"/>
                      <w:kern w:val="0"/>
                      <w:sz w:val="21"/>
                      <w:szCs w:val="21"/>
                    </w:rPr>
                  </w:pPr>
                  <w:r>
                    <w:rPr>
                      <w:color w:val="121212"/>
                      <w:spacing w:val="8"/>
                      <w:sz w:val="21"/>
                      <w:szCs w:val="21"/>
                    </w:rPr>
                    <w:t>外购</w:t>
                  </w:r>
                </w:p>
              </w:tc>
            </w:tr>
            <w:tr>
              <w:tblPrEx>
                <w:tblLayout w:type="fixed"/>
              </w:tblPrEx>
              <w:trPr>
                <w:trHeight w:val="397" w:hRule="atLeast"/>
                <w:jc w:val="center"/>
              </w:trPr>
              <w:tc>
                <w:tcPr>
                  <w:tcW w:w="4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宋体"/>
                      <w:snapToGrid w:val="0"/>
                      <w:color w:val="121212"/>
                      <w:kern w:val="0"/>
                      <w:sz w:val="21"/>
                      <w:szCs w:val="21"/>
                      <w:lang w:val="en-US" w:eastAsia="zh-CN"/>
                    </w:rPr>
                  </w:pPr>
                  <w:r>
                    <w:rPr>
                      <w:rFonts w:hint="eastAsia" w:ascii="宋体" w:hAnsi="宋体"/>
                      <w:snapToGrid w:val="0"/>
                      <w:color w:val="121212"/>
                      <w:kern w:val="0"/>
                      <w:sz w:val="21"/>
                      <w:szCs w:val="21"/>
                      <w:lang w:val="en-US" w:eastAsia="zh-CN"/>
                    </w:rPr>
                    <w:t>8</w:t>
                  </w:r>
                </w:p>
              </w:tc>
              <w:tc>
                <w:tcPr>
                  <w:tcW w:w="1344"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宋体"/>
                      <w:snapToGrid w:val="0"/>
                      <w:color w:val="121212"/>
                      <w:kern w:val="0"/>
                      <w:sz w:val="21"/>
                      <w:szCs w:val="21"/>
                      <w:lang w:val="en-US" w:eastAsia="zh-CN"/>
                    </w:rPr>
                  </w:pPr>
                  <w:r>
                    <w:rPr>
                      <w:rFonts w:hint="eastAsia" w:ascii="宋体" w:hAnsi="宋体"/>
                      <w:snapToGrid w:val="0"/>
                      <w:color w:val="121212"/>
                      <w:kern w:val="0"/>
                      <w:sz w:val="21"/>
                      <w:szCs w:val="21"/>
                      <w:lang w:val="en-US" w:eastAsia="zh-CN"/>
                    </w:rPr>
                    <w:t>阀门</w:t>
                  </w:r>
                </w:p>
              </w:tc>
              <w:tc>
                <w:tcPr>
                  <w:tcW w:w="1311" w:type="dxa"/>
                  <w:tcBorders>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eastAsia="宋体"/>
                      <w:snapToGrid w:val="0"/>
                      <w:color w:val="121212"/>
                      <w:kern w:val="0"/>
                      <w:sz w:val="21"/>
                      <w:szCs w:val="21"/>
                      <w:lang w:val="en-US" w:eastAsia="zh-CN"/>
                    </w:rPr>
                  </w:pPr>
                  <w:r>
                    <w:rPr>
                      <w:rFonts w:hint="eastAsia" w:ascii="宋体" w:hAnsi="宋体"/>
                      <w:snapToGrid w:val="0"/>
                      <w:color w:val="121212"/>
                      <w:kern w:val="0"/>
                      <w:sz w:val="21"/>
                      <w:szCs w:val="21"/>
                      <w:lang w:val="en-US" w:eastAsia="zh-CN"/>
                    </w:rPr>
                    <w:t>5010个</w:t>
                  </w:r>
                </w:p>
              </w:tc>
              <w:tc>
                <w:tcPr>
                  <w:tcW w:w="1388" w:type="dxa"/>
                  <w:tcBorders>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eastAsia="宋体"/>
                      <w:snapToGrid w:val="0"/>
                      <w:color w:val="121212"/>
                      <w:kern w:val="0"/>
                      <w:sz w:val="21"/>
                      <w:szCs w:val="21"/>
                      <w:lang w:val="en-US" w:eastAsia="zh-CN"/>
                    </w:rPr>
                  </w:pPr>
                  <w:r>
                    <w:rPr>
                      <w:rFonts w:hint="eastAsia" w:ascii="宋体" w:hAnsi="宋体"/>
                      <w:snapToGrid w:val="0"/>
                      <w:color w:val="121212"/>
                      <w:kern w:val="0"/>
                      <w:sz w:val="21"/>
                      <w:szCs w:val="21"/>
                      <w:lang w:val="en-US" w:eastAsia="zh-CN"/>
                    </w:rPr>
                    <w:t>500个</w:t>
                  </w:r>
                </w:p>
              </w:tc>
              <w:tc>
                <w:tcPr>
                  <w:tcW w:w="11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宋体" w:cs="宋体"/>
                      <w:color w:val="121212"/>
                      <w:kern w:val="0"/>
                      <w:sz w:val="21"/>
                      <w:szCs w:val="21"/>
                      <w:lang w:val="en-US" w:eastAsia="zh-CN"/>
                    </w:rPr>
                  </w:pPr>
                  <w:r>
                    <w:rPr>
                      <w:rFonts w:hint="eastAsia" w:ascii="宋体" w:hAnsi="宋体" w:cs="宋体"/>
                      <w:color w:val="121212"/>
                      <w:kern w:val="0"/>
                      <w:sz w:val="21"/>
                      <w:szCs w:val="21"/>
                      <w:lang w:val="en-US" w:eastAsia="zh-CN"/>
                    </w:rPr>
                    <w:t>箱装</w:t>
                  </w:r>
                </w:p>
              </w:tc>
              <w:tc>
                <w:tcPr>
                  <w:tcW w:w="11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宋体" w:cs="宋体"/>
                      <w:color w:val="121212"/>
                      <w:kern w:val="0"/>
                      <w:sz w:val="21"/>
                      <w:szCs w:val="21"/>
                      <w:lang w:val="en-US" w:eastAsia="zh-CN" w:bidi="ar-SA"/>
                    </w:rPr>
                  </w:pPr>
                  <w:r>
                    <w:rPr>
                      <w:rFonts w:hint="eastAsia" w:ascii="宋体" w:hAnsi="宋体" w:eastAsia="宋体" w:cs="宋体"/>
                      <w:color w:val="121212"/>
                      <w:kern w:val="0"/>
                      <w:sz w:val="21"/>
                      <w:szCs w:val="21"/>
                      <w:lang w:val="en-US" w:eastAsia="zh-CN"/>
                    </w:rPr>
                    <w:t>生产车间</w:t>
                  </w:r>
                </w:p>
              </w:tc>
              <w:tc>
                <w:tcPr>
                  <w:tcW w:w="15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cs="宋体"/>
                      <w:color w:val="121212"/>
                      <w:kern w:val="0"/>
                      <w:sz w:val="21"/>
                      <w:szCs w:val="21"/>
                    </w:rPr>
                  </w:pPr>
                  <w:r>
                    <w:rPr>
                      <w:rFonts w:hint="eastAsia" w:ascii="宋体" w:hAnsi="宋体" w:eastAsia="宋体" w:cs="宋体"/>
                      <w:color w:val="121212"/>
                      <w:kern w:val="0"/>
                      <w:sz w:val="21"/>
                      <w:szCs w:val="21"/>
                      <w:lang w:val="en-US" w:eastAsia="zh-CN"/>
                    </w:rPr>
                    <w:t>外购</w:t>
                  </w:r>
                </w:p>
              </w:tc>
            </w:tr>
            <w:tr>
              <w:tblPrEx>
                <w:tblLayout w:type="fixed"/>
              </w:tblPrEx>
              <w:trPr>
                <w:trHeight w:val="397" w:hRule="atLeast"/>
                <w:jc w:val="center"/>
              </w:trPr>
              <w:tc>
                <w:tcPr>
                  <w:tcW w:w="4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宋体"/>
                      <w:snapToGrid w:val="0"/>
                      <w:color w:val="121212"/>
                      <w:kern w:val="0"/>
                      <w:sz w:val="21"/>
                      <w:szCs w:val="21"/>
                      <w:lang w:val="en-US" w:eastAsia="zh-CN"/>
                    </w:rPr>
                  </w:pPr>
                  <w:r>
                    <w:rPr>
                      <w:rFonts w:hint="eastAsia" w:ascii="宋体" w:hAnsi="宋体"/>
                      <w:snapToGrid w:val="0"/>
                      <w:color w:val="121212"/>
                      <w:kern w:val="0"/>
                      <w:sz w:val="21"/>
                      <w:szCs w:val="21"/>
                      <w:lang w:val="en-US" w:eastAsia="zh-CN"/>
                    </w:rPr>
                    <w:t>9</w:t>
                  </w:r>
                </w:p>
              </w:tc>
              <w:tc>
                <w:tcPr>
                  <w:tcW w:w="1344"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宋体"/>
                      <w:snapToGrid w:val="0"/>
                      <w:color w:val="121212"/>
                      <w:kern w:val="0"/>
                      <w:sz w:val="21"/>
                      <w:szCs w:val="21"/>
                      <w:lang w:val="en-US" w:eastAsia="zh-CN"/>
                    </w:rPr>
                  </w:pPr>
                  <w:r>
                    <w:rPr>
                      <w:rFonts w:hint="eastAsia" w:ascii="宋体" w:hAnsi="宋体"/>
                      <w:snapToGrid w:val="0"/>
                      <w:color w:val="121212"/>
                      <w:kern w:val="0"/>
                      <w:sz w:val="21"/>
                      <w:szCs w:val="21"/>
                      <w:lang w:val="en-US" w:eastAsia="zh-CN"/>
                    </w:rPr>
                    <w:t>软管</w:t>
                  </w:r>
                </w:p>
              </w:tc>
              <w:tc>
                <w:tcPr>
                  <w:tcW w:w="1311" w:type="dxa"/>
                  <w:tcBorders>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eastAsia="宋体"/>
                      <w:snapToGrid w:val="0"/>
                      <w:color w:val="121212"/>
                      <w:kern w:val="0"/>
                      <w:sz w:val="21"/>
                      <w:szCs w:val="21"/>
                      <w:lang w:val="en-US" w:eastAsia="zh-CN"/>
                    </w:rPr>
                  </w:pPr>
                  <w:r>
                    <w:rPr>
                      <w:rFonts w:hint="eastAsia" w:ascii="宋体" w:hAnsi="宋体"/>
                      <w:snapToGrid w:val="0"/>
                      <w:color w:val="121212"/>
                      <w:kern w:val="0"/>
                      <w:sz w:val="21"/>
                      <w:szCs w:val="21"/>
                      <w:lang w:val="en-US" w:eastAsia="zh-CN"/>
                    </w:rPr>
                    <w:t>2100个</w:t>
                  </w:r>
                </w:p>
              </w:tc>
              <w:tc>
                <w:tcPr>
                  <w:tcW w:w="1388" w:type="dxa"/>
                  <w:tcBorders>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eastAsia="宋体"/>
                      <w:snapToGrid w:val="0"/>
                      <w:color w:val="121212"/>
                      <w:kern w:val="0"/>
                      <w:sz w:val="21"/>
                      <w:szCs w:val="21"/>
                      <w:lang w:val="en-US" w:eastAsia="zh-CN"/>
                    </w:rPr>
                  </w:pPr>
                  <w:r>
                    <w:rPr>
                      <w:rFonts w:hint="eastAsia" w:ascii="宋体" w:hAnsi="宋体"/>
                      <w:snapToGrid w:val="0"/>
                      <w:color w:val="121212"/>
                      <w:kern w:val="0"/>
                      <w:sz w:val="21"/>
                      <w:szCs w:val="21"/>
                      <w:lang w:val="en-US" w:eastAsia="zh-CN"/>
                    </w:rPr>
                    <w:t>100个</w:t>
                  </w:r>
                </w:p>
              </w:tc>
              <w:tc>
                <w:tcPr>
                  <w:tcW w:w="11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宋体" w:cs="宋体"/>
                      <w:color w:val="121212"/>
                      <w:kern w:val="0"/>
                      <w:sz w:val="21"/>
                      <w:szCs w:val="21"/>
                      <w:lang w:val="en-US" w:eastAsia="zh-CN"/>
                    </w:rPr>
                  </w:pPr>
                  <w:r>
                    <w:rPr>
                      <w:rFonts w:hint="eastAsia" w:ascii="宋体" w:hAnsi="宋体" w:cs="宋体"/>
                      <w:color w:val="121212"/>
                      <w:kern w:val="0"/>
                      <w:sz w:val="21"/>
                      <w:szCs w:val="21"/>
                      <w:lang w:val="en-US" w:eastAsia="zh-CN"/>
                    </w:rPr>
                    <w:t>箱装</w:t>
                  </w:r>
                </w:p>
              </w:tc>
              <w:tc>
                <w:tcPr>
                  <w:tcW w:w="11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宋体" w:cs="宋体"/>
                      <w:color w:val="121212"/>
                      <w:kern w:val="0"/>
                      <w:sz w:val="21"/>
                      <w:szCs w:val="21"/>
                      <w:lang w:val="en-US" w:eastAsia="zh-CN" w:bidi="ar-SA"/>
                    </w:rPr>
                  </w:pPr>
                  <w:r>
                    <w:rPr>
                      <w:rFonts w:hint="eastAsia" w:ascii="宋体" w:hAnsi="宋体" w:eastAsia="宋体" w:cs="宋体"/>
                      <w:color w:val="121212"/>
                      <w:kern w:val="0"/>
                      <w:sz w:val="21"/>
                      <w:szCs w:val="21"/>
                      <w:lang w:val="en-US" w:eastAsia="zh-CN"/>
                    </w:rPr>
                    <w:t>生产车间</w:t>
                  </w:r>
                </w:p>
              </w:tc>
              <w:tc>
                <w:tcPr>
                  <w:tcW w:w="15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cs="宋体"/>
                      <w:color w:val="121212"/>
                      <w:kern w:val="0"/>
                      <w:sz w:val="21"/>
                      <w:szCs w:val="21"/>
                    </w:rPr>
                  </w:pPr>
                  <w:r>
                    <w:rPr>
                      <w:color w:val="121212"/>
                      <w:spacing w:val="2"/>
                      <w:sz w:val="21"/>
                      <w:szCs w:val="21"/>
                    </w:rPr>
                    <w:t>外购</w:t>
                  </w:r>
                </w:p>
              </w:tc>
            </w:tr>
            <w:tr>
              <w:tblPrEx>
                <w:tblLayout w:type="fixed"/>
              </w:tblPrEx>
              <w:trPr>
                <w:trHeight w:val="397" w:hRule="atLeast"/>
                <w:jc w:val="center"/>
              </w:trPr>
              <w:tc>
                <w:tcPr>
                  <w:tcW w:w="4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eastAsia="宋体"/>
                      <w:snapToGrid w:val="0"/>
                      <w:color w:val="121212"/>
                      <w:kern w:val="0"/>
                      <w:sz w:val="21"/>
                      <w:szCs w:val="21"/>
                      <w:lang w:val="en-US" w:eastAsia="zh-CN"/>
                    </w:rPr>
                  </w:pPr>
                  <w:r>
                    <w:rPr>
                      <w:rFonts w:hint="eastAsia" w:ascii="宋体" w:hAnsi="宋体"/>
                      <w:snapToGrid w:val="0"/>
                      <w:color w:val="121212"/>
                      <w:kern w:val="0"/>
                      <w:sz w:val="21"/>
                      <w:szCs w:val="21"/>
                      <w:lang w:val="en-US" w:eastAsia="zh-CN"/>
                    </w:rPr>
                    <w:t>10</w:t>
                  </w:r>
                </w:p>
              </w:tc>
              <w:tc>
                <w:tcPr>
                  <w:tcW w:w="1344"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宋体"/>
                      <w:snapToGrid w:val="0"/>
                      <w:color w:val="121212"/>
                      <w:kern w:val="0"/>
                      <w:sz w:val="21"/>
                      <w:szCs w:val="21"/>
                      <w:lang w:val="en-US" w:eastAsia="zh-CN"/>
                    </w:rPr>
                  </w:pPr>
                  <w:r>
                    <w:rPr>
                      <w:rFonts w:hint="eastAsia" w:ascii="宋体" w:hAnsi="宋体"/>
                      <w:snapToGrid w:val="0"/>
                      <w:color w:val="121212"/>
                      <w:kern w:val="0"/>
                      <w:sz w:val="21"/>
                      <w:szCs w:val="21"/>
                      <w:lang w:val="en-US" w:eastAsia="zh-CN"/>
                    </w:rPr>
                    <w:t>弯头</w:t>
                  </w:r>
                </w:p>
              </w:tc>
              <w:tc>
                <w:tcPr>
                  <w:tcW w:w="1311" w:type="dxa"/>
                  <w:tcBorders>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ascii="宋体" w:hAnsi="宋体"/>
                      <w:snapToGrid w:val="0"/>
                      <w:color w:val="121212"/>
                      <w:kern w:val="0"/>
                      <w:sz w:val="21"/>
                      <w:szCs w:val="21"/>
                    </w:rPr>
                  </w:pPr>
                  <w:r>
                    <w:rPr>
                      <w:rFonts w:hint="eastAsia" w:ascii="宋体" w:hAnsi="宋体"/>
                      <w:snapToGrid w:val="0"/>
                      <w:color w:val="121212"/>
                      <w:kern w:val="0"/>
                      <w:sz w:val="21"/>
                      <w:szCs w:val="21"/>
                      <w:lang w:val="en-US" w:eastAsia="zh-CN"/>
                    </w:rPr>
                    <w:t>若干个</w:t>
                  </w:r>
                </w:p>
              </w:tc>
              <w:tc>
                <w:tcPr>
                  <w:tcW w:w="1388" w:type="dxa"/>
                  <w:tcBorders>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eastAsia="宋体"/>
                      <w:snapToGrid w:val="0"/>
                      <w:color w:val="121212"/>
                      <w:kern w:val="0"/>
                      <w:sz w:val="21"/>
                      <w:szCs w:val="21"/>
                      <w:lang w:val="en-US" w:eastAsia="zh-CN"/>
                    </w:rPr>
                  </w:pPr>
                  <w:r>
                    <w:rPr>
                      <w:rFonts w:hint="eastAsia" w:ascii="宋体" w:hAnsi="宋体"/>
                      <w:snapToGrid w:val="0"/>
                      <w:color w:val="121212"/>
                      <w:kern w:val="0"/>
                      <w:sz w:val="21"/>
                      <w:szCs w:val="21"/>
                      <w:lang w:val="en-US" w:eastAsia="zh-CN"/>
                    </w:rPr>
                    <w:t>200个</w:t>
                  </w:r>
                </w:p>
              </w:tc>
              <w:tc>
                <w:tcPr>
                  <w:tcW w:w="11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宋体" w:cs="宋体"/>
                      <w:color w:val="121212"/>
                      <w:kern w:val="0"/>
                      <w:sz w:val="21"/>
                      <w:szCs w:val="21"/>
                      <w:lang w:val="en-US" w:eastAsia="zh-CN"/>
                    </w:rPr>
                  </w:pPr>
                  <w:r>
                    <w:rPr>
                      <w:rFonts w:hint="eastAsia" w:ascii="宋体" w:hAnsi="宋体" w:cs="宋体"/>
                      <w:color w:val="121212"/>
                      <w:kern w:val="0"/>
                      <w:sz w:val="21"/>
                      <w:szCs w:val="21"/>
                      <w:lang w:val="en-US" w:eastAsia="zh-CN"/>
                    </w:rPr>
                    <w:t>箱装</w:t>
                  </w:r>
                </w:p>
              </w:tc>
              <w:tc>
                <w:tcPr>
                  <w:tcW w:w="11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宋体" w:cs="宋体"/>
                      <w:color w:val="121212"/>
                      <w:kern w:val="0"/>
                      <w:sz w:val="21"/>
                      <w:szCs w:val="21"/>
                      <w:lang w:val="en-US" w:eastAsia="zh-CN" w:bidi="ar-SA"/>
                    </w:rPr>
                  </w:pPr>
                  <w:r>
                    <w:rPr>
                      <w:rFonts w:hint="eastAsia" w:ascii="宋体" w:hAnsi="宋体" w:eastAsia="宋体" w:cs="宋体"/>
                      <w:color w:val="121212"/>
                      <w:kern w:val="0"/>
                      <w:sz w:val="21"/>
                      <w:szCs w:val="21"/>
                      <w:lang w:val="en-US" w:eastAsia="zh-CN"/>
                    </w:rPr>
                    <w:t>生产车间</w:t>
                  </w:r>
                </w:p>
              </w:tc>
              <w:tc>
                <w:tcPr>
                  <w:tcW w:w="15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cs="宋体"/>
                      <w:color w:val="121212"/>
                      <w:kern w:val="0"/>
                      <w:sz w:val="21"/>
                      <w:szCs w:val="21"/>
                    </w:rPr>
                  </w:pPr>
                  <w:r>
                    <w:rPr>
                      <w:rFonts w:hint="eastAsia" w:ascii="宋体" w:hAnsi="宋体" w:eastAsia="宋体" w:cs="宋体"/>
                      <w:color w:val="121212"/>
                      <w:kern w:val="0"/>
                      <w:sz w:val="21"/>
                      <w:szCs w:val="21"/>
                      <w:lang w:val="en-US" w:eastAsia="zh-CN"/>
                    </w:rPr>
                    <w:t>外购</w:t>
                  </w:r>
                </w:p>
              </w:tc>
            </w:tr>
            <w:tr>
              <w:tblPrEx>
                <w:tblLayout w:type="fixed"/>
              </w:tblPrEx>
              <w:trPr>
                <w:trHeight w:val="397" w:hRule="atLeast"/>
                <w:jc w:val="center"/>
              </w:trPr>
              <w:tc>
                <w:tcPr>
                  <w:tcW w:w="4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eastAsia="宋体"/>
                      <w:snapToGrid w:val="0"/>
                      <w:color w:val="121212"/>
                      <w:kern w:val="0"/>
                      <w:sz w:val="21"/>
                      <w:szCs w:val="21"/>
                      <w:lang w:val="en-US" w:eastAsia="zh-CN"/>
                    </w:rPr>
                  </w:pPr>
                  <w:r>
                    <w:rPr>
                      <w:rFonts w:hint="eastAsia" w:ascii="宋体" w:hAnsi="宋体"/>
                      <w:snapToGrid w:val="0"/>
                      <w:color w:val="121212"/>
                      <w:kern w:val="0"/>
                      <w:sz w:val="21"/>
                      <w:szCs w:val="21"/>
                      <w:lang w:val="en-US" w:eastAsia="zh-CN"/>
                    </w:rPr>
                    <w:t>11</w:t>
                  </w:r>
                </w:p>
              </w:tc>
              <w:tc>
                <w:tcPr>
                  <w:tcW w:w="1344"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eastAsia="宋体"/>
                      <w:snapToGrid w:val="0"/>
                      <w:color w:val="121212"/>
                      <w:kern w:val="0"/>
                      <w:sz w:val="21"/>
                      <w:szCs w:val="21"/>
                      <w:lang w:val="en-US" w:eastAsia="zh-CN"/>
                    </w:rPr>
                  </w:pPr>
                  <w:r>
                    <w:rPr>
                      <w:rFonts w:hint="eastAsia" w:ascii="宋体" w:hAnsi="宋体"/>
                      <w:snapToGrid w:val="0"/>
                      <w:color w:val="121212"/>
                      <w:kern w:val="0"/>
                      <w:sz w:val="21"/>
                      <w:szCs w:val="21"/>
                      <w:lang w:val="en-US" w:eastAsia="zh-CN"/>
                    </w:rPr>
                    <w:t>液压系统</w:t>
                  </w:r>
                </w:p>
              </w:tc>
              <w:tc>
                <w:tcPr>
                  <w:tcW w:w="1311" w:type="dxa"/>
                  <w:tcBorders>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eastAsia="宋体"/>
                      <w:snapToGrid w:val="0"/>
                      <w:color w:val="121212"/>
                      <w:kern w:val="0"/>
                      <w:sz w:val="21"/>
                      <w:szCs w:val="21"/>
                      <w:lang w:val="en-US" w:eastAsia="zh-CN"/>
                    </w:rPr>
                  </w:pPr>
                  <w:r>
                    <w:rPr>
                      <w:rFonts w:hint="eastAsia" w:ascii="宋体" w:hAnsi="宋体"/>
                      <w:snapToGrid w:val="0"/>
                      <w:color w:val="121212"/>
                      <w:kern w:val="0"/>
                      <w:sz w:val="21"/>
                      <w:szCs w:val="21"/>
                      <w:lang w:val="en-US" w:eastAsia="zh-CN"/>
                    </w:rPr>
                    <w:t>500个</w:t>
                  </w:r>
                </w:p>
              </w:tc>
              <w:tc>
                <w:tcPr>
                  <w:tcW w:w="1388" w:type="dxa"/>
                  <w:tcBorders>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eastAsia="宋体"/>
                      <w:snapToGrid w:val="0"/>
                      <w:color w:val="121212"/>
                      <w:kern w:val="0"/>
                      <w:sz w:val="21"/>
                      <w:szCs w:val="21"/>
                      <w:lang w:val="en-US" w:eastAsia="zh-CN"/>
                    </w:rPr>
                  </w:pPr>
                  <w:r>
                    <w:rPr>
                      <w:rFonts w:hint="eastAsia" w:ascii="宋体" w:hAnsi="宋体"/>
                      <w:snapToGrid w:val="0"/>
                      <w:color w:val="121212"/>
                      <w:kern w:val="0"/>
                      <w:sz w:val="21"/>
                      <w:szCs w:val="21"/>
                      <w:lang w:val="en-US" w:eastAsia="zh-CN"/>
                    </w:rPr>
                    <w:t>60个</w:t>
                  </w:r>
                </w:p>
              </w:tc>
              <w:tc>
                <w:tcPr>
                  <w:tcW w:w="11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宋体" w:cs="宋体"/>
                      <w:color w:val="121212"/>
                      <w:kern w:val="0"/>
                      <w:sz w:val="21"/>
                      <w:szCs w:val="21"/>
                      <w:lang w:val="en-US" w:eastAsia="zh-CN"/>
                    </w:rPr>
                  </w:pPr>
                  <w:r>
                    <w:rPr>
                      <w:rFonts w:hint="eastAsia" w:ascii="宋体" w:hAnsi="宋体" w:cs="宋体"/>
                      <w:color w:val="121212"/>
                      <w:kern w:val="0"/>
                      <w:sz w:val="21"/>
                      <w:szCs w:val="21"/>
                      <w:lang w:val="en-US" w:eastAsia="zh-CN"/>
                    </w:rPr>
                    <w:t>箱装</w:t>
                  </w:r>
                </w:p>
              </w:tc>
              <w:tc>
                <w:tcPr>
                  <w:tcW w:w="11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宋体" w:cs="宋体"/>
                      <w:color w:val="121212"/>
                      <w:kern w:val="0"/>
                      <w:sz w:val="21"/>
                      <w:szCs w:val="21"/>
                      <w:lang w:val="en-US" w:eastAsia="zh-CN" w:bidi="ar-SA"/>
                    </w:rPr>
                  </w:pPr>
                  <w:r>
                    <w:rPr>
                      <w:rFonts w:hint="eastAsia" w:ascii="宋体" w:hAnsi="宋体" w:eastAsia="宋体" w:cs="宋体"/>
                      <w:color w:val="121212"/>
                      <w:kern w:val="0"/>
                      <w:sz w:val="21"/>
                      <w:szCs w:val="21"/>
                      <w:lang w:val="en-US" w:eastAsia="zh-CN"/>
                    </w:rPr>
                    <w:t>生产车间</w:t>
                  </w:r>
                </w:p>
              </w:tc>
              <w:tc>
                <w:tcPr>
                  <w:tcW w:w="15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cs="宋体"/>
                      <w:color w:val="121212"/>
                      <w:kern w:val="0"/>
                      <w:sz w:val="21"/>
                      <w:szCs w:val="21"/>
                    </w:rPr>
                  </w:pPr>
                  <w:r>
                    <w:rPr>
                      <w:color w:val="121212"/>
                      <w:spacing w:val="2"/>
                      <w:sz w:val="21"/>
                      <w:szCs w:val="21"/>
                    </w:rPr>
                    <w:t>外购</w:t>
                  </w:r>
                </w:p>
              </w:tc>
            </w:tr>
            <w:tr>
              <w:tblPrEx>
                <w:tblLayout w:type="fixed"/>
              </w:tblPrEx>
              <w:trPr>
                <w:trHeight w:val="397" w:hRule="atLeast"/>
                <w:jc w:val="center"/>
              </w:trPr>
              <w:tc>
                <w:tcPr>
                  <w:tcW w:w="4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eastAsia="宋体"/>
                      <w:snapToGrid w:val="0"/>
                      <w:color w:val="121212"/>
                      <w:kern w:val="0"/>
                      <w:sz w:val="21"/>
                      <w:szCs w:val="21"/>
                      <w:lang w:val="en-US" w:eastAsia="zh-CN"/>
                    </w:rPr>
                  </w:pPr>
                  <w:r>
                    <w:rPr>
                      <w:rFonts w:hint="eastAsia" w:ascii="宋体" w:hAnsi="宋体"/>
                      <w:snapToGrid w:val="0"/>
                      <w:color w:val="121212"/>
                      <w:kern w:val="0"/>
                      <w:sz w:val="21"/>
                      <w:szCs w:val="21"/>
                      <w:lang w:val="en-US" w:eastAsia="zh-CN"/>
                    </w:rPr>
                    <w:t>12</w:t>
                  </w:r>
                </w:p>
              </w:tc>
              <w:tc>
                <w:tcPr>
                  <w:tcW w:w="1344"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eastAsia="宋体"/>
                      <w:snapToGrid w:val="0"/>
                      <w:color w:val="121212"/>
                      <w:kern w:val="0"/>
                      <w:sz w:val="21"/>
                      <w:szCs w:val="21"/>
                      <w:lang w:val="en-US" w:eastAsia="zh-CN"/>
                    </w:rPr>
                  </w:pPr>
                  <w:r>
                    <w:rPr>
                      <w:rFonts w:hint="eastAsia" w:ascii="宋体" w:hAnsi="宋体"/>
                      <w:snapToGrid w:val="0"/>
                      <w:color w:val="121212"/>
                      <w:kern w:val="0"/>
                      <w:sz w:val="21"/>
                      <w:szCs w:val="21"/>
                      <w:lang w:val="en-US" w:eastAsia="zh-CN"/>
                    </w:rPr>
                    <w:t>电控系统</w:t>
                  </w:r>
                </w:p>
              </w:tc>
              <w:tc>
                <w:tcPr>
                  <w:tcW w:w="1311" w:type="dxa"/>
                  <w:tcBorders>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eastAsia="宋体"/>
                      <w:snapToGrid w:val="0"/>
                      <w:color w:val="121212"/>
                      <w:kern w:val="0"/>
                      <w:sz w:val="21"/>
                      <w:szCs w:val="21"/>
                      <w:lang w:val="en-US" w:eastAsia="zh-CN"/>
                    </w:rPr>
                  </w:pPr>
                  <w:r>
                    <w:rPr>
                      <w:rFonts w:hint="eastAsia" w:ascii="宋体" w:hAnsi="宋体"/>
                      <w:snapToGrid w:val="0"/>
                      <w:color w:val="121212"/>
                      <w:kern w:val="0"/>
                      <w:sz w:val="21"/>
                      <w:szCs w:val="21"/>
                      <w:lang w:val="en-US" w:eastAsia="zh-CN"/>
                    </w:rPr>
                    <w:t>1000个</w:t>
                  </w:r>
                </w:p>
              </w:tc>
              <w:tc>
                <w:tcPr>
                  <w:tcW w:w="1388" w:type="dxa"/>
                  <w:tcBorders>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eastAsia="宋体"/>
                      <w:snapToGrid w:val="0"/>
                      <w:color w:val="121212"/>
                      <w:kern w:val="0"/>
                      <w:sz w:val="21"/>
                      <w:szCs w:val="21"/>
                      <w:lang w:val="en-US" w:eastAsia="zh-CN"/>
                    </w:rPr>
                  </w:pPr>
                  <w:r>
                    <w:rPr>
                      <w:rFonts w:hint="eastAsia" w:ascii="宋体" w:hAnsi="宋体"/>
                      <w:snapToGrid w:val="0"/>
                      <w:color w:val="121212"/>
                      <w:kern w:val="0"/>
                      <w:sz w:val="21"/>
                      <w:szCs w:val="21"/>
                      <w:lang w:val="en-US" w:eastAsia="zh-CN"/>
                    </w:rPr>
                    <w:t>60个</w:t>
                  </w:r>
                </w:p>
              </w:tc>
              <w:tc>
                <w:tcPr>
                  <w:tcW w:w="11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宋体" w:cs="宋体"/>
                      <w:color w:val="121212"/>
                      <w:kern w:val="0"/>
                      <w:sz w:val="21"/>
                      <w:szCs w:val="21"/>
                      <w:lang w:val="en-US" w:eastAsia="zh-CN"/>
                    </w:rPr>
                  </w:pPr>
                  <w:r>
                    <w:rPr>
                      <w:rFonts w:hint="eastAsia" w:ascii="宋体" w:hAnsi="宋体" w:cs="宋体"/>
                      <w:color w:val="121212"/>
                      <w:kern w:val="0"/>
                      <w:sz w:val="21"/>
                      <w:szCs w:val="21"/>
                      <w:lang w:val="en-US" w:eastAsia="zh-CN"/>
                    </w:rPr>
                    <w:t>箱装</w:t>
                  </w:r>
                </w:p>
              </w:tc>
              <w:tc>
                <w:tcPr>
                  <w:tcW w:w="11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宋体" w:cs="宋体"/>
                      <w:color w:val="121212"/>
                      <w:kern w:val="0"/>
                      <w:sz w:val="21"/>
                      <w:szCs w:val="21"/>
                      <w:lang w:val="en-US" w:eastAsia="zh-CN" w:bidi="ar-SA"/>
                    </w:rPr>
                  </w:pPr>
                  <w:r>
                    <w:rPr>
                      <w:rFonts w:hint="eastAsia" w:ascii="宋体" w:hAnsi="宋体" w:eastAsia="宋体" w:cs="宋体"/>
                      <w:color w:val="121212"/>
                      <w:kern w:val="0"/>
                      <w:sz w:val="21"/>
                      <w:szCs w:val="21"/>
                      <w:lang w:val="en-US" w:eastAsia="zh-CN"/>
                    </w:rPr>
                    <w:t>生产车间</w:t>
                  </w:r>
                </w:p>
              </w:tc>
              <w:tc>
                <w:tcPr>
                  <w:tcW w:w="15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cs="宋体"/>
                      <w:color w:val="121212"/>
                      <w:kern w:val="0"/>
                      <w:sz w:val="21"/>
                      <w:szCs w:val="21"/>
                    </w:rPr>
                  </w:pPr>
                  <w:r>
                    <w:rPr>
                      <w:rFonts w:hint="eastAsia" w:ascii="宋体" w:hAnsi="宋体" w:eastAsia="宋体" w:cs="宋体"/>
                      <w:color w:val="121212"/>
                      <w:kern w:val="0"/>
                      <w:sz w:val="21"/>
                      <w:szCs w:val="21"/>
                      <w:lang w:val="en-US" w:eastAsia="zh-CN"/>
                    </w:rPr>
                    <w:t>外购</w:t>
                  </w:r>
                </w:p>
              </w:tc>
            </w:tr>
            <w:tr>
              <w:tblPrEx>
                <w:tblLayout w:type="fixed"/>
              </w:tblPrEx>
              <w:trPr>
                <w:trHeight w:val="397" w:hRule="atLeast"/>
                <w:jc w:val="center"/>
              </w:trPr>
              <w:tc>
                <w:tcPr>
                  <w:tcW w:w="4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eastAsia="宋体"/>
                      <w:snapToGrid w:val="0"/>
                      <w:color w:val="121212"/>
                      <w:kern w:val="0"/>
                      <w:sz w:val="21"/>
                      <w:szCs w:val="21"/>
                      <w:lang w:val="en-US" w:eastAsia="zh-CN"/>
                    </w:rPr>
                  </w:pPr>
                  <w:r>
                    <w:rPr>
                      <w:rFonts w:hint="eastAsia" w:ascii="宋体" w:hAnsi="宋体"/>
                      <w:snapToGrid w:val="0"/>
                      <w:color w:val="121212"/>
                      <w:kern w:val="0"/>
                      <w:sz w:val="21"/>
                      <w:szCs w:val="21"/>
                      <w:lang w:val="en-US" w:eastAsia="zh-CN"/>
                    </w:rPr>
                    <w:t>13</w:t>
                  </w:r>
                </w:p>
              </w:tc>
              <w:tc>
                <w:tcPr>
                  <w:tcW w:w="1344"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宋体"/>
                      <w:snapToGrid w:val="0"/>
                      <w:color w:val="121212"/>
                      <w:kern w:val="0"/>
                      <w:sz w:val="21"/>
                      <w:szCs w:val="21"/>
                      <w:lang w:val="en-US" w:eastAsia="zh-CN"/>
                    </w:rPr>
                  </w:pPr>
                  <w:r>
                    <w:rPr>
                      <w:rFonts w:hint="eastAsia" w:ascii="宋体" w:hAnsi="宋体"/>
                      <w:snapToGrid w:val="0"/>
                      <w:color w:val="121212"/>
                      <w:kern w:val="0"/>
                      <w:sz w:val="21"/>
                      <w:szCs w:val="21"/>
                      <w:lang w:val="en-US" w:eastAsia="zh-CN"/>
                    </w:rPr>
                    <w:t>扫盘</w:t>
                  </w:r>
                </w:p>
              </w:tc>
              <w:tc>
                <w:tcPr>
                  <w:tcW w:w="1311" w:type="dxa"/>
                  <w:tcBorders>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eastAsia="宋体"/>
                      <w:snapToGrid w:val="0"/>
                      <w:color w:val="121212"/>
                      <w:kern w:val="0"/>
                      <w:sz w:val="21"/>
                      <w:szCs w:val="21"/>
                      <w:lang w:val="en-US" w:eastAsia="zh-CN"/>
                    </w:rPr>
                  </w:pPr>
                  <w:r>
                    <w:rPr>
                      <w:rFonts w:hint="eastAsia" w:ascii="宋体" w:hAnsi="宋体"/>
                      <w:snapToGrid w:val="0"/>
                      <w:color w:val="121212"/>
                      <w:kern w:val="0"/>
                      <w:sz w:val="21"/>
                      <w:szCs w:val="21"/>
                      <w:lang w:val="en-US" w:eastAsia="zh-CN"/>
                    </w:rPr>
                    <w:t>400个</w:t>
                  </w:r>
                </w:p>
              </w:tc>
              <w:tc>
                <w:tcPr>
                  <w:tcW w:w="1388" w:type="dxa"/>
                  <w:tcBorders>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eastAsia="宋体"/>
                      <w:snapToGrid w:val="0"/>
                      <w:color w:val="121212"/>
                      <w:kern w:val="0"/>
                      <w:sz w:val="21"/>
                      <w:szCs w:val="21"/>
                      <w:lang w:val="en-US" w:eastAsia="zh-CN"/>
                    </w:rPr>
                  </w:pPr>
                  <w:r>
                    <w:rPr>
                      <w:rFonts w:hint="eastAsia" w:ascii="宋体" w:hAnsi="宋体"/>
                      <w:snapToGrid w:val="0"/>
                      <w:color w:val="121212"/>
                      <w:kern w:val="0"/>
                      <w:sz w:val="21"/>
                      <w:szCs w:val="21"/>
                      <w:lang w:val="en-US" w:eastAsia="zh-CN"/>
                    </w:rPr>
                    <w:t>100个</w:t>
                  </w:r>
                </w:p>
              </w:tc>
              <w:tc>
                <w:tcPr>
                  <w:tcW w:w="11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宋体" w:cs="宋体"/>
                      <w:color w:val="121212"/>
                      <w:kern w:val="0"/>
                      <w:sz w:val="21"/>
                      <w:szCs w:val="21"/>
                      <w:lang w:val="en-US" w:eastAsia="zh-CN"/>
                    </w:rPr>
                  </w:pPr>
                  <w:r>
                    <w:rPr>
                      <w:rFonts w:hint="eastAsia" w:ascii="宋体" w:hAnsi="宋体" w:cs="宋体"/>
                      <w:color w:val="121212"/>
                      <w:kern w:val="0"/>
                      <w:sz w:val="21"/>
                      <w:szCs w:val="21"/>
                      <w:lang w:val="en-US" w:eastAsia="zh-CN"/>
                    </w:rPr>
                    <w:t>箱装</w:t>
                  </w:r>
                </w:p>
              </w:tc>
              <w:tc>
                <w:tcPr>
                  <w:tcW w:w="11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eastAsia="宋体" w:cs="宋体"/>
                      <w:color w:val="121212"/>
                      <w:kern w:val="0"/>
                      <w:sz w:val="21"/>
                      <w:szCs w:val="21"/>
                      <w:lang w:val="en-US" w:eastAsia="zh-CN" w:bidi="ar-SA"/>
                    </w:rPr>
                  </w:pPr>
                  <w:r>
                    <w:rPr>
                      <w:rFonts w:hint="eastAsia" w:ascii="宋体" w:hAnsi="宋体" w:eastAsia="宋体" w:cs="宋体"/>
                      <w:color w:val="121212"/>
                      <w:kern w:val="0"/>
                      <w:sz w:val="21"/>
                      <w:szCs w:val="21"/>
                      <w:lang w:val="en-US" w:eastAsia="zh-CN"/>
                    </w:rPr>
                    <w:t>生产车间</w:t>
                  </w:r>
                </w:p>
              </w:tc>
              <w:tc>
                <w:tcPr>
                  <w:tcW w:w="15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宋体" w:hAnsi="宋体" w:cs="宋体"/>
                      <w:color w:val="121212"/>
                      <w:kern w:val="0"/>
                      <w:sz w:val="21"/>
                      <w:szCs w:val="21"/>
                    </w:rPr>
                  </w:pPr>
                  <w:r>
                    <w:rPr>
                      <w:color w:val="121212"/>
                      <w:spacing w:val="2"/>
                      <w:sz w:val="21"/>
                      <w:szCs w:val="21"/>
                    </w:rPr>
                    <w:t>外购</w:t>
                  </w:r>
                </w:p>
              </w:tc>
            </w:tr>
            <w:tr>
              <w:tblPrEx>
                <w:tblLayout w:type="fixed"/>
              </w:tblPrEx>
              <w:trPr>
                <w:trHeight w:val="397" w:hRule="atLeast"/>
                <w:jc w:val="center"/>
              </w:trPr>
              <w:tc>
                <w:tcPr>
                  <w:tcW w:w="1186"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b/>
                      <w:bCs/>
                      <w:color w:val="121212"/>
                      <w:spacing w:val="2"/>
                      <w:sz w:val="21"/>
                      <w:szCs w:val="21"/>
                      <w:lang w:val="en-US" w:eastAsia="zh-CN"/>
                    </w:rPr>
                  </w:pPr>
                </w:p>
              </w:tc>
              <w:tc>
                <w:tcPr>
                  <w:tcW w:w="7226" w:type="dxa"/>
                  <w:gridSpan w:val="6"/>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eastAsia="宋体"/>
                      <w:color w:val="121212"/>
                      <w:spacing w:val="2"/>
                      <w:sz w:val="21"/>
                      <w:szCs w:val="21"/>
                      <w:lang w:val="en-US" w:eastAsia="zh-CN"/>
                    </w:rPr>
                  </w:pPr>
                  <w:r>
                    <w:rPr>
                      <w:rFonts w:hint="eastAsia"/>
                      <w:b/>
                      <w:bCs/>
                      <w:color w:val="121212"/>
                      <w:spacing w:val="2"/>
                      <w:sz w:val="21"/>
                      <w:szCs w:val="21"/>
                      <w:lang w:val="en-US" w:eastAsia="zh-CN"/>
                    </w:rPr>
                    <w:t>能源消耗</w:t>
                  </w:r>
                </w:p>
              </w:tc>
            </w:tr>
            <w:tr>
              <w:tblPrEx>
                <w:tblLayout w:type="fixed"/>
              </w:tblPrEx>
              <w:trPr>
                <w:trHeight w:val="397" w:hRule="atLeast"/>
                <w:jc w:val="center"/>
              </w:trPr>
              <w:tc>
                <w:tcPr>
                  <w:tcW w:w="4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snapToGrid w:val="0"/>
                      <w:color w:val="121212"/>
                      <w:kern w:val="0"/>
                      <w:sz w:val="21"/>
                      <w:szCs w:val="21"/>
                      <w:lang w:val="en-US" w:eastAsia="zh-CN"/>
                    </w:rPr>
                  </w:pPr>
                  <w:r>
                    <w:rPr>
                      <w:rFonts w:hint="eastAsia" w:ascii="宋体" w:hAnsi="宋体"/>
                      <w:snapToGrid w:val="0"/>
                      <w:color w:val="121212"/>
                      <w:kern w:val="0"/>
                      <w:sz w:val="21"/>
                      <w:szCs w:val="21"/>
                      <w:lang w:val="en-US" w:eastAsia="zh-CN"/>
                    </w:rPr>
                    <w:t>1</w:t>
                  </w:r>
                </w:p>
              </w:tc>
              <w:tc>
                <w:tcPr>
                  <w:tcW w:w="1344"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snapToGrid w:val="0"/>
                      <w:color w:val="121212"/>
                      <w:kern w:val="0"/>
                      <w:sz w:val="21"/>
                      <w:szCs w:val="21"/>
                      <w:lang w:val="en-US" w:eastAsia="zh-CN"/>
                    </w:rPr>
                  </w:pPr>
                  <w:r>
                    <w:rPr>
                      <w:rFonts w:hint="eastAsia" w:ascii="宋体" w:hAnsi="宋体"/>
                      <w:snapToGrid w:val="0"/>
                      <w:color w:val="121212"/>
                      <w:kern w:val="0"/>
                      <w:sz w:val="21"/>
                      <w:szCs w:val="21"/>
                      <w:lang w:val="en-US" w:eastAsia="zh-CN"/>
                    </w:rPr>
                    <w:t>电</w:t>
                  </w:r>
                </w:p>
              </w:tc>
              <w:tc>
                <w:tcPr>
                  <w:tcW w:w="1311" w:type="dxa"/>
                  <w:tcBorders>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snapToGrid w:val="0"/>
                      <w:color w:val="121212"/>
                      <w:kern w:val="0"/>
                      <w:sz w:val="21"/>
                      <w:szCs w:val="21"/>
                      <w:lang w:val="en-US" w:eastAsia="zh-CN"/>
                    </w:rPr>
                  </w:pPr>
                  <w:r>
                    <w:rPr>
                      <w:rFonts w:hint="eastAsia" w:ascii="宋体" w:hAnsi="宋体"/>
                      <w:snapToGrid w:val="0"/>
                      <w:color w:val="121212"/>
                      <w:kern w:val="0"/>
                      <w:sz w:val="21"/>
                      <w:szCs w:val="21"/>
                      <w:lang w:val="en-US" w:eastAsia="zh-CN"/>
                    </w:rPr>
                    <w:t>20</w:t>
                  </w:r>
                  <w:r>
                    <w:rPr>
                      <w:rFonts w:hint="eastAsia" w:ascii="宋体" w:hAnsi="宋体" w:eastAsia="宋体"/>
                      <w:snapToGrid w:val="0"/>
                      <w:color w:val="121212"/>
                      <w:kern w:val="0"/>
                      <w:sz w:val="21"/>
                      <w:szCs w:val="21"/>
                      <w:lang w:val="en-US" w:eastAsia="zh-CN"/>
                    </w:rPr>
                    <w:t>万kW·h/a</w:t>
                  </w:r>
                </w:p>
              </w:tc>
              <w:tc>
                <w:tcPr>
                  <w:tcW w:w="1388" w:type="dxa"/>
                  <w:tcBorders>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snapToGrid w:val="0"/>
                      <w:color w:val="121212"/>
                      <w:kern w:val="0"/>
                      <w:sz w:val="21"/>
                      <w:szCs w:val="21"/>
                      <w:lang w:val="en-US" w:eastAsia="zh-CN"/>
                    </w:rPr>
                  </w:pPr>
                  <w:r>
                    <w:rPr>
                      <w:rFonts w:hint="eastAsia" w:ascii="宋体" w:hAnsi="宋体"/>
                      <w:snapToGrid w:val="0"/>
                      <w:color w:val="121212"/>
                      <w:kern w:val="0"/>
                      <w:sz w:val="21"/>
                      <w:szCs w:val="21"/>
                      <w:lang w:val="en-US" w:eastAsia="zh-CN"/>
                    </w:rPr>
                    <w:t>/</w:t>
                  </w:r>
                </w:p>
              </w:tc>
              <w:tc>
                <w:tcPr>
                  <w:tcW w:w="11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eastAsia="宋体" w:cs="宋体"/>
                      <w:color w:val="121212"/>
                      <w:kern w:val="0"/>
                      <w:sz w:val="21"/>
                      <w:szCs w:val="21"/>
                      <w:lang w:val="en-US" w:eastAsia="zh-CN"/>
                    </w:rPr>
                  </w:pPr>
                  <w:r>
                    <w:rPr>
                      <w:rFonts w:hint="eastAsia" w:ascii="宋体" w:hAnsi="宋体" w:cs="宋体"/>
                      <w:color w:val="121212"/>
                      <w:kern w:val="0"/>
                      <w:sz w:val="21"/>
                      <w:szCs w:val="21"/>
                      <w:lang w:val="en-US" w:eastAsia="zh-CN"/>
                    </w:rPr>
                    <w:t>/</w:t>
                  </w:r>
                </w:p>
              </w:tc>
              <w:tc>
                <w:tcPr>
                  <w:tcW w:w="11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eastAsia="宋体" w:cs="宋体"/>
                      <w:color w:val="121212"/>
                      <w:kern w:val="0"/>
                      <w:sz w:val="21"/>
                      <w:szCs w:val="21"/>
                      <w:lang w:val="en-US" w:eastAsia="zh-CN"/>
                    </w:rPr>
                  </w:pPr>
                  <w:r>
                    <w:rPr>
                      <w:rFonts w:hint="eastAsia" w:ascii="宋体" w:hAnsi="宋体" w:eastAsia="宋体" w:cs="宋体"/>
                      <w:color w:val="121212"/>
                      <w:kern w:val="0"/>
                      <w:sz w:val="21"/>
                      <w:szCs w:val="21"/>
                      <w:lang w:val="en-US" w:eastAsia="zh-CN"/>
                    </w:rPr>
                    <w:t>/</w:t>
                  </w:r>
                </w:p>
              </w:tc>
              <w:tc>
                <w:tcPr>
                  <w:tcW w:w="1552" w:type="dxa"/>
                  <w:vAlign w:val="top"/>
                </w:tcPr>
                <w:p>
                  <w:pPr>
                    <w:pStyle w:val="70"/>
                    <w:spacing w:before="113" w:line="227" w:lineRule="auto"/>
                    <w:rPr>
                      <w:color w:val="121212"/>
                      <w:spacing w:val="2"/>
                      <w:sz w:val="21"/>
                      <w:szCs w:val="21"/>
                    </w:rPr>
                  </w:pPr>
                  <w:r>
                    <w:rPr>
                      <w:color w:val="121212"/>
                      <w:spacing w:val="5"/>
                      <w:sz w:val="21"/>
                      <w:szCs w:val="21"/>
                    </w:rPr>
                    <w:t>市政供电</w:t>
                  </w:r>
                </w:p>
              </w:tc>
            </w:tr>
            <w:tr>
              <w:tblPrEx>
                <w:tblLayout w:type="fixed"/>
              </w:tblPrEx>
              <w:trPr>
                <w:trHeight w:val="397" w:hRule="atLeast"/>
                <w:jc w:val="center"/>
              </w:trPr>
              <w:tc>
                <w:tcPr>
                  <w:tcW w:w="44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snapToGrid w:val="0"/>
                      <w:color w:val="121212"/>
                      <w:kern w:val="0"/>
                      <w:sz w:val="21"/>
                      <w:szCs w:val="21"/>
                      <w:lang w:val="en-US" w:eastAsia="zh-CN"/>
                    </w:rPr>
                  </w:pPr>
                  <w:r>
                    <w:rPr>
                      <w:rFonts w:hint="eastAsia" w:ascii="宋体" w:hAnsi="宋体"/>
                      <w:snapToGrid w:val="0"/>
                      <w:color w:val="121212"/>
                      <w:kern w:val="0"/>
                      <w:sz w:val="21"/>
                      <w:szCs w:val="21"/>
                      <w:lang w:val="en-US" w:eastAsia="zh-CN"/>
                    </w:rPr>
                    <w:t>2</w:t>
                  </w:r>
                </w:p>
              </w:tc>
              <w:tc>
                <w:tcPr>
                  <w:tcW w:w="1344"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snapToGrid w:val="0"/>
                      <w:color w:val="121212"/>
                      <w:kern w:val="0"/>
                      <w:sz w:val="21"/>
                      <w:szCs w:val="21"/>
                      <w:lang w:val="en-US" w:eastAsia="zh-CN"/>
                    </w:rPr>
                  </w:pPr>
                  <w:r>
                    <w:rPr>
                      <w:rFonts w:hint="eastAsia" w:ascii="宋体" w:hAnsi="宋体"/>
                      <w:snapToGrid w:val="0"/>
                      <w:color w:val="121212"/>
                      <w:kern w:val="0"/>
                      <w:sz w:val="21"/>
                      <w:szCs w:val="21"/>
                      <w:lang w:val="en-US" w:eastAsia="zh-CN"/>
                    </w:rPr>
                    <w:t>水</w:t>
                  </w:r>
                </w:p>
              </w:tc>
              <w:tc>
                <w:tcPr>
                  <w:tcW w:w="1311" w:type="dxa"/>
                  <w:tcBorders>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snapToGrid w:val="0"/>
                      <w:color w:val="121212"/>
                      <w:kern w:val="0"/>
                      <w:sz w:val="21"/>
                      <w:szCs w:val="21"/>
                      <w:lang w:val="en-US" w:eastAsia="zh-CN"/>
                    </w:rPr>
                  </w:pPr>
                  <w:r>
                    <w:rPr>
                      <w:rFonts w:hint="eastAsia" w:ascii="宋体" w:hAnsi="宋体"/>
                      <w:snapToGrid w:val="0"/>
                      <w:color w:val="121212"/>
                      <w:kern w:val="0"/>
                      <w:sz w:val="21"/>
                      <w:szCs w:val="21"/>
                      <w:lang w:val="en-US" w:eastAsia="zh-CN"/>
                    </w:rPr>
                    <w:t>250</w:t>
                  </w:r>
                  <w:r>
                    <w:rPr>
                      <w:rFonts w:hint="default" w:ascii="Times New Roman" w:hAnsi="Times New Roman" w:cs="Times New Roman"/>
                      <w:color w:val="121212"/>
                      <w:sz w:val="24"/>
                      <w:szCs w:val="24"/>
                      <w:lang w:eastAsia="zh-CN"/>
                    </w:rPr>
                    <w:t>t/a</w:t>
                  </w:r>
                </w:p>
              </w:tc>
              <w:tc>
                <w:tcPr>
                  <w:tcW w:w="1388" w:type="dxa"/>
                  <w:tcBorders>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snapToGrid w:val="0"/>
                      <w:color w:val="121212"/>
                      <w:kern w:val="0"/>
                      <w:sz w:val="21"/>
                      <w:szCs w:val="21"/>
                      <w:lang w:val="en-US" w:eastAsia="zh-CN"/>
                    </w:rPr>
                  </w:pPr>
                  <w:r>
                    <w:rPr>
                      <w:rFonts w:hint="eastAsia" w:ascii="宋体" w:hAnsi="宋体"/>
                      <w:snapToGrid w:val="0"/>
                      <w:color w:val="121212"/>
                      <w:kern w:val="0"/>
                      <w:sz w:val="21"/>
                      <w:szCs w:val="21"/>
                      <w:lang w:val="en-US" w:eastAsia="zh-CN"/>
                    </w:rPr>
                    <w:t>/</w:t>
                  </w:r>
                </w:p>
              </w:tc>
              <w:tc>
                <w:tcPr>
                  <w:tcW w:w="11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eastAsia="宋体" w:cs="宋体"/>
                      <w:color w:val="121212"/>
                      <w:kern w:val="0"/>
                      <w:sz w:val="21"/>
                      <w:szCs w:val="21"/>
                      <w:lang w:val="en-US" w:eastAsia="zh-CN"/>
                    </w:rPr>
                  </w:pPr>
                  <w:r>
                    <w:rPr>
                      <w:rFonts w:hint="eastAsia" w:ascii="宋体" w:hAnsi="宋体" w:cs="宋体"/>
                      <w:color w:val="121212"/>
                      <w:kern w:val="0"/>
                      <w:sz w:val="21"/>
                      <w:szCs w:val="21"/>
                      <w:lang w:val="en-US" w:eastAsia="zh-CN"/>
                    </w:rPr>
                    <w:t>/</w:t>
                  </w:r>
                </w:p>
              </w:tc>
              <w:tc>
                <w:tcPr>
                  <w:tcW w:w="118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default" w:ascii="宋体" w:hAnsi="宋体" w:eastAsia="宋体" w:cs="宋体"/>
                      <w:color w:val="121212"/>
                      <w:kern w:val="0"/>
                      <w:sz w:val="21"/>
                      <w:szCs w:val="21"/>
                      <w:lang w:val="en-US" w:eastAsia="zh-CN"/>
                    </w:rPr>
                  </w:pPr>
                  <w:r>
                    <w:rPr>
                      <w:rFonts w:hint="eastAsia" w:ascii="宋体" w:hAnsi="宋体" w:eastAsia="宋体" w:cs="宋体"/>
                      <w:color w:val="121212"/>
                      <w:kern w:val="0"/>
                      <w:sz w:val="21"/>
                      <w:szCs w:val="21"/>
                      <w:lang w:val="en-US" w:eastAsia="zh-CN"/>
                    </w:rPr>
                    <w:t>/</w:t>
                  </w:r>
                </w:p>
              </w:tc>
              <w:tc>
                <w:tcPr>
                  <w:tcW w:w="1552" w:type="dxa"/>
                  <w:vAlign w:val="top"/>
                </w:tcPr>
                <w:p>
                  <w:pPr>
                    <w:pStyle w:val="70"/>
                    <w:spacing w:before="113" w:line="227" w:lineRule="auto"/>
                    <w:rPr>
                      <w:color w:val="121212"/>
                      <w:spacing w:val="2"/>
                      <w:sz w:val="21"/>
                      <w:szCs w:val="21"/>
                    </w:rPr>
                  </w:pPr>
                  <w:r>
                    <w:rPr>
                      <w:color w:val="121212"/>
                      <w:spacing w:val="5"/>
                      <w:sz w:val="21"/>
                      <w:szCs w:val="21"/>
                    </w:rPr>
                    <w:t>市政供水</w:t>
                  </w:r>
                </w:p>
              </w:tc>
            </w:tr>
          </w:tbl>
          <w:p>
            <w:pPr>
              <w:pStyle w:val="7"/>
              <w:bidi w:val="0"/>
              <w:rPr>
                <w:rFonts w:hint="default"/>
                <w:color w:val="121212"/>
                <w:highlight w:val="none"/>
                <w:lang w:val="en-US" w:eastAsia="zh-CN"/>
              </w:rPr>
            </w:pPr>
            <w:r>
              <w:rPr>
                <w:rFonts w:hint="eastAsia"/>
                <w:color w:val="121212"/>
                <w:highlight w:val="none"/>
                <w:lang w:val="en-US" w:eastAsia="zh-CN"/>
              </w:rPr>
              <w:t>6</w:t>
            </w:r>
            <w:r>
              <w:rPr>
                <w:rFonts w:hint="default"/>
                <w:color w:val="121212"/>
                <w:highlight w:val="none"/>
                <w:lang w:val="en-US" w:eastAsia="zh-CN"/>
              </w:rPr>
              <w:t>、公用工程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b w:val="0"/>
                <w:bCs/>
                <w:color w:val="121212"/>
                <w:kern w:val="2"/>
                <w:sz w:val="24"/>
                <w:szCs w:val="32"/>
                <w:lang w:val="en-US" w:eastAsia="zh-CN"/>
              </w:rPr>
            </w:pPr>
            <w:r>
              <w:rPr>
                <w:rFonts w:hint="default" w:ascii="Times New Roman" w:hAnsi="Times New Roman" w:cs="Times New Roman"/>
                <w:b w:val="0"/>
                <w:bCs/>
                <w:color w:val="121212"/>
                <w:kern w:val="2"/>
                <w:sz w:val="24"/>
                <w:szCs w:val="32"/>
                <w:lang w:val="en-US" w:eastAsia="zh-CN"/>
              </w:rPr>
              <w:t>（1）用</w:t>
            </w:r>
            <w:r>
              <w:rPr>
                <w:rFonts w:hint="eastAsia" w:cs="Times New Roman"/>
                <w:b w:val="0"/>
                <w:bCs/>
                <w:color w:val="121212"/>
                <w:kern w:val="2"/>
                <w:sz w:val="24"/>
                <w:szCs w:val="32"/>
                <w:lang w:val="en-US" w:eastAsia="zh-CN"/>
              </w:rPr>
              <w:t>、排</w:t>
            </w:r>
            <w:r>
              <w:rPr>
                <w:rFonts w:hint="default" w:ascii="Times New Roman" w:hAnsi="Times New Roman" w:cs="Times New Roman"/>
                <w:b w:val="0"/>
                <w:bCs/>
                <w:color w:val="121212"/>
                <w:kern w:val="2"/>
                <w:sz w:val="24"/>
                <w:szCs w:val="32"/>
                <w:lang w:val="en-US" w:eastAsia="zh-CN"/>
              </w:rPr>
              <w:t>水</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firstLine="480"/>
              <w:textAlignment w:val="baseline"/>
              <w:rPr>
                <w:rFonts w:hint="eastAsia" w:cs="Times New Roman"/>
                <w:color w:val="121212"/>
                <w:kern w:val="1"/>
                <w:sz w:val="24"/>
                <w:lang w:eastAsia="zh-CN"/>
              </w:rPr>
            </w:pPr>
            <w:r>
              <w:rPr>
                <w:rFonts w:hint="eastAsia" w:cs="Times New Roman"/>
                <w:bCs/>
                <w:color w:val="121212"/>
                <w:sz w:val="24"/>
                <w:szCs w:val="24"/>
                <w:lang w:eastAsia="zh-CN"/>
              </w:rPr>
              <w:t>本项目用水主要为员工生活用水</w:t>
            </w:r>
            <w:r>
              <w:rPr>
                <w:rFonts w:hint="eastAsia" w:cs="Times New Roman"/>
                <w:color w:val="121212"/>
                <w:kern w:val="1"/>
                <w:sz w:val="24"/>
                <w:lang w:eastAsia="zh-CN"/>
              </w:rPr>
              <w:t>。项目生活污水</w:t>
            </w:r>
            <w:r>
              <w:rPr>
                <w:rFonts w:hint="eastAsia" w:cs="Times New Roman"/>
                <w:color w:val="121212"/>
                <w:kern w:val="1"/>
                <w:sz w:val="24"/>
                <w:lang w:val="en-US" w:eastAsia="zh-CN"/>
              </w:rPr>
              <w:t>依托安徽飞松机械股份有限公司</w:t>
            </w:r>
            <w:r>
              <w:rPr>
                <w:rFonts w:hint="eastAsia" w:cs="Times New Roman"/>
                <w:color w:val="121212"/>
                <w:kern w:val="1"/>
                <w:sz w:val="24"/>
                <w:lang w:eastAsia="zh-CN"/>
              </w:rPr>
              <w:t>化粪池处理后，排入灵璧开发区北部新区污水处理厂集中处理</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firstLine="480"/>
              <w:textAlignment w:val="baseline"/>
              <w:rPr>
                <w:rFonts w:hint="eastAsia" w:ascii="Times New Roman" w:hAnsi="Times New Roman" w:cs="Times New Roman"/>
                <w:color w:val="121212"/>
                <w:sz w:val="24"/>
                <w:szCs w:val="24"/>
                <w:lang w:val="en-US" w:eastAsia="zh-CN"/>
              </w:rPr>
            </w:pPr>
            <w:r>
              <w:rPr>
                <w:rFonts w:hint="eastAsia" w:cs="Times New Roman"/>
                <w:b/>
                <w:bCs/>
                <w:color w:val="121212"/>
                <w:sz w:val="24"/>
                <w:lang w:eastAsia="zh-CN"/>
              </w:rPr>
              <w:t>职工生活用、排水：</w:t>
            </w:r>
            <w:r>
              <w:rPr>
                <w:rFonts w:hint="default" w:ascii="Times New Roman" w:hAnsi="Times New Roman" w:cs="Times New Roman"/>
                <w:color w:val="121212"/>
                <w:sz w:val="24"/>
                <w:lang w:eastAsia="zh-CN"/>
              </w:rPr>
              <w:t>项目</w:t>
            </w:r>
            <w:r>
              <w:rPr>
                <w:rFonts w:hint="default" w:ascii="Times New Roman" w:hAnsi="Times New Roman" w:cs="Times New Roman"/>
                <w:color w:val="121212"/>
                <w:sz w:val="24"/>
              </w:rPr>
              <w:t>劳动定员</w:t>
            </w:r>
            <w:r>
              <w:rPr>
                <w:rFonts w:hint="eastAsia" w:cs="Times New Roman"/>
                <w:color w:val="121212"/>
                <w:sz w:val="24"/>
                <w:lang w:val="en-US" w:eastAsia="zh-CN"/>
              </w:rPr>
              <w:t>20</w:t>
            </w:r>
            <w:r>
              <w:rPr>
                <w:rFonts w:hint="default" w:ascii="Times New Roman" w:hAnsi="Times New Roman" w:cs="Times New Roman"/>
                <w:color w:val="121212"/>
                <w:sz w:val="24"/>
              </w:rPr>
              <w:t>人，</w:t>
            </w:r>
            <w:r>
              <w:rPr>
                <w:color w:val="121212"/>
                <w:kern w:val="0"/>
                <w:sz w:val="24"/>
              </w:rPr>
              <w:t>年工作天数</w:t>
            </w:r>
            <w:r>
              <w:rPr>
                <w:rFonts w:hint="eastAsia"/>
                <w:color w:val="121212"/>
                <w:kern w:val="0"/>
                <w:sz w:val="24"/>
                <w:lang w:val="en-US" w:eastAsia="zh-CN"/>
              </w:rPr>
              <w:t>250</w:t>
            </w:r>
            <w:r>
              <w:rPr>
                <w:color w:val="121212"/>
                <w:kern w:val="0"/>
                <w:sz w:val="24"/>
              </w:rPr>
              <w:t>天</w:t>
            </w:r>
            <w:r>
              <w:rPr>
                <w:rFonts w:hint="default" w:ascii="Times New Roman" w:hAnsi="Times New Roman" w:cs="Times New Roman"/>
                <w:color w:val="121212"/>
                <w:sz w:val="24"/>
                <w:lang w:eastAsia="zh-CN"/>
              </w:rPr>
              <w:t>，</w:t>
            </w:r>
            <w:r>
              <w:rPr>
                <w:rFonts w:hint="default" w:ascii="Times New Roman" w:hAnsi="Times New Roman" w:cs="Times New Roman"/>
                <w:color w:val="121212"/>
                <w:sz w:val="24"/>
                <w:szCs w:val="24"/>
                <w:lang w:eastAsia="zh-CN"/>
              </w:rPr>
              <w:t>员工生活用水量按</w:t>
            </w:r>
            <w:r>
              <w:rPr>
                <w:rFonts w:hint="default" w:ascii="Times New Roman" w:hAnsi="Times New Roman" w:cs="Times New Roman"/>
                <w:color w:val="121212"/>
                <w:sz w:val="24"/>
                <w:szCs w:val="24"/>
                <w:lang w:val="en-US" w:eastAsia="zh-CN"/>
              </w:rPr>
              <w:t>50L</w:t>
            </w:r>
            <w:r>
              <w:rPr>
                <w:rFonts w:hint="default" w:ascii="Times New Roman" w:hAnsi="Times New Roman" w:cs="Times New Roman"/>
                <w:color w:val="121212"/>
                <w:sz w:val="24"/>
                <w:szCs w:val="24"/>
                <w:lang w:eastAsia="zh-CN"/>
              </w:rPr>
              <w:t>/人•d计，则</w:t>
            </w:r>
            <w:r>
              <w:rPr>
                <w:rFonts w:hint="eastAsia" w:ascii="Times New Roman" w:hAnsi="Times New Roman" w:cs="Times New Roman"/>
                <w:color w:val="121212"/>
                <w:sz w:val="24"/>
                <w:szCs w:val="24"/>
                <w:lang w:eastAsia="zh-CN"/>
              </w:rPr>
              <w:t>生活</w:t>
            </w:r>
            <w:r>
              <w:rPr>
                <w:rFonts w:hint="default" w:ascii="Times New Roman" w:hAnsi="Times New Roman" w:cs="Times New Roman"/>
                <w:color w:val="121212"/>
                <w:sz w:val="24"/>
                <w:szCs w:val="24"/>
                <w:lang w:eastAsia="zh-CN"/>
              </w:rPr>
              <w:t>用水总量为</w:t>
            </w:r>
            <w:r>
              <w:rPr>
                <w:rFonts w:hint="eastAsia" w:ascii="Times New Roman" w:hAnsi="Times New Roman" w:cs="Times New Roman"/>
                <w:color w:val="121212"/>
                <w:sz w:val="24"/>
                <w:szCs w:val="24"/>
                <w:lang w:val="en-US" w:eastAsia="zh-CN"/>
              </w:rPr>
              <w:t>0.5</w:t>
            </w:r>
            <w:r>
              <w:rPr>
                <w:rFonts w:hint="default" w:ascii="Times New Roman" w:hAnsi="Times New Roman" w:cs="Times New Roman"/>
                <w:color w:val="121212"/>
                <w:sz w:val="24"/>
                <w:szCs w:val="24"/>
                <w:lang w:eastAsia="zh-CN"/>
              </w:rPr>
              <w:t>t/d，即</w:t>
            </w:r>
            <w:r>
              <w:rPr>
                <w:rFonts w:hint="eastAsia" w:cs="Times New Roman"/>
                <w:color w:val="121212"/>
                <w:sz w:val="24"/>
                <w:szCs w:val="24"/>
                <w:lang w:val="en-US" w:eastAsia="zh-CN"/>
              </w:rPr>
              <w:t>2</w:t>
            </w:r>
            <w:r>
              <w:rPr>
                <w:rFonts w:hint="eastAsia" w:ascii="Times New Roman" w:hAnsi="Times New Roman" w:cs="Times New Roman"/>
                <w:color w:val="121212"/>
                <w:sz w:val="24"/>
                <w:szCs w:val="24"/>
                <w:lang w:val="en-US" w:eastAsia="zh-CN"/>
              </w:rPr>
              <w:t>5</w:t>
            </w:r>
            <w:r>
              <w:rPr>
                <w:rFonts w:hint="eastAsia" w:cs="Times New Roman"/>
                <w:color w:val="121212"/>
                <w:sz w:val="24"/>
                <w:szCs w:val="24"/>
                <w:lang w:val="en-US" w:eastAsia="zh-CN"/>
              </w:rPr>
              <w:t>0</w:t>
            </w:r>
            <w:r>
              <w:rPr>
                <w:rFonts w:hint="default" w:ascii="Times New Roman" w:hAnsi="Times New Roman" w:cs="Times New Roman"/>
                <w:color w:val="121212"/>
                <w:sz w:val="24"/>
                <w:szCs w:val="24"/>
                <w:lang w:eastAsia="zh-CN"/>
              </w:rPr>
              <w:t>t/a。排放系数按</w:t>
            </w:r>
            <w:r>
              <w:rPr>
                <w:rFonts w:hint="default" w:ascii="Times New Roman" w:hAnsi="Times New Roman" w:cs="Times New Roman"/>
                <w:color w:val="121212"/>
                <w:sz w:val="24"/>
                <w:szCs w:val="24"/>
                <w:lang w:val="en-US" w:eastAsia="zh-CN"/>
              </w:rPr>
              <w:t>0.8计，</w:t>
            </w:r>
            <w:r>
              <w:rPr>
                <w:rFonts w:hint="default" w:ascii="Times New Roman" w:hAnsi="Times New Roman" w:cs="Times New Roman"/>
                <w:color w:val="121212"/>
                <w:sz w:val="24"/>
                <w:szCs w:val="24"/>
                <w:lang w:eastAsia="zh-CN"/>
              </w:rPr>
              <w:t>则项目</w:t>
            </w:r>
            <w:r>
              <w:rPr>
                <w:rFonts w:hint="eastAsia" w:cs="Times New Roman"/>
                <w:color w:val="121212"/>
                <w:sz w:val="24"/>
                <w:szCs w:val="24"/>
                <w:lang w:eastAsia="zh-CN"/>
              </w:rPr>
              <w:t>生活污水</w:t>
            </w:r>
            <w:r>
              <w:rPr>
                <w:rFonts w:hint="default" w:ascii="Times New Roman" w:hAnsi="Times New Roman" w:cs="Times New Roman"/>
                <w:color w:val="121212"/>
                <w:sz w:val="24"/>
                <w:szCs w:val="24"/>
                <w:lang w:eastAsia="zh-CN"/>
              </w:rPr>
              <w:t>排水量为</w:t>
            </w:r>
            <w:r>
              <w:rPr>
                <w:rFonts w:hint="eastAsia" w:cs="Times New Roman"/>
                <w:color w:val="121212"/>
                <w:sz w:val="24"/>
                <w:szCs w:val="24"/>
                <w:lang w:val="en-US" w:eastAsia="zh-CN"/>
              </w:rPr>
              <w:t>0.8</w:t>
            </w:r>
            <w:r>
              <w:rPr>
                <w:rFonts w:hint="default" w:ascii="Times New Roman" w:hAnsi="Times New Roman" w:cs="Times New Roman"/>
                <w:color w:val="121212"/>
                <w:sz w:val="24"/>
                <w:szCs w:val="24"/>
                <w:lang w:val="en-US" w:eastAsia="zh-CN"/>
              </w:rPr>
              <w:t>t/d（</w:t>
            </w:r>
            <w:r>
              <w:rPr>
                <w:rFonts w:hint="eastAsia" w:cs="Times New Roman"/>
                <w:color w:val="121212"/>
                <w:sz w:val="24"/>
                <w:szCs w:val="24"/>
                <w:lang w:val="en-US" w:eastAsia="zh-CN"/>
              </w:rPr>
              <w:t>200</w:t>
            </w:r>
            <w:r>
              <w:rPr>
                <w:rFonts w:hint="default" w:ascii="Times New Roman" w:hAnsi="Times New Roman" w:cs="Times New Roman"/>
                <w:color w:val="121212"/>
                <w:sz w:val="24"/>
                <w:szCs w:val="24"/>
                <w:lang w:eastAsia="zh-CN"/>
              </w:rPr>
              <w:t>t</w:t>
            </w:r>
            <w:r>
              <w:rPr>
                <w:rFonts w:hint="default" w:ascii="Times New Roman" w:hAnsi="Times New Roman" w:cs="Times New Roman"/>
                <w:color w:val="121212"/>
                <w:sz w:val="24"/>
                <w:szCs w:val="24"/>
                <w:lang w:val="en-US" w:eastAsia="zh-CN"/>
              </w:rPr>
              <w:t>/a）</w:t>
            </w:r>
            <w:r>
              <w:rPr>
                <w:rFonts w:hint="eastAsia" w:ascii="Times New Roman" w:hAnsi="Times New Roman" w:cs="Times New Roman"/>
                <w:color w:val="121212"/>
                <w:sz w:val="24"/>
                <w:szCs w:val="24"/>
                <w:lang w:val="en-US" w:eastAsia="zh-CN"/>
              </w:rPr>
              <w:t>。</w:t>
            </w:r>
          </w:p>
          <w:p>
            <w:pPr>
              <w:bidi w:val="0"/>
              <w:ind w:left="0" w:leftChars="0" w:firstLine="0" w:firstLineChars="0"/>
              <w:rPr>
                <w:rFonts w:hint="eastAsia"/>
                <w:color w:val="121212"/>
                <w:highlight w:val="none"/>
                <w:lang w:val="en-US" w:eastAsia="zh-CN"/>
              </w:rPr>
            </w:pPr>
            <w:r>
              <w:rPr>
                <w:b/>
                <w:color w:val="121212"/>
                <w:sz w:val="24"/>
                <w:szCs w:val="28"/>
                <w:highlight w:val="none"/>
              </w:rPr>
              <mc:AlternateContent>
                <mc:Choice Requires="wpc">
                  <w:drawing>
                    <wp:inline distT="0" distB="0" distL="114300" distR="114300">
                      <wp:extent cx="5070475" cy="779780"/>
                      <wp:effectExtent l="0" t="0" r="0" b="0"/>
                      <wp:docPr id="27" name="画布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文本框 3"/>
                              <wps:cNvSpPr txBox="1"/>
                              <wps:spPr>
                                <a:xfrm>
                                  <a:off x="1271905" y="368300"/>
                                  <a:ext cx="754380" cy="332105"/>
                                </a:xfrm>
                                <a:prstGeom prst="rect">
                                  <a:avLst/>
                                </a:prstGeom>
                                <a:noFill/>
                                <a:ln w="9525" cap="flat" cmpd="sng">
                                  <a:solidFill>
                                    <a:srgbClr val="000000"/>
                                  </a:solidFill>
                                  <a:prstDash val="solid"/>
                                  <a:miter/>
                                  <a:headEnd type="none" w="med" len="med"/>
                                  <a:tailEnd type="none" w="med" len="med"/>
                                </a:ln>
                              </wps:spPr>
                              <wps:txbx>
                                <w:txbxContent>
                                  <w:p>
                                    <w:pPr>
                                      <w:ind w:left="0" w:leftChars="0" w:firstLine="0" w:firstLineChars="0"/>
                                      <w:jc w:val="both"/>
                                      <w:rPr>
                                        <w:sz w:val="21"/>
                                        <w:szCs w:val="21"/>
                                      </w:rPr>
                                    </w:pPr>
                                    <w:r>
                                      <w:rPr>
                                        <w:sz w:val="21"/>
                                        <w:szCs w:val="21"/>
                                      </w:rPr>
                                      <w:t>生活用水</w:t>
                                    </w:r>
                                  </w:p>
                                </w:txbxContent>
                              </wps:txbx>
                              <wps:bodyPr upright="1"/>
                            </wps:wsp>
                            <wps:wsp>
                              <wps:cNvPr id="5" name="任意多边形 5"/>
                              <wps:cNvSpPr/>
                              <wps:spPr>
                                <a:xfrm>
                                  <a:off x="1560830" y="151177"/>
                                  <a:ext cx="387350" cy="219779"/>
                                </a:xfrm>
                                <a:custGeom>
                                  <a:avLst/>
                                  <a:gdLst/>
                                  <a:ahLst/>
                                  <a:cxnLst/>
                                  <a:rect l="0" t="0" r="0" b="0"/>
                                  <a:pathLst>
                                    <a:path w="609" h="439">
                                      <a:moveTo>
                                        <a:pt x="0" y="434"/>
                                      </a:moveTo>
                                      <a:cubicBezTo>
                                        <a:pt x="73" y="217"/>
                                        <a:pt x="147" y="0"/>
                                        <a:pt x="210" y="0"/>
                                      </a:cubicBezTo>
                                      <a:cubicBezTo>
                                        <a:pt x="273" y="0"/>
                                        <a:pt x="312" y="429"/>
                                        <a:pt x="378" y="434"/>
                                      </a:cubicBezTo>
                                      <a:cubicBezTo>
                                        <a:pt x="444" y="439"/>
                                        <a:pt x="571" y="98"/>
                                        <a:pt x="609" y="31"/>
                                      </a:cubicBezTo>
                                    </a:path>
                                  </a:pathLst>
                                </a:custGeom>
                                <a:noFill/>
                                <a:ln w="9525" cap="flat" cmpd="sng">
                                  <a:solidFill>
                                    <a:srgbClr val="000000"/>
                                  </a:solidFill>
                                  <a:prstDash val="solid"/>
                                  <a:headEnd type="none" w="med" len="med"/>
                                  <a:tailEnd type="triangle" w="med" len="med"/>
                                </a:ln>
                              </wps:spPr>
                              <wps:bodyPr upright="1"/>
                            </wps:wsp>
                            <wps:wsp>
                              <wps:cNvPr id="8" name="文本框 7"/>
                              <wps:cNvSpPr txBox="1"/>
                              <wps:spPr>
                                <a:xfrm>
                                  <a:off x="1898650" y="0"/>
                                  <a:ext cx="1209040" cy="293370"/>
                                </a:xfrm>
                                <a:prstGeom prst="rect">
                                  <a:avLst/>
                                </a:prstGeom>
                                <a:noFill/>
                                <a:ln>
                                  <a:noFill/>
                                </a:ln>
                              </wps:spPr>
                              <wps:txbx>
                                <w:txbxContent>
                                  <w:p>
                                    <w:pPr>
                                      <w:ind w:left="0" w:leftChars="0" w:firstLine="0" w:firstLineChars="0"/>
                                      <w:rPr>
                                        <w:rFonts w:hint="default" w:eastAsia="宋体"/>
                                        <w:sz w:val="21"/>
                                        <w:szCs w:val="21"/>
                                        <w:lang w:val="en-US" w:eastAsia="zh-CN"/>
                                      </w:rPr>
                                    </w:pPr>
                                    <w:r>
                                      <w:rPr>
                                        <w:rFonts w:hAnsi="宋体"/>
                                        <w:sz w:val="21"/>
                                        <w:szCs w:val="21"/>
                                      </w:rPr>
                                      <w:t>损耗</w:t>
                                    </w:r>
                                    <w:r>
                                      <w:rPr>
                                        <w:rFonts w:hint="eastAsia"/>
                                        <w:sz w:val="21"/>
                                        <w:szCs w:val="21"/>
                                        <w:lang w:val="en-US" w:eastAsia="zh-CN"/>
                                      </w:rPr>
                                      <w:t>0.2</w:t>
                                    </w:r>
                                  </w:p>
                                </w:txbxContent>
                              </wps:txbx>
                              <wps:bodyPr upright="1"/>
                            </wps:wsp>
                            <wps:wsp>
                              <wps:cNvPr id="9" name="直接连接符 8"/>
                              <wps:cNvCnPr/>
                              <wps:spPr>
                                <a:xfrm>
                                  <a:off x="775335" y="494820"/>
                                  <a:ext cx="506095" cy="635"/>
                                </a:xfrm>
                                <a:prstGeom prst="line">
                                  <a:avLst/>
                                </a:prstGeom>
                                <a:ln w="9525" cap="flat" cmpd="sng">
                                  <a:solidFill>
                                    <a:srgbClr val="000000"/>
                                  </a:solidFill>
                                  <a:prstDash val="solid"/>
                                  <a:headEnd type="none" w="med" len="med"/>
                                  <a:tailEnd type="triangle" w="med" len="med"/>
                                </a:ln>
                              </wps:spPr>
                              <wps:bodyPr/>
                            </wps:wsp>
                            <wps:wsp>
                              <wps:cNvPr id="14" name="文本框 9"/>
                              <wps:cNvSpPr txBox="1"/>
                              <wps:spPr>
                                <a:xfrm>
                                  <a:off x="3308985" y="187960"/>
                                  <a:ext cx="508635" cy="351790"/>
                                </a:xfrm>
                                <a:prstGeom prst="rect">
                                  <a:avLst/>
                                </a:prstGeom>
                                <a:noFill/>
                                <a:ln>
                                  <a:noFill/>
                                </a:ln>
                              </wps:spPr>
                              <wps:txbx>
                                <w:txbxContent>
                                  <w:p>
                                    <w:pPr>
                                      <w:ind w:left="0" w:leftChars="0" w:firstLine="0" w:firstLineChars="0"/>
                                      <w:rPr>
                                        <w:rFonts w:hint="default" w:eastAsia="宋体"/>
                                        <w:lang w:val="en-US" w:eastAsia="zh-CN"/>
                                      </w:rPr>
                                    </w:pPr>
                                    <w:r>
                                      <w:rPr>
                                        <w:rFonts w:hint="eastAsia"/>
                                        <w:lang w:val="en-US" w:eastAsia="zh-CN"/>
                                      </w:rPr>
                                      <w:t>0.8</w:t>
                                    </w:r>
                                  </w:p>
                                </w:txbxContent>
                              </wps:txbx>
                              <wps:bodyPr upright="1"/>
                            </wps:wsp>
                            <wps:wsp>
                              <wps:cNvPr id="15" name="文本框 10"/>
                              <wps:cNvSpPr txBox="1"/>
                              <wps:spPr>
                                <a:xfrm>
                                  <a:off x="834390" y="225425"/>
                                  <a:ext cx="601345" cy="357505"/>
                                </a:xfrm>
                                <a:prstGeom prst="rect">
                                  <a:avLst/>
                                </a:prstGeom>
                                <a:noFill/>
                                <a:ln>
                                  <a:noFill/>
                                </a:ln>
                              </wps:spPr>
                              <wps:txbx>
                                <w:txbxContent>
                                  <w:p>
                                    <w:pPr>
                                      <w:ind w:left="0" w:leftChars="0" w:firstLine="0" w:firstLineChars="0"/>
                                      <w:rPr>
                                        <w:rFonts w:hint="default" w:eastAsia="宋体"/>
                                        <w:lang w:val="en-US" w:eastAsia="zh-CN"/>
                                      </w:rPr>
                                    </w:pPr>
                                    <w:r>
                                      <w:rPr>
                                        <w:rFonts w:hint="eastAsia"/>
                                        <w:lang w:val="en-US" w:eastAsia="zh-CN"/>
                                      </w:rPr>
                                      <w:t>1</w:t>
                                    </w:r>
                                  </w:p>
                                </w:txbxContent>
                              </wps:txbx>
                              <wps:bodyPr upright="1"/>
                            </wps:wsp>
                            <wps:wsp>
                              <wps:cNvPr id="16" name="直接连接符 15"/>
                              <wps:cNvCnPr/>
                              <wps:spPr>
                                <a:xfrm flipV="1">
                                  <a:off x="2027555" y="502443"/>
                                  <a:ext cx="455930" cy="635"/>
                                </a:xfrm>
                                <a:prstGeom prst="line">
                                  <a:avLst/>
                                </a:prstGeom>
                                <a:ln w="9525" cap="flat" cmpd="sng">
                                  <a:solidFill>
                                    <a:srgbClr val="000000"/>
                                  </a:solidFill>
                                  <a:prstDash val="solid"/>
                                  <a:headEnd type="none" w="med" len="med"/>
                                  <a:tailEnd type="triangle" w="med" len="med"/>
                                </a:ln>
                              </wps:spPr>
                              <wps:bodyPr/>
                            </wps:wsp>
                            <wps:wsp>
                              <wps:cNvPr id="21" name="文本框 16"/>
                              <wps:cNvSpPr txBox="1"/>
                              <wps:spPr>
                                <a:xfrm>
                                  <a:off x="2484755" y="345440"/>
                                  <a:ext cx="813435" cy="339090"/>
                                </a:xfrm>
                                <a:prstGeom prst="rect">
                                  <a:avLst/>
                                </a:prstGeom>
                                <a:noFill/>
                                <a:ln w="9525" cap="flat" cmpd="sng">
                                  <a:solidFill>
                                    <a:srgbClr val="000000"/>
                                  </a:solidFill>
                                  <a:prstDash val="solid"/>
                                  <a:miter/>
                                  <a:headEnd type="none" w="med" len="med"/>
                                  <a:tailEnd type="none" w="med" len="med"/>
                                </a:ln>
                              </wps:spPr>
                              <wps:txbx>
                                <w:txbxContent>
                                  <w:p>
                                    <w:pPr>
                                      <w:ind w:left="0" w:leftChars="0" w:firstLine="0" w:firstLineChars="0"/>
                                      <w:jc w:val="center"/>
                                      <w:rPr>
                                        <w:sz w:val="21"/>
                                        <w:szCs w:val="21"/>
                                      </w:rPr>
                                    </w:pPr>
                                    <w:r>
                                      <w:rPr>
                                        <w:rFonts w:hint="eastAsia"/>
                                        <w:sz w:val="21"/>
                                        <w:szCs w:val="21"/>
                                      </w:rPr>
                                      <w:t>化粪池</w:t>
                                    </w:r>
                                  </w:p>
                                </w:txbxContent>
                              </wps:txbx>
                              <wps:bodyPr upright="1"/>
                            </wps:wsp>
                            <wps:wsp>
                              <wps:cNvPr id="22" name="直接连接符 17"/>
                              <wps:cNvCnPr/>
                              <wps:spPr>
                                <a:xfrm flipV="1">
                                  <a:off x="3276600" y="495456"/>
                                  <a:ext cx="508000" cy="635"/>
                                </a:xfrm>
                                <a:prstGeom prst="line">
                                  <a:avLst/>
                                </a:prstGeom>
                                <a:ln w="9525" cap="flat" cmpd="sng">
                                  <a:solidFill>
                                    <a:srgbClr val="000000"/>
                                  </a:solidFill>
                                  <a:prstDash val="solid"/>
                                  <a:headEnd type="none" w="med" len="med"/>
                                  <a:tailEnd type="triangle" w="med" len="med"/>
                                </a:ln>
                              </wps:spPr>
                              <wps:bodyPr/>
                            </wps:wsp>
                            <wps:wsp>
                              <wps:cNvPr id="23" name="文本框 21"/>
                              <wps:cNvSpPr txBox="1"/>
                              <wps:spPr>
                                <a:xfrm>
                                  <a:off x="1996440" y="234950"/>
                                  <a:ext cx="493395" cy="293370"/>
                                </a:xfrm>
                                <a:prstGeom prst="rect">
                                  <a:avLst/>
                                </a:prstGeom>
                                <a:noFill/>
                                <a:ln>
                                  <a:noFill/>
                                </a:ln>
                              </wps:spPr>
                              <wps:txbx>
                                <w:txbxContent>
                                  <w:p>
                                    <w:pPr>
                                      <w:ind w:left="0" w:leftChars="0" w:firstLine="0" w:firstLineChars="0"/>
                                      <w:rPr>
                                        <w:rFonts w:hint="default" w:eastAsia="宋体"/>
                                        <w:lang w:val="en-US" w:eastAsia="zh-CN"/>
                                      </w:rPr>
                                    </w:pPr>
                                    <w:r>
                                      <w:rPr>
                                        <w:rFonts w:hint="eastAsia"/>
                                        <w:lang w:val="en-US" w:eastAsia="zh-CN"/>
                                      </w:rPr>
                                      <w:t>0.8</w:t>
                                    </w:r>
                                  </w:p>
                                </w:txbxContent>
                              </wps:txbx>
                              <wps:bodyPr upright="1"/>
                            </wps:wsp>
                            <wps:wsp>
                              <wps:cNvPr id="24" name="文本框 26"/>
                              <wps:cNvSpPr txBox="1"/>
                              <wps:spPr>
                                <a:xfrm>
                                  <a:off x="3778885" y="364490"/>
                                  <a:ext cx="1322070" cy="292100"/>
                                </a:xfrm>
                                <a:prstGeom prst="rect">
                                  <a:avLst/>
                                </a:prstGeom>
                                <a:noFill/>
                                <a:ln>
                                  <a:noFill/>
                                </a:ln>
                              </wps:spPr>
                              <wps:txbx>
                                <w:txbxContent>
                                  <w:p>
                                    <w:pPr>
                                      <w:ind w:left="0" w:leftChars="0" w:firstLine="0" w:firstLineChars="0"/>
                                    </w:pPr>
                                    <w:r>
                                      <w:rPr>
                                        <w:rFonts w:hint="eastAsia"/>
                                        <w:sz w:val="21"/>
                                        <w:szCs w:val="21"/>
                                        <w:lang w:val="en-US" w:eastAsia="zh-CN"/>
                                      </w:rPr>
                                      <w:t>汊涧镇</w:t>
                                    </w:r>
                                    <w:r>
                                      <w:rPr>
                                        <w:rFonts w:hint="eastAsia"/>
                                        <w:sz w:val="21"/>
                                        <w:szCs w:val="21"/>
                                      </w:rPr>
                                      <w:t>污水处理厂</w:t>
                                    </w:r>
                                  </w:p>
                                </w:txbxContent>
                              </wps:txbx>
                              <wps:bodyPr upright="1"/>
                            </wps:wsp>
                          </wpc:wpc>
                        </a:graphicData>
                      </a:graphic>
                    </wp:inline>
                  </w:drawing>
                </mc:Choice>
                <mc:Fallback>
                  <w:pict>
                    <v:group id="_x0000_s1026" o:spid="_x0000_s1026" o:spt="203" style="height:61.4pt;width:399.25pt;" coordsize="5070475,779780" editas="canvas" o:gfxdata="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">
                      <o:lock v:ext="edit" aspectratio="f"/>
                      <v:shape id="_x0000_s1026" o:spid="_x0000_s1026" style="position:absolute;left:0;top:0;height:779780;width:5070475;" filled="f" stroked="f" coordsize="21600,21600" o:gfxdata="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Dcf0+s1wAAAAUBAAAPAAAAAAAAAAEA&#10;IAAAACIAAABkcnMvZG93bnJldi54bWxQSwECFAAUAAAACACHTuJA3YHMNvUEAAAjGAAADgAAAAAA&#10;AAABACAAAAAmAQAAZHJzL2Uyb0RvYy54bWxQSwUGAAAAAAYABgBZAQAAjQgAAAAA&#10;">
                        <v:fill on="f" focussize="0,0"/>
                        <v:stroke on="f"/>
                        <v:imagedata o:title=""/>
                        <o:lock v:ext="edit" aspectratio="t"/>
                      </v:shape>
                      <v:shape id="文本框 3" o:spid="_x0000_s1026" o:spt="202" type="#_x0000_t202" style="position:absolute;left:1271905;top:368300;height:332105;width:754380;" filled="f" stroked="t" coordsize="21600,21600" o:gfxdata="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cKiHdMAAAAFAQAADwAAAAAAAAABACAAAAAiAAAAZHJzL2Rvd25yZXYueG1sUEsBAhQAFAAA&#10;AAgAh07iQBKkRdb0AQAAyQMAAA4AAAAAAAAAAQAgAAAAIgEAAGRycy9lMm9Eb2MueG1sUEsFBgAA&#10;AAAGAAYAWQEAAIgFAAAAAAAA&#10;">
                        <v:fill on="f" focussize="0,0"/>
                        <v:stroke color="#000000" joinstyle="miter"/>
                        <v:imagedata o:title=""/>
                        <o:lock v:ext="edit" aspectratio="f"/>
                        <v:textbox>
                          <w:txbxContent>
                            <w:p>
                              <w:pPr>
                                <w:ind w:left="0" w:leftChars="0" w:firstLine="0" w:firstLineChars="0"/>
                                <w:jc w:val="both"/>
                                <w:rPr>
                                  <w:sz w:val="21"/>
                                  <w:szCs w:val="21"/>
                                </w:rPr>
                              </w:pPr>
                              <w:r>
                                <w:rPr>
                                  <w:sz w:val="21"/>
                                  <w:szCs w:val="21"/>
                                </w:rPr>
                                <w:t>生活用水</w:t>
                              </w:r>
                            </w:p>
                          </w:txbxContent>
                        </v:textbox>
                      </v:shape>
                      <v:shape id="任意多边形 5" o:spid="_x0000_s1026" o:spt="100" style="position:absolute;left:1560830;top:151177;height:219779;width:387350;" filled="f" stroked="t" coordsize="609,439" o:gfxdata="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hT2Qd1AAAAAUBAAAPAAAA&#10;AAAAAAEAIAAAACIAAABkcnMvZG93bnJldi54bWxQSwECFAAUAAAACACHTuJApbb2+osCAABnBQAA&#10;DgAAAAAAAAABACAAAAAjAQAAZHJzL2Uyb0RvYy54bWxQSwUGAAAAAAYABgBZAQAAIAYAAAAA&#10;" path="m0,434c73,217,147,0,210,0c273,0,312,429,378,434c444,439,571,98,609,31e">
                        <v:fill on="f" focussize="0,0"/>
                        <v:stroke color="#000000" joinstyle="round" endarrow="block"/>
                        <v:imagedata o:title=""/>
                        <o:lock v:ext="edit" aspectratio="f"/>
                      </v:shape>
                      <v:shape id="文本框 7" o:spid="_x0000_s1026" o:spt="202" type="#_x0000_t202" style="position:absolute;left:1898650;top:0;height:293370;width:1209040;" filled="f" stroked="f" coordsize="21600,21600" o:gfxdata="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MKA2btMAAAAFAQAADwAAAAAAAAABACAAAAAiAAAAZHJzL2Rvd25y&#10;ZXYueG1sUEsBAhQAFAAAAAgAh07iQOu4ISCRAQAABgMAAA4AAAAAAAAAAQAgAAAAIgEAAGRycy9l&#10;Mm9Eb2MueG1sUEsFBgAAAAAGAAYAWQEAACUFAAAAAAAA&#10;">
                        <v:fill on="f" focussize="0,0"/>
                        <v:stroke on="f"/>
                        <v:imagedata o:title=""/>
                        <o:lock v:ext="edit" aspectratio="f"/>
                        <v:textbox>
                          <w:txbxContent>
                            <w:p>
                              <w:pPr>
                                <w:ind w:left="0" w:leftChars="0" w:firstLine="0" w:firstLineChars="0"/>
                                <w:rPr>
                                  <w:rFonts w:hint="default" w:eastAsia="宋体"/>
                                  <w:sz w:val="21"/>
                                  <w:szCs w:val="21"/>
                                  <w:lang w:val="en-US" w:eastAsia="zh-CN"/>
                                </w:rPr>
                              </w:pPr>
                              <w:r>
                                <w:rPr>
                                  <w:rFonts w:hAnsi="宋体"/>
                                  <w:sz w:val="21"/>
                                  <w:szCs w:val="21"/>
                                </w:rPr>
                                <w:t>损耗</w:t>
                              </w:r>
                              <w:r>
                                <w:rPr>
                                  <w:rFonts w:hint="eastAsia"/>
                                  <w:sz w:val="21"/>
                                  <w:szCs w:val="21"/>
                                  <w:lang w:val="en-US" w:eastAsia="zh-CN"/>
                                </w:rPr>
                                <w:t>0.2</w:t>
                              </w:r>
                            </w:p>
                          </w:txbxContent>
                        </v:textbox>
                      </v:shape>
                      <v:line id="直接连接符 8" o:spid="_x0000_s1026" o:spt="20" style="position:absolute;left:775335;top:494820;height:635;width:506095;" filled="f" stroked="t" coordsize="21600,21600" o:gfxdata="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D9Kz1wAAAAUB&#10;AAAPAAAAAAAAAAEAIAAAACIAAABkcnMvZG93bnJldi54bWxQSwECFAAUAAAACACHTuJAUaJS8uMB&#10;AACZAwAADgAAAAAAAAABACAAAAAmAQAAZHJzL2Uyb0RvYy54bWxQSwUGAAAAAAYABgBZAQAAewUA&#10;AAAA&#10;">
                        <v:fill on="f" focussize="0,0"/>
                        <v:stroke color="#000000" joinstyle="round" endarrow="block"/>
                        <v:imagedata o:title=""/>
                        <o:lock v:ext="edit" aspectratio="f"/>
                      </v:line>
                      <v:shape id="文本框 9" o:spid="_x0000_s1026" o:spt="202" type="#_x0000_t202" style="position:absolute;left:3308985;top:187960;height:351790;width:508635;" filled="f" stroked="f" coordsize="21600,21600" o:gfxdata="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CgNm7TAAAABQEAAA8AAAAAAAAAAQAgAAAAIgAA&#10;AGRycy9kb3ducmV2LnhtbFBLAQIUABQAAAAIAIdO4kC9vfm2mwEAAAsDAAAOAAAAAAAAAAEAIAAA&#10;ACIBAABkcnMvZTJvRG9jLnhtbFBLBQYAAAAABgAGAFkBAAAvBQAAAAAA&#10;">
                        <v:fill on="f" focussize="0,0"/>
                        <v:stroke on="f"/>
                        <v:imagedata o:title=""/>
                        <o:lock v:ext="edit" aspectratio="f"/>
                        <v:textbox>
                          <w:txbxContent>
                            <w:p>
                              <w:pPr>
                                <w:ind w:left="0" w:leftChars="0" w:firstLine="0" w:firstLineChars="0"/>
                                <w:rPr>
                                  <w:rFonts w:hint="default" w:eastAsia="宋体"/>
                                  <w:lang w:val="en-US" w:eastAsia="zh-CN"/>
                                </w:rPr>
                              </w:pPr>
                              <w:r>
                                <w:rPr>
                                  <w:rFonts w:hint="eastAsia"/>
                                  <w:lang w:val="en-US" w:eastAsia="zh-CN"/>
                                </w:rPr>
                                <w:t>0.8</w:t>
                              </w:r>
                            </w:p>
                          </w:txbxContent>
                        </v:textbox>
                      </v:shape>
                      <v:shape id="文本框 10" o:spid="_x0000_s1026" o:spt="202" type="#_x0000_t202" style="position:absolute;left:834390;top:225425;height:357505;width:601345;" filled="f" stroked="f" coordsize="21600,21600" o:gfxdata="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CgNm7TAAAABQEAAA8AAAAAAAAAAQAgAAAAIgAA&#10;AGRycy9kb3ducmV2LnhtbFBLAQIUABQAAAAIAIdO4kC8TJqBmwEAAAsDAAAOAAAAAAAAAAEAIAAA&#10;ACIBAABkcnMvZTJvRG9jLnhtbFBLBQYAAAAABgAGAFkBAAAvBQAAAAAA&#10;">
                        <v:fill on="f" focussize="0,0"/>
                        <v:stroke on="f"/>
                        <v:imagedata o:title=""/>
                        <o:lock v:ext="edit" aspectratio="f"/>
                        <v:textbox>
                          <w:txbxContent>
                            <w:p>
                              <w:pPr>
                                <w:ind w:left="0" w:leftChars="0" w:firstLine="0" w:firstLineChars="0"/>
                                <w:rPr>
                                  <w:rFonts w:hint="default" w:eastAsia="宋体"/>
                                  <w:lang w:val="en-US" w:eastAsia="zh-CN"/>
                                </w:rPr>
                              </w:pPr>
                              <w:r>
                                <w:rPr>
                                  <w:rFonts w:hint="eastAsia"/>
                                  <w:lang w:val="en-US" w:eastAsia="zh-CN"/>
                                </w:rPr>
                                <w:t>1</w:t>
                              </w:r>
                            </w:p>
                          </w:txbxContent>
                        </v:textbox>
                      </v:shape>
                      <v:line id="直接连接符 15" o:spid="_x0000_s1026" o:spt="20" style="position:absolute;left:2027555;top:502443;flip:y;height:635;width:455930;" filled="f" stroked="t" coordsize="21600,21600" o:gfxdata="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WdH4NYAAAAFAQAADwAAAAAAAAABACAAAAAiAAAAZHJzL2Rvd25yZXYueG1sUEsBAhQAFAAA&#10;AAgAh07iQMU6ZZDxAQAApgMAAA4AAAAAAAAAAQAgAAAAJQEAAGRycy9lMm9Eb2MueG1sUEsFBgAA&#10;AAAGAAYAWQEAAIgFAAAAAAAA&#10;">
                        <v:fill on="f" focussize="0,0"/>
                        <v:stroke color="#000000" joinstyle="round" endarrow="block"/>
                        <v:imagedata o:title=""/>
                        <o:lock v:ext="edit" aspectratio="f"/>
                      </v:line>
                      <v:shape id="文本框 16" o:spid="_x0000_s1026" o:spt="202" type="#_x0000_t202" style="position:absolute;left:2484755;top:345440;height:339090;width:813435;" filled="f" stroked="t" coordsize="21600,21600" o:gfxdata="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9cKiHdMAAAAFAQAADwAAAAAAAAABACAAAAAiAAAAZHJzL2Rvd25yZXYueG1sUEsBAhQA&#10;FAAAAAgAh07iQHDgAuT3AQAAywMAAA4AAAAAAAAAAQAgAAAAIgEAAGRycy9lMm9Eb2MueG1sUEsF&#10;BgAAAAAGAAYAWQEAAIsFAAAAAAAA&#10;">
                        <v:fill on="f" focussize="0,0"/>
                        <v:stroke color="#000000" joinstyle="miter"/>
                        <v:imagedata o:title=""/>
                        <o:lock v:ext="edit" aspectratio="f"/>
                        <v:textbox>
                          <w:txbxContent>
                            <w:p>
                              <w:pPr>
                                <w:ind w:left="0" w:leftChars="0" w:firstLine="0" w:firstLineChars="0"/>
                                <w:jc w:val="center"/>
                                <w:rPr>
                                  <w:sz w:val="21"/>
                                  <w:szCs w:val="21"/>
                                </w:rPr>
                              </w:pPr>
                              <w:r>
                                <w:rPr>
                                  <w:rFonts w:hint="eastAsia"/>
                                  <w:sz w:val="21"/>
                                  <w:szCs w:val="21"/>
                                </w:rPr>
                                <w:t>化粪池</w:t>
                              </w:r>
                            </w:p>
                          </w:txbxContent>
                        </v:textbox>
                      </v:shape>
                      <v:line id="直接连接符 17" o:spid="_x0000_s1026" o:spt="20" style="position:absolute;left:3276600;top:495456;flip:y;height:635;width:508000;" filled="f" stroked="t" coordsize="21600,21600" o:gfxdata="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lnR+DWAAAABQEAAA8AAAAAAAAAAQAgAAAAIgAAAGRycy9kb3ducmV2LnhtbFBLAQIUABQAAAAI&#10;AIdO4kBir78b7wEAAKYDAAAOAAAAAAAAAAEAIAAAACUBAABkcnMvZTJvRG9jLnhtbFBLBQYAAAAA&#10;BgAGAFkBAACGBQAAAAAA&#10;">
                        <v:fill on="f" focussize="0,0"/>
                        <v:stroke color="#000000" joinstyle="round" endarrow="block"/>
                        <v:imagedata o:title=""/>
                        <o:lock v:ext="edit" aspectratio="f"/>
                      </v:line>
                      <v:shape id="文本框 21" o:spid="_x0000_s1026" o:spt="202" type="#_x0000_t202" style="position:absolute;left:1996440;top:234950;height:293370;width:493395;" filled="f" stroked="f" coordsize="21600,21600" o:gfxdata="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MKA2btMAAAAFAQAADwAAAAAAAAABACAAAAAiAAAAZHJz&#10;L2Rvd25yZXYueG1sUEsBAhQAFAAAAAgAh07iQO7Jlb6XAQAADAMAAA4AAAAAAAAAAQAgAAAAIgEA&#10;AGRycy9lMm9Eb2MueG1sUEsFBgAAAAAGAAYAWQEAACsFAAAAAAAA&#10;">
                        <v:fill on="f" focussize="0,0"/>
                        <v:stroke on="f"/>
                        <v:imagedata o:title=""/>
                        <o:lock v:ext="edit" aspectratio="f"/>
                        <v:textbox>
                          <w:txbxContent>
                            <w:p>
                              <w:pPr>
                                <w:ind w:left="0" w:leftChars="0" w:firstLine="0" w:firstLineChars="0"/>
                                <w:rPr>
                                  <w:rFonts w:hint="default" w:eastAsia="宋体"/>
                                  <w:lang w:val="en-US" w:eastAsia="zh-CN"/>
                                </w:rPr>
                              </w:pPr>
                              <w:r>
                                <w:rPr>
                                  <w:rFonts w:hint="eastAsia"/>
                                  <w:lang w:val="en-US" w:eastAsia="zh-CN"/>
                                </w:rPr>
                                <w:t>0.8</w:t>
                              </w:r>
                            </w:p>
                          </w:txbxContent>
                        </v:textbox>
                      </v:shape>
                      <v:shape id="文本框 26" o:spid="_x0000_s1026" o:spt="202" type="#_x0000_t202" style="position:absolute;left:3778885;top:364490;height:292100;width:1322070;" filled="f" stroked="f" coordsize="21600,21600" o:gfxdata="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MKA2btMAAAAFAQAADwAAAAAAAAABACAAAAAi&#10;AAAAZHJzL2Rvd25yZXYueG1sUEsBAhQAFAAAAAgAh07iQPrx7hOdAQAADQMAAA4AAAAAAAAAAQAg&#10;AAAAIgEAAGRycy9lMm9Eb2MueG1sUEsFBgAAAAAGAAYAWQEAADEFAAAAAAAA&#10;">
                        <v:fill on="f" focussize="0,0"/>
                        <v:stroke on="f"/>
                        <v:imagedata o:title=""/>
                        <o:lock v:ext="edit" aspectratio="f"/>
                        <v:textbox>
                          <w:txbxContent>
                            <w:p>
                              <w:pPr>
                                <w:ind w:left="0" w:leftChars="0" w:firstLine="0" w:firstLineChars="0"/>
                              </w:pPr>
                              <w:r>
                                <w:rPr>
                                  <w:rFonts w:hint="eastAsia"/>
                                  <w:sz w:val="21"/>
                                  <w:szCs w:val="21"/>
                                  <w:lang w:val="en-US" w:eastAsia="zh-CN"/>
                                </w:rPr>
                                <w:t>汊涧镇</w:t>
                              </w:r>
                              <w:r>
                                <w:rPr>
                                  <w:rFonts w:hint="eastAsia"/>
                                  <w:sz w:val="21"/>
                                  <w:szCs w:val="21"/>
                                </w:rPr>
                                <w:t>污水处理厂</w:t>
                              </w:r>
                            </w:p>
                          </w:txbxContent>
                        </v:textbox>
                      </v:shape>
                      <w10:wrap type="none"/>
                      <w10:anchorlock/>
                    </v:group>
                  </w:pict>
                </mc:Fallback>
              </mc:AlternateContent>
            </w:r>
          </w:p>
          <w:p>
            <w:pPr>
              <w:bidi w:val="0"/>
              <w:ind w:left="0" w:leftChars="0" w:firstLine="0" w:firstLineChars="0"/>
              <w:rPr>
                <w:rFonts w:hint="default"/>
                <w:color w:val="121212"/>
                <w:highlight w:val="none"/>
                <w:lang w:val="en-US" w:eastAsia="zh-CN"/>
              </w:rPr>
            </w:pPr>
          </w:p>
          <w:p>
            <w:pPr>
              <w:pStyle w:val="47"/>
              <w:bidi w:val="0"/>
              <w:rPr>
                <w:rFonts w:hint="eastAsia"/>
                <w:color w:val="121212"/>
                <w:highlight w:val="none"/>
                <w:lang w:eastAsia="zh-CN"/>
              </w:rPr>
            </w:pPr>
          </w:p>
          <w:p>
            <w:pPr>
              <w:pStyle w:val="39"/>
              <w:bidi w:val="0"/>
              <w:rPr>
                <w:rFonts w:hint="default"/>
                <w:color w:val="121212"/>
                <w:highlight w:val="none"/>
                <w:lang w:val="en-US" w:eastAsia="zh-CN"/>
              </w:rPr>
            </w:pPr>
            <w:r>
              <w:rPr>
                <w:rFonts w:hint="eastAsia"/>
                <w:color w:val="121212"/>
                <w:highlight w:val="none"/>
                <w:lang w:val="en-US" w:eastAsia="zh-CN"/>
              </w:rPr>
              <w:t>图2-1  项目水平衡图（t/d）</w:t>
            </w:r>
          </w:p>
          <w:p>
            <w:pPr>
              <w:widowControl/>
              <w:adjustRightInd w:val="0"/>
              <w:snapToGrid w:val="0"/>
              <w:spacing w:line="360" w:lineRule="auto"/>
              <w:ind w:firstLine="480" w:firstLineChars="200"/>
              <w:jc w:val="left"/>
              <w:rPr>
                <w:rFonts w:hint="default" w:ascii="Times New Roman" w:hAnsi="Times New Roman" w:cs="Times New Roman"/>
                <w:color w:val="121212"/>
                <w:kern w:val="0"/>
                <w:sz w:val="24"/>
                <w:highlight w:val="none"/>
              </w:rPr>
            </w:pPr>
            <w:r>
              <w:rPr>
                <w:rFonts w:hint="default" w:ascii="Times New Roman" w:hAnsi="Times New Roman" w:cs="Times New Roman"/>
                <w:color w:val="121212"/>
                <w:kern w:val="0"/>
                <w:sz w:val="24"/>
                <w:highlight w:val="none"/>
              </w:rPr>
              <w:t>（</w:t>
            </w:r>
            <w:r>
              <w:rPr>
                <w:rFonts w:hint="eastAsia" w:cs="Times New Roman"/>
                <w:color w:val="121212"/>
                <w:kern w:val="0"/>
                <w:sz w:val="24"/>
                <w:highlight w:val="none"/>
                <w:lang w:val="en-US" w:eastAsia="zh-CN"/>
              </w:rPr>
              <w:t>2</w:t>
            </w:r>
            <w:r>
              <w:rPr>
                <w:rFonts w:hint="default" w:ascii="Times New Roman" w:hAnsi="Times New Roman" w:cs="Times New Roman"/>
                <w:color w:val="121212"/>
                <w:kern w:val="0"/>
                <w:sz w:val="24"/>
                <w:highlight w:val="none"/>
              </w:rPr>
              <w:t>）供电</w:t>
            </w:r>
          </w:p>
          <w:p>
            <w:pPr>
              <w:widowControl/>
              <w:adjustRightInd w:val="0"/>
              <w:snapToGrid w:val="0"/>
              <w:spacing w:line="360" w:lineRule="auto"/>
              <w:ind w:firstLine="480" w:firstLineChars="200"/>
              <w:jc w:val="left"/>
              <w:rPr>
                <w:rFonts w:hint="default" w:ascii="Times New Roman" w:hAnsi="Times New Roman" w:cs="Times New Roman"/>
                <w:color w:val="121212"/>
                <w:kern w:val="0"/>
                <w:sz w:val="24"/>
                <w:highlight w:val="none"/>
              </w:rPr>
            </w:pPr>
            <w:r>
              <w:rPr>
                <w:rFonts w:hint="eastAsia" w:ascii="Times New Roman" w:hAnsi="Times New Roman" w:cs="Times New Roman"/>
                <w:color w:val="121212"/>
                <w:kern w:val="0"/>
                <w:sz w:val="24"/>
                <w:highlight w:val="none"/>
                <w:lang w:val="en-US" w:eastAsia="zh-CN"/>
              </w:rPr>
              <w:t>市供电电网供</w:t>
            </w:r>
            <w:r>
              <w:rPr>
                <w:rFonts w:hint="default" w:ascii="Times New Roman" w:hAnsi="Times New Roman" w:cs="Times New Roman"/>
                <w:color w:val="121212"/>
                <w:kern w:val="0"/>
                <w:sz w:val="24"/>
                <w:highlight w:val="none"/>
              </w:rPr>
              <w:t>电</w:t>
            </w:r>
            <w:r>
              <w:rPr>
                <w:rFonts w:hint="eastAsia" w:ascii="Times New Roman" w:hAnsi="Times New Roman" w:cs="Times New Roman"/>
                <w:color w:val="121212"/>
                <w:kern w:val="0"/>
                <w:sz w:val="24"/>
                <w:highlight w:val="none"/>
                <w:lang w:eastAsia="zh-CN"/>
              </w:rPr>
              <w:t>，</w:t>
            </w:r>
            <w:r>
              <w:rPr>
                <w:rFonts w:hint="eastAsia" w:ascii="Times New Roman" w:hAnsi="Times New Roman" w:cs="Times New Roman"/>
                <w:color w:val="121212"/>
                <w:kern w:val="0"/>
                <w:sz w:val="24"/>
                <w:highlight w:val="none"/>
                <w:lang w:val="en-US" w:eastAsia="zh-CN"/>
              </w:rPr>
              <w:t>年用电量</w:t>
            </w:r>
            <w:r>
              <w:rPr>
                <w:rFonts w:hint="eastAsia" w:cs="Times New Roman"/>
                <w:color w:val="121212"/>
                <w:kern w:val="0"/>
                <w:sz w:val="24"/>
                <w:highlight w:val="none"/>
                <w:lang w:val="en-US" w:eastAsia="zh-CN"/>
              </w:rPr>
              <w:t>20</w:t>
            </w:r>
            <w:r>
              <w:rPr>
                <w:rFonts w:hint="eastAsia" w:ascii="Times New Roman" w:hAnsi="Times New Roman" w:cs="Times New Roman"/>
                <w:color w:val="121212"/>
                <w:kern w:val="0"/>
                <w:sz w:val="24"/>
                <w:highlight w:val="none"/>
                <w:lang w:val="en-US" w:eastAsia="zh-CN"/>
              </w:rPr>
              <w:t>万</w:t>
            </w:r>
            <w:r>
              <w:rPr>
                <w:rFonts w:hint="eastAsia" w:cs="Times New Roman"/>
                <w:color w:val="121212"/>
                <w:kern w:val="0"/>
                <w:sz w:val="24"/>
                <w:highlight w:val="none"/>
                <w:lang w:val="en-US" w:eastAsia="zh-CN"/>
              </w:rPr>
              <w:t>kW</w:t>
            </w:r>
            <w:r>
              <w:rPr>
                <w:rFonts w:hint="default" w:ascii="Times New Roman" w:hAnsi="Times New Roman" w:cs="Times New Roman"/>
                <w:color w:val="121212"/>
                <w:kern w:val="0"/>
                <w:sz w:val="24"/>
                <w:highlight w:val="none"/>
              </w:rPr>
              <w:t>h/a，可以满足项目生产及生活需要。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rPr>
                <w:rFonts w:hint="default" w:ascii="Times New Roman" w:hAnsi="Times New Roman" w:cs="Times New Roman"/>
                <w:b/>
                <w:color w:val="121212"/>
                <w:kern w:val="2"/>
                <w:sz w:val="24"/>
                <w:szCs w:val="32"/>
                <w:highlight w:val="none"/>
              </w:rPr>
            </w:pPr>
            <w:r>
              <w:rPr>
                <w:rFonts w:hint="eastAsia" w:cs="Times New Roman"/>
                <w:b/>
                <w:color w:val="121212"/>
                <w:kern w:val="2"/>
                <w:sz w:val="24"/>
                <w:szCs w:val="32"/>
                <w:highlight w:val="none"/>
                <w:lang w:val="en-US" w:eastAsia="zh-CN"/>
              </w:rPr>
              <w:t>7</w:t>
            </w:r>
            <w:r>
              <w:rPr>
                <w:rFonts w:hint="default" w:ascii="Times New Roman" w:hAnsi="Times New Roman" w:cs="Times New Roman"/>
                <w:b/>
                <w:color w:val="121212"/>
                <w:kern w:val="2"/>
                <w:sz w:val="24"/>
                <w:szCs w:val="32"/>
                <w:highlight w:val="none"/>
              </w:rPr>
              <w:t>、项目定员及工作制度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default" w:ascii="Times New Roman" w:hAnsi="Times New Roman" w:cs="Times New Roman"/>
                <w:color w:val="121212"/>
                <w:kern w:val="2"/>
                <w:sz w:val="24"/>
                <w:szCs w:val="32"/>
                <w:highlight w:val="none"/>
              </w:rPr>
            </w:pPr>
            <w:r>
              <w:rPr>
                <w:rFonts w:hint="default" w:ascii="Times New Roman" w:hAnsi="Times New Roman" w:cs="Times New Roman"/>
                <w:color w:val="121212"/>
                <w:kern w:val="2"/>
                <w:sz w:val="24"/>
                <w:szCs w:val="32"/>
                <w:highlight w:val="none"/>
              </w:rPr>
              <w:t>职工人数：员工共计</w:t>
            </w:r>
            <w:r>
              <w:rPr>
                <w:rFonts w:hint="eastAsia" w:cs="Times New Roman"/>
                <w:color w:val="121212"/>
                <w:kern w:val="2"/>
                <w:sz w:val="24"/>
                <w:szCs w:val="32"/>
                <w:highlight w:val="none"/>
                <w:lang w:val="en-US" w:eastAsia="zh-CN"/>
              </w:rPr>
              <w:t>20</w:t>
            </w:r>
            <w:r>
              <w:rPr>
                <w:rFonts w:hint="default" w:ascii="Times New Roman" w:hAnsi="Times New Roman" w:cs="Times New Roman"/>
                <w:color w:val="121212"/>
                <w:kern w:val="2"/>
                <w:sz w:val="24"/>
                <w:szCs w:val="32"/>
                <w:highlight w:val="none"/>
              </w:rPr>
              <w:t>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color w:val="121212"/>
                <w:highlight w:val="none"/>
              </w:rPr>
            </w:pPr>
            <w:r>
              <w:rPr>
                <w:rFonts w:hint="default" w:ascii="Times New Roman" w:hAnsi="Times New Roman" w:cs="Times New Roman"/>
                <w:color w:val="121212"/>
                <w:kern w:val="2"/>
                <w:sz w:val="24"/>
                <w:szCs w:val="32"/>
                <w:highlight w:val="none"/>
              </w:rPr>
              <w:t>工作制度：年工作</w:t>
            </w:r>
            <w:r>
              <w:rPr>
                <w:rFonts w:hint="eastAsia" w:cs="Times New Roman"/>
                <w:color w:val="121212"/>
                <w:kern w:val="2"/>
                <w:sz w:val="24"/>
                <w:szCs w:val="32"/>
                <w:highlight w:val="none"/>
                <w:lang w:val="en-US" w:eastAsia="zh-CN"/>
              </w:rPr>
              <w:t>250</w:t>
            </w:r>
            <w:r>
              <w:rPr>
                <w:rFonts w:hint="default" w:ascii="Times New Roman" w:hAnsi="Times New Roman" w:cs="Times New Roman"/>
                <w:color w:val="121212"/>
                <w:kern w:val="2"/>
                <w:sz w:val="24"/>
                <w:szCs w:val="32"/>
                <w:highlight w:val="none"/>
              </w:rPr>
              <w:t>天，实行</w:t>
            </w:r>
            <w:r>
              <w:rPr>
                <w:rFonts w:hint="eastAsia" w:cs="Times New Roman"/>
                <w:color w:val="121212"/>
                <w:kern w:val="2"/>
                <w:sz w:val="24"/>
                <w:szCs w:val="32"/>
                <w:highlight w:val="none"/>
                <w:lang w:val="en-US" w:eastAsia="zh-CN"/>
              </w:rPr>
              <w:t>1</w:t>
            </w:r>
            <w:r>
              <w:rPr>
                <w:rFonts w:hint="default" w:ascii="Times New Roman" w:hAnsi="Times New Roman" w:cs="Times New Roman"/>
                <w:color w:val="121212"/>
                <w:kern w:val="2"/>
                <w:sz w:val="24"/>
                <w:szCs w:val="32"/>
                <w:highlight w:val="none"/>
              </w:rPr>
              <w:t>班制，每</w:t>
            </w:r>
            <w:r>
              <w:rPr>
                <w:rFonts w:hint="default" w:ascii="Times New Roman" w:hAnsi="Times New Roman" w:cs="Times New Roman"/>
                <w:color w:val="121212"/>
                <w:kern w:val="2"/>
                <w:sz w:val="24"/>
                <w:szCs w:val="32"/>
                <w:highlight w:val="none"/>
                <w:lang w:val="en-US" w:eastAsia="zh-CN"/>
              </w:rPr>
              <w:t>班</w:t>
            </w:r>
            <w:r>
              <w:rPr>
                <w:rFonts w:hint="default" w:ascii="Times New Roman" w:hAnsi="Times New Roman" w:cs="Times New Roman"/>
                <w:color w:val="121212"/>
                <w:kern w:val="2"/>
                <w:sz w:val="24"/>
                <w:szCs w:val="32"/>
                <w:highlight w:val="none"/>
              </w:rPr>
              <w:t>工作8h</w:t>
            </w:r>
            <w:r>
              <w:rPr>
                <w:rFonts w:hint="eastAsia" w:cs="Times New Roman"/>
                <w:color w:val="121212"/>
                <w:kern w:val="2"/>
                <w:sz w:val="24"/>
                <w:szCs w:val="32"/>
                <w:highlight w:val="none"/>
                <w:lang w:eastAsia="zh-CN"/>
              </w:rPr>
              <w:t>，</w:t>
            </w:r>
            <w:r>
              <w:rPr>
                <w:rFonts w:hint="eastAsia" w:cs="Times New Roman"/>
                <w:color w:val="121212"/>
                <w:kern w:val="2"/>
                <w:sz w:val="24"/>
                <w:szCs w:val="32"/>
                <w:highlight w:val="none"/>
                <w:lang w:val="en-US" w:eastAsia="zh-CN"/>
              </w:rPr>
              <w:t>年工作2000小时</w:t>
            </w:r>
            <w:r>
              <w:rPr>
                <w:rFonts w:hint="default" w:ascii="Times New Roman" w:hAnsi="Times New Roman" w:cs="Times New Roman"/>
                <w:color w:val="121212"/>
                <w:kern w:val="2"/>
                <w:sz w:val="24"/>
                <w:szCs w:val="32"/>
                <w:highlight w:val="none"/>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both"/>
              <w:textAlignment w:val="auto"/>
              <w:rPr>
                <w:rFonts w:hint="default" w:ascii="Times New Roman" w:hAnsi="Times New Roman" w:cs="Times New Roman"/>
                <w:b/>
                <w:bCs w:val="0"/>
                <w:color w:val="121212"/>
                <w:kern w:val="2"/>
                <w:sz w:val="24"/>
                <w:szCs w:val="32"/>
                <w:highlight w:val="none"/>
                <w:lang w:val="en-US" w:eastAsia="zh-CN"/>
              </w:rPr>
            </w:pPr>
            <w:r>
              <w:rPr>
                <w:rFonts w:hint="eastAsia" w:cs="Times New Roman"/>
                <w:b/>
                <w:bCs w:val="0"/>
                <w:color w:val="121212"/>
                <w:kern w:val="2"/>
                <w:sz w:val="24"/>
                <w:szCs w:val="32"/>
                <w:highlight w:val="none"/>
                <w:lang w:val="en-US" w:eastAsia="zh-CN"/>
              </w:rPr>
              <w:t>8</w:t>
            </w:r>
            <w:r>
              <w:rPr>
                <w:rFonts w:hint="default" w:ascii="Times New Roman" w:hAnsi="Times New Roman" w:cs="Times New Roman"/>
                <w:b/>
                <w:bCs w:val="0"/>
                <w:color w:val="121212"/>
                <w:kern w:val="2"/>
                <w:sz w:val="24"/>
                <w:szCs w:val="32"/>
                <w:highlight w:val="none"/>
                <w:lang w:val="en-US" w:eastAsia="zh-CN"/>
              </w:rPr>
              <w:t>、平面布局</w:t>
            </w:r>
          </w:p>
          <w:p>
            <w:pPr>
              <w:spacing w:line="360" w:lineRule="auto"/>
              <w:ind w:firstLine="480" w:firstLineChars="200"/>
              <w:rPr>
                <w:color w:val="121212"/>
                <w:sz w:val="24"/>
                <w:highlight w:val="none"/>
              </w:rPr>
            </w:pPr>
            <w:r>
              <w:rPr>
                <w:rFonts w:hint="eastAsia" w:ascii="Times New Roman" w:hAnsi="Times New Roman" w:eastAsia="宋体" w:cs="Times New Roman"/>
                <w:color w:val="121212"/>
                <w:sz w:val="24"/>
                <w:highlight w:val="none"/>
              </w:rPr>
              <w:t>本项目位于</w:t>
            </w:r>
            <w:r>
              <w:rPr>
                <w:rFonts w:hint="eastAsia"/>
                <w:color w:val="121212"/>
                <w:highlight w:val="none"/>
                <w:lang w:val="en-US" w:eastAsia="zh-CN"/>
              </w:rPr>
              <w:t>安徽省宿州市灵璧县灵城镇北部开发区机电产业园二期。厂区内设置生产车间、改装车间、成品仓库、组装车间、原料仓库等。</w:t>
            </w:r>
            <w:r>
              <w:rPr>
                <w:snapToGrid w:val="0"/>
                <w:color w:val="121212"/>
                <w:kern w:val="0"/>
                <w:sz w:val="24"/>
                <w:highlight w:val="none"/>
              </w:rPr>
              <w:t>各功能区分区明确，且生产区各生产设施依据生产工艺流程合理布置，同时项目厂区内各建筑物满足消防相关建筑设计标准的要求。综上，项目总平面布置较合理，对周围环境影响较小</w:t>
            </w:r>
            <w:r>
              <w:rPr>
                <w:color w:val="121212"/>
                <w:sz w:val="24"/>
                <w:highlight w:val="none"/>
              </w:rPr>
              <w:t>。</w:t>
            </w:r>
          </w:p>
          <w:p>
            <w:pPr>
              <w:pStyle w:val="7"/>
              <w:bidi w:val="0"/>
              <w:rPr>
                <w:rFonts w:hint="default"/>
                <w:color w:val="121212"/>
                <w:highlight w:val="none"/>
                <w:lang w:val="en-US" w:eastAsia="zh-CN"/>
              </w:rPr>
            </w:pPr>
            <w:r>
              <w:rPr>
                <w:rFonts w:hint="eastAsia"/>
                <w:color w:val="121212"/>
                <w:highlight w:val="none"/>
                <w:lang w:val="en-US" w:eastAsia="zh-CN"/>
              </w:rPr>
              <w:t>9、项目排污管理类别分析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121212"/>
                <w:highlight w:val="none"/>
                <w:lang w:val="en-US" w:eastAsia="zh-CN"/>
              </w:rPr>
            </w:pPr>
            <w:r>
              <w:rPr>
                <w:rFonts w:hint="default" w:ascii="Times New Roman" w:hAnsi="Times New Roman" w:cs="Times New Roman"/>
                <w:b w:val="0"/>
                <w:bCs/>
                <w:color w:val="121212"/>
                <w:sz w:val="24"/>
              </w:rPr>
              <w:t>根据《排污许可管理条例》(中华人民共和国国务院令第736号) ：依照法律规定实行排污许可管理的企业事业单位和其他生产经营者(以下称排污单位) ，应当依照本条例规定申请取得排污许可证；未取得排污许可证的不得排放污染物；根据污染物产生量、排放量、对环境影响程度等因素，对排污单位实行排污许可分类管理。根据《安徽省生态环境厅关于统筹做好固定污染源排污许可日常监管工作的通知》(皖环发 (2021) 7号) ：属于现行《固定污染源排污许可分类管理名录》内重点管理和简化管理的行业，建设单位在组织编制建设项目环境影响报告书(表)时，可结合相应行业排污许可证申请与核发技术规范，在环评文件中一并明确建设项目环境影响评价和排污许可联动内容和《建设项目排污许可申请与填报信息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121212"/>
                <w:highlight w:val="none"/>
                <w:lang w:val="en-US" w:eastAsia="zh-CN"/>
              </w:rPr>
            </w:pPr>
            <w:r>
              <w:rPr>
                <w:rFonts w:hint="eastAsia"/>
                <w:color w:val="121212"/>
                <w:highlight w:val="none"/>
                <w:lang w:val="en-US" w:eastAsia="zh-CN"/>
              </w:rPr>
              <w:t>本项目工艺仅为切割、焊接、组装。根据《国民经济行业分类（GB/T 4754-2017）》判定本项目的国民经济行业类别为：C3630改装汽车制造；</w:t>
            </w:r>
            <w:r>
              <w:rPr>
                <w:rFonts w:hint="default" w:ascii="Times New Roman" w:hAnsi="Times New Roman" w:cs="Times New Roman"/>
                <w:b w:val="0"/>
                <w:bCs/>
                <w:color w:val="121212"/>
                <w:sz w:val="24"/>
              </w:rPr>
              <w:t>对照《固定污染源排污许可分类管理名录》(2019 年版)</w:t>
            </w:r>
            <w:r>
              <w:rPr>
                <w:rFonts w:hint="eastAsia"/>
                <w:color w:val="121212"/>
                <w:highlight w:val="none"/>
                <w:lang w:val="en-US" w:eastAsia="zh-CN"/>
              </w:rPr>
              <w:t>，</w:t>
            </w:r>
            <w:r>
              <w:rPr>
                <w:rFonts w:hint="default" w:ascii="Times New Roman" w:hAnsi="Times New Roman" w:cs="Times New Roman"/>
                <w:color w:val="121212"/>
                <w:sz w:val="24"/>
              </w:rPr>
              <w:t>本项目属于固定污染源排污许可分类管理名录表中的</w:t>
            </w:r>
            <w:r>
              <w:rPr>
                <w:rFonts w:hint="eastAsia" w:ascii="宋体" w:hAnsi="宋体" w:eastAsia="宋体" w:cs="宋体"/>
                <w:color w:val="121212"/>
                <w:sz w:val="24"/>
              </w:rPr>
              <w:t>“</w:t>
            </w:r>
            <w:r>
              <w:rPr>
                <w:rFonts w:hint="eastAsia" w:ascii="宋体" w:hAnsi="宋体" w:cs="宋体"/>
                <w:color w:val="121212"/>
                <w:sz w:val="24"/>
                <w:lang w:val="en-US" w:eastAsia="zh-CN"/>
              </w:rPr>
              <w:t>三</w:t>
            </w:r>
            <w:r>
              <w:rPr>
                <w:rFonts w:hint="eastAsia" w:ascii="宋体" w:hAnsi="宋体" w:cs="宋体"/>
                <w:color w:val="121212"/>
                <w:sz w:val="24"/>
                <w:lang w:eastAsia="zh-CN"/>
              </w:rPr>
              <w:t>十</w:t>
            </w:r>
            <w:r>
              <w:rPr>
                <w:rFonts w:hint="eastAsia" w:ascii="宋体" w:hAnsi="宋体" w:cs="宋体"/>
                <w:color w:val="121212"/>
                <w:sz w:val="24"/>
                <w:lang w:val="en-US" w:eastAsia="zh-CN"/>
              </w:rPr>
              <w:t>一</w:t>
            </w:r>
            <w:r>
              <w:rPr>
                <w:rFonts w:hint="default" w:ascii="Times New Roman" w:hAnsi="Times New Roman" w:eastAsia="宋体" w:cs="Times New Roman"/>
                <w:color w:val="121212"/>
                <w:sz w:val="24"/>
              </w:rPr>
              <w:t>、</w:t>
            </w:r>
            <w:r>
              <w:rPr>
                <w:rFonts w:hint="eastAsia" w:cs="Times New Roman"/>
                <w:color w:val="121212"/>
                <w:sz w:val="24"/>
                <w:lang w:val="en-US" w:eastAsia="zh-CN"/>
              </w:rPr>
              <w:t>汽车制造业</w:t>
            </w:r>
            <w:r>
              <w:rPr>
                <w:rFonts w:hint="eastAsia" w:ascii="宋体" w:hAnsi="宋体" w:eastAsia="宋体" w:cs="宋体"/>
                <w:color w:val="121212"/>
                <w:sz w:val="24"/>
              </w:rPr>
              <w:t>”</w:t>
            </w:r>
            <w:r>
              <w:rPr>
                <w:rFonts w:hint="eastAsia" w:ascii="宋体" w:hAnsi="宋体" w:eastAsia="宋体" w:cs="宋体"/>
                <w:color w:val="121212"/>
                <w:sz w:val="24"/>
                <w:lang w:eastAsia="zh-CN"/>
              </w:rPr>
              <w:t>中</w:t>
            </w:r>
            <w:r>
              <w:rPr>
                <w:rFonts w:hint="default" w:ascii="Times New Roman" w:hAnsi="Times New Roman" w:eastAsia="宋体" w:cs="Times New Roman"/>
                <w:color w:val="121212"/>
                <w:sz w:val="24"/>
              </w:rPr>
              <w:t>的</w:t>
            </w:r>
            <w:r>
              <w:rPr>
                <w:rFonts w:hint="eastAsia" w:ascii="宋体" w:hAnsi="宋体" w:eastAsia="宋体" w:cs="宋体"/>
                <w:color w:val="121212"/>
                <w:sz w:val="24"/>
              </w:rPr>
              <w:t>“</w:t>
            </w:r>
            <w:r>
              <w:rPr>
                <w:rFonts w:hint="eastAsia" w:ascii="宋体" w:hAnsi="宋体" w:cs="宋体"/>
                <w:color w:val="121212"/>
                <w:sz w:val="24"/>
                <w:lang w:val="en-US" w:eastAsia="zh-CN"/>
              </w:rPr>
              <w:t>其他</w:t>
            </w:r>
            <w:r>
              <w:rPr>
                <w:rFonts w:hint="eastAsia" w:ascii="宋体" w:hAnsi="宋体" w:eastAsia="宋体" w:cs="宋体"/>
                <w:color w:val="121212"/>
                <w:sz w:val="24"/>
                <w:szCs w:val="24"/>
              </w:rPr>
              <w:t>”</w:t>
            </w:r>
            <w:r>
              <w:rPr>
                <w:rFonts w:hint="eastAsia" w:ascii="宋体" w:hAnsi="宋体" w:cs="宋体"/>
                <w:color w:val="121212"/>
                <w:sz w:val="24"/>
                <w:szCs w:val="24"/>
                <w:lang w:eastAsia="zh-CN"/>
              </w:rPr>
              <w:t>，管理类别属于“</w:t>
            </w:r>
            <w:r>
              <w:rPr>
                <w:rFonts w:hint="eastAsia" w:ascii="宋体" w:hAnsi="宋体" w:cs="宋体"/>
                <w:color w:val="121212"/>
                <w:sz w:val="24"/>
                <w:szCs w:val="24"/>
                <w:lang w:val="en-US" w:eastAsia="zh-CN"/>
              </w:rPr>
              <w:t>登记</w:t>
            </w:r>
            <w:r>
              <w:rPr>
                <w:rFonts w:hint="eastAsia" w:ascii="宋体" w:hAnsi="宋体" w:cs="宋体"/>
                <w:color w:val="121212"/>
                <w:sz w:val="24"/>
                <w:szCs w:val="24"/>
                <w:lang w:eastAsia="zh-CN"/>
              </w:rPr>
              <w:t>管理”；</w:t>
            </w:r>
            <w:r>
              <w:rPr>
                <w:rFonts w:hint="eastAsia" w:cs="Times New Roman"/>
                <w:b w:val="0"/>
                <w:bCs/>
                <w:color w:val="121212"/>
                <w:sz w:val="24"/>
                <w:lang w:eastAsia="zh-CN"/>
              </w:rPr>
              <w:t>综上，</w:t>
            </w:r>
            <w:r>
              <w:rPr>
                <w:rFonts w:hint="default" w:ascii="Times New Roman" w:hAnsi="Times New Roman" w:cs="Times New Roman"/>
                <w:color w:val="121212"/>
                <w:sz w:val="24"/>
                <w:szCs w:val="24"/>
              </w:rPr>
              <w:t>本</w:t>
            </w:r>
            <w:r>
              <w:rPr>
                <w:rFonts w:hint="default" w:ascii="Times New Roman" w:hAnsi="Times New Roman" w:cs="Times New Roman"/>
                <w:color w:val="121212"/>
                <w:sz w:val="24"/>
              </w:rPr>
              <w:t>项目的排污许可填</w:t>
            </w:r>
            <w:r>
              <w:rPr>
                <w:rFonts w:hint="eastAsia" w:ascii="宋体" w:hAnsi="宋体" w:eastAsia="宋体" w:cs="宋体"/>
                <w:color w:val="121212"/>
                <w:sz w:val="24"/>
              </w:rPr>
              <w:t>报“管理类别”应为“</w:t>
            </w:r>
            <w:r>
              <w:rPr>
                <w:rFonts w:hint="eastAsia" w:ascii="宋体" w:hAnsi="宋体" w:cs="宋体"/>
                <w:color w:val="121212"/>
                <w:sz w:val="24"/>
                <w:lang w:val="en-US" w:eastAsia="zh-CN"/>
              </w:rPr>
              <w:t>登记</w:t>
            </w:r>
            <w:r>
              <w:rPr>
                <w:rFonts w:hint="eastAsia" w:ascii="宋体" w:hAnsi="宋体" w:eastAsia="宋体" w:cs="宋体"/>
                <w:color w:val="121212"/>
                <w:sz w:val="24"/>
              </w:rPr>
              <w:t>管理”</w:t>
            </w:r>
            <w:r>
              <w:rPr>
                <w:rFonts w:hint="eastAsia" w:ascii="宋体" w:hAnsi="宋体" w:cs="宋体"/>
                <w:color w:val="121212"/>
                <w:sz w:val="24"/>
                <w:lang w:eastAsia="zh-CN"/>
              </w:rPr>
              <w:t>。</w:t>
            </w:r>
          </w:p>
        </w:tc>
      </w:tr>
      <w:tr>
        <w:tblPrEx>
          <w:tblLayout w:type="fixed"/>
        </w:tblPrEx>
        <w:tc>
          <w:tcPr>
            <w:tcW w:w="726" w:type="dxa"/>
            <w:vAlign w:val="center"/>
          </w:tcPr>
          <w:p>
            <w:pPr>
              <w:pStyle w:val="22"/>
              <w:numPr>
                <w:ilvl w:val="0"/>
                <w:numId w:val="0"/>
              </w:numPr>
              <w:jc w:val="center"/>
              <w:rPr>
                <w:rFonts w:hint="default" w:ascii="Times New Roman" w:hAnsi="Times New Roman" w:cs="Times New Roman"/>
                <w:b/>
                <w:bCs/>
                <w:color w:val="121212"/>
                <w:highlight w:val="none"/>
              </w:rPr>
            </w:pPr>
            <w:r>
              <w:rPr>
                <w:rFonts w:hint="default" w:ascii="Times New Roman" w:hAnsi="Times New Roman" w:cs="Times New Roman"/>
                <w:b/>
                <w:bCs/>
                <w:color w:val="121212"/>
                <w:sz w:val="24"/>
                <w:szCs w:val="24"/>
                <w:highlight w:val="none"/>
              </w:rPr>
              <w:t>工艺流程和产排污环节</w:t>
            </w:r>
          </w:p>
        </w:tc>
        <w:tc>
          <w:tcPr>
            <w:tcW w:w="8651" w:type="dxa"/>
          </w:tcPr>
          <w:p>
            <w:pPr>
              <w:bidi w:val="0"/>
              <w:rPr>
                <w:rFonts w:hint="default"/>
                <w:b/>
                <w:bCs/>
                <w:color w:val="121212"/>
                <w:highlight w:val="none"/>
                <w:lang w:val="en-US" w:eastAsia="zh-CN"/>
              </w:rPr>
            </w:pPr>
            <w:r>
              <w:rPr>
                <w:rFonts w:hint="default"/>
                <w:b/>
                <w:bCs/>
                <w:color w:val="121212"/>
                <w:highlight w:val="none"/>
                <w:lang w:val="en-US" w:eastAsia="zh-CN"/>
              </w:rPr>
              <w:t>运营期</w:t>
            </w:r>
          </w:p>
          <w:p>
            <w:pPr>
              <w:pStyle w:val="70"/>
              <w:keepNext w:val="0"/>
              <w:keepLines w:val="0"/>
              <w:pageBreakBefore w:val="0"/>
              <w:widowControl w:val="0"/>
              <w:kinsoku/>
              <w:wordWrap/>
              <w:overflowPunct/>
              <w:topLinePunct w:val="0"/>
              <w:autoSpaceDE/>
              <w:autoSpaceDN/>
              <w:bidi w:val="0"/>
              <w:adjustRightInd/>
              <w:snapToGrid/>
              <w:spacing w:line="360" w:lineRule="auto"/>
              <w:ind w:left="0"/>
              <w:textAlignment w:val="auto"/>
              <w:rPr>
                <w:color w:val="121212"/>
              </w:rPr>
            </w:pPr>
            <w:r>
              <w:rPr>
                <w:color w:val="121212"/>
                <w:spacing w:val="-1"/>
                <w14:textOutline w14:w="4358" w14:cap="sq" w14:cmpd="sng">
                  <w14:solidFill>
                    <w14:srgbClr w14:val="000000"/>
                  </w14:solidFill>
                  <w14:prstDash w14:val="solid"/>
                  <w14:bevel/>
                </w14:textOutline>
              </w:rPr>
              <w:t>1、本项目生产工艺流程简述及图示：</w:t>
            </w:r>
          </w:p>
          <w:p>
            <w:pPr>
              <w:pStyle w:val="70"/>
              <w:keepNext w:val="0"/>
              <w:keepLines w:val="0"/>
              <w:pageBreakBefore w:val="0"/>
              <w:widowControl w:val="0"/>
              <w:kinsoku/>
              <w:wordWrap/>
              <w:overflowPunct/>
              <w:topLinePunct w:val="0"/>
              <w:autoSpaceDE/>
              <w:autoSpaceDN/>
              <w:bidi w:val="0"/>
              <w:adjustRightInd/>
              <w:snapToGrid/>
              <w:spacing w:line="360" w:lineRule="auto"/>
              <w:ind w:left="0"/>
              <w:textAlignment w:val="auto"/>
              <w:outlineLvl w:val="0"/>
              <w:rPr>
                <w:rFonts w:hint="default" w:ascii="Times New Roman" w:hAnsi="Times New Roman" w:eastAsia="宋体" w:cs="Times New Roman"/>
                <w:b w:val="0"/>
                <w:bCs/>
                <w:color w:val="121212"/>
                <w:kern w:val="2"/>
                <w:sz w:val="24"/>
                <w:szCs w:val="24"/>
                <w:lang w:val="en-US" w:eastAsia="zh-CN" w:bidi="ar-SA"/>
              </w:rPr>
            </w:pPr>
            <w:commentRangeStart w:id="26"/>
            <w:commentRangeStart w:id="27"/>
            <w:r>
              <w:rPr>
                <w:rFonts w:hint="default" w:ascii="Times New Roman" w:hAnsi="Times New Roman" w:eastAsia="宋体" w:cs="Times New Roman"/>
                <w:b w:val="0"/>
                <w:bCs/>
                <w:color w:val="121212"/>
                <w:kern w:val="2"/>
                <w:sz w:val="24"/>
                <w:szCs w:val="24"/>
                <w:lang w:val="en-US" w:eastAsia="zh-CN" w:bidi="ar-SA"/>
              </w:rPr>
              <w:t>本项目产品为改装</w:t>
            </w:r>
            <w:r>
              <w:rPr>
                <w:rFonts w:hint="eastAsia" w:ascii="Times New Roman" w:hAnsi="Times New Roman" w:eastAsia="宋体" w:cs="Times New Roman"/>
                <w:b w:val="0"/>
                <w:bCs/>
                <w:color w:val="121212"/>
                <w:kern w:val="2"/>
                <w:sz w:val="24"/>
                <w:szCs w:val="24"/>
                <w:lang w:val="en-US" w:eastAsia="zh-CN" w:bidi="ar-SA"/>
              </w:rPr>
              <w:t>洒水车、吸污车、吸粪车、洗扫车</w:t>
            </w:r>
            <w:r>
              <w:rPr>
                <w:rFonts w:hint="default" w:ascii="Times New Roman" w:hAnsi="Times New Roman" w:eastAsia="宋体" w:cs="Times New Roman"/>
                <w:b w:val="0"/>
                <w:bCs/>
                <w:color w:val="121212"/>
                <w:kern w:val="2"/>
                <w:sz w:val="24"/>
                <w:szCs w:val="24"/>
                <w:lang w:val="en-US" w:eastAsia="zh-CN" w:bidi="ar-SA"/>
              </w:rPr>
              <w:t>，厂区内主要进行</w:t>
            </w:r>
            <w:r>
              <w:rPr>
                <w:rFonts w:hint="eastAsia" w:ascii="Times New Roman" w:hAnsi="Times New Roman" w:eastAsia="宋体" w:cs="Times New Roman"/>
                <w:b w:val="0"/>
                <w:bCs/>
                <w:color w:val="121212"/>
                <w:kern w:val="2"/>
                <w:sz w:val="24"/>
                <w:szCs w:val="24"/>
                <w:lang w:val="en-US" w:eastAsia="zh-CN" w:bidi="ar-SA"/>
              </w:rPr>
              <w:t>罐体</w:t>
            </w:r>
            <w:r>
              <w:rPr>
                <w:rFonts w:hint="default" w:ascii="Times New Roman" w:hAnsi="Times New Roman" w:eastAsia="宋体" w:cs="Times New Roman"/>
                <w:b w:val="0"/>
                <w:bCs/>
                <w:color w:val="121212"/>
                <w:kern w:val="2"/>
                <w:sz w:val="24"/>
                <w:szCs w:val="24"/>
                <w:lang w:val="en-US" w:eastAsia="zh-CN" w:bidi="ar-SA"/>
              </w:rPr>
              <w:t>、车架（包括</w:t>
            </w:r>
            <w:r>
              <w:rPr>
                <w:rFonts w:hint="eastAsia" w:ascii="Times New Roman" w:hAnsi="Times New Roman" w:eastAsia="宋体" w:cs="Times New Roman"/>
                <w:b w:val="0"/>
                <w:bCs/>
                <w:color w:val="121212"/>
                <w:kern w:val="2"/>
                <w:sz w:val="24"/>
                <w:szCs w:val="24"/>
                <w:lang w:val="en-US" w:eastAsia="zh-CN" w:bidi="ar-SA"/>
              </w:rPr>
              <w:t>护板、扶手、工作平台等组装件</w:t>
            </w:r>
            <w:r>
              <w:rPr>
                <w:rFonts w:hint="default" w:ascii="Times New Roman" w:hAnsi="Times New Roman" w:eastAsia="宋体" w:cs="Times New Roman"/>
                <w:b w:val="0"/>
                <w:bCs/>
                <w:color w:val="121212"/>
                <w:kern w:val="2"/>
                <w:sz w:val="24"/>
                <w:szCs w:val="24"/>
                <w:lang w:val="en-US" w:eastAsia="zh-CN" w:bidi="ar-SA"/>
              </w:rPr>
              <w:t>）加工，车头、底盘及</w:t>
            </w:r>
            <w:r>
              <w:rPr>
                <w:rFonts w:hint="eastAsia" w:ascii="Times New Roman" w:hAnsi="Times New Roman" w:eastAsia="宋体" w:cs="Times New Roman"/>
                <w:b w:val="0"/>
                <w:bCs/>
                <w:color w:val="121212"/>
                <w:kern w:val="2"/>
                <w:sz w:val="24"/>
                <w:szCs w:val="24"/>
                <w:lang w:val="en-US" w:eastAsia="zh-CN" w:bidi="ar-SA"/>
              </w:rPr>
              <w:t>泵阀等</w:t>
            </w:r>
            <w:r>
              <w:rPr>
                <w:rFonts w:hint="default" w:ascii="Times New Roman" w:hAnsi="Times New Roman" w:eastAsia="宋体" w:cs="Times New Roman"/>
                <w:b w:val="0"/>
                <w:bCs/>
                <w:color w:val="121212"/>
                <w:kern w:val="2"/>
                <w:sz w:val="24"/>
                <w:szCs w:val="24"/>
                <w:lang w:val="en-US" w:eastAsia="zh-CN" w:bidi="ar-SA"/>
              </w:rPr>
              <w:t>设备均为外购成品件进行组装。项目生产工艺流程详述</w:t>
            </w:r>
            <w:r>
              <w:rPr>
                <w:rFonts w:hint="eastAsia" w:ascii="Times New Roman" w:hAnsi="Times New Roman" w:eastAsia="宋体" w:cs="Times New Roman"/>
                <w:b w:val="0"/>
                <w:bCs/>
                <w:color w:val="121212"/>
                <w:kern w:val="2"/>
                <w:sz w:val="24"/>
                <w:szCs w:val="24"/>
                <w:lang w:val="en-US" w:eastAsia="zh-CN" w:bidi="ar-SA"/>
              </w:rPr>
              <w:t>如下</w:t>
            </w:r>
            <w:r>
              <w:rPr>
                <w:rFonts w:hint="default" w:ascii="Times New Roman" w:hAnsi="Times New Roman" w:eastAsia="宋体" w:cs="Times New Roman"/>
                <w:b w:val="0"/>
                <w:bCs/>
                <w:color w:val="121212"/>
                <w:kern w:val="2"/>
                <w:sz w:val="24"/>
                <w:szCs w:val="24"/>
                <w:lang w:val="en-US" w:eastAsia="zh-CN" w:bidi="ar-SA"/>
              </w:rPr>
              <w:t>：</w:t>
            </w:r>
            <w:commentRangeEnd w:id="26"/>
            <w:r>
              <w:rPr>
                <w:color w:val="121212"/>
              </w:rPr>
              <w:commentReference w:id="26"/>
            </w:r>
            <w:commentRangeEnd w:id="27"/>
            <w:r>
              <w:rPr>
                <w:color w:val="121212"/>
              </w:rPr>
              <w:commentReference w:id="27"/>
            </w:r>
          </w:p>
          <w:p>
            <w:pPr>
              <w:pStyle w:val="9"/>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482" w:firstLineChars="200"/>
              <w:textAlignment w:val="auto"/>
              <w:rPr>
                <w:rFonts w:hint="default"/>
                <w:color w:val="121212"/>
                <w:lang w:val="en-US" w:eastAsia="zh-CN"/>
              </w:rPr>
            </w:pPr>
            <w:r>
              <w:rPr>
                <w:rFonts w:hint="eastAsia" w:ascii="Times New Roman" w:hAnsi="Times New Roman" w:eastAsia="宋体" w:cs="Times New Roman"/>
                <w:color w:val="121212"/>
                <w:sz w:val="24"/>
                <w:lang w:val="en-US" w:eastAsia="zh-CN"/>
              </w:rPr>
              <w:t>（1）组装件生产流程</w:t>
            </w:r>
          </w:p>
          <w:p>
            <w:pPr>
              <w:pStyle w:val="70"/>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outlineLvl w:val="0"/>
              <w:rPr>
                <w:rFonts w:hint="eastAsia" w:asciiTheme="majorEastAsia" w:hAnsiTheme="majorEastAsia" w:eastAsiaTheme="majorEastAsia" w:cstheme="majorEastAsia"/>
                <w:b w:val="0"/>
                <w:bCs/>
                <w:color w:val="121212"/>
                <w:kern w:val="2"/>
                <w:sz w:val="24"/>
                <w:szCs w:val="24"/>
                <w:lang w:val="en-US" w:eastAsia="zh-CN" w:bidi="ar-SA"/>
              </w:rPr>
            </w:pPr>
            <w:r>
              <w:rPr>
                <w:rFonts w:hint="eastAsia" w:asciiTheme="majorEastAsia" w:hAnsiTheme="majorEastAsia" w:eastAsiaTheme="majorEastAsia" w:cstheme="majorEastAsia"/>
                <w:b/>
                <w:bCs w:val="0"/>
                <w:color w:val="121212"/>
                <w:kern w:val="2"/>
                <w:sz w:val="24"/>
                <w:szCs w:val="24"/>
                <w:lang w:val="en-US" w:eastAsia="zh-CN" w:bidi="ar-SA"/>
              </w:rPr>
              <w:t>①激光下料：</w:t>
            </w:r>
            <w:r>
              <w:rPr>
                <w:rFonts w:hint="eastAsia" w:asciiTheme="majorEastAsia" w:hAnsiTheme="majorEastAsia" w:eastAsiaTheme="majorEastAsia" w:cstheme="majorEastAsia"/>
                <w:b w:val="0"/>
                <w:bCs/>
                <w:color w:val="121212"/>
                <w:kern w:val="2"/>
                <w:sz w:val="24"/>
                <w:szCs w:val="24"/>
                <w:lang w:val="en-US" w:eastAsia="zh-CN" w:bidi="ar-SA"/>
              </w:rPr>
              <w:t>根据产品需求，利用激光切割机对钢板进行下料，激光切割机下料过程会产生少量颗粒物、设备运转噪声和边角废料。</w:t>
            </w:r>
          </w:p>
          <w:p>
            <w:pPr>
              <w:pStyle w:val="70"/>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outlineLvl w:val="0"/>
              <w:rPr>
                <w:rFonts w:hint="eastAsia" w:asciiTheme="majorEastAsia" w:hAnsiTheme="majorEastAsia" w:eastAsiaTheme="majorEastAsia" w:cstheme="majorEastAsia"/>
                <w:b w:val="0"/>
                <w:bCs/>
                <w:color w:val="121212"/>
                <w:kern w:val="2"/>
                <w:sz w:val="24"/>
                <w:szCs w:val="24"/>
                <w:lang w:val="en-US" w:eastAsia="zh-CN" w:bidi="ar-SA"/>
              </w:rPr>
            </w:pPr>
            <w:r>
              <w:rPr>
                <w:rFonts w:hint="eastAsia" w:asciiTheme="majorEastAsia" w:hAnsiTheme="majorEastAsia" w:eastAsiaTheme="majorEastAsia" w:cstheme="majorEastAsia"/>
                <w:b/>
                <w:bCs w:val="0"/>
                <w:color w:val="121212"/>
                <w:kern w:val="2"/>
                <w:sz w:val="24"/>
                <w:szCs w:val="24"/>
                <w:lang w:val="en-US" w:eastAsia="zh-CN" w:bidi="ar-SA"/>
              </w:rPr>
              <w:t>②折弯</w:t>
            </w:r>
            <w:r>
              <w:rPr>
                <w:rFonts w:hint="eastAsia" w:asciiTheme="majorEastAsia" w:hAnsiTheme="majorEastAsia" w:eastAsiaTheme="majorEastAsia" w:cstheme="majorEastAsia"/>
                <w:b w:val="0"/>
                <w:bCs/>
                <w:color w:val="121212"/>
                <w:kern w:val="2"/>
                <w:sz w:val="24"/>
                <w:szCs w:val="24"/>
                <w:lang w:val="en-US" w:eastAsia="zh-CN" w:bidi="ar-SA"/>
              </w:rPr>
              <w:t>：按照产品要求，利用折弯机将不锈钢板弯曲成所需弧度，该过程会产生设备运转噪声。</w:t>
            </w:r>
          </w:p>
          <w:p>
            <w:pPr>
              <w:pStyle w:val="70"/>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outlineLvl w:val="0"/>
              <w:rPr>
                <w:rFonts w:hint="eastAsia" w:asciiTheme="majorEastAsia" w:hAnsiTheme="majorEastAsia" w:eastAsiaTheme="majorEastAsia" w:cstheme="majorEastAsia"/>
                <w:b w:val="0"/>
                <w:bCs/>
                <w:color w:val="121212"/>
                <w:kern w:val="2"/>
                <w:sz w:val="24"/>
                <w:szCs w:val="24"/>
                <w:lang w:val="en-US" w:eastAsia="zh-CN" w:bidi="ar-SA"/>
              </w:rPr>
            </w:pPr>
            <w:r>
              <w:rPr>
                <w:rFonts w:hint="eastAsia" w:asciiTheme="majorEastAsia" w:hAnsiTheme="majorEastAsia" w:eastAsiaTheme="majorEastAsia" w:cstheme="majorEastAsia"/>
                <w:b/>
                <w:bCs w:val="0"/>
                <w:color w:val="121212"/>
                <w:kern w:val="2"/>
                <w:sz w:val="24"/>
                <w:szCs w:val="24"/>
                <w:lang w:val="en-US" w:eastAsia="zh-CN" w:bidi="ar-SA"/>
              </w:rPr>
              <w:t>③钻孔</w:t>
            </w:r>
            <w:r>
              <w:rPr>
                <w:rFonts w:hint="eastAsia" w:asciiTheme="majorEastAsia" w:hAnsiTheme="majorEastAsia" w:eastAsiaTheme="majorEastAsia" w:cstheme="majorEastAsia"/>
                <w:b w:val="0"/>
                <w:bCs/>
                <w:color w:val="121212"/>
                <w:kern w:val="2"/>
                <w:sz w:val="24"/>
                <w:szCs w:val="24"/>
                <w:lang w:val="en-US" w:eastAsia="zh-CN" w:bidi="ar-SA"/>
              </w:rPr>
              <w:t>：利用钻床对加工好的不锈钢进行打孔，该工序会产生一定量边角废料和设备运转噪声。</w:t>
            </w:r>
          </w:p>
          <w:p>
            <w:pPr>
              <w:pStyle w:val="70"/>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Theme="majorEastAsia" w:hAnsiTheme="majorEastAsia" w:eastAsiaTheme="majorEastAsia" w:cstheme="majorEastAsia"/>
                <w:b w:val="0"/>
                <w:bCs/>
                <w:color w:val="121212"/>
                <w:kern w:val="2"/>
                <w:sz w:val="24"/>
                <w:szCs w:val="24"/>
                <w:lang w:val="en-US" w:eastAsia="zh-CN" w:bidi="ar-SA"/>
              </w:rPr>
            </w:pPr>
            <w:r>
              <w:rPr>
                <w:rFonts w:hint="eastAsia" w:asciiTheme="majorEastAsia" w:hAnsiTheme="majorEastAsia" w:eastAsiaTheme="majorEastAsia" w:cstheme="majorEastAsia"/>
                <w:b/>
                <w:bCs w:val="0"/>
                <w:color w:val="121212"/>
                <w:kern w:val="2"/>
                <w:sz w:val="24"/>
                <w:szCs w:val="24"/>
                <w:lang w:val="en-US" w:eastAsia="zh-CN" w:bidi="ar-SA"/>
              </w:rPr>
              <w:t>④焊接</w:t>
            </w:r>
            <w:r>
              <w:rPr>
                <w:rFonts w:hint="eastAsia" w:asciiTheme="majorEastAsia" w:hAnsiTheme="majorEastAsia" w:eastAsiaTheme="majorEastAsia" w:cstheme="majorEastAsia"/>
                <w:b w:val="0"/>
                <w:bCs/>
                <w:color w:val="121212"/>
                <w:kern w:val="2"/>
                <w:sz w:val="24"/>
                <w:szCs w:val="24"/>
                <w:lang w:val="en-US" w:eastAsia="zh-CN" w:bidi="ar-SA"/>
              </w:rPr>
              <w:t>：按照产品要求，利用二保焊机将加工好的钢材焊接在一起，形成需要的组装件，该过程会产生一定焊接烟尘、金属焊渣及设备运转噪声。</w:t>
            </w:r>
          </w:p>
          <w:p>
            <w:pPr>
              <w:pStyle w:val="70"/>
              <w:keepNext w:val="0"/>
              <w:keepLines w:val="0"/>
              <w:pageBreakBefore w:val="0"/>
              <w:widowControl w:val="0"/>
              <w:kinsoku/>
              <w:wordWrap/>
              <w:overflowPunct/>
              <w:topLinePunct w:val="0"/>
              <w:autoSpaceDE/>
              <w:autoSpaceDN/>
              <w:bidi w:val="0"/>
              <w:adjustRightInd/>
              <w:snapToGrid/>
              <w:spacing w:line="360" w:lineRule="auto"/>
              <w:ind w:left="0" w:right="0"/>
              <w:jc w:val="left"/>
              <w:textAlignment w:val="auto"/>
              <w:rPr>
                <w:rFonts w:hint="eastAsia" w:asciiTheme="majorEastAsia" w:hAnsiTheme="majorEastAsia" w:eastAsiaTheme="majorEastAsia" w:cstheme="majorEastAsia"/>
                <w:b w:val="0"/>
                <w:bCs/>
                <w:color w:val="121212"/>
                <w:kern w:val="2"/>
                <w:sz w:val="24"/>
                <w:szCs w:val="24"/>
                <w:lang w:val="en-US" w:eastAsia="zh-CN" w:bidi="ar-SA"/>
              </w:rPr>
            </w:pPr>
          </w:p>
          <w:p>
            <w:pPr>
              <w:bidi w:val="0"/>
              <w:ind w:left="0" w:leftChars="0" w:firstLine="0" w:firstLineChars="0"/>
              <w:rPr>
                <w:rFonts w:hint="eastAsia"/>
                <w:color w:val="121212"/>
                <w:lang w:val="en-US" w:eastAsia="zh-CN"/>
              </w:rPr>
            </w:pPr>
            <w:r>
              <w:rPr>
                <w:rFonts w:hint="eastAsia"/>
                <w:color w:val="121212"/>
                <w:lang w:val="en-US" w:eastAsia="zh-CN"/>
              </w:rPr>
              <w:drawing>
                <wp:inline distT="0" distB="0" distL="114300" distR="114300">
                  <wp:extent cx="5145405" cy="1381125"/>
                  <wp:effectExtent l="0" t="0" r="17145" b="0"/>
                  <wp:docPr id="11" name="ECB019B1-382A-4266-B25C-5B523AA43C14-1" descr="C:/Users/Administrator/AppData/Local/Temp/wps.ERoIvL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CB019B1-382A-4266-B25C-5B523AA43C14-1" descr="C:/Users/Administrator/AppData/Local/Temp/wps.ERoIvLwps"/>
                          <pic:cNvPicPr>
                            <a:picLocks noChangeAspect="1"/>
                          </pic:cNvPicPr>
                        </pic:nvPicPr>
                        <pic:blipFill>
                          <a:blip r:embed="rId7"/>
                          <a:srcRect l="4582" t="21480" r="12431" b="27178"/>
                          <a:stretch>
                            <a:fillRect/>
                          </a:stretch>
                        </pic:blipFill>
                        <pic:spPr>
                          <a:xfrm>
                            <a:off x="0" y="0"/>
                            <a:ext cx="5145405" cy="1381125"/>
                          </a:xfrm>
                          <a:prstGeom prst="rect">
                            <a:avLst/>
                          </a:prstGeom>
                        </pic:spPr>
                      </pic:pic>
                    </a:graphicData>
                  </a:graphic>
                </wp:inline>
              </w:drawing>
            </w:r>
          </w:p>
          <w:p>
            <w:pPr>
              <w:pStyle w:val="9"/>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121212"/>
                <w:sz w:val="24"/>
                <w:szCs w:val="24"/>
                <w:lang w:val="en-US" w:eastAsia="zh-CN"/>
              </w:rPr>
            </w:pPr>
          </w:p>
          <w:p>
            <w:pPr>
              <w:pStyle w:val="9"/>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121212"/>
                <w:sz w:val="24"/>
                <w:szCs w:val="24"/>
                <w:lang w:val="en-US" w:eastAsia="zh-CN"/>
              </w:rPr>
            </w:pPr>
            <w:r>
              <w:rPr>
                <w:rFonts w:hint="eastAsia" w:ascii="宋体" w:hAnsi="宋体" w:eastAsia="宋体" w:cs="宋体"/>
                <w:color w:val="121212"/>
                <w:sz w:val="24"/>
                <w:szCs w:val="24"/>
                <w:lang w:val="en-US" w:eastAsia="zh-CN"/>
              </w:rPr>
              <w:t>图2-2  组装件生产工艺及产污节点图</w:t>
            </w:r>
          </w:p>
          <w:p>
            <w:pPr>
              <w:rPr>
                <w:rFonts w:hint="eastAsia"/>
                <w:color w:val="121212"/>
                <w:lang w:val="en-US" w:eastAsia="zh-CN"/>
              </w:rPr>
            </w:pPr>
          </w:p>
          <w:p>
            <w:pPr>
              <w:numPr>
                <w:ilvl w:val="0"/>
                <w:numId w:val="3"/>
              </w:numPr>
              <w:rPr>
                <w:rFonts w:hint="eastAsia"/>
                <w:b/>
                <w:bCs/>
                <w:color w:val="121212"/>
                <w:highlight w:val="none"/>
                <w:lang w:val="en-US" w:eastAsia="zh-CN"/>
              </w:rPr>
            </w:pPr>
            <w:r>
              <w:rPr>
                <w:rFonts w:hint="eastAsia"/>
                <w:b/>
                <w:bCs/>
                <w:color w:val="121212"/>
                <w:highlight w:val="none"/>
                <w:lang w:val="en-US" w:eastAsia="zh-CN"/>
              </w:rPr>
              <w:t>罐体生产工艺及整车组装流程</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default" w:ascii="Times New Roman" w:hAnsi="Times New Roman" w:eastAsia="宋体" w:cs="Times New Roman"/>
                <w:color w:val="121212"/>
                <w:sz w:val="24"/>
              </w:rPr>
            </w:pPr>
            <w:r>
              <w:rPr>
                <w:rFonts w:hint="default" w:ascii="Times New Roman" w:hAnsi="Times New Roman" w:eastAsia="宋体" w:cs="Times New Roman"/>
                <w:b/>
                <w:bCs/>
                <w:color w:val="121212"/>
                <w:sz w:val="24"/>
              </w:rPr>
              <w:t>①下料</w:t>
            </w:r>
            <w:r>
              <w:rPr>
                <w:rFonts w:hint="default" w:ascii="Times New Roman" w:hAnsi="Times New Roman" w:eastAsia="宋体" w:cs="Times New Roman"/>
                <w:color w:val="121212"/>
                <w:sz w:val="24"/>
              </w:rPr>
              <w:t>：根据产品需求，利用</w:t>
            </w:r>
            <w:r>
              <w:rPr>
                <w:rFonts w:hint="eastAsia" w:ascii="Times New Roman" w:hAnsi="Times New Roman" w:eastAsia="宋体" w:cs="Times New Roman"/>
                <w:color w:val="121212"/>
                <w:sz w:val="24"/>
                <w:lang w:val="en-US" w:eastAsia="zh-CN"/>
              </w:rPr>
              <w:t>切割</w:t>
            </w:r>
            <w:r>
              <w:rPr>
                <w:rFonts w:hint="default" w:ascii="Times New Roman" w:hAnsi="Times New Roman" w:eastAsia="宋体" w:cs="Times New Roman"/>
                <w:color w:val="121212"/>
                <w:sz w:val="24"/>
              </w:rPr>
              <w:t>机或激光切割机对不锈钢板进行下料，切割机下料过程会产生少量颗粒物、设备运转噪声和边角废料。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default" w:ascii="Times New Roman" w:hAnsi="Times New Roman" w:eastAsia="宋体" w:cs="Times New Roman"/>
                <w:color w:val="121212"/>
                <w:sz w:val="24"/>
              </w:rPr>
            </w:pPr>
            <w:r>
              <w:rPr>
                <w:rFonts w:hint="default" w:ascii="Times New Roman" w:hAnsi="Times New Roman" w:eastAsia="宋体" w:cs="Times New Roman"/>
                <w:b/>
                <w:bCs/>
                <w:color w:val="121212"/>
                <w:sz w:val="24"/>
              </w:rPr>
              <w:t>②</w:t>
            </w:r>
            <w:r>
              <w:rPr>
                <w:rFonts w:hint="eastAsia" w:ascii="Times New Roman" w:hAnsi="Times New Roman" w:eastAsia="宋体" w:cs="Times New Roman"/>
                <w:b/>
                <w:bCs/>
                <w:color w:val="121212"/>
                <w:sz w:val="24"/>
                <w:lang w:val="en-US" w:eastAsia="zh-CN"/>
              </w:rPr>
              <w:t>卷圆成型</w:t>
            </w:r>
            <w:r>
              <w:rPr>
                <w:rFonts w:hint="default" w:ascii="Times New Roman" w:hAnsi="Times New Roman" w:eastAsia="宋体" w:cs="Times New Roman"/>
                <w:color w:val="121212"/>
                <w:sz w:val="24"/>
              </w:rPr>
              <w:t>：按照产品要求，利用折弯机将不锈钢板弯曲成所需弧度，该过程会产生设备运转噪声。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cs="Times New Roman"/>
                <w:color w:val="121212"/>
                <w:sz w:val="24"/>
                <w:lang w:val="en-US" w:eastAsia="zh-CN"/>
              </w:rPr>
            </w:pPr>
            <w:r>
              <w:rPr>
                <w:rFonts w:hint="eastAsia" w:ascii="Times New Roman" w:hAnsi="Times New Roman" w:eastAsia="宋体" w:cs="Times New Roman"/>
                <w:b/>
                <w:bCs/>
                <w:color w:val="121212"/>
                <w:sz w:val="24"/>
                <w:lang w:val="en-US" w:eastAsia="zh-CN"/>
              </w:rPr>
              <w:t>③</w:t>
            </w:r>
            <w:r>
              <w:rPr>
                <w:rFonts w:hint="eastAsia" w:cs="Times New Roman"/>
                <w:b/>
                <w:bCs/>
                <w:color w:val="121212"/>
                <w:sz w:val="24"/>
                <w:lang w:val="en-US" w:eastAsia="zh-CN"/>
              </w:rPr>
              <w:t>旋边：</w:t>
            </w:r>
            <w:r>
              <w:rPr>
                <w:rFonts w:hint="eastAsia" w:cs="Times New Roman"/>
                <w:color w:val="121212"/>
                <w:sz w:val="24"/>
                <w:lang w:val="en-US" w:eastAsia="zh-CN"/>
              </w:rPr>
              <w:t>罐体的封头用激光切割机切割下料，后采用旋边机旋压一次而成，以增加强度，不允许用人工敲击翻转。该过程会产生设备运转噪声</w:t>
            </w:r>
            <w:r>
              <w:rPr>
                <w:rFonts w:hint="default" w:ascii="Times New Roman" w:hAnsi="Times New Roman" w:eastAsia="宋体" w:cs="Times New Roman"/>
                <w:color w:val="121212"/>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eastAsia" w:cs="Times New Roman"/>
                <w:color w:val="121212"/>
                <w:sz w:val="24"/>
                <w:lang w:val="en-US" w:eastAsia="zh-CN"/>
              </w:rPr>
            </w:pPr>
            <w:r>
              <w:rPr>
                <w:rFonts w:hint="eastAsia" w:cs="Times New Roman"/>
                <w:b/>
                <w:bCs/>
                <w:color w:val="121212"/>
                <w:sz w:val="24"/>
                <w:lang w:val="en-US" w:eastAsia="zh-CN"/>
              </w:rPr>
              <w:t>④</w:t>
            </w:r>
            <w:r>
              <w:rPr>
                <w:rFonts w:hint="default" w:ascii="Times New Roman" w:hAnsi="Times New Roman" w:eastAsia="宋体" w:cs="Times New Roman"/>
                <w:b/>
                <w:bCs/>
                <w:color w:val="121212"/>
                <w:sz w:val="24"/>
              </w:rPr>
              <w:t>焊接：</w:t>
            </w:r>
            <w:r>
              <w:rPr>
                <w:rFonts w:hint="default" w:ascii="Times New Roman" w:hAnsi="Times New Roman" w:eastAsia="宋体" w:cs="Times New Roman"/>
                <w:color w:val="121212"/>
                <w:sz w:val="24"/>
              </w:rPr>
              <w:t>按照产品要求，利用二保焊机将加工好的不锈钢焊接在一起，形成</w:t>
            </w:r>
            <w:r>
              <w:rPr>
                <w:rFonts w:hint="eastAsia" w:ascii="Times New Roman" w:hAnsi="Times New Roman" w:eastAsia="宋体" w:cs="Times New Roman"/>
                <w:color w:val="121212"/>
                <w:sz w:val="24"/>
                <w:lang w:val="en-US" w:eastAsia="zh-CN"/>
              </w:rPr>
              <w:t>罐体</w:t>
            </w:r>
            <w:r>
              <w:rPr>
                <w:rFonts w:hint="default" w:ascii="Times New Roman" w:hAnsi="Times New Roman" w:eastAsia="宋体" w:cs="Times New Roman"/>
                <w:color w:val="121212"/>
                <w:sz w:val="24"/>
              </w:rPr>
              <w:t>，该过程会产生一定焊接烟尘、金属焊渣及设备运转噪声。</w:t>
            </w:r>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cs="Times New Roman"/>
                <w:color w:val="121212"/>
                <w:sz w:val="24"/>
                <w:lang w:val="en-US" w:eastAsia="zh-CN"/>
              </w:rPr>
            </w:pPr>
            <w:r>
              <w:rPr>
                <w:rFonts w:hint="eastAsia" w:cs="Times New Roman"/>
                <w:b/>
                <w:bCs/>
                <w:color w:val="121212"/>
                <w:sz w:val="24"/>
                <w:lang w:val="en-US" w:eastAsia="zh-CN"/>
              </w:rPr>
              <w:t>⑤打磨</w:t>
            </w:r>
            <w:r>
              <w:rPr>
                <w:rFonts w:hint="eastAsia" w:cs="Times New Roman"/>
                <w:color w:val="121212"/>
                <w:sz w:val="24"/>
                <w:lang w:val="en-US" w:eastAsia="zh-CN"/>
              </w:rPr>
              <w:t>：对焊接好的罐体四周进行人工打磨处理，保证罐体四边光滑、平整，该过程会产生一定颗粒物及设备运转噪声</w:t>
            </w:r>
            <w:r>
              <w:rPr>
                <w:rFonts w:hint="default" w:ascii="Times New Roman" w:hAnsi="Times New Roman" w:eastAsia="宋体" w:cs="Times New Roman"/>
                <w:color w:val="121212"/>
                <w:sz w:val="24"/>
              </w:rPr>
              <w:t>。</w:t>
            </w:r>
          </w:p>
          <w:p>
            <w:pPr>
              <w:bidi w:val="0"/>
              <w:rPr>
                <w:rFonts w:hint="default" w:eastAsia="宋体"/>
                <w:color w:val="121212"/>
                <w:spacing w:val="3"/>
                <w:lang w:val="en-US" w:eastAsia="zh-CN"/>
              </w:rPr>
            </w:pPr>
            <w:r>
              <w:rPr>
                <w:rFonts w:hint="eastAsia" w:cs="Times New Roman"/>
                <w:b/>
                <w:bCs/>
                <w:color w:val="121212"/>
                <w:sz w:val="24"/>
                <w:lang w:val="en-US" w:eastAsia="zh-CN"/>
              </w:rPr>
              <w:t>⑥组装</w:t>
            </w:r>
            <w:r>
              <w:rPr>
                <w:rFonts w:hint="eastAsia" w:cs="Times New Roman"/>
                <w:color w:val="121212"/>
                <w:sz w:val="24"/>
                <w:lang w:val="en-US" w:eastAsia="zh-CN"/>
              </w:rPr>
              <w:t>：罐体封头后，对外购的液压系统、阀门、管道等进行组装，</w:t>
            </w:r>
            <w:r>
              <w:rPr>
                <w:color w:val="121212"/>
                <w:spacing w:val="3"/>
              </w:rPr>
              <w:t>得到</w:t>
            </w:r>
            <w:r>
              <w:rPr>
                <w:rFonts w:hint="eastAsia"/>
                <w:color w:val="121212"/>
                <w:spacing w:val="3"/>
                <w:lang w:val="en-US" w:eastAsia="zh-CN"/>
              </w:rPr>
              <w:t>完整的罐体</w:t>
            </w:r>
            <w:r>
              <w:rPr>
                <w:rFonts w:hint="eastAsia"/>
                <w:color w:val="121212"/>
                <w:spacing w:val="3"/>
                <w:lang w:eastAsia="zh-CN"/>
              </w:rPr>
              <w:t>。</w:t>
            </w:r>
            <w:r>
              <w:rPr>
                <w:rFonts w:hint="eastAsia" w:cs="Times New Roman"/>
                <w:color w:val="121212"/>
                <w:sz w:val="24"/>
                <w:lang w:val="en-US" w:eastAsia="zh-CN"/>
              </w:rPr>
              <w:t>该过程会产生包装废物。</w:t>
            </w:r>
          </w:p>
          <w:p>
            <w:pPr>
              <w:bidi w:val="0"/>
              <w:rPr>
                <w:rFonts w:hint="default" w:eastAsia="宋体"/>
                <w:color w:val="121212"/>
                <w:spacing w:val="3"/>
                <w:lang w:val="en-US" w:eastAsia="zh-CN"/>
              </w:rPr>
            </w:pPr>
            <w:r>
              <w:rPr>
                <w:rFonts w:hint="eastAsia"/>
                <w:b/>
                <w:bCs/>
                <w:color w:val="121212"/>
                <w:spacing w:val="3"/>
                <w:lang w:val="en-US" w:eastAsia="zh-CN"/>
              </w:rPr>
              <w:t>⑦气压检验：</w:t>
            </w:r>
            <w:r>
              <w:rPr>
                <w:rFonts w:hint="eastAsia"/>
                <w:color w:val="121212"/>
                <w:spacing w:val="3"/>
                <w:lang w:val="en-US" w:eastAsia="zh-CN"/>
              </w:rPr>
              <w:t>对组装后的罐体进行气压检验，确保罐体达到要求。</w:t>
            </w:r>
          </w:p>
          <w:p>
            <w:pPr>
              <w:bidi w:val="0"/>
              <w:rPr>
                <w:rFonts w:hint="default" w:eastAsia="宋体" w:cs="Times New Roman"/>
                <w:color w:val="121212"/>
                <w:sz w:val="24"/>
                <w:lang w:val="en-US" w:eastAsia="zh-CN"/>
              </w:rPr>
            </w:pPr>
            <w:r>
              <w:rPr>
                <w:rFonts w:hint="eastAsia" w:cs="Times New Roman"/>
                <w:b/>
                <w:bCs/>
                <w:color w:val="121212"/>
                <w:sz w:val="24"/>
                <w:lang w:val="en-US" w:eastAsia="zh-CN"/>
              </w:rPr>
              <w:t>⑧整车组装：</w:t>
            </w:r>
            <w:r>
              <w:rPr>
                <w:color w:val="121212"/>
                <w:spacing w:val="3"/>
              </w:rPr>
              <w:t>先将</w:t>
            </w:r>
            <w:r>
              <w:rPr>
                <w:rFonts w:hint="eastAsia"/>
                <w:color w:val="121212"/>
                <w:spacing w:val="3"/>
                <w:lang w:val="en-US" w:eastAsia="zh-CN"/>
              </w:rPr>
              <w:t>检验合格后的罐体</w:t>
            </w:r>
            <w:r>
              <w:rPr>
                <w:color w:val="121212"/>
                <w:spacing w:val="3"/>
              </w:rPr>
              <w:t>组装在外购汽车底盘上，再将</w:t>
            </w:r>
            <w:r>
              <w:rPr>
                <w:rFonts w:hint="eastAsia"/>
                <w:color w:val="121212"/>
                <w:spacing w:val="3"/>
                <w:lang w:val="en-US" w:eastAsia="zh-CN"/>
              </w:rPr>
              <w:t>各组件</w:t>
            </w:r>
            <w:r>
              <w:rPr>
                <w:color w:val="121212"/>
                <w:spacing w:val="3"/>
              </w:rPr>
              <w:t>组装在汽车上，即可得到成品车，人工对其质检合格后</w:t>
            </w:r>
            <w:r>
              <w:rPr>
                <w:rFonts w:hint="eastAsia"/>
                <w:color w:val="121212"/>
                <w:spacing w:val="3"/>
                <w:lang w:eastAsia="zh-CN"/>
              </w:rPr>
              <w:t>，</w:t>
            </w:r>
            <w:r>
              <w:rPr>
                <w:rFonts w:hint="eastAsia"/>
                <w:color w:val="121212"/>
                <w:spacing w:val="3"/>
                <w:lang w:val="en-US" w:eastAsia="zh-CN"/>
              </w:rPr>
              <w:t>外售。</w:t>
            </w:r>
            <w:r>
              <w:rPr>
                <w:rFonts w:hint="eastAsia" w:cs="Times New Roman"/>
                <w:color w:val="121212"/>
                <w:sz w:val="24"/>
                <w:lang w:val="en-US" w:eastAsia="zh-CN"/>
              </w:rPr>
              <w:t>该过程会产生包装废物。</w:t>
            </w:r>
          </w:p>
          <w:p>
            <w:pPr>
              <w:bidi w:val="0"/>
              <w:ind w:left="0" w:leftChars="0" w:firstLine="0" w:firstLineChars="0"/>
              <w:jc w:val="center"/>
              <w:rPr>
                <w:rFonts w:hint="eastAsia"/>
                <w:color w:val="121212"/>
                <w:highlight w:val="none"/>
                <w:lang w:val="en-US" w:eastAsia="zh-CN"/>
              </w:rPr>
            </w:pPr>
            <w:r>
              <w:rPr>
                <w:rFonts w:hint="eastAsia" w:eastAsia="宋体"/>
                <w:color w:val="121212"/>
                <w:lang w:eastAsia="zh-CN"/>
              </w:rPr>
              <w:drawing>
                <wp:inline distT="0" distB="0" distL="114300" distR="114300">
                  <wp:extent cx="4300855" cy="5202555"/>
                  <wp:effectExtent l="0" t="0" r="4445" b="0"/>
                  <wp:docPr id="38" name="ECB019B1-382A-4266-B25C-5B523AA43C14-2" descr="C:/Users/Administrator/AppData/Local/Temp/wps.GoUYSy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ECB019B1-382A-4266-B25C-5B523AA43C14-2" descr="C:/Users/Administrator/AppData/Local/Temp/wps.GoUYSywps"/>
                          <pic:cNvPicPr>
                            <a:picLocks noChangeAspect="1"/>
                          </pic:cNvPicPr>
                        </pic:nvPicPr>
                        <pic:blipFill>
                          <a:blip r:embed="rId8"/>
                          <a:srcRect l="6050" t="6521" r="14485" b="9124"/>
                          <a:stretch>
                            <a:fillRect/>
                          </a:stretch>
                        </pic:blipFill>
                        <pic:spPr>
                          <a:xfrm>
                            <a:off x="0" y="0"/>
                            <a:ext cx="4300855" cy="5202555"/>
                          </a:xfrm>
                          <a:prstGeom prst="rect">
                            <a:avLst/>
                          </a:prstGeom>
                        </pic:spPr>
                      </pic:pic>
                    </a:graphicData>
                  </a:graphic>
                </wp:inline>
              </w:drawing>
            </w:r>
          </w:p>
          <w:p>
            <w:pPr>
              <w:pStyle w:val="30"/>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textAlignment w:val="auto"/>
              <w:rPr>
                <w:rFonts w:hint="eastAsia" w:cs="Times New Roman"/>
                <w:bCs/>
                <w:color w:val="121212"/>
                <w:kern w:val="0"/>
                <w:szCs w:val="21"/>
                <w:lang w:eastAsia="zh-CN"/>
              </w:rPr>
            </w:pPr>
            <w:r>
              <w:rPr>
                <w:rFonts w:hint="default" w:ascii="Times New Roman" w:hAnsi="Times New Roman" w:cs="Times New Roman"/>
                <w:bCs/>
                <w:color w:val="121212"/>
                <w:kern w:val="0"/>
                <w:szCs w:val="21"/>
              </w:rPr>
              <w:t>图例：G</w:t>
            </w:r>
            <w:r>
              <w:rPr>
                <w:rFonts w:hint="eastAsia" w:cs="Times New Roman"/>
                <w:bCs/>
                <w:color w:val="121212"/>
                <w:kern w:val="0"/>
                <w:szCs w:val="21"/>
                <w:lang w:val="en-US" w:eastAsia="zh-CN"/>
              </w:rPr>
              <w:t>:废气；S：固废；N：噪声</w:t>
            </w:r>
            <w:r>
              <w:rPr>
                <w:rFonts w:hint="eastAsia" w:cs="Times New Roman"/>
                <w:bCs/>
                <w:color w:val="121212"/>
                <w:kern w:val="0"/>
                <w:szCs w:val="21"/>
                <w:lang w:eastAsia="zh-CN"/>
              </w:rPr>
              <w:t>。</w:t>
            </w:r>
          </w:p>
          <w:p>
            <w:pPr>
              <w:pStyle w:val="39"/>
              <w:keepNext/>
              <w:keepLines/>
              <w:pageBreakBefore w:val="0"/>
              <w:widowControl w:val="0"/>
              <w:kinsoku/>
              <w:wordWrap/>
              <w:overflowPunct/>
              <w:topLinePunct w:val="0"/>
              <w:autoSpaceDE/>
              <w:autoSpaceDN/>
              <w:bidi w:val="0"/>
              <w:adjustRightInd/>
              <w:snapToGrid/>
              <w:spacing w:line="360" w:lineRule="auto"/>
              <w:textAlignment w:val="auto"/>
              <w:rPr>
                <w:rFonts w:hint="default"/>
                <w:color w:val="121212"/>
                <w:highlight w:val="none"/>
                <w:lang w:val="en-US" w:eastAsia="zh-CN"/>
              </w:rPr>
            </w:pPr>
            <w:r>
              <w:rPr>
                <w:rFonts w:hint="eastAsia"/>
                <w:color w:val="121212"/>
                <w:highlight w:val="none"/>
                <w:lang w:val="en-US" w:eastAsia="zh-CN"/>
              </w:rPr>
              <w:t>图2-3  整车组装生产工艺流程及产污节点图</w:t>
            </w:r>
          </w:p>
          <w:p>
            <w:pPr>
              <w:pStyle w:val="39"/>
              <w:keepNext/>
              <w:keepLines/>
              <w:pageBreakBefore w:val="0"/>
              <w:widowControl w:val="0"/>
              <w:kinsoku/>
              <w:wordWrap/>
              <w:overflowPunct/>
              <w:topLinePunct w:val="0"/>
              <w:autoSpaceDE/>
              <w:autoSpaceDN/>
              <w:bidi w:val="0"/>
              <w:adjustRightInd/>
              <w:snapToGrid/>
              <w:spacing w:line="360" w:lineRule="auto"/>
              <w:textAlignment w:val="auto"/>
              <w:rPr>
                <w:rFonts w:hint="default"/>
                <w:color w:val="121212"/>
                <w:highlight w:val="none"/>
                <w:lang w:val="en-US" w:eastAsia="zh-CN"/>
              </w:rPr>
            </w:pPr>
            <w:r>
              <w:rPr>
                <w:rFonts w:hint="eastAsia"/>
                <w:color w:val="121212"/>
                <w:highlight w:val="none"/>
                <w:lang w:val="en-US" w:eastAsia="zh-CN"/>
              </w:rPr>
              <w:t>表2-5  项目产污环节汇总表</w:t>
            </w:r>
          </w:p>
          <w:tbl>
            <w:tblPr>
              <w:tblStyle w:val="37"/>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311"/>
              <w:gridCol w:w="1555"/>
              <w:gridCol w:w="1867"/>
              <w:gridCol w:w="3052"/>
            </w:tblGrid>
            <w:tr>
              <w:tblPrEx>
                <w:tblLayout w:type="fixed"/>
              </w:tblPrEx>
              <w:trPr>
                <w:trHeight w:val="397" w:hRule="atLeast"/>
                <w:jc w:val="center"/>
              </w:trPr>
              <w:tc>
                <w:tcPr>
                  <w:tcW w:w="63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color w:val="121212"/>
                      <w:sz w:val="21"/>
                      <w:szCs w:val="21"/>
                    </w:rPr>
                  </w:pPr>
                  <w:r>
                    <w:rPr>
                      <w:rFonts w:hint="default" w:ascii="Times New Roman" w:hAnsi="Times New Roman" w:cs="Times New Roman"/>
                      <w:color w:val="121212"/>
                      <w:sz w:val="21"/>
                      <w:szCs w:val="21"/>
                    </w:rPr>
                    <w:t>编号</w:t>
                  </w: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color w:val="121212"/>
                      <w:sz w:val="21"/>
                      <w:szCs w:val="21"/>
                    </w:rPr>
                  </w:pPr>
                  <w:r>
                    <w:rPr>
                      <w:rFonts w:hint="default" w:ascii="Times New Roman" w:hAnsi="Times New Roman" w:cs="Times New Roman"/>
                      <w:color w:val="121212"/>
                      <w:sz w:val="21"/>
                      <w:szCs w:val="21"/>
                    </w:rPr>
                    <w:t>污染物类型</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color w:val="121212"/>
                      <w:sz w:val="21"/>
                      <w:szCs w:val="21"/>
                    </w:rPr>
                  </w:pPr>
                  <w:r>
                    <w:rPr>
                      <w:rFonts w:hint="default" w:ascii="Times New Roman" w:hAnsi="Times New Roman" w:cs="Times New Roman"/>
                      <w:color w:val="121212"/>
                      <w:sz w:val="21"/>
                      <w:szCs w:val="21"/>
                    </w:rPr>
                    <w:t>产污环节</w:t>
                  </w: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color w:val="121212"/>
                      <w:sz w:val="21"/>
                      <w:szCs w:val="21"/>
                    </w:rPr>
                  </w:pPr>
                  <w:r>
                    <w:rPr>
                      <w:rFonts w:hint="default" w:ascii="Times New Roman" w:hAnsi="Times New Roman" w:cs="Times New Roman"/>
                      <w:color w:val="121212"/>
                      <w:sz w:val="21"/>
                      <w:szCs w:val="21"/>
                    </w:rPr>
                    <w:t>污染物名称</w:t>
                  </w:r>
                </w:p>
              </w:tc>
              <w:tc>
                <w:tcPr>
                  <w:tcW w:w="3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color w:val="121212"/>
                      <w:sz w:val="21"/>
                      <w:szCs w:val="21"/>
                    </w:rPr>
                  </w:pPr>
                  <w:r>
                    <w:rPr>
                      <w:rFonts w:hint="default" w:ascii="Times New Roman" w:hAnsi="Times New Roman" w:cs="Times New Roman"/>
                      <w:color w:val="121212"/>
                      <w:sz w:val="21"/>
                      <w:szCs w:val="21"/>
                    </w:rPr>
                    <w:t>污染因子</w:t>
                  </w:r>
                </w:p>
              </w:tc>
            </w:tr>
            <w:tr>
              <w:tblPrEx>
                <w:tblLayout w:type="fixed"/>
              </w:tblPrEx>
              <w:trPr>
                <w:trHeight w:val="397" w:hRule="atLeast"/>
                <w:jc w:val="center"/>
              </w:trPr>
              <w:tc>
                <w:tcPr>
                  <w:tcW w:w="63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z w:val="21"/>
                      <w:szCs w:val="21"/>
                      <w:lang w:val="en-US" w:eastAsia="zh-CN"/>
                    </w:rPr>
                  </w:pPr>
                  <w:r>
                    <w:rPr>
                      <w:rFonts w:hint="eastAsia" w:ascii="Times New Roman" w:hAnsi="Times New Roman" w:eastAsia="宋体" w:cs="Times New Roman"/>
                      <w:color w:val="121212"/>
                      <w:sz w:val="21"/>
                      <w:szCs w:val="21"/>
                      <w:lang w:val="en-US" w:eastAsia="zh-CN"/>
                    </w:rPr>
                    <w:t>1</w:t>
                  </w:r>
                </w:p>
              </w:tc>
              <w:tc>
                <w:tcPr>
                  <w:tcW w:w="131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z w:val="21"/>
                      <w:szCs w:val="21"/>
                    </w:rPr>
                  </w:pPr>
                  <w:r>
                    <w:rPr>
                      <w:rFonts w:hint="default" w:ascii="Times New Roman" w:hAnsi="Times New Roman" w:eastAsia="宋体" w:cs="Times New Roman"/>
                      <w:color w:val="121212"/>
                      <w:sz w:val="21"/>
                      <w:szCs w:val="21"/>
                    </w:rPr>
                    <w:t>废气</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z w:val="21"/>
                      <w:szCs w:val="21"/>
                      <w:lang w:val="en-US" w:eastAsia="zh-CN"/>
                    </w:rPr>
                  </w:pPr>
                  <w:r>
                    <w:rPr>
                      <w:rFonts w:hint="eastAsia" w:cs="Times New Roman"/>
                      <w:color w:val="121212"/>
                      <w:sz w:val="21"/>
                      <w:szCs w:val="21"/>
                      <w:lang w:val="en-US" w:eastAsia="zh-CN"/>
                    </w:rPr>
                    <w:t>下料G1</w:t>
                  </w: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z w:val="21"/>
                      <w:szCs w:val="21"/>
                      <w:lang w:val="en-US" w:eastAsia="zh-CN"/>
                    </w:rPr>
                  </w:pPr>
                  <w:r>
                    <w:rPr>
                      <w:rFonts w:hint="eastAsia" w:ascii="Times New Roman" w:hAnsi="Times New Roman" w:eastAsia="宋体" w:cs="Times New Roman"/>
                      <w:color w:val="121212"/>
                      <w:sz w:val="21"/>
                      <w:szCs w:val="21"/>
                      <w:lang w:val="en-US" w:eastAsia="zh-CN"/>
                    </w:rPr>
                    <w:t>粉尘</w:t>
                  </w:r>
                </w:p>
              </w:tc>
              <w:tc>
                <w:tcPr>
                  <w:tcW w:w="3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121212"/>
                      <w:sz w:val="21"/>
                      <w:szCs w:val="21"/>
                      <w:lang w:eastAsia="zh-CN"/>
                    </w:rPr>
                  </w:pPr>
                  <w:r>
                    <w:rPr>
                      <w:rFonts w:hint="eastAsia" w:ascii="Times New Roman" w:hAnsi="Times New Roman" w:eastAsia="宋体" w:cs="Times New Roman"/>
                      <w:color w:val="121212"/>
                      <w:sz w:val="21"/>
                      <w:szCs w:val="21"/>
                      <w:lang w:eastAsia="zh-CN"/>
                    </w:rPr>
                    <w:t>颗粒物</w:t>
                  </w:r>
                </w:p>
              </w:tc>
            </w:tr>
            <w:tr>
              <w:tblPrEx>
                <w:tblLayout w:type="fixed"/>
              </w:tblPrEx>
              <w:trPr>
                <w:trHeight w:val="397" w:hRule="atLeast"/>
                <w:jc w:val="center"/>
              </w:trPr>
              <w:tc>
                <w:tcPr>
                  <w:tcW w:w="63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z w:val="21"/>
                      <w:szCs w:val="21"/>
                      <w:lang w:val="en-US" w:eastAsia="zh-CN"/>
                    </w:rPr>
                  </w:pPr>
                </w:p>
              </w:tc>
              <w:tc>
                <w:tcPr>
                  <w:tcW w:w="13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z w:val="21"/>
                      <w:szCs w:val="21"/>
                    </w:rPr>
                  </w:pP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z w:val="21"/>
                      <w:szCs w:val="21"/>
                      <w:lang w:val="en-US" w:eastAsia="zh-CN"/>
                    </w:rPr>
                  </w:pPr>
                  <w:r>
                    <w:rPr>
                      <w:rFonts w:hint="eastAsia" w:cs="Times New Roman"/>
                      <w:color w:val="121212"/>
                      <w:sz w:val="21"/>
                      <w:szCs w:val="21"/>
                      <w:lang w:val="en-US" w:eastAsia="zh-CN"/>
                    </w:rPr>
                    <w:t>焊接G2</w:t>
                  </w: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z w:val="21"/>
                      <w:szCs w:val="21"/>
                      <w:lang w:val="en-US" w:eastAsia="zh-CN"/>
                    </w:rPr>
                  </w:pPr>
                  <w:r>
                    <w:rPr>
                      <w:rFonts w:hint="eastAsia" w:ascii="Times New Roman" w:hAnsi="Times New Roman" w:eastAsia="宋体" w:cs="Times New Roman"/>
                      <w:color w:val="121212"/>
                      <w:sz w:val="21"/>
                      <w:szCs w:val="21"/>
                      <w:lang w:val="en-US" w:eastAsia="zh-CN"/>
                    </w:rPr>
                    <w:t>粉尘</w:t>
                  </w:r>
                </w:p>
              </w:tc>
              <w:tc>
                <w:tcPr>
                  <w:tcW w:w="3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z w:val="21"/>
                      <w:szCs w:val="21"/>
                      <w:lang w:val="en-US" w:eastAsia="zh-CN"/>
                    </w:rPr>
                  </w:pPr>
                  <w:r>
                    <w:rPr>
                      <w:rFonts w:hint="eastAsia" w:ascii="Times New Roman" w:hAnsi="Times New Roman" w:eastAsia="宋体" w:cs="Times New Roman"/>
                      <w:color w:val="121212"/>
                      <w:sz w:val="21"/>
                      <w:szCs w:val="21"/>
                      <w:lang w:val="en-US" w:eastAsia="zh-CN"/>
                    </w:rPr>
                    <w:t>颗粒物</w:t>
                  </w:r>
                </w:p>
              </w:tc>
            </w:tr>
            <w:tr>
              <w:tblPrEx>
                <w:tblLayout w:type="fixed"/>
              </w:tblPrEx>
              <w:trPr>
                <w:trHeight w:val="397" w:hRule="atLeast"/>
                <w:jc w:val="center"/>
              </w:trPr>
              <w:tc>
                <w:tcPr>
                  <w:tcW w:w="63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z w:val="21"/>
                      <w:szCs w:val="21"/>
                      <w:lang w:val="en-US" w:eastAsia="zh-CN"/>
                    </w:rPr>
                  </w:pPr>
                </w:p>
              </w:tc>
              <w:tc>
                <w:tcPr>
                  <w:tcW w:w="13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z w:val="21"/>
                      <w:szCs w:val="21"/>
                    </w:rPr>
                  </w:pP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z w:val="21"/>
                      <w:szCs w:val="21"/>
                      <w:lang w:val="en-US" w:eastAsia="zh-CN"/>
                    </w:rPr>
                  </w:pPr>
                  <w:r>
                    <w:rPr>
                      <w:rFonts w:hint="eastAsia" w:cs="Times New Roman"/>
                      <w:color w:val="121212"/>
                      <w:sz w:val="21"/>
                      <w:szCs w:val="21"/>
                      <w:lang w:val="en-US" w:eastAsia="zh-CN"/>
                    </w:rPr>
                    <w:t>打磨G3</w:t>
                  </w: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121212"/>
                      <w:sz w:val="21"/>
                      <w:szCs w:val="21"/>
                      <w:lang w:val="en-US" w:eastAsia="zh-CN"/>
                    </w:rPr>
                  </w:pPr>
                  <w:r>
                    <w:rPr>
                      <w:rFonts w:hint="eastAsia" w:ascii="Times New Roman" w:hAnsi="Times New Roman" w:eastAsia="宋体" w:cs="Times New Roman"/>
                      <w:color w:val="121212"/>
                      <w:sz w:val="21"/>
                      <w:szCs w:val="21"/>
                      <w:lang w:val="en-US" w:eastAsia="zh-CN"/>
                    </w:rPr>
                    <w:t>粉尘</w:t>
                  </w:r>
                </w:p>
              </w:tc>
              <w:tc>
                <w:tcPr>
                  <w:tcW w:w="3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z w:val="21"/>
                      <w:szCs w:val="21"/>
                      <w:lang w:val="en-US" w:eastAsia="zh-CN"/>
                    </w:rPr>
                  </w:pPr>
                  <w:r>
                    <w:rPr>
                      <w:rFonts w:hint="eastAsia" w:ascii="Times New Roman" w:hAnsi="Times New Roman" w:eastAsia="宋体" w:cs="Times New Roman"/>
                      <w:color w:val="121212"/>
                      <w:sz w:val="21"/>
                      <w:szCs w:val="21"/>
                      <w:lang w:val="en-US" w:eastAsia="zh-CN"/>
                    </w:rPr>
                    <w:t>颗粒物</w:t>
                  </w:r>
                </w:p>
              </w:tc>
            </w:tr>
            <w:tr>
              <w:tblPrEx>
                <w:tblLayout w:type="fixed"/>
              </w:tblPrEx>
              <w:trPr>
                <w:trHeight w:val="397" w:hRule="atLeast"/>
                <w:jc w:val="center"/>
              </w:trPr>
              <w:tc>
                <w:tcPr>
                  <w:tcW w:w="63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z w:val="21"/>
                      <w:szCs w:val="21"/>
                      <w:lang w:val="en-US" w:eastAsia="zh-CN"/>
                    </w:rPr>
                  </w:pPr>
                  <w:r>
                    <w:rPr>
                      <w:rFonts w:hint="eastAsia" w:ascii="Times New Roman" w:hAnsi="Times New Roman" w:eastAsia="宋体" w:cs="Times New Roman"/>
                      <w:color w:val="121212"/>
                      <w:sz w:val="21"/>
                      <w:szCs w:val="21"/>
                      <w:lang w:val="en-US" w:eastAsia="zh-CN"/>
                    </w:rPr>
                    <w:t>2</w:t>
                  </w: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z w:val="21"/>
                      <w:szCs w:val="21"/>
                      <w:lang w:val="en-US" w:eastAsia="zh-CN"/>
                    </w:rPr>
                  </w:pPr>
                  <w:r>
                    <w:rPr>
                      <w:rFonts w:hint="default" w:ascii="Times New Roman" w:hAnsi="Times New Roman" w:eastAsia="宋体" w:cs="Times New Roman"/>
                      <w:color w:val="121212"/>
                      <w:sz w:val="21"/>
                      <w:szCs w:val="21"/>
                      <w:lang w:val="en-US" w:eastAsia="zh-CN"/>
                    </w:rPr>
                    <w:t>废水</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z w:val="21"/>
                      <w:szCs w:val="21"/>
                      <w:lang w:val="en-US" w:eastAsia="zh-CN"/>
                    </w:rPr>
                  </w:pPr>
                  <w:r>
                    <w:rPr>
                      <w:rFonts w:hint="default" w:ascii="Times New Roman" w:hAnsi="Times New Roman" w:eastAsia="宋体" w:cs="Times New Roman"/>
                      <w:color w:val="121212"/>
                      <w:sz w:val="21"/>
                      <w:szCs w:val="21"/>
                      <w:lang w:val="en-US" w:eastAsia="zh-CN"/>
                    </w:rPr>
                    <w:t>办公生活</w:t>
                  </w: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z w:val="21"/>
                      <w:szCs w:val="21"/>
                      <w:lang w:val="en-US" w:eastAsia="zh-CN"/>
                    </w:rPr>
                  </w:pPr>
                  <w:r>
                    <w:rPr>
                      <w:rFonts w:hint="default" w:ascii="Times New Roman" w:hAnsi="Times New Roman" w:eastAsia="宋体" w:cs="Times New Roman"/>
                      <w:color w:val="121212"/>
                      <w:sz w:val="21"/>
                      <w:szCs w:val="21"/>
                      <w:lang w:val="en-US" w:eastAsia="zh-CN"/>
                    </w:rPr>
                    <w:t>生活污水</w:t>
                  </w:r>
                </w:p>
              </w:tc>
              <w:tc>
                <w:tcPr>
                  <w:tcW w:w="3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z w:val="21"/>
                      <w:szCs w:val="21"/>
                      <w:lang w:val="en-US" w:eastAsia="zh-CN"/>
                    </w:rPr>
                  </w:pPr>
                  <w:r>
                    <w:rPr>
                      <w:rFonts w:hint="default" w:ascii="Times New Roman" w:hAnsi="Times New Roman" w:eastAsia="宋体" w:cs="Times New Roman"/>
                      <w:color w:val="121212"/>
                      <w:sz w:val="21"/>
                      <w:szCs w:val="21"/>
                      <w:lang w:val="en-US" w:eastAsia="zh-CN"/>
                    </w:rPr>
                    <w:t>COD、BOD5、SS、氨氮等</w:t>
                  </w:r>
                </w:p>
              </w:tc>
            </w:tr>
            <w:tr>
              <w:tblPrEx>
                <w:tblLayout w:type="fixed"/>
              </w:tblPrEx>
              <w:trPr>
                <w:trHeight w:val="397" w:hRule="atLeast"/>
                <w:jc w:val="center"/>
              </w:trPr>
              <w:tc>
                <w:tcPr>
                  <w:tcW w:w="63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z w:val="21"/>
                      <w:szCs w:val="21"/>
                      <w:lang w:val="en-US" w:eastAsia="zh-CN"/>
                    </w:rPr>
                  </w:pPr>
                  <w:r>
                    <w:rPr>
                      <w:rFonts w:hint="eastAsia" w:ascii="Times New Roman" w:hAnsi="Times New Roman" w:eastAsia="宋体" w:cs="Times New Roman"/>
                      <w:color w:val="121212"/>
                      <w:sz w:val="21"/>
                      <w:szCs w:val="21"/>
                      <w:lang w:val="en-US" w:eastAsia="zh-CN"/>
                    </w:rPr>
                    <w:t>3</w:t>
                  </w: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z w:val="21"/>
                      <w:szCs w:val="21"/>
                    </w:rPr>
                  </w:pPr>
                  <w:r>
                    <w:rPr>
                      <w:rFonts w:hint="default" w:ascii="Times New Roman" w:hAnsi="Times New Roman" w:eastAsia="宋体" w:cs="Times New Roman"/>
                      <w:color w:val="121212"/>
                      <w:sz w:val="21"/>
                      <w:szCs w:val="21"/>
                    </w:rPr>
                    <w:t>噪声</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z w:val="21"/>
                      <w:szCs w:val="21"/>
                      <w:lang w:val="en-US" w:eastAsia="zh-CN"/>
                    </w:rPr>
                  </w:pPr>
                  <w:r>
                    <w:rPr>
                      <w:rFonts w:hint="default" w:ascii="Times New Roman" w:hAnsi="Times New Roman" w:eastAsia="宋体" w:cs="Times New Roman"/>
                      <w:color w:val="121212"/>
                      <w:sz w:val="21"/>
                      <w:szCs w:val="21"/>
                    </w:rPr>
                    <w:t>生产过程</w:t>
                  </w: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z w:val="21"/>
                      <w:szCs w:val="21"/>
                      <w:lang w:val="en-US" w:eastAsia="zh-CN"/>
                    </w:rPr>
                  </w:pPr>
                  <w:r>
                    <w:rPr>
                      <w:rFonts w:hint="default" w:ascii="Times New Roman" w:hAnsi="Times New Roman" w:eastAsia="宋体" w:cs="Times New Roman"/>
                      <w:color w:val="121212"/>
                      <w:sz w:val="21"/>
                      <w:szCs w:val="21"/>
                    </w:rPr>
                    <w:t>机械噪声</w:t>
                  </w:r>
                </w:p>
              </w:tc>
              <w:tc>
                <w:tcPr>
                  <w:tcW w:w="3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121212"/>
                      <w:sz w:val="21"/>
                      <w:szCs w:val="21"/>
                      <w:lang w:eastAsia="zh-CN"/>
                    </w:rPr>
                  </w:pPr>
                  <w:r>
                    <w:rPr>
                      <w:rFonts w:hint="eastAsia" w:ascii="Times New Roman" w:hAnsi="Times New Roman" w:eastAsia="宋体" w:cs="Times New Roman"/>
                      <w:color w:val="121212"/>
                      <w:sz w:val="21"/>
                      <w:szCs w:val="21"/>
                      <w:lang w:val="en-US" w:eastAsia="zh-CN"/>
                    </w:rPr>
                    <w:t>/</w:t>
                  </w:r>
                </w:p>
              </w:tc>
            </w:tr>
            <w:tr>
              <w:tblPrEx>
                <w:tblLayout w:type="fixed"/>
              </w:tblPrEx>
              <w:trPr>
                <w:trHeight w:val="397" w:hRule="atLeast"/>
                <w:jc w:val="center"/>
              </w:trPr>
              <w:tc>
                <w:tcPr>
                  <w:tcW w:w="63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z w:val="21"/>
                      <w:szCs w:val="21"/>
                      <w:lang w:val="en-US" w:eastAsia="zh-CN"/>
                    </w:rPr>
                  </w:pPr>
                  <w:r>
                    <w:rPr>
                      <w:rFonts w:hint="eastAsia" w:ascii="Times New Roman" w:hAnsi="Times New Roman" w:eastAsia="宋体" w:cs="Times New Roman"/>
                      <w:color w:val="121212"/>
                      <w:sz w:val="21"/>
                      <w:szCs w:val="21"/>
                      <w:lang w:val="en-US" w:eastAsia="zh-CN"/>
                    </w:rPr>
                    <w:t>4</w:t>
                  </w:r>
                </w:p>
              </w:tc>
              <w:tc>
                <w:tcPr>
                  <w:tcW w:w="131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z w:val="21"/>
                      <w:szCs w:val="21"/>
                    </w:rPr>
                  </w:pPr>
                  <w:r>
                    <w:rPr>
                      <w:rFonts w:hint="default" w:ascii="Times New Roman" w:hAnsi="Times New Roman" w:eastAsia="宋体" w:cs="Times New Roman"/>
                      <w:color w:val="121212"/>
                      <w:sz w:val="21"/>
                      <w:szCs w:val="21"/>
                    </w:rPr>
                    <w:t>一般固废</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z w:val="21"/>
                      <w:szCs w:val="21"/>
                      <w:lang w:val="en-US" w:eastAsia="zh-CN"/>
                    </w:rPr>
                  </w:pPr>
                  <w:r>
                    <w:rPr>
                      <w:rFonts w:hint="eastAsia" w:cs="Times New Roman"/>
                      <w:color w:val="121212"/>
                      <w:sz w:val="21"/>
                      <w:szCs w:val="21"/>
                      <w:lang w:val="en-US" w:eastAsia="zh-CN"/>
                    </w:rPr>
                    <w:t>切割S1</w:t>
                  </w: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z w:val="21"/>
                      <w:szCs w:val="21"/>
                      <w:lang w:val="en-US" w:eastAsia="zh-CN"/>
                    </w:rPr>
                  </w:pPr>
                  <w:r>
                    <w:rPr>
                      <w:rFonts w:hint="eastAsia" w:ascii="Times New Roman" w:hAnsi="Times New Roman" w:eastAsia="宋体" w:cs="Times New Roman"/>
                      <w:color w:val="121212"/>
                      <w:sz w:val="21"/>
                      <w:szCs w:val="21"/>
                      <w:lang w:val="en-US" w:eastAsia="zh-CN"/>
                    </w:rPr>
                    <w:t>边角料</w:t>
                  </w:r>
                </w:p>
              </w:tc>
              <w:tc>
                <w:tcPr>
                  <w:tcW w:w="3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z w:val="21"/>
                      <w:szCs w:val="21"/>
                    </w:rPr>
                  </w:pPr>
                  <w:r>
                    <w:rPr>
                      <w:rFonts w:hint="eastAsia" w:ascii="Times New Roman" w:hAnsi="Times New Roman" w:eastAsia="宋体" w:cs="Times New Roman"/>
                      <w:color w:val="121212"/>
                      <w:sz w:val="21"/>
                      <w:szCs w:val="21"/>
                      <w:lang w:val="en-US" w:eastAsia="zh-CN"/>
                    </w:rPr>
                    <w:t>/</w:t>
                  </w:r>
                </w:p>
              </w:tc>
            </w:tr>
            <w:tr>
              <w:tblPrEx>
                <w:tblLayout w:type="fixed"/>
              </w:tblPrEx>
              <w:trPr>
                <w:trHeight w:val="397" w:hRule="atLeast"/>
                <w:jc w:val="center"/>
              </w:trPr>
              <w:tc>
                <w:tcPr>
                  <w:tcW w:w="63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121212"/>
                      <w:sz w:val="21"/>
                      <w:szCs w:val="21"/>
                      <w:lang w:val="en-US" w:eastAsia="zh-CN"/>
                    </w:rPr>
                  </w:pPr>
                </w:p>
              </w:tc>
              <w:tc>
                <w:tcPr>
                  <w:tcW w:w="13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z w:val="21"/>
                      <w:szCs w:val="21"/>
                    </w:rPr>
                  </w:pP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z w:val="21"/>
                      <w:szCs w:val="21"/>
                      <w:lang w:val="en-US" w:eastAsia="zh-CN"/>
                    </w:rPr>
                  </w:pPr>
                  <w:r>
                    <w:rPr>
                      <w:rFonts w:hint="eastAsia" w:cs="Times New Roman"/>
                      <w:color w:val="121212"/>
                      <w:sz w:val="21"/>
                      <w:szCs w:val="21"/>
                      <w:lang w:val="en-US" w:eastAsia="zh-CN"/>
                    </w:rPr>
                    <w:t>焊接S2</w:t>
                  </w: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121212"/>
                      <w:sz w:val="21"/>
                      <w:szCs w:val="21"/>
                      <w:lang w:val="en-US" w:eastAsia="zh-CN"/>
                    </w:rPr>
                  </w:pPr>
                  <w:r>
                    <w:rPr>
                      <w:rFonts w:hint="eastAsia" w:cs="Times New Roman"/>
                      <w:color w:val="121212"/>
                      <w:sz w:val="21"/>
                      <w:szCs w:val="21"/>
                      <w:lang w:val="en-US" w:eastAsia="zh-CN"/>
                    </w:rPr>
                    <w:t>焊接残渣</w:t>
                  </w:r>
                </w:p>
              </w:tc>
              <w:tc>
                <w:tcPr>
                  <w:tcW w:w="3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z w:val="21"/>
                      <w:szCs w:val="21"/>
                      <w:lang w:val="en-US" w:eastAsia="zh-CN"/>
                    </w:rPr>
                  </w:pPr>
                  <w:r>
                    <w:rPr>
                      <w:rFonts w:hint="eastAsia" w:cs="Times New Roman"/>
                      <w:color w:val="121212"/>
                      <w:sz w:val="21"/>
                      <w:szCs w:val="21"/>
                      <w:lang w:val="en-US" w:eastAsia="zh-CN"/>
                    </w:rPr>
                    <w:t>/</w:t>
                  </w:r>
                </w:p>
              </w:tc>
            </w:tr>
            <w:tr>
              <w:tblPrEx>
                <w:tblLayout w:type="fixed"/>
              </w:tblPrEx>
              <w:trPr>
                <w:trHeight w:val="397" w:hRule="atLeast"/>
                <w:jc w:val="center"/>
              </w:trPr>
              <w:tc>
                <w:tcPr>
                  <w:tcW w:w="63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121212"/>
                      <w:sz w:val="21"/>
                      <w:szCs w:val="21"/>
                      <w:lang w:val="en-US" w:eastAsia="zh-CN"/>
                    </w:rPr>
                  </w:pPr>
                </w:p>
              </w:tc>
              <w:tc>
                <w:tcPr>
                  <w:tcW w:w="13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z w:val="21"/>
                      <w:szCs w:val="21"/>
                    </w:rPr>
                  </w:pP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kern w:val="2"/>
                      <w:sz w:val="21"/>
                      <w:szCs w:val="21"/>
                      <w:lang w:val="en-US" w:eastAsia="zh-CN" w:bidi="ar-SA"/>
                    </w:rPr>
                  </w:pPr>
                  <w:r>
                    <w:rPr>
                      <w:rFonts w:hint="eastAsia" w:cs="Times New Roman"/>
                      <w:color w:val="121212"/>
                      <w:sz w:val="21"/>
                      <w:szCs w:val="21"/>
                      <w:lang w:val="en-US" w:eastAsia="zh-CN"/>
                    </w:rPr>
                    <w:t>包装S3</w:t>
                  </w: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kern w:val="2"/>
                      <w:sz w:val="21"/>
                      <w:szCs w:val="21"/>
                      <w:lang w:val="en-US" w:eastAsia="zh-CN" w:bidi="ar-SA"/>
                    </w:rPr>
                  </w:pPr>
                  <w:r>
                    <w:rPr>
                      <w:rFonts w:hint="eastAsia" w:cs="Times New Roman"/>
                      <w:color w:val="121212"/>
                      <w:sz w:val="21"/>
                      <w:szCs w:val="21"/>
                      <w:lang w:val="en-US" w:eastAsia="zh-CN"/>
                    </w:rPr>
                    <w:t>废包装材料</w:t>
                  </w:r>
                </w:p>
              </w:tc>
              <w:tc>
                <w:tcPr>
                  <w:tcW w:w="3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z w:val="21"/>
                      <w:szCs w:val="21"/>
                      <w:lang w:val="en-US" w:eastAsia="zh-CN"/>
                    </w:rPr>
                  </w:pPr>
                  <w:r>
                    <w:rPr>
                      <w:rFonts w:hint="eastAsia" w:cs="Times New Roman"/>
                      <w:color w:val="121212"/>
                      <w:sz w:val="21"/>
                      <w:szCs w:val="21"/>
                      <w:lang w:val="en-US" w:eastAsia="zh-CN"/>
                    </w:rPr>
                    <w:t>/</w:t>
                  </w:r>
                </w:p>
              </w:tc>
            </w:tr>
            <w:tr>
              <w:tblPrEx>
                <w:tblLayout w:type="fixed"/>
              </w:tblPrEx>
              <w:trPr>
                <w:trHeight w:val="397" w:hRule="atLeast"/>
                <w:jc w:val="center"/>
              </w:trPr>
              <w:tc>
                <w:tcPr>
                  <w:tcW w:w="63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121212"/>
                      <w:sz w:val="21"/>
                      <w:szCs w:val="21"/>
                      <w:lang w:val="en-US" w:eastAsia="zh-CN"/>
                    </w:rPr>
                  </w:pPr>
                </w:p>
              </w:tc>
              <w:tc>
                <w:tcPr>
                  <w:tcW w:w="13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z w:val="21"/>
                      <w:szCs w:val="21"/>
                    </w:rPr>
                  </w:pP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kern w:val="2"/>
                      <w:sz w:val="21"/>
                      <w:szCs w:val="21"/>
                      <w:lang w:val="en-US" w:eastAsia="zh-CN" w:bidi="ar-SA"/>
                    </w:rPr>
                  </w:pPr>
                  <w:r>
                    <w:rPr>
                      <w:rFonts w:hint="eastAsia" w:ascii="Times New Roman" w:hAnsi="Times New Roman" w:eastAsia="宋体" w:cs="Times New Roman"/>
                      <w:color w:val="121212"/>
                      <w:sz w:val="21"/>
                      <w:szCs w:val="21"/>
                      <w:lang w:val="en-US" w:eastAsia="zh-CN"/>
                    </w:rPr>
                    <w:t>废气处理</w:t>
                  </w: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121212"/>
                      <w:kern w:val="2"/>
                      <w:sz w:val="21"/>
                      <w:szCs w:val="21"/>
                      <w:lang w:val="en-US" w:eastAsia="zh-CN" w:bidi="ar-SA"/>
                    </w:rPr>
                  </w:pPr>
                  <w:r>
                    <w:rPr>
                      <w:rFonts w:hint="eastAsia" w:ascii="Times New Roman" w:hAnsi="Times New Roman" w:eastAsia="宋体" w:cs="Times New Roman"/>
                      <w:color w:val="121212"/>
                      <w:sz w:val="21"/>
                      <w:szCs w:val="21"/>
                      <w:lang w:val="en-US" w:eastAsia="zh-CN"/>
                    </w:rPr>
                    <w:t>布袋除尘器收尘</w:t>
                  </w:r>
                </w:p>
              </w:tc>
              <w:tc>
                <w:tcPr>
                  <w:tcW w:w="3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z w:val="21"/>
                      <w:szCs w:val="21"/>
                      <w:lang w:val="en-US" w:eastAsia="zh-CN"/>
                    </w:rPr>
                  </w:pPr>
                  <w:r>
                    <w:rPr>
                      <w:rFonts w:hint="eastAsia" w:ascii="Times New Roman" w:hAnsi="Times New Roman" w:eastAsia="宋体" w:cs="Times New Roman"/>
                      <w:color w:val="121212"/>
                      <w:sz w:val="21"/>
                      <w:szCs w:val="21"/>
                      <w:lang w:val="en-US" w:eastAsia="zh-CN"/>
                    </w:rPr>
                    <w:t>/</w:t>
                  </w:r>
                </w:p>
              </w:tc>
            </w:tr>
            <w:tr>
              <w:tblPrEx>
                <w:tblLayout w:type="fixed"/>
              </w:tblPrEx>
              <w:trPr>
                <w:trHeight w:val="397" w:hRule="atLeast"/>
                <w:jc w:val="center"/>
              </w:trPr>
              <w:tc>
                <w:tcPr>
                  <w:tcW w:w="63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z w:val="21"/>
                      <w:szCs w:val="21"/>
                      <w:lang w:val="en-US" w:eastAsia="zh-CN"/>
                    </w:rPr>
                  </w:pPr>
                  <w:r>
                    <w:rPr>
                      <w:rFonts w:hint="eastAsia" w:ascii="Times New Roman" w:hAnsi="Times New Roman" w:eastAsia="宋体" w:cs="Times New Roman"/>
                      <w:color w:val="121212"/>
                      <w:sz w:val="21"/>
                      <w:szCs w:val="21"/>
                      <w:lang w:val="en-US" w:eastAsia="zh-CN"/>
                    </w:rPr>
                    <w:t>5</w:t>
                  </w:r>
                </w:p>
              </w:tc>
              <w:tc>
                <w:tcPr>
                  <w:tcW w:w="131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z w:val="21"/>
                      <w:szCs w:val="21"/>
                    </w:rPr>
                  </w:pPr>
                  <w:r>
                    <w:rPr>
                      <w:rFonts w:hint="default" w:ascii="Times New Roman" w:hAnsi="Times New Roman" w:eastAsia="宋体" w:cs="Times New Roman"/>
                      <w:color w:val="121212"/>
                      <w:sz w:val="21"/>
                      <w:szCs w:val="21"/>
                    </w:rPr>
                    <w:t>危险固废</w:t>
                  </w: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z w:val="21"/>
                      <w:szCs w:val="21"/>
                      <w:lang w:val="en-US" w:eastAsia="zh-CN"/>
                    </w:rPr>
                  </w:pPr>
                  <w:r>
                    <w:rPr>
                      <w:rFonts w:hint="eastAsia" w:ascii="Times New Roman" w:hAnsi="Times New Roman" w:eastAsia="宋体" w:cs="Times New Roman"/>
                      <w:color w:val="121212"/>
                      <w:sz w:val="21"/>
                      <w:szCs w:val="21"/>
                      <w:lang w:val="en-US" w:eastAsia="zh-CN"/>
                    </w:rPr>
                    <w:t>设备保养</w:t>
                  </w: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z w:val="21"/>
                      <w:szCs w:val="21"/>
                    </w:rPr>
                  </w:pPr>
                  <w:r>
                    <w:rPr>
                      <w:rFonts w:hint="eastAsia" w:ascii="Times New Roman" w:hAnsi="Times New Roman" w:eastAsia="宋体" w:cs="Times New Roman"/>
                      <w:color w:val="121212"/>
                      <w:sz w:val="21"/>
                      <w:szCs w:val="21"/>
                      <w:lang w:val="en-US" w:eastAsia="zh-CN"/>
                    </w:rPr>
                    <w:t>废润滑油</w:t>
                  </w:r>
                </w:p>
              </w:tc>
              <w:tc>
                <w:tcPr>
                  <w:tcW w:w="3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z w:val="21"/>
                      <w:szCs w:val="21"/>
                    </w:rPr>
                  </w:pPr>
                  <w:r>
                    <w:rPr>
                      <w:rFonts w:hint="eastAsia" w:ascii="Times New Roman" w:hAnsi="Times New Roman" w:eastAsia="宋体" w:cs="Times New Roman"/>
                      <w:color w:val="121212"/>
                      <w:sz w:val="21"/>
                      <w:szCs w:val="21"/>
                      <w:lang w:val="en-US" w:eastAsia="zh-CN"/>
                    </w:rPr>
                    <w:t>/</w:t>
                  </w:r>
                </w:p>
              </w:tc>
            </w:tr>
            <w:tr>
              <w:tblPrEx>
                <w:tblLayout w:type="fixed"/>
              </w:tblPrEx>
              <w:trPr>
                <w:trHeight w:val="397" w:hRule="atLeast"/>
                <w:jc w:val="center"/>
              </w:trPr>
              <w:tc>
                <w:tcPr>
                  <w:tcW w:w="63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z w:val="21"/>
                      <w:szCs w:val="21"/>
                      <w:lang w:val="en-US" w:eastAsia="zh-CN"/>
                    </w:rPr>
                  </w:pPr>
                </w:p>
              </w:tc>
              <w:tc>
                <w:tcPr>
                  <w:tcW w:w="13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z w:val="21"/>
                      <w:szCs w:val="21"/>
                    </w:rPr>
                  </w:pPr>
                </w:p>
              </w:tc>
              <w:tc>
                <w:tcPr>
                  <w:tcW w:w="155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121212"/>
                      <w:sz w:val="21"/>
                      <w:szCs w:val="21"/>
                      <w:lang w:val="en-US" w:eastAsia="zh-CN"/>
                    </w:rPr>
                  </w:pPr>
                  <w:r>
                    <w:rPr>
                      <w:rFonts w:hint="eastAsia" w:ascii="Times New Roman" w:hAnsi="Times New Roman" w:eastAsia="宋体" w:cs="Times New Roman"/>
                      <w:color w:val="121212"/>
                      <w:sz w:val="21"/>
                      <w:szCs w:val="21"/>
                      <w:lang w:val="en-US" w:eastAsia="zh-CN"/>
                    </w:rPr>
                    <w:t>设备保养</w:t>
                  </w:r>
                </w:p>
              </w:tc>
              <w:tc>
                <w:tcPr>
                  <w:tcW w:w="186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121212"/>
                      <w:sz w:val="21"/>
                      <w:szCs w:val="21"/>
                      <w:lang w:val="en-US" w:eastAsia="zh-CN"/>
                    </w:rPr>
                  </w:pPr>
                  <w:r>
                    <w:rPr>
                      <w:rFonts w:hint="eastAsia" w:ascii="Times New Roman" w:hAnsi="Times New Roman" w:eastAsia="宋体" w:cs="Times New Roman"/>
                      <w:color w:val="121212"/>
                      <w:sz w:val="21"/>
                      <w:szCs w:val="21"/>
                      <w:lang w:val="en-US" w:eastAsia="zh-CN"/>
                    </w:rPr>
                    <w:t>废润滑油桶</w:t>
                  </w:r>
                </w:p>
              </w:tc>
              <w:tc>
                <w:tcPr>
                  <w:tcW w:w="305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cs="Times New Roman"/>
                      <w:color w:val="121212"/>
                      <w:sz w:val="21"/>
                      <w:szCs w:val="21"/>
                      <w:lang w:val="en-US" w:eastAsia="zh-CN"/>
                    </w:rPr>
                  </w:pPr>
                  <w:r>
                    <w:rPr>
                      <w:rFonts w:hint="eastAsia" w:ascii="Times New Roman" w:hAnsi="Times New Roman" w:eastAsia="宋体" w:cs="Times New Roman"/>
                      <w:color w:val="121212"/>
                      <w:sz w:val="21"/>
                      <w:szCs w:val="21"/>
                      <w:lang w:val="en-US" w:eastAsia="zh-CN"/>
                    </w:rPr>
                    <w:t>/</w:t>
                  </w:r>
                </w:p>
              </w:tc>
            </w:tr>
          </w:tbl>
          <w:p>
            <w:pPr>
              <w:ind w:left="0" w:leftChars="0" w:firstLine="0" w:firstLineChars="0"/>
              <w:rPr>
                <w:rFonts w:hint="default"/>
                <w:color w:val="121212"/>
                <w:highlight w:val="none"/>
                <w:lang w:val="en-US" w:eastAsia="zh-CN"/>
              </w:rPr>
            </w:pPr>
          </w:p>
        </w:tc>
      </w:tr>
      <w:tr>
        <w:tblPrEx>
          <w:tblLayout w:type="fixed"/>
        </w:tblPrEx>
        <w:trPr>
          <w:trHeight w:val="12136" w:hRule="atLeast"/>
        </w:trPr>
        <w:tc>
          <w:tcPr>
            <w:tcW w:w="726" w:type="dxa"/>
            <w:vAlign w:val="center"/>
          </w:tcPr>
          <w:p>
            <w:pPr>
              <w:pStyle w:val="2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b/>
                <w:bCs/>
                <w:color w:val="121212"/>
                <w:sz w:val="24"/>
                <w:szCs w:val="24"/>
                <w:highlight w:val="none"/>
              </w:rPr>
            </w:pPr>
            <w:r>
              <w:rPr>
                <w:rFonts w:hint="default" w:ascii="Times New Roman" w:hAnsi="Times New Roman" w:cs="Times New Roman"/>
                <w:b/>
                <w:bCs/>
                <w:color w:val="121212"/>
                <w:sz w:val="24"/>
                <w:szCs w:val="32"/>
                <w:highlight w:val="none"/>
              </w:rPr>
              <w:t>与项目有关的原有环境污染问题</w:t>
            </w:r>
          </w:p>
        </w:tc>
        <w:tc>
          <w:tcPr>
            <w:tcW w:w="865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121212"/>
                <w:sz w:val="24"/>
                <w:lang w:val="en-US" w:eastAsia="zh-CN"/>
              </w:rPr>
            </w:pPr>
            <w:r>
              <w:rPr>
                <w:rFonts w:hint="eastAsia" w:ascii="宋体" w:hAnsi="宋体" w:eastAsia="宋体" w:cs="宋体"/>
                <w:bCs/>
                <w:color w:val="121212"/>
                <w:sz w:val="24"/>
                <w:lang w:val="en-US" w:eastAsia="zh-CN"/>
              </w:rPr>
              <w:t>本项目为新建项目。</w:t>
            </w:r>
            <w:r>
              <w:rPr>
                <w:rFonts w:hint="eastAsia" w:ascii="宋体" w:hAnsi="宋体" w:eastAsia="宋体" w:cs="宋体"/>
                <w:color w:val="121212"/>
                <w:sz w:val="24"/>
              </w:rPr>
              <w:t>租赁</w:t>
            </w:r>
            <w:r>
              <w:rPr>
                <w:rFonts w:hint="eastAsia" w:ascii="Times New Roman" w:hAnsi="Times New Roman" w:eastAsia="宋体"/>
                <w:b w:val="0"/>
                <w:bCs/>
                <w:color w:val="121212"/>
                <w:highlight w:val="none"/>
                <w:lang w:val="en-US" w:eastAsia="zh-CN"/>
              </w:rPr>
              <w:t>安徽飞松机械股份有限公司</w:t>
            </w:r>
            <w:r>
              <w:rPr>
                <w:rFonts w:hint="eastAsia" w:ascii="宋体" w:hAnsi="宋体" w:eastAsia="宋体" w:cs="宋体"/>
                <w:color w:val="121212"/>
                <w:sz w:val="24"/>
                <w:lang w:val="en-US" w:eastAsia="zh-CN"/>
              </w:rPr>
              <w:t>新建</w:t>
            </w:r>
            <w:r>
              <w:rPr>
                <w:rFonts w:hint="eastAsia" w:ascii="宋体" w:hAnsi="宋体" w:eastAsia="宋体" w:cs="宋体"/>
                <w:color w:val="121212"/>
                <w:sz w:val="24"/>
                <w:lang w:eastAsia="zh-CN"/>
              </w:rPr>
              <w:t>生产</w:t>
            </w:r>
            <w:r>
              <w:rPr>
                <w:rFonts w:hint="eastAsia" w:ascii="宋体" w:hAnsi="宋体" w:eastAsia="宋体" w:cs="宋体"/>
                <w:color w:val="121212"/>
                <w:sz w:val="24"/>
                <w:lang w:val="en-US" w:eastAsia="zh-CN"/>
              </w:rPr>
              <w:t>厂房</w:t>
            </w:r>
            <w:r>
              <w:rPr>
                <w:rFonts w:hint="eastAsia" w:ascii="宋体" w:hAnsi="宋体" w:eastAsia="宋体" w:cs="宋体"/>
                <w:color w:val="121212"/>
                <w:sz w:val="24"/>
                <w:lang w:eastAsia="zh-CN"/>
              </w:rPr>
              <w:t>，</w:t>
            </w:r>
            <w:r>
              <w:rPr>
                <w:rFonts w:hint="eastAsia" w:ascii="宋体" w:hAnsi="宋体" w:eastAsia="宋体" w:cs="宋体"/>
                <w:color w:val="121212"/>
                <w:sz w:val="24"/>
                <w:lang w:val="en-US" w:eastAsia="zh-CN"/>
              </w:rPr>
              <w:t>租赁</w:t>
            </w:r>
            <w:r>
              <w:rPr>
                <w:rFonts w:hint="eastAsia" w:ascii="宋体" w:hAnsi="宋体" w:eastAsia="宋体" w:cs="宋体"/>
                <w:color w:val="121212"/>
                <w:sz w:val="24"/>
                <w:lang w:eastAsia="zh-CN"/>
              </w:rPr>
              <w:t>厂房</w:t>
            </w:r>
            <w:r>
              <w:rPr>
                <w:rFonts w:hint="eastAsia" w:ascii="宋体" w:hAnsi="宋体" w:eastAsia="宋体" w:cs="宋体"/>
                <w:color w:val="121212"/>
                <w:sz w:val="24"/>
                <w:lang w:val="en-US" w:eastAsia="zh-CN"/>
              </w:rPr>
              <w:t>现未建设，</w:t>
            </w:r>
            <w:r>
              <w:rPr>
                <w:rFonts w:hint="eastAsia"/>
                <w:color w:val="121212"/>
                <w:highlight w:val="none"/>
                <w:lang w:val="en-US" w:eastAsia="zh-CN"/>
              </w:rPr>
              <w:t>厂房由</w:t>
            </w:r>
            <w:r>
              <w:rPr>
                <w:rFonts w:hint="eastAsia" w:ascii="Times New Roman" w:hAnsi="Times New Roman" w:eastAsia="宋体"/>
                <w:b w:val="0"/>
                <w:bCs/>
                <w:color w:val="121212"/>
                <w:highlight w:val="none"/>
                <w:lang w:val="en-US" w:eastAsia="zh-CN"/>
              </w:rPr>
              <w:t>安徽飞松机械股份有限公司建设</w:t>
            </w:r>
            <w:r>
              <w:rPr>
                <w:rFonts w:hint="eastAsia" w:ascii="宋体" w:hAnsi="宋体" w:eastAsia="宋体" w:cs="宋体"/>
                <w:color w:val="121212"/>
                <w:sz w:val="24"/>
                <w:lang w:eastAsia="zh-CN"/>
              </w:rPr>
              <w:t>。</w:t>
            </w:r>
            <w:r>
              <w:rPr>
                <w:rFonts w:hint="eastAsia" w:ascii="宋体" w:hAnsi="宋体" w:eastAsia="宋体" w:cs="宋体"/>
                <w:b w:val="0"/>
                <w:bCs w:val="0"/>
                <w:color w:val="121212"/>
                <w:sz w:val="24"/>
                <w:szCs w:val="24"/>
              </w:rPr>
              <w:t>经现场勘察，</w:t>
            </w:r>
            <w:r>
              <w:rPr>
                <w:rFonts w:hint="eastAsia" w:ascii="宋体" w:hAnsi="宋体" w:eastAsia="宋体" w:cs="宋体"/>
                <w:b w:val="0"/>
                <w:bCs w:val="0"/>
                <w:color w:val="121212"/>
                <w:sz w:val="24"/>
                <w:szCs w:val="24"/>
                <w:lang w:val="en-US" w:eastAsia="zh-CN"/>
              </w:rPr>
              <w:t>无</w:t>
            </w:r>
            <w:r>
              <w:rPr>
                <w:rFonts w:hint="eastAsia" w:ascii="宋体" w:hAnsi="宋体" w:eastAsia="宋体" w:cs="宋体"/>
                <w:b w:val="0"/>
                <w:bCs w:val="0"/>
                <w:i w:val="0"/>
                <w:iCs w:val="0"/>
                <w:color w:val="121212"/>
                <w:kern w:val="2"/>
                <w:sz w:val="24"/>
                <w:szCs w:val="24"/>
              </w:rPr>
              <w:t>与项目有关的原有环境污染问题</w:t>
            </w:r>
            <w:r>
              <w:rPr>
                <w:rFonts w:hint="eastAsia" w:cs="Times New Roman"/>
                <w:b w:val="0"/>
                <w:bCs w:val="0"/>
                <w:i w:val="0"/>
                <w:iCs w:val="0"/>
                <w:color w:val="121212"/>
                <w:kern w:val="2"/>
                <w:sz w:val="24"/>
                <w:szCs w:val="24"/>
                <w:lang w:eastAsia="zh-CN"/>
              </w:rPr>
              <w:t>。</w:t>
            </w:r>
            <w:r>
              <w:rPr>
                <w:rFonts w:hint="eastAsia" w:ascii="Times New Roman" w:hAnsi="Times New Roman" w:eastAsia="宋体"/>
                <w:b w:val="0"/>
                <w:bCs/>
                <w:color w:val="121212"/>
                <w:highlight w:val="none"/>
                <w:lang w:val="en-US" w:eastAsia="zh-CN"/>
              </w:rPr>
              <w:t>安徽飞松机械股份有限公司</w:t>
            </w:r>
            <w:r>
              <w:rPr>
                <w:rFonts w:hint="eastAsia" w:ascii="宋体" w:hAnsi="宋体" w:eastAsia="宋体" w:cs="宋体"/>
                <w:color w:val="121212"/>
                <w:sz w:val="24"/>
                <w:lang w:val="en-US" w:eastAsia="zh-CN"/>
              </w:rPr>
              <w:t>环保手续执行情况见下表。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121212"/>
                <w:sz w:val="24"/>
                <w:lang w:val="en-US" w:eastAsia="zh-CN"/>
              </w:rPr>
            </w:pPr>
            <w:r>
              <w:rPr>
                <w:rFonts w:hint="eastAsia" w:ascii="宋体" w:hAnsi="宋体" w:eastAsia="宋体" w:cs="宋体"/>
                <w:b/>
                <w:bCs/>
                <w:color w:val="121212"/>
                <w:sz w:val="24"/>
                <w:lang w:val="en-US" w:eastAsia="zh-CN"/>
              </w:rPr>
              <w:t>表</w:t>
            </w:r>
            <w:r>
              <w:rPr>
                <w:rFonts w:hint="default" w:ascii="Times New Roman" w:hAnsi="Times New Roman" w:eastAsia="宋体" w:cs="Times New Roman"/>
                <w:b/>
                <w:bCs/>
                <w:color w:val="121212"/>
                <w:sz w:val="24"/>
                <w:lang w:val="en-US" w:eastAsia="zh-CN"/>
              </w:rPr>
              <w:t>2</w:t>
            </w:r>
            <w:r>
              <w:rPr>
                <w:rFonts w:hint="eastAsia" w:ascii="宋体" w:hAnsi="宋体" w:eastAsia="宋体" w:cs="宋体"/>
                <w:b/>
                <w:bCs/>
                <w:color w:val="121212"/>
                <w:sz w:val="24"/>
                <w:lang w:val="en-US" w:eastAsia="zh-CN"/>
              </w:rPr>
              <w:t xml:space="preserve">-6  </w:t>
            </w:r>
            <w:r>
              <w:rPr>
                <w:rFonts w:hint="eastAsia" w:ascii="宋体" w:hAnsi="宋体" w:eastAsia="宋体" w:cs="宋体"/>
                <w:b/>
                <w:bCs/>
                <w:color w:val="121212"/>
                <w:sz w:val="24"/>
                <w:lang w:eastAsia="zh-CN"/>
              </w:rPr>
              <w:t>安徽</w:t>
            </w:r>
            <w:r>
              <w:rPr>
                <w:rFonts w:hint="eastAsia" w:ascii="宋体" w:hAnsi="宋体" w:eastAsia="宋体" w:cs="宋体"/>
                <w:b/>
                <w:bCs/>
                <w:color w:val="121212"/>
                <w:sz w:val="24"/>
                <w:lang w:val="en-US" w:eastAsia="zh-CN"/>
              </w:rPr>
              <w:t>威力盟机械</w:t>
            </w:r>
            <w:r>
              <w:rPr>
                <w:rFonts w:hint="eastAsia" w:ascii="宋体" w:hAnsi="宋体" w:eastAsia="宋体" w:cs="宋体"/>
                <w:b/>
                <w:bCs/>
                <w:color w:val="121212"/>
                <w:sz w:val="24"/>
                <w:lang w:eastAsia="zh-CN"/>
              </w:rPr>
              <w:t>有限公司</w:t>
            </w:r>
            <w:r>
              <w:rPr>
                <w:rFonts w:hint="eastAsia" w:ascii="宋体" w:hAnsi="宋体" w:eastAsia="宋体" w:cs="宋体"/>
                <w:b/>
                <w:bCs/>
                <w:color w:val="121212"/>
                <w:sz w:val="24"/>
                <w:lang w:val="en-US" w:eastAsia="zh-CN"/>
              </w:rPr>
              <w:t>环保手续执行情况</w:t>
            </w:r>
          </w:p>
          <w:tbl>
            <w:tblPr>
              <w:tblStyle w:val="38"/>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7377"/>
            </w:tblGrid>
            <w:tr>
              <w:tblPrEx>
                <w:tblLayout w:type="fixed"/>
              </w:tblPrEx>
              <w:trPr>
                <w:jc w:val="center"/>
              </w:trPr>
              <w:tc>
                <w:tcPr>
                  <w:tcW w:w="1048" w:type="dxa"/>
                  <w:vAlign w:val="center"/>
                </w:tcPr>
                <w:p>
                  <w:pPr>
                    <w:pStyle w:val="9"/>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宋体" w:hAnsi="宋体" w:eastAsia="宋体" w:cs="宋体"/>
                      <w:b w:val="0"/>
                      <w:bCs w:val="0"/>
                      <w:i w:val="0"/>
                      <w:iCs w:val="0"/>
                      <w:color w:val="121212"/>
                      <w:kern w:val="2"/>
                      <w:sz w:val="21"/>
                      <w:szCs w:val="21"/>
                      <w:lang w:val="en-US" w:eastAsia="zh-CN" w:bidi="ar-SA"/>
                    </w:rPr>
                  </w:pPr>
                  <w:r>
                    <w:rPr>
                      <w:rFonts w:hint="eastAsia" w:ascii="宋体" w:hAnsi="宋体" w:eastAsia="宋体" w:cs="宋体"/>
                      <w:b w:val="0"/>
                      <w:bCs w:val="0"/>
                      <w:i w:val="0"/>
                      <w:iCs w:val="0"/>
                      <w:color w:val="121212"/>
                      <w:kern w:val="2"/>
                      <w:sz w:val="21"/>
                      <w:szCs w:val="21"/>
                      <w:lang w:val="en-US" w:eastAsia="zh-CN" w:bidi="ar-SA"/>
                    </w:rPr>
                    <w:t>序号</w:t>
                  </w:r>
                </w:p>
              </w:tc>
              <w:tc>
                <w:tcPr>
                  <w:tcW w:w="7377" w:type="dxa"/>
                  <w:vAlign w:val="center"/>
                </w:tcPr>
                <w:p>
                  <w:pPr>
                    <w:pStyle w:val="9"/>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宋体" w:hAnsi="宋体" w:eastAsia="宋体" w:cs="宋体"/>
                      <w:b w:val="0"/>
                      <w:bCs w:val="0"/>
                      <w:i w:val="0"/>
                      <w:iCs w:val="0"/>
                      <w:color w:val="121212"/>
                      <w:kern w:val="2"/>
                      <w:sz w:val="21"/>
                      <w:szCs w:val="21"/>
                      <w:lang w:val="en-US" w:eastAsia="zh-CN" w:bidi="ar-SA"/>
                    </w:rPr>
                  </w:pPr>
                  <w:r>
                    <w:rPr>
                      <w:rFonts w:hint="eastAsia" w:ascii="宋体" w:hAnsi="宋体" w:eastAsia="宋体" w:cs="宋体"/>
                      <w:b w:val="0"/>
                      <w:bCs w:val="0"/>
                      <w:i w:val="0"/>
                      <w:iCs w:val="0"/>
                      <w:color w:val="121212"/>
                      <w:kern w:val="2"/>
                      <w:sz w:val="21"/>
                      <w:szCs w:val="21"/>
                      <w:lang w:val="en-US" w:eastAsia="zh-CN" w:bidi="ar-SA"/>
                    </w:rPr>
                    <w:t>执行情况</w:t>
                  </w:r>
                </w:p>
              </w:tc>
            </w:tr>
            <w:tr>
              <w:tblPrEx>
                <w:tblLayout w:type="fixed"/>
              </w:tblPrEx>
              <w:trPr>
                <w:jc w:val="center"/>
              </w:trPr>
              <w:tc>
                <w:tcPr>
                  <w:tcW w:w="1048" w:type="dxa"/>
                  <w:vAlign w:val="center"/>
                </w:tcPr>
                <w:p>
                  <w:pPr>
                    <w:pStyle w:val="9"/>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宋体" w:hAnsi="宋体" w:eastAsia="宋体" w:cs="宋体"/>
                      <w:b w:val="0"/>
                      <w:bCs w:val="0"/>
                      <w:i w:val="0"/>
                      <w:iCs w:val="0"/>
                      <w:color w:val="121212"/>
                      <w:kern w:val="2"/>
                      <w:sz w:val="21"/>
                      <w:szCs w:val="21"/>
                      <w:lang w:val="en-US" w:eastAsia="zh-CN" w:bidi="ar-SA"/>
                    </w:rPr>
                  </w:pPr>
                  <w:r>
                    <w:rPr>
                      <w:rFonts w:hint="eastAsia" w:ascii="宋体" w:hAnsi="宋体" w:eastAsia="宋体" w:cs="宋体"/>
                      <w:b w:val="0"/>
                      <w:bCs w:val="0"/>
                      <w:i w:val="0"/>
                      <w:iCs w:val="0"/>
                      <w:color w:val="121212"/>
                      <w:kern w:val="2"/>
                      <w:sz w:val="21"/>
                      <w:szCs w:val="21"/>
                      <w:lang w:val="en-US" w:eastAsia="zh-CN" w:bidi="ar-SA"/>
                    </w:rPr>
                    <w:t>1</w:t>
                  </w:r>
                </w:p>
              </w:tc>
              <w:tc>
                <w:tcPr>
                  <w:tcW w:w="7377" w:type="dxa"/>
                  <w:vAlign w:val="center"/>
                </w:tcPr>
                <w:p>
                  <w:pPr>
                    <w:pStyle w:val="9"/>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宋体" w:hAnsi="宋体" w:eastAsia="宋体" w:cs="宋体"/>
                      <w:b w:val="0"/>
                      <w:bCs w:val="0"/>
                      <w:i w:val="0"/>
                      <w:iCs w:val="0"/>
                      <w:color w:val="121212"/>
                      <w:kern w:val="2"/>
                      <w:sz w:val="21"/>
                      <w:szCs w:val="21"/>
                      <w:lang w:val="en-US" w:eastAsia="zh-CN" w:bidi="ar-SA"/>
                    </w:rPr>
                  </w:pPr>
                  <w:r>
                    <w:rPr>
                      <w:rFonts w:hint="eastAsia" w:ascii="宋体" w:hAnsi="宋体" w:eastAsia="宋体" w:cs="宋体"/>
                      <w:b w:val="0"/>
                      <w:bCs w:val="0"/>
                      <w:i w:val="0"/>
                      <w:iCs w:val="0"/>
                      <w:color w:val="121212"/>
                      <w:kern w:val="2"/>
                      <w:sz w:val="21"/>
                      <w:szCs w:val="21"/>
                      <w:lang w:val="en-US" w:eastAsia="zh-CN" w:bidi="ar-SA"/>
                    </w:rPr>
                    <w:t>2021年11月，项目经灵璧县发展改革委员会同意备案，项目代码：2111-341323-04-01-376854</w:t>
                  </w:r>
                </w:p>
              </w:tc>
            </w:tr>
            <w:tr>
              <w:tblPrEx>
                <w:tblLayout w:type="fixed"/>
              </w:tblPrEx>
              <w:trPr>
                <w:jc w:val="center"/>
              </w:trPr>
              <w:tc>
                <w:tcPr>
                  <w:tcW w:w="1048" w:type="dxa"/>
                  <w:vAlign w:val="center"/>
                </w:tcPr>
                <w:p>
                  <w:pPr>
                    <w:pStyle w:val="9"/>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宋体" w:hAnsi="宋体" w:eastAsia="宋体" w:cs="宋体"/>
                      <w:b w:val="0"/>
                      <w:bCs w:val="0"/>
                      <w:i w:val="0"/>
                      <w:iCs w:val="0"/>
                      <w:color w:val="121212"/>
                      <w:kern w:val="2"/>
                      <w:sz w:val="21"/>
                      <w:szCs w:val="21"/>
                      <w:lang w:val="en-US" w:eastAsia="zh-CN" w:bidi="ar-SA"/>
                    </w:rPr>
                  </w:pPr>
                  <w:r>
                    <w:rPr>
                      <w:rFonts w:hint="eastAsia" w:ascii="宋体" w:hAnsi="宋体" w:eastAsia="宋体" w:cs="宋体"/>
                      <w:b w:val="0"/>
                      <w:bCs w:val="0"/>
                      <w:i w:val="0"/>
                      <w:iCs w:val="0"/>
                      <w:color w:val="121212"/>
                      <w:kern w:val="2"/>
                      <w:sz w:val="21"/>
                      <w:szCs w:val="21"/>
                      <w:lang w:val="en-US" w:eastAsia="zh-CN" w:bidi="ar-SA"/>
                    </w:rPr>
                    <w:t>2</w:t>
                  </w:r>
                </w:p>
              </w:tc>
              <w:tc>
                <w:tcPr>
                  <w:tcW w:w="7377" w:type="dxa"/>
                  <w:vAlign w:val="center"/>
                </w:tcPr>
                <w:p>
                  <w:pPr>
                    <w:pStyle w:val="9"/>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宋体" w:hAnsi="宋体" w:eastAsia="宋体" w:cs="宋体"/>
                      <w:b w:val="0"/>
                      <w:bCs w:val="0"/>
                      <w:i w:val="0"/>
                      <w:iCs w:val="0"/>
                      <w:color w:val="121212"/>
                      <w:kern w:val="2"/>
                      <w:sz w:val="21"/>
                      <w:szCs w:val="21"/>
                      <w:lang w:val="en-US" w:eastAsia="zh-CN" w:bidi="ar-SA"/>
                    </w:rPr>
                  </w:pPr>
                  <w:r>
                    <w:rPr>
                      <w:rFonts w:hint="eastAsia" w:ascii="宋体" w:hAnsi="宋体" w:eastAsia="宋体" w:cs="宋体"/>
                      <w:b w:val="0"/>
                      <w:bCs w:val="0"/>
                      <w:i w:val="0"/>
                      <w:iCs w:val="0"/>
                      <w:color w:val="121212"/>
                      <w:kern w:val="2"/>
                      <w:sz w:val="21"/>
                      <w:szCs w:val="21"/>
                      <w:lang w:val="en-US" w:eastAsia="zh-CN" w:bidi="ar-SA"/>
                    </w:rPr>
                    <w:t>2022年3月，安徽飞松机械科技股份有限公司委托辽宁青藤环保咨询有限公司编制《安徽飞松机械科技股份有限公司安徽锐康体育用品生产项目环境影响报告表》</w:t>
                  </w:r>
                </w:p>
              </w:tc>
            </w:tr>
            <w:tr>
              <w:tblPrEx>
                <w:tblLayout w:type="fixed"/>
              </w:tblPrEx>
              <w:trPr>
                <w:jc w:val="center"/>
              </w:trPr>
              <w:tc>
                <w:tcPr>
                  <w:tcW w:w="1048" w:type="dxa"/>
                  <w:vAlign w:val="center"/>
                </w:tcPr>
                <w:p>
                  <w:pPr>
                    <w:pStyle w:val="9"/>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宋体" w:hAnsi="宋体" w:eastAsia="宋体" w:cs="宋体"/>
                      <w:b w:val="0"/>
                      <w:bCs w:val="0"/>
                      <w:i w:val="0"/>
                      <w:iCs w:val="0"/>
                      <w:color w:val="121212"/>
                      <w:kern w:val="2"/>
                      <w:sz w:val="21"/>
                      <w:szCs w:val="21"/>
                      <w:lang w:val="en-US" w:eastAsia="zh-CN" w:bidi="ar-SA"/>
                    </w:rPr>
                  </w:pPr>
                  <w:r>
                    <w:rPr>
                      <w:rFonts w:hint="eastAsia" w:ascii="宋体" w:hAnsi="宋体" w:eastAsia="宋体" w:cs="宋体"/>
                      <w:b w:val="0"/>
                      <w:bCs w:val="0"/>
                      <w:i w:val="0"/>
                      <w:iCs w:val="0"/>
                      <w:color w:val="121212"/>
                      <w:kern w:val="2"/>
                      <w:sz w:val="21"/>
                      <w:szCs w:val="21"/>
                      <w:lang w:val="en-US" w:eastAsia="zh-CN" w:bidi="ar-SA"/>
                    </w:rPr>
                    <w:t>3</w:t>
                  </w:r>
                </w:p>
              </w:tc>
              <w:tc>
                <w:tcPr>
                  <w:tcW w:w="7377" w:type="dxa"/>
                  <w:vAlign w:val="center"/>
                </w:tcPr>
                <w:p>
                  <w:pPr>
                    <w:pStyle w:val="9"/>
                    <w:keepNext/>
                    <w:keepLines/>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rPr>
                      <w:rFonts w:hint="eastAsia" w:ascii="宋体" w:hAnsi="宋体" w:eastAsia="宋体" w:cs="宋体"/>
                      <w:b w:val="0"/>
                      <w:bCs w:val="0"/>
                      <w:i w:val="0"/>
                      <w:iCs w:val="0"/>
                      <w:color w:val="121212"/>
                      <w:kern w:val="2"/>
                      <w:sz w:val="21"/>
                      <w:szCs w:val="21"/>
                      <w:lang w:val="en-US" w:eastAsia="zh-CN" w:bidi="ar-SA"/>
                    </w:rPr>
                  </w:pPr>
                  <w:r>
                    <w:rPr>
                      <w:rFonts w:hint="eastAsia" w:ascii="宋体" w:hAnsi="宋体" w:eastAsia="宋体" w:cs="宋体"/>
                      <w:b w:val="0"/>
                      <w:bCs w:val="0"/>
                      <w:i w:val="0"/>
                      <w:iCs w:val="0"/>
                      <w:color w:val="121212"/>
                      <w:kern w:val="2"/>
                      <w:sz w:val="21"/>
                      <w:szCs w:val="21"/>
                      <w:lang w:val="en-US" w:eastAsia="zh-CN" w:bidi="ar-SA"/>
                    </w:rPr>
                    <w:t>2022年3月12号，宿州市灵璧县生态环境分局对《安徽飞松机械科技股份有限公司安徽锐康体育用品生产项目环境影响报告表》出具审批意见</w:t>
                  </w:r>
                </w:p>
              </w:tc>
            </w:tr>
          </w:tbl>
          <w:p>
            <w:pPr>
              <w:pStyle w:val="9"/>
              <w:rPr>
                <w:rFonts w:hint="default"/>
                <w:color w:val="121212"/>
                <w:lang w:val="en-US" w:eastAsia="zh-CN"/>
              </w:rPr>
            </w:pPr>
          </w:p>
        </w:tc>
      </w:tr>
    </w:tbl>
    <w:p>
      <w:pP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br w:type="page"/>
      </w:r>
    </w:p>
    <w:p>
      <w:pPr>
        <w:pStyle w:val="5"/>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三、区域环境质量现状、环境保护目标及评价标准</w:t>
      </w:r>
    </w:p>
    <w:tbl>
      <w:tblPr>
        <w:tblStyle w:val="38"/>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8774"/>
      </w:tblGrid>
      <w:tr>
        <w:tblPrEx>
          <w:tblLayout w:type="fixed"/>
        </w:tblPrEx>
        <w:trPr>
          <w:trHeight w:val="397" w:hRule="atLeast"/>
          <w:jc w:val="center"/>
        </w:trPr>
        <w:tc>
          <w:tcPr>
            <w:tcW w:w="51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cs="Times New Roman"/>
                <w:b/>
                <w:bCs/>
                <w:color w:val="121212"/>
                <w:kern w:val="0"/>
                <w:sz w:val="24"/>
                <w:szCs w:val="24"/>
                <w:highlight w:val="none"/>
              </w:rPr>
            </w:pPr>
            <w:r>
              <w:rPr>
                <w:rFonts w:hint="default" w:ascii="Times New Roman" w:hAnsi="Times New Roman" w:cs="Times New Roman"/>
                <w:b/>
                <w:bCs/>
                <w:color w:val="121212"/>
                <w:kern w:val="0"/>
                <w:sz w:val="24"/>
                <w:szCs w:val="24"/>
                <w:highlight w:val="none"/>
              </w:rPr>
              <w:t>区域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cs="Times New Roman"/>
                <w:b/>
                <w:bCs/>
                <w:color w:val="121212"/>
                <w:kern w:val="0"/>
                <w:sz w:val="24"/>
                <w:szCs w:val="24"/>
                <w:highlight w:val="none"/>
              </w:rPr>
            </w:pPr>
            <w:r>
              <w:rPr>
                <w:rFonts w:hint="default" w:ascii="Times New Roman" w:hAnsi="Times New Roman" w:cs="Times New Roman"/>
                <w:b/>
                <w:bCs/>
                <w:color w:val="121212"/>
                <w:kern w:val="0"/>
                <w:sz w:val="24"/>
                <w:szCs w:val="24"/>
                <w:highlight w:val="none"/>
              </w:rPr>
              <w:t>环境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cs="Times New Roman"/>
                <w:b/>
                <w:bCs/>
                <w:color w:val="121212"/>
                <w:kern w:val="0"/>
                <w:sz w:val="24"/>
                <w:szCs w:val="24"/>
                <w:highlight w:val="none"/>
              </w:rPr>
            </w:pPr>
            <w:r>
              <w:rPr>
                <w:rFonts w:hint="default" w:ascii="Times New Roman" w:hAnsi="Times New Roman" w:cs="Times New Roman"/>
                <w:b/>
                <w:bCs/>
                <w:color w:val="121212"/>
                <w:kern w:val="0"/>
                <w:sz w:val="24"/>
                <w:szCs w:val="24"/>
                <w:highlight w:val="none"/>
              </w:rPr>
              <w:t>质量</w:t>
            </w:r>
          </w:p>
          <w:p>
            <w:pPr>
              <w:bidi w:val="0"/>
              <w:ind w:left="0" w:leftChars="0" w:firstLine="0" w:firstLineChars="0"/>
              <w:jc w:val="center"/>
              <w:rPr>
                <w:rFonts w:hint="default"/>
                <w:color w:val="121212"/>
                <w:highlight w:val="none"/>
                <w:vertAlign w:val="baseline"/>
                <w:lang w:val="en-US" w:eastAsia="zh-CN"/>
              </w:rPr>
            </w:pPr>
            <w:r>
              <w:rPr>
                <w:rFonts w:hint="default" w:ascii="Times New Roman" w:hAnsi="Times New Roman" w:cs="Times New Roman"/>
                <w:b/>
                <w:bCs/>
                <w:color w:val="121212"/>
                <w:kern w:val="0"/>
                <w:sz w:val="24"/>
                <w:szCs w:val="24"/>
                <w:highlight w:val="none"/>
              </w:rPr>
              <w:t>现状</w:t>
            </w:r>
          </w:p>
        </w:tc>
        <w:tc>
          <w:tcPr>
            <w:tcW w:w="8774" w:type="dxa"/>
          </w:tcPr>
          <w:p>
            <w:pPr>
              <w:pStyle w:val="7"/>
              <w:bidi w:val="0"/>
              <w:rPr>
                <w:rFonts w:hint="default"/>
                <w:color w:val="121212"/>
                <w:highlight w:val="none"/>
              </w:rPr>
            </w:pPr>
            <w:r>
              <w:rPr>
                <w:rFonts w:hint="eastAsia"/>
                <w:color w:val="121212"/>
                <w:highlight w:val="none"/>
                <w:lang w:val="en-US" w:eastAsia="zh-CN"/>
              </w:rPr>
              <w:t>一</w:t>
            </w:r>
            <w:r>
              <w:rPr>
                <w:rFonts w:hint="default"/>
                <w:color w:val="121212"/>
                <w:highlight w:val="none"/>
              </w:rPr>
              <w:t>、大气环境</w:t>
            </w:r>
          </w:p>
          <w:p>
            <w:pPr>
              <w:pStyle w:val="7"/>
              <w:bidi w:val="0"/>
              <w:rPr>
                <w:rFonts w:hint="default"/>
                <w:color w:val="121212"/>
                <w:highlight w:val="none"/>
              </w:rPr>
            </w:pPr>
            <w:r>
              <w:rPr>
                <w:rFonts w:hint="eastAsia"/>
                <w:color w:val="121212"/>
                <w:highlight w:val="none"/>
                <w:lang w:val="en-US" w:eastAsia="zh-CN"/>
              </w:rPr>
              <w:t>1、</w:t>
            </w:r>
            <w:r>
              <w:rPr>
                <w:rFonts w:hint="default"/>
                <w:color w:val="121212"/>
                <w:highlight w:val="none"/>
              </w:rPr>
              <w:t>基本污染物环境质量现状评价</w:t>
            </w:r>
          </w:p>
          <w:p>
            <w:pPr>
              <w:bidi w:val="0"/>
              <w:rPr>
                <w:rFonts w:hint="default"/>
                <w:color w:val="121212"/>
                <w:highlight w:val="none"/>
              </w:rPr>
            </w:pPr>
            <w:r>
              <w:rPr>
                <w:rFonts w:hint="default"/>
                <w:color w:val="121212"/>
                <w:highlight w:val="none"/>
              </w:rPr>
              <w:t>根据建设项目环境影响报告表编制技术指南（污染影响类）（试行）要求，常规污染物引用与建设项目距离近的有效数据，包括近3年的规划环境影响评价的监测数据，国家、地方环境空气质量监测网数据或生态环境主管部门公开发布的质量数据等。排放国家、地方环境空气质量标准中有标准限值要求的特征污染物时，引用建设项目周边5千米范围内近3年的现有监测数据，无相关数据的选择当季主导风向下风向1个点位补充不少于3天的监测数据。根据建设项目所在环境功能区及适用的国家、地方环境质量标准，以及地方环境质量管理要求评价大气环境质量现状达标情况。</w:t>
            </w:r>
          </w:p>
          <w:p>
            <w:pPr>
              <w:bidi w:val="0"/>
              <w:rPr>
                <w:rFonts w:hint="default"/>
                <w:color w:val="121212"/>
                <w:highlight w:val="none"/>
                <w:lang w:val="en-US" w:eastAsia="zh-CN"/>
              </w:rPr>
            </w:pPr>
            <w:r>
              <w:rPr>
                <w:rFonts w:hint="eastAsia"/>
                <w:color w:val="121212"/>
                <w:highlight w:val="none"/>
                <w:lang w:val="en-US" w:eastAsia="zh-CN"/>
              </w:rPr>
              <w:t>（1）</w:t>
            </w:r>
            <w:r>
              <w:rPr>
                <w:rFonts w:hint="default"/>
                <w:color w:val="121212"/>
                <w:highlight w:val="none"/>
                <w:lang w:val="en-US" w:eastAsia="zh-CN"/>
              </w:rPr>
              <w:t>区域环境质量现状</w:t>
            </w:r>
          </w:p>
          <w:p>
            <w:pPr>
              <w:bidi w:val="0"/>
              <w:rPr>
                <w:color w:val="121212"/>
              </w:rPr>
            </w:pPr>
            <w:r>
              <w:rPr>
                <w:rFonts w:hint="eastAsia"/>
                <w:color w:val="121212"/>
                <w:lang w:val="en-US" w:eastAsia="zh-CN"/>
              </w:rPr>
              <w:t>根据《宿州市2022年环境质量状况报告》，</w:t>
            </w:r>
            <w:r>
              <w:rPr>
                <w:color w:val="121212"/>
              </w:rPr>
              <w:t>2022年宿州市空气综合指数为3.95，同比改善1.7%；PM</w:t>
            </w:r>
            <w:r>
              <w:rPr>
                <w:color w:val="121212"/>
                <w:vertAlign w:val="subscript"/>
              </w:rPr>
              <w:t>2.5</w:t>
            </w:r>
            <w:r>
              <w:rPr>
                <w:color w:val="121212"/>
              </w:rPr>
              <w:t>年平均浓度为40微克/立方米，同比改善2.4%；全市空气优良天数比例为76.7%，优良天数比例改</w:t>
            </w:r>
            <w:commentRangeStart w:id="28"/>
            <w:commentRangeStart w:id="29"/>
            <w:r>
              <w:rPr>
                <w:color w:val="121212"/>
              </w:rPr>
              <w:t>善率全省排</w:t>
            </w:r>
            <w:commentRangeEnd w:id="28"/>
            <w:r>
              <w:rPr>
                <w:color w:val="121212"/>
              </w:rPr>
              <w:commentReference w:id="28"/>
            </w:r>
            <w:commentRangeEnd w:id="29"/>
            <w:r>
              <w:rPr>
                <w:color w:val="121212"/>
              </w:rPr>
              <w:commentReference w:id="29"/>
            </w:r>
            <w:r>
              <w:rPr>
                <w:color w:val="121212"/>
              </w:rPr>
              <w:t>名第5，全面完成年度考核任务。</w:t>
            </w:r>
            <w:r>
              <w:rPr>
                <w:rFonts w:hint="eastAsia" w:ascii="Times New Roman" w:hAnsi="Times New Roman" w:eastAsia="宋体" w:cs="Times New Roman"/>
                <w:color w:val="121212"/>
                <w:kern w:val="2"/>
                <w:sz w:val="24"/>
                <w:szCs w:val="24"/>
                <w:highlight w:val="none"/>
                <w:lang w:val="en-US" w:eastAsia="zh-CN" w:bidi="ar-SA"/>
              </w:rPr>
              <w:t>项目区域环境空气为达标区。</w:t>
            </w:r>
          </w:p>
          <w:p>
            <w:pPr>
              <w:pStyle w:val="39"/>
              <w:bidi w:val="0"/>
              <w:spacing w:line="360" w:lineRule="auto"/>
              <w:rPr>
                <w:rFonts w:hint="default"/>
                <w:color w:val="121212"/>
                <w:lang w:val="en-US" w:eastAsia="zh-CN"/>
              </w:rPr>
            </w:pPr>
            <w:r>
              <w:rPr>
                <w:rFonts w:hint="eastAsia"/>
                <w:color w:val="121212"/>
                <w:lang w:val="en-US" w:eastAsia="zh-CN"/>
              </w:rPr>
              <w:t>表3-1  区域空气质量现状评价表</w:t>
            </w:r>
          </w:p>
          <w:tbl>
            <w:tblPr>
              <w:tblStyle w:val="38"/>
              <w:tblW w:w="8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190"/>
              <w:gridCol w:w="1140"/>
              <w:gridCol w:w="1323"/>
              <w:gridCol w:w="1417"/>
              <w:gridCol w:w="1418"/>
            </w:tblGrid>
            <w:tr>
              <w:tblPrEx>
                <w:tblLayout w:type="fixed"/>
              </w:tblPrEx>
              <w:tc>
                <w:tcPr>
                  <w:tcW w:w="1015" w:type="dxa"/>
                  <w:vAlign w:val="center"/>
                </w:tcPr>
                <w:p>
                  <w:pPr>
                    <w:pStyle w:val="47"/>
                    <w:bidi w:val="0"/>
                    <w:jc w:val="center"/>
                    <w:rPr>
                      <w:rFonts w:hint="default"/>
                      <w:b/>
                      <w:bCs/>
                      <w:color w:val="121212"/>
                      <w:lang w:val="en-US" w:eastAsia="zh-CN"/>
                    </w:rPr>
                  </w:pPr>
                  <w:r>
                    <w:rPr>
                      <w:rFonts w:hint="eastAsia"/>
                      <w:b/>
                      <w:bCs/>
                      <w:color w:val="121212"/>
                      <w:lang w:val="en-US" w:eastAsia="zh-CN"/>
                    </w:rPr>
                    <w:t>污染物</w:t>
                  </w:r>
                </w:p>
              </w:tc>
              <w:tc>
                <w:tcPr>
                  <w:tcW w:w="2190" w:type="dxa"/>
                  <w:vAlign w:val="center"/>
                </w:tcPr>
                <w:p>
                  <w:pPr>
                    <w:pStyle w:val="47"/>
                    <w:bidi w:val="0"/>
                    <w:jc w:val="center"/>
                    <w:rPr>
                      <w:rFonts w:hint="default"/>
                      <w:b/>
                      <w:bCs/>
                      <w:color w:val="121212"/>
                      <w:lang w:val="en-US" w:eastAsia="zh-CN"/>
                    </w:rPr>
                  </w:pPr>
                  <w:r>
                    <w:rPr>
                      <w:rFonts w:hint="eastAsia"/>
                      <w:b/>
                      <w:bCs/>
                      <w:color w:val="121212"/>
                      <w:lang w:val="en-US" w:eastAsia="zh-CN"/>
                    </w:rPr>
                    <w:t>评价指标</w:t>
                  </w:r>
                </w:p>
              </w:tc>
              <w:tc>
                <w:tcPr>
                  <w:tcW w:w="1140" w:type="dxa"/>
                  <w:vAlign w:val="center"/>
                </w:tcPr>
                <w:p>
                  <w:pPr>
                    <w:pStyle w:val="47"/>
                    <w:bidi w:val="0"/>
                    <w:jc w:val="center"/>
                    <w:rPr>
                      <w:rFonts w:hint="default"/>
                      <w:b/>
                      <w:bCs/>
                      <w:color w:val="121212"/>
                      <w:lang w:val="en-US" w:eastAsia="zh-CN"/>
                    </w:rPr>
                  </w:pPr>
                  <w:r>
                    <w:rPr>
                      <w:rFonts w:hint="eastAsia"/>
                      <w:b/>
                      <w:bCs/>
                      <w:color w:val="121212"/>
                      <w:lang w:val="en-US" w:eastAsia="zh-CN"/>
                    </w:rPr>
                    <w:t>年均浓度</w:t>
                  </w:r>
                </w:p>
              </w:tc>
              <w:tc>
                <w:tcPr>
                  <w:tcW w:w="1323" w:type="dxa"/>
                  <w:vAlign w:val="center"/>
                </w:tcPr>
                <w:p>
                  <w:pPr>
                    <w:pStyle w:val="47"/>
                    <w:bidi w:val="0"/>
                    <w:jc w:val="center"/>
                    <w:rPr>
                      <w:rFonts w:hint="default"/>
                      <w:b/>
                      <w:bCs/>
                      <w:color w:val="121212"/>
                      <w:lang w:val="en-US" w:eastAsia="zh-CN"/>
                    </w:rPr>
                  </w:pPr>
                  <w:r>
                    <w:rPr>
                      <w:rFonts w:hint="eastAsia"/>
                      <w:b/>
                      <w:bCs/>
                      <w:color w:val="121212"/>
                      <w:lang w:val="en-US" w:eastAsia="zh-CN"/>
                    </w:rPr>
                    <w:t>标准值</w:t>
                  </w:r>
                </w:p>
              </w:tc>
              <w:tc>
                <w:tcPr>
                  <w:tcW w:w="1417" w:type="dxa"/>
                  <w:vAlign w:val="center"/>
                </w:tcPr>
                <w:p>
                  <w:pPr>
                    <w:pStyle w:val="47"/>
                    <w:bidi w:val="0"/>
                    <w:jc w:val="center"/>
                    <w:rPr>
                      <w:rFonts w:hint="default"/>
                      <w:b/>
                      <w:bCs/>
                      <w:color w:val="121212"/>
                      <w:lang w:val="en-US" w:eastAsia="zh-CN"/>
                    </w:rPr>
                  </w:pPr>
                  <w:r>
                    <w:rPr>
                      <w:rFonts w:hint="eastAsia"/>
                      <w:b/>
                      <w:bCs/>
                      <w:color w:val="121212"/>
                      <w:lang w:val="en-US" w:eastAsia="zh-CN"/>
                    </w:rPr>
                    <w:t>占标率%</w:t>
                  </w:r>
                </w:p>
              </w:tc>
              <w:tc>
                <w:tcPr>
                  <w:tcW w:w="1418" w:type="dxa"/>
                  <w:vAlign w:val="center"/>
                </w:tcPr>
                <w:p>
                  <w:pPr>
                    <w:pStyle w:val="47"/>
                    <w:bidi w:val="0"/>
                    <w:jc w:val="center"/>
                    <w:rPr>
                      <w:rFonts w:hint="default"/>
                      <w:b/>
                      <w:bCs/>
                      <w:color w:val="121212"/>
                      <w:lang w:val="en-US" w:eastAsia="zh-CN"/>
                    </w:rPr>
                  </w:pPr>
                  <w:r>
                    <w:rPr>
                      <w:rFonts w:hint="eastAsia"/>
                      <w:b/>
                      <w:bCs/>
                      <w:color w:val="121212"/>
                      <w:lang w:val="en-US" w:eastAsia="zh-CN"/>
                    </w:rPr>
                    <w:t>达标情况</w:t>
                  </w:r>
                </w:p>
              </w:tc>
            </w:tr>
            <w:tr>
              <w:tblPrEx>
                <w:tblLayout w:type="fixed"/>
              </w:tblPrEx>
              <w:tc>
                <w:tcPr>
                  <w:tcW w:w="1015" w:type="dxa"/>
                  <w:vAlign w:val="center"/>
                </w:tcPr>
                <w:p>
                  <w:pPr>
                    <w:pStyle w:val="47"/>
                    <w:bidi w:val="0"/>
                    <w:jc w:val="center"/>
                    <w:rPr>
                      <w:rFonts w:hint="default"/>
                      <w:color w:val="121212"/>
                      <w:lang w:val="en-US" w:eastAsia="zh-CN"/>
                    </w:rPr>
                  </w:pPr>
                  <w:r>
                    <w:rPr>
                      <w:rFonts w:hint="eastAsia"/>
                      <w:color w:val="121212"/>
                      <w:lang w:val="en-US" w:eastAsia="zh-CN"/>
                    </w:rPr>
                    <w:t>PM</w:t>
                  </w:r>
                  <w:r>
                    <w:rPr>
                      <w:rFonts w:hint="eastAsia"/>
                      <w:color w:val="121212"/>
                      <w:vertAlign w:val="subscript"/>
                      <w:lang w:val="en-US" w:eastAsia="zh-CN"/>
                    </w:rPr>
                    <w:t>10</w:t>
                  </w:r>
                </w:p>
              </w:tc>
              <w:tc>
                <w:tcPr>
                  <w:tcW w:w="2190" w:type="dxa"/>
                  <w:vAlign w:val="center"/>
                </w:tcPr>
                <w:p>
                  <w:pPr>
                    <w:pStyle w:val="47"/>
                    <w:bidi w:val="0"/>
                    <w:jc w:val="center"/>
                    <w:rPr>
                      <w:rFonts w:hint="default"/>
                      <w:color w:val="121212"/>
                      <w:lang w:val="en-US" w:eastAsia="zh-CN"/>
                    </w:rPr>
                  </w:pPr>
                  <w:r>
                    <w:rPr>
                      <w:rFonts w:hint="eastAsia"/>
                      <w:color w:val="121212"/>
                      <w:lang w:val="en-US" w:eastAsia="zh-CN"/>
                    </w:rPr>
                    <w:t>年平均浓度</w:t>
                  </w:r>
                </w:p>
              </w:tc>
              <w:tc>
                <w:tcPr>
                  <w:tcW w:w="1140" w:type="dxa"/>
                  <w:vAlign w:val="center"/>
                </w:tcPr>
                <w:p>
                  <w:pPr>
                    <w:pStyle w:val="47"/>
                    <w:bidi w:val="0"/>
                    <w:jc w:val="center"/>
                    <w:rPr>
                      <w:rFonts w:hint="default"/>
                      <w:color w:val="121212"/>
                      <w:lang w:val="en-US" w:eastAsia="zh-CN"/>
                    </w:rPr>
                  </w:pPr>
                  <w:r>
                    <w:rPr>
                      <w:rFonts w:hint="eastAsia"/>
                      <w:color w:val="121212"/>
                      <w:lang w:val="en-US" w:eastAsia="zh-CN"/>
                    </w:rPr>
                    <w:t>13</w:t>
                  </w:r>
                </w:p>
              </w:tc>
              <w:tc>
                <w:tcPr>
                  <w:tcW w:w="1323" w:type="dxa"/>
                  <w:vAlign w:val="center"/>
                </w:tcPr>
                <w:p>
                  <w:pPr>
                    <w:pStyle w:val="47"/>
                    <w:bidi w:val="0"/>
                    <w:jc w:val="center"/>
                    <w:rPr>
                      <w:rFonts w:hint="default"/>
                      <w:color w:val="121212"/>
                      <w:lang w:val="en-US" w:eastAsia="zh-CN"/>
                    </w:rPr>
                  </w:pPr>
                  <w:r>
                    <w:rPr>
                      <w:rFonts w:hint="eastAsia"/>
                      <w:color w:val="121212"/>
                      <w:lang w:val="en-US" w:eastAsia="zh-CN"/>
                    </w:rPr>
                    <w:t>70</w:t>
                  </w:r>
                </w:p>
              </w:tc>
              <w:tc>
                <w:tcPr>
                  <w:tcW w:w="1417" w:type="dxa"/>
                  <w:vAlign w:val="center"/>
                </w:tcPr>
                <w:p>
                  <w:pPr>
                    <w:pStyle w:val="47"/>
                    <w:bidi w:val="0"/>
                    <w:jc w:val="center"/>
                    <w:rPr>
                      <w:rFonts w:hint="default"/>
                      <w:color w:val="121212"/>
                      <w:lang w:val="en-US" w:eastAsia="zh-CN"/>
                    </w:rPr>
                  </w:pPr>
                  <w:r>
                    <w:rPr>
                      <w:rFonts w:hint="eastAsia"/>
                      <w:color w:val="121212"/>
                      <w:lang w:val="en-US" w:eastAsia="zh-CN"/>
                    </w:rPr>
                    <w:t>18.6</w:t>
                  </w:r>
                </w:p>
              </w:tc>
              <w:tc>
                <w:tcPr>
                  <w:tcW w:w="1418" w:type="dxa"/>
                  <w:vAlign w:val="center"/>
                </w:tcPr>
                <w:p>
                  <w:pPr>
                    <w:pStyle w:val="47"/>
                    <w:bidi w:val="0"/>
                    <w:jc w:val="center"/>
                    <w:rPr>
                      <w:rFonts w:hint="default"/>
                      <w:color w:val="121212"/>
                      <w:lang w:val="en-US" w:eastAsia="zh-CN"/>
                    </w:rPr>
                  </w:pPr>
                  <w:r>
                    <w:rPr>
                      <w:rFonts w:hint="eastAsia"/>
                      <w:color w:val="121212"/>
                      <w:lang w:val="en-US" w:eastAsia="zh-CN"/>
                    </w:rPr>
                    <w:t>达标</w:t>
                  </w:r>
                </w:p>
              </w:tc>
            </w:tr>
            <w:tr>
              <w:tblPrEx>
                <w:tblLayout w:type="fixed"/>
              </w:tblPrEx>
              <w:trPr>
                <w:trHeight w:val="232" w:hRule="atLeast"/>
              </w:trPr>
              <w:tc>
                <w:tcPr>
                  <w:tcW w:w="1015" w:type="dxa"/>
                  <w:vAlign w:val="center"/>
                </w:tcPr>
                <w:p>
                  <w:pPr>
                    <w:pStyle w:val="47"/>
                    <w:bidi w:val="0"/>
                    <w:jc w:val="center"/>
                    <w:rPr>
                      <w:rFonts w:hint="default"/>
                      <w:color w:val="121212"/>
                      <w:lang w:val="en-US" w:eastAsia="zh-CN"/>
                    </w:rPr>
                  </w:pPr>
                  <w:r>
                    <w:rPr>
                      <w:rFonts w:hint="eastAsia"/>
                      <w:color w:val="121212"/>
                      <w:lang w:val="en-US" w:eastAsia="zh-CN"/>
                    </w:rPr>
                    <w:t>PM</w:t>
                  </w:r>
                  <w:r>
                    <w:rPr>
                      <w:rFonts w:hint="eastAsia"/>
                      <w:color w:val="121212"/>
                      <w:vertAlign w:val="subscript"/>
                      <w:lang w:val="en-US" w:eastAsia="zh-CN"/>
                    </w:rPr>
                    <w:t>2.5</w:t>
                  </w:r>
                </w:p>
              </w:tc>
              <w:tc>
                <w:tcPr>
                  <w:tcW w:w="2190" w:type="dxa"/>
                  <w:vAlign w:val="center"/>
                </w:tcPr>
                <w:p>
                  <w:pPr>
                    <w:pStyle w:val="47"/>
                    <w:bidi w:val="0"/>
                    <w:jc w:val="center"/>
                    <w:rPr>
                      <w:rFonts w:hint="eastAsia"/>
                      <w:color w:val="121212"/>
                      <w:lang w:val="en-US" w:eastAsia="zh-CN"/>
                    </w:rPr>
                  </w:pPr>
                  <w:r>
                    <w:rPr>
                      <w:rFonts w:hint="eastAsia"/>
                      <w:color w:val="121212"/>
                      <w:lang w:val="en-US" w:eastAsia="zh-CN"/>
                    </w:rPr>
                    <w:t>年平均浓度</w:t>
                  </w:r>
                </w:p>
              </w:tc>
              <w:tc>
                <w:tcPr>
                  <w:tcW w:w="1140" w:type="dxa"/>
                  <w:vAlign w:val="center"/>
                </w:tcPr>
                <w:p>
                  <w:pPr>
                    <w:pStyle w:val="47"/>
                    <w:bidi w:val="0"/>
                    <w:jc w:val="center"/>
                    <w:rPr>
                      <w:rFonts w:hint="default"/>
                      <w:color w:val="121212"/>
                      <w:lang w:val="en-US" w:eastAsia="zh-CN"/>
                    </w:rPr>
                  </w:pPr>
                  <w:r>
                    <w:rPr>
                      <w:rFonts w:hint="eastAsia"/>
                      <w:color w:val="121212"/>
                      <w:lang w:val="en-US" w:eastAsia="zh-CN"/>
                    </w:rPr>
                    <w:t>6</w:t>
                  </w:r>
                </w:p>
              </w:tc>
              <w:tc>
                <w:tcPr>
                  <w:tcW w:w="1323" w:type="dxa"/>
                  <w:vAlign w:val="center"/>
                </w:tcPr>
                <w:p>
                  <w:pPr>
                    <w:pStyle w:val="47"/>
                    <w:bidi w:val="0"/>
                    <w:jc w:val="center"/>
                    <w:rPr>
                      <w:rFonts w:hint="default"/>
                      <w:color w:val="121212"/>
                      <w:lang w:val="en-US" w:eastAsia="zh-CN"/>
                    </w:rPr>
                  </w:pPr>
                  <w:r>
                    <w:rPr>
                      <w:rFonts w:hint="eastAsia"/>
                      <w:color w:val="121212"/>
                      <w:lang w:val="en-US" w:eastAsia="zh-CN"/>
                    </w:rPr>
                    <w:t>35</w:t>
                  </w:r>
                </w:p>
              </w:tc>
              <w:tc>
                <w:tcPr>
                  <w:tcW w:w="1417" w:type="dxa"/>
                  <w:vAlign w:val="center"/>
                </w:tcPr>
                <w:p>
                  <w:pPr>
                    <w:pStyle w:val="47"/>
                    <w:bidi w:val="0"/>
                    <w:jc w:val="center"/>
                    <w:rPr>
                      <w:rFonts w:hint="default"/>
                      <w:color w:val="121212"/>
                      <w:lang w:val="en-US" w:eastAsia="zh-CN"/>
                    </w:rPr>
                  </w:pPr>
                  <w:r>
                    <w:rPr>
                      <w:rFonts w:hint="eastAsia"/>
                      <w:color w:val="121212"/>
                      <w:lang w:val="en-US" w:eastAsia="zh-CN"/>
                    </w:rPr>
                    <w:t>17.1</w:t>
                  </w:r>
                </w:p>
              </w:tc>
              <w:tc>
                <w:tcPr>
                  <w:tcW w:w="1418" w:type="dxa"/>
                  <w:vAlign w:val="center"/>
                </w:tcPr>
                <w:p>
                  <w:pPr>
                    <w:pStyle w:val="47"/>
                    <w:bidi w:val="0"/>
                    <w:jc w:val="center"/>
                    <w:rPr>
                      <w:rFonts w:hint="eastAsia"/>
                      <w:color w:val="121212"/>
                      <w:lang w:val="en-US" w:eastAsia="zh-CN"/>
                    </w:rPr>
                  </w:pPr>
                  <w:r>
                    <w:rPr>
                      <w:rFonts w:hint="eastAsia"/>
                      <w:color w:val="121212"/>
                      <w:lang w:val="en-US" w:eastAsia="zh-CN"/>
                    </w:rPr>
                    <w:t>达标</w:t>
                  </w:r>
                </w:p>
              </w:tc>
            </w:tr>
            <w:tr>
              <w:tblPrEx>
                <w:tblLayout w:type="fixed"/>
              </w:tblPrEx>
              <w:tc>
                <w:tcPr>
                  <w:tcW w:w="1015" w:type="dxa"/>
                  <w:vAlign w:val="center"/>
                </w:tcPr>
                <w:p>
                  <w:pPr>
                    <w:pStyle w:val="47"/>
                    <w:bidi w:val="0"/>
                    <w:jc w:val="center"/>
                    <w:rPr>
                      <w:rFonts w:hint="default"/>
                      <w:color w:val="121212"/>
                      <w:lang w:val="en-US" w:eastAsia="zh-CN"/>
                    </w:rPr>
                  </w:pPr>
                  <w:r>
                    <w:rPr>
                      <w:rFonts w:hint="eastAsia"/>
                      <w:color w:val="121212"/>
                      <w:lang w:val="en-US" w:eastAsia="zh-CN"/>
                    </w:rPr>
                    <w:t>SO</w:t>
                  </w:r>
                  <w:r>
                    <w:rPr>
                      <w:rFonts w:hint="eastAsia"/>
                      <w:color w:val="121212"/>
                      <w:vertAlign w:val="subscript"/>
                      <w:lang w:val="en-US" w:eastAsia="zh-CN"/>
                    </w:rPr>
                    <w:t>2</w:t>
                  </w:r>
                </w:p>
              </w:tc>
              <w:tc>
                <w:tcPr>
                  <w:tcW w:w="2190" w:type="dxa"/>
                  <w:vAlign w:val="center"/>
                </w:tcPr>
                <w:p>
                  <w:pPr>
                    <w:pStyle w:val="47"/>
                    <w:bidi w:val="0"/>
                    <w:jc w:val="center"/>
                    <w:rPr>
                      <w:rFonts w:hint="eastAsia"/>
                      <w:color w:val="121212"/>
                      <w:lang w:val="en-US" w:eastAsia="zh-CN"/>
                    </w:rPr>
                  </w:pPr>
                  <w:r>
                    <w:rPr>
                      <w:rFonts w:hint="eastAsia"/>
                      <w:color w:val="121212"/>
                      <w:lang w:val="en-US" w:eastAsia="zh-CN"/>
                    </w:rPr>
                    <w:t>年平均浓度</w:t>
                  </w:r>
                </w:p>
              </w:tc>
              <w:tc>
                <w:tcPr>
                  <w:tcW w:w="1140" w:type="dxa"/>
                  <w:vAlign w:val="center"/>
                </w:tcPr>
                <w:p>
                  <w:pPr>
                    <w:pStyle w:val="47"/>
                    <w:bidi w:val="0"/>
                    <w:jc w:val="center"/>
                    <w:rPr>
                      <w:rFonts w:hint="default"/>
                      <w:color w:val="121212"/>
                      <w:lang w:val="en-US" w:eastAsia="zh-CN"/>
                    </w:rPr>
                  </w:pPr>
                  <w:r>
                    <w:rPr>
                      <w:rFonts w:hint="eastAsia"/>
                      <w:color w:val="121212"/>
                      <w:lang w:val="en-US" w:eastAsia="zh-CN"/>
                    </w:rPr>
                    <w:t>2</w:t>
                  </w:r>
                </w:p>
              </w:tc>
              <w:tc>
                <w:tcPr>
                  <w:tcW w:w="1323" w:type="dxa"/>
                  <w:vAlign w:val="center"/>
                </w:tcPr>
                <w:p>
                  <w:pPr>
                    <w:pStyle w:val="47"/>
                    <w:bidi w:val="0"/>
                    <w:jc w:val="center"/>
                    <w:rPr>
                      <w:rFonts w:hint="default"/>
                      <w:color w:val="121212"/>
                      <w:lang w:val="en-US" w:eastAsia="zh-CN"/>
                    </w:rPr>
                  </w:pPr>
                  <w:r>
                    <w:rPr>
                      <w:rFonts w:hint="eastAsia"/>
                      <w:color w:val="121212"/>
                      <w:lang w:val="en-US" w:eastAsia="zh-CN"/>
                    </w:rPr>
                    <w:t>60</w:t>
                  </w:r>
                </w:p>
              </w:tc>
              <w:tc>
                <w:tcPr>
                  <w:tcW w:w="1417" w:type="dxa"/>
                  <w:vAlign w:val="center"/>
                </w:tcPr>
                <w:p>
                  <w:pPr>
                    <w:pStyle w:val="47"/>
                    <w:bidi w:val="0"/>
                    <w:jc w:val="center"/>
                    <w:rPr>
                      <w:rFonts w:hint="default"/>
                      <w:color w:val="121212"/>
                      <w:lang w:val="en-US" w:eastAsia="zh-CN"/>
                    </w:rPr>
                  </w:pPr>
                  <w:r>
                    <w:rPr>
                      <w:rFonts w:hint="eastAsia"/>
                      <w:color w:val="121212"/>
                      <w:lang w:val="en-US" w:eastAsia="zh-CN"/>
                    </w:rPr>
                    <w:t>3.3</w:t>
                  </w:r>
                </w:p>
              </w:tc>
              <w:tc>
                <w:tcPr>
                  <w:tcW w:w="1418" w:type="dxa"/>
                  <w:vAlign w:val="center"/>
                </w:tcPr>
                <w:p>
                  <w:pPr>
                    <w:pStyle w:val="47"/>
                    <w:bidi w:val="0"/>
                    <w:jc w:val="center"/>
                    <w:rPr>
                      <w:rFonts w:hint="eastAsia"/>
                      <w:color w:val="121212"/>
                      <w:lang w:val="en-US" w:eastAsia="zh-CN"/>
                    </w:rPr>
                  </w:pPr>
                  <w:r>
                    <w:rPr>
                      <w:rFonts w:hint="eastAsia"/>
                      <w:color w:val="121212"/>
                      <w:lang w:val="en-US" w:eastAsia="zh-CN"/>
                    </w:rPr>
                    <w:t>达标</w:t>
                  </w:r>
                </w:p>
              </w:tc>
            </w:tr>
            <w:tr>
              <w:tblPrEx>
                <w:tblLayout w:type="fixed"/>
              </w:tblPrEx>
              <w:tc>
                <w:tcPr>
                  <w:tcW w:w="1015" w:type="dxa"/>
                  <w:vAlign w:val="center"/>
                </w:tcPr>
                <w:p>
                  <w:pPr>
                    <w:pStyle w:val="47"/>
                    <w:bidi w:val="0"/>
                    <w:jc w:val="center"/>
                    <w:rPr>
                      <w:rFonts w:hint="default"/>
                      <w:color w:val="121212"/>
                      <w:lang w:val="en-US" w:eastAsia="zh-CN"/>
                    </w:rPr>
                  </w:pPr>
                  <w:r>
                    <w:rPr>
                      <w:rFonts w:hint="eastAsia"/>
                      <w:color w:val="121212"/>
                      <w:lang w:val="en-US" w:eastAsia="zh-CN"/>
                    </w:rPr>
                    <w:t>NO</w:t>
                  </w:r>
                  <w:r>
                    <w:rPr>
                      <w:rFonts w:hint="eastAsia"/>
                      <w:color w:val="121212"/>
                      <w:vertAlign w:val="subscript"/>
                      <w:lang w:val="en-US" w:eastAsia="zh-CN"/>
                    </w:rPr>
                    <w:t>2</w:t>
                  </w:r>
                </w:p>
              </w:tc>
              <w:tc>
                <w:tcPr>
                  <w:tcW w:w="2190" w:type="dxa"/>
                  <w:vAlign w:val="center"/>
                </w:tcPr>
                <w:p>
                  <w:pPr>
                    <w:pStyle w:val="47"/>
                    <w:bidi w:val="0"/>
                    <w:jc w:val="center"/>
                    <w:rPr>
                      <w:rFonts w:hint="eastAsia"/>
                      <w:color w:val="121212"/>
                      <w:lang w:val="en-US" w:eastAsia="zh-CN"/>
                    </w:rPr>
                  </w:pPr>
                  <w:r>
                    <w:rPr>
                      <w:rFonts w:hint="eastAsia"/>
                      <w:color w:val="121212"/>
                      <w:lang w:val="en-US" w:eastAsia="zh-CN"/>
                    </w:rPr>
                    <w:t>年平均浓度</w:t>
                  </w:r>
                </w:p>
              </w:tc>
              <w:tc>
                <w:tcPr>
                  <w:tcW w:w="1140" w:type="dxa"/>
                  <w:vAlign w:val="center"/>
                </w:tcPr>
                <w:p>
                  <w:pPr>
                    <w:pStyle w:val="47"/>
                    <w:bidi w:val="0"/>
                    <w:jc w:val="center"/>
                    <w:rPr>
                      <w:rFonts w:hint="default"/>
                      <w:color w:val="121212"/>
                      <w:lang w:val="en-US" w:eastAsia="zh-CN"/>
                    </w:rPr>
                  </w:pPr>
                  <w:r>
                    <w:rPr>
                      <w:rFonts w:hint="eastAsia"/>
                      <w:color w:val="121212"/>
                      <w:lang w:val="en-US" w:eastAsia="zh-CN"/>
                    </w:rPr>
                    <w:t>5</w:t>
                  </w:r>
                </w:p>
              </w:tc>
              <w:tc>
                <w:tcPr>
                  <w:tcW w:w="1323" w:type="dxa"/>
                  <w:vAlign w:val="center"/>
                </w:tcPr>
                <w:p>
                  <w:pPr>
                    <w:pStyle w:val="47"/>
                    <w:bidi w:val="0"/>
                    <w:jc w:val="center"/>
                    <w:rPr>
                      <w:rFonts w:hint="default"/>
                      <w:color w:val="121212"/>
                      <w:lang w:val="en-US" w:eastAsia="zh-CN"/>
                    </w:rPr>
                  </w:pPr>
                  <w:r>
                    <w:rPr>
                      <w:rFonts w:hint="eastAsia"/>
                      <w:color w:val="121212"/>
                      <w:lang w:val="en-US" w:eastAsia="zh-CN"/>
                    </w:rPr>
                    <w:t>40</w:t>
                  </w:r>
                </w:p>
              </w:tc>
              <w:tc>
                <w:tcPr>
                  <w:tcW w:w="1417" w:type="dxa"/>
                  <w:vAlign w:val="center"/>
                </w:tcPr>
                <w:p>
                  <w:pPr>
                    <w:pStyle w:val="47"/>
                    <w:bidi w:val="0"/>
                    <w:jc w:val="center"/>
                    <w:rPr>
                      <w:rFonts w:hint="default"/>
                      <w:color w:val="121212"/>
                      <w:lang w:val="en-US" w:eastAsia="zh-CN"/>
                    </w:rPr>
                  </w:pPr>
                  <w:r>
                    <w:rPr>
                      <w:rFonts w:hint="eastAsia"/>
                      <w:color w:val="121212"/>
                      <w:lang w:val="en-US" w:eastAsia="zh-CN"/>
                    </w:rPr>
                    <w:t>12.5</w:t>
                  </w:r>
                </w:p>
              </w:tc>
              <w:tc>
                <w:tcPr>
                  <w:tcW w:w="1418" w:type="dxa"/>
                  <w:vAlign w:val="center"/>
                </w:tcPr>
                <w:p>
                  <w:pPr>
                    <w:pStyle w:val="47"/>
                    <w:bidi w:val="0"/>
                    <w:jc w:val="center"/>
                    <w:rPr>
                      <w:rFonts w:hint="eastAsia"/>
                      <w:color w:val="121212"/>
                      <w:lang w:val="en-US" w:eastAsia="zh-CN"/>
                    </w:rPr>
                  </w:pPr>
                  <w:r>
                    <w:rPr>
                      <w:rFonts w:hint="eastAsia"/>
                      <w:color w:val="121212"/>
                      <w:lang w:val="en-US" w:eastAsia="zh-CN"/>
                    </w:rPr>
                    <w:t>达标</w:t>
                  </w:r>
                </w:p>
              </w:tc>
            </w:tr>
            <w:tr>
              <w:tblPrEx>
                <w:tblLayout w:type="fixed"/>
              </w:tblPrEx>
              <w:tc>
                <w:tcPr>
                  <w:tcW w:w="1015" w:type="dxa"/>
                  <w:vAlign w:val="center"/>
                </w:tcPr>
                <w:p>
                  <w:pPr>
                    <w:pStyle w:val="47"/>
                    <w:bidi w:val="0"/>
                    <w:jc w:val="center"/>
                    <w:rPr>
                      <w:rFonts w:hint="default"/>
                      <w:color w:val="121212"/>
                      <w:lang w:val="en-US" w:eastAsia="zh-CN"/>
                    </w:rPr>
                  </w:pPr>
                  <w:r>
                    <w:rPr>
                      <w:rFonts w:hint="eastAsia"/>
                      <w:color w:val="121212"/>
                      <w:lang w:val="en-US" w:eastAsia="zh-CN"/>
                    </w:rPr>
                    <w:t>CO</w:t>
                  </w:r>
                </w:p>
              </w:tc>
              <w:tc>
                <w:tcPr>
                  <w:tcW w:w="2190" w:type="dxa"/>
                  <w:vAlign w:val="center"/>
                </w:tcPr>
                <w:p>
                  <w:pPr>
                    <w:pStyle w:val="47"/>
                    <w:bidi w:val="0"/>
                    <w:jc w:val="center"/>
                    <w:rPr>
                      <w:rFonts w:hint="default"/>
                      <w:color w:val="121212"/>
                      <w:lang w:val="en-US" w:eastAsia="zh-CN"/>
                    </w:rPr>
                  </w:pPr>
                  <w:r>
                    <w:rPr>
                      <w:rFonts w:hint="eastAsia"/>
                      <w:color w:val="121212"/>
                      <w:lang w:val="en-US" w:eastAsia="zh-CN"/>
                    </w:rPr>
                    <w:t>日平均第95百分位质量浓度</w:t>
                  </w:r>
                </w:p>
              </w:tc>
              <w:tc>
                <w:tcPr>
                  <w:tcW w:w="1140" w:type="dxa"/>
                  <w:vAlign w:val="center"/>
                </w:tcPr>
                <w:p>
                  <w:pPr>
                    <w:pStyle w:val="47"/>
                    <w:bidi w:val="0"/>
                    <w:jc w:val="center"/>
                    <w:rPr>
                      <w:rFonts w:hint="default"/>
                      <w:color w:val="121212"/>
                      <w:lang w:val="en-US" w:eastAsia="zh-CN"/>
                    </w:rPr>
                  </w:pPr>
                  <w:r>
                    <w:rPr>
                      <w:rFonts w:hint="eastAsia"/>
                      <w:color w:val="121212"/>
                      <w:lang w:val="en-US" w:eastAsia="zh-CN"/>
                    </w:rPr>
                    <w:t>2</w:t>
                  </w:r>
                </w:p>
              </w:tc>
              <w:tc>
                <w:tcPr>
                  <w:tcW w:w="1323" w:type="dxa"/>
                  <w:vAlign w:val="center"/>
                </w:tcPr>
                <w:p>
                  <w:pPr>
                    <w:pStyle w:val="47"/>
                    <w:bidi w:val="0"/>
                    <w:jc w:val="center"/>
                    <w:rPr>
                      <w:rFonts w:hint="default"/>
                      <w:color w:val="121212"/>
                      <w:lang w:val="en-US" w:eastAsia="zh-CN"/>
                    </w:rPr>
                  </w:pPr>
                  <w:r>
                    <w:rPr>
                      <w:rFonts w:hint="eastAsia"/>
                      <w:color w:val="121212"/>
                      <w:lang w:val="en-US" w:eastAsia="zh-CN"/>
                    </w:rPr>
                    <w:t>4mg/m</w:t>
                  </w:r>
                  <w:r>
                    <w:rPr>
                      <w:rFonts w:hint="eastAsia"/>
                      <w:color w:val="121212"/>
                      <w:vertAlign w:val="superscript"/>
                      <w:lang w:val="en-US" w:eastAsia="zh-CN"/>
                    </w:rPr>
                    <w:t>3</w:t>
                  </w:r>
                </w:p>
              </w:tc>
              <w:tc>
                <w:tcPr>
                  <w:tcW w:w="1417" w:type="dxa"/>
                  <w:vAlign w:val="center"/>
                </w:tcPr>
                <w:p>
                  <w:pPr>
                    <w:pStyle w:val="47"/>
                    <w:bidi w:val="0"/>
                    <w:jc w:val="center"/>
                    <w:rPr>
                      <w:rFonts w:hint="default"/>
                      <w:color w:val="121212"/>
                      <w:lang w:val="en-US" w:eastAsia="zh-CN"/>
                    </w:rPr>
                  </w:pPr>
                  <w:r>
                    <w:rPr>
                      <w:rFonts w:hint="eastAsia"/>
                      <w:color w:val="121212"/>
                      <w:lang w:val="en-US" w:eastAsia="zh-CN"/>
                    </w:rPr>
                    <w:t>50</w:t>
                  </w:r>
                </w:p>
              </w:tc>
              <w:tc>
                <w:tcPr>
                  <w:tcW w:w="1418" w:type="dxa"/>
                  <w:vAlign w:val="center"/>
                </w:tcPr>
                <w:p>
                  <w:pPr>
                    <w:pStyle w:val="47"/>
                    <w:bidi w:val="0"/>
                    <w:jc w:val="center"/>
                    <w:rPr>
                      <w:rFonts w:hint="eastAsia"/>
                      <w:color w:val="121212"/>
                      <w:lang w:val="en-US" w:eastAsia="zh-CN"/>
                    </w:rPr>
                  </w:pPr>
                  <w:r>
                    <w:rPr>
                      <w:rFonts w:hint="eastAsia"/>
                      <w:color w:val="121212"/>
                      <w:lang w:val="en-US" w:eastAsia="zh-CN"/>
                    </w:rPr>
                    <w:t>达标</w:t>
                  </w:r>
                </w:p>
              </w:tc>
            </w:tr>
            <w:tr>
              <w:tblPrEx>
                <w:tblLayout w:type="fixed"/>
              </w:tblPrEx>
              <w:tc>
                <w:tcPr>
                  <w:tcW w:w="1015" w:type="dxa"/>
                  <w:vAlign w:val="center"/>
                </w:tcPr>
                <w:p>
                  <w:pPr>
                    <w:pStyle w:val="47"/>
                    <w:bidi w:val="0"/>
                    <w:jc w:val="center"/>
                    <w:rPr>
                      <w:rFonts w:hint="default"/>
                      <w:color w:val="121212"/>
                      <w:lang w:val="en-US" w:eastAsia="zh-CN"/>
                    </w:rPr>
                  </w:pPr>
                  <w:r>
                    <w:rPr>
                      <w:rFonts w:hint="eastAsia"/>
                      <w:color w:val="121212"/>
                      <w:lang w:val="en-US" w:eastAsia="zh-CN"/>
                    </w:rPr>
                    <w:t>O</w:t>
                  </w:r>
                  <w:r>
                    <w:rPr>
                      <w:rFonts w:hint="eastAsia"/>
                      <w:color w:val="121212"/>
                      <w:vertAlign w:val="subscript"/>
                      <w:lang w:val="en-US" w:eastAsia="zh-CN"/>
                    </w:rPr>
                    <w:t>3</w:t>
                  </w:r>
                </w:p>
              </w:tc>
              <w:tc>
                <w:tcPr>
                  <w:tcW w:w="2190" w:type="dxa"/>
                  <w:vAlign w:val="center"/>
                </w:tcPr>
                <w:p>
                  <w:pPr>
                    <w:pStyle w:val="47"/>
                    <w:bidi w:val="0"/>
                    <w:jc w:val="center"/>
                    <w:rPr>
                      <w:rFonts w:hint="default"/>
                      <w:color w:val="121212"/>
                      <w:lang w:val="en-US" w:eastAsia="zh-CN"/>
                    </w:rPr>
                  </w:pPr>
                  <w:r>
                    <w:rPr>
                      <w:rFonts w:hint="eastAsia"/>
                      <w:color w:val="121212"/>
                      <w:lang w:val="en-US" w:eastAsia="zh-CN"/>
                    </w:rPr>
                    <w:t>日最大8小时平均第90百分位质量浓度</w:t>
                  </w:r>
                </w:p>
              </w:tc>
              <w:tc>
                <w:tcPr>
                  <w:tcW w:w="1140" w:type="dxa"/>
                  <w:vAlign w:val="center"/>
                </w:tcPr>
                <w:p>
                  <w:pPr>
                    <w:pStyle w:val="47"/>
                    <w:bidi w:val="0"/>
                    <w:jc w:val="center"/>
                    <w:rPr>
                      <w:rFonts w:hint="default"/>
                      <w:color w:val="121212"/>
                      <w:lang w:val="en-US" w:eastAsia="zh-CN"/>
                    </w:rPr>
                  </w:pPr>
                  <w:r>
                    <w:rPr>
                      <w:rFonts w:hint="eastAsia"/>
                      <w:color w:val="121212"/>
                      <w:lang w:val="en-US" w:eastAsia="zh-CN"/>
                    </w:rPr>
                    <w:t>108</w:t>
                  </w:r>
                </w:p>
              </w:tc>
              <w:tc>
                <w:tcPr>
                  <w:tcW w:w="1323" w:type="dxa"/>
                  <w:vAlign w:val="center"/>
                </w:tcPr>
                <w:p>
                  <w:pPr>
                    <w:pStyle w:val="47"/>
                    <w:bidi w:val="0"/>
                    <w:jc w:val="center"/>
                    <w:rPr>
                      <w:rFonts w:hint="default"/>
                      <w:color w:val="121212"/>
                      <w:lang w:val="en-US" w:eastAsia="zh-CN"/>
                    </w:rPr>
                  </w:pPr>
                  <w:r>
                    <w:rPr>
                      <w:rFonts w:hint="eastAsia"/>
                      <w:color w:val="121212"/>
                      <w:lang w:val="en-US" w:eastAsia="zh-CN"/>
                    </w:rPr>
                    <w:t>160</w:t>
                  </w:r>
                </w:p>
              </w:tc>
              <w:tc>
                <w:tcPr>
                  <w:tcW w:w="1417" w:type="dxa"/>
                  <w:vAlign w:val="center"/>
                </w:tcPr>
                <w:p>
                  <w:pPr>
                    <w:pStyle w:val="47"/>
                    <w:bidi w:val="0"/>
                    <w:jc w:val="center"/>
                    <w:rPr>
                      <w:rFonts w:hint="default"/>
                      <w:color w:val="121212"/>
                      <w:lang w:val="en-US" w:eastAsia="zh-CN"/>
                    </w:rPr>
                  </w:pPr>
                  <w:r>
                    <w:rPr>
                      <w:rFonts w:hint="eastAsia"/>
                      <w:color w:val="121212"/>
                      <w:lang w:val="en-US" w:eastAsia="zh-CN"/>
                    </w:rPr>
                    <w:t>67.5</w:t>
                  </w:r>
                </w:p>
              </w:tc>
              <w:tc>
                <w:tcPr>
                  <w:tcW w:w="1418" w:type="dxa"/>
                  <w:vAlign w:val="center"/>
                </w:tcPr>
                <w:p>
                  <w:pPr>
                    <w:pStyle w:val="47"/>
                    <w:bidi w:val="0"/>
                    <w:jc w:val="center"/>
                    <w:rPr>
                      <w:rFonts w:hint="eastAsia"/>
                      <w:color w:val="121212"/>
                      <w:lang w:val="en-US" w:eastAsia="zh-CN"/>
                    </w:rPr>
                  </w:pPr>
                  <w:r>
                    <w:rPr>
                      <w:rFonts w:hint="eastAsia"/>
                      <w:color w:val="121212"/>
                      <w:lang w:val="en-US" w:eastAsia="zh-CN"/>
                    </w:rPr>
                    <w:t>达标</w:t>
                  </w:r>
                </w:p>
              </w:tc>
            </w:tr>
          </w:tbl>
          <w:p>
            <w:pPr>
              <w:bidi w:val="0"/>
              <w:rPr>
                <w:rFonts w:hint="default"/>
                <w:color w:val="121212"/>
                <w:highlight w:val="none"/>
                <w:lang w:val="en-US" w:eastAsia="zh-CN"/>
              </w:rPr>
            </w:pPr>
            <w:r>
              <w:rPr>
                <w:rFonts w:hint="eastAsia"/>
                <w:color w:val="121212"/>
                <w:highlight w:val="none"/>
                <w:lang w:val="en-US" w:eastAsia="zh-CN"/>
              </w:rPr>
              <w:t>（2）特征因子质量现状</w:t>
            </w:r>
          </w:p>
          <w:p>
            <w:pPr>
              <w:widowControl/>
              <w:adjustRightInd w:val="0"/>
              <w:snapToGrid w:val="0"/>
              <w:spacing w:line="360" w:lineRule="auto"/>
              <w:ind w:firstLine="480" w:firstLineChars="200"/>
              <w:jc w:val="left"/>
              <w:rPr>
                <w:rFonts w:hint="default" w:cs="Times New Roman"/>
                <w:snapToGrid w:val="0"/>
                <w:color w:val="121212"/>
                <w:kern w:val="2"/>
                <w:sz w:val="24"/>
                <w:szCs w:val="24"/>
                <w:highlight w:val="none"/>
                <w:lang w:val="en-US" w:eastAsia="zh-CN" w:bidi="ar-SA"/>
              </w:rPr>
            </w:pPr>
            <w:commentRangeStart w:id="30"/>
            <w:commentRangeStart w:id="31"/>
            <w:r>
              <w:rPr>
                <w:rFonts w:hint="default" w:ascii="Times New Roman" w:hAnsi="Times New Roman" w:eastAsia="宋体" w:cs="Times New Roman"/>
                <w:snapToGrid w:val="0"/>
                <w:color w:val="121212"/>
                <w:kern w:val="2"/>
                <w:sz w:val="24"/>
                <w:szCs w:val="24"/>
                <w:highlight w:val="none"/>
                <w:lang w:val="en-US" w:eastAsia="zh-CN" w:bidi="ar-SA"/>
              </w:rPr>
              <w:t>为进</w:t>
            </w:r>
            <w:r>
              <w:rPr>
                <w:rFonts w:hint="default" w:ascii="Times New Roman" w:hAnsi="Times New Roman" w:eastAsia="宋体" w:cs="Times New Roman"/>
                <w:snapToGrid w:val="0"/>
                <w:color w:val="121212"/>
                <w:kern w:val="2"/>
                <w:sz w:val="24"/>
                <w:szCs w:val="24"/>
                <w:highlight w:val="none"/>
                <w:lang w:val="en-US" w:eastAsia="zh-CN" w:bidi="ar-SA"/>
              </w:rPr>
              <w:t>一步了解项目排放的特征污染物，本次评价</w:t>
            </w:r>
            <w:r>
              <w:rPr>
                <w:rFonts w:hint="eastAsia" w:cs="Times New Roman"/>
                <w:snapToGrid w:val="0"/>
                <w:color w:val="121212"/>
                <w:kern w:val="2"/>
                <w:sz w:val="24"/>
                <w:szCs w:val="24"/>
                <w:highlight w:val="none"/>
                <w:lang w:val="en-US" w:eastAsia="zh-CN" w:bidi="ar-SA"/>
              </w:rPr>
              <w:t>引用</w:t>
            </w:r>
            <w:r>
              <w:rPr>
                <w:rFonts w:hint="default" w:ascii="Times New Roman" w:hAnsi="Times New Roman" w:eastAsia="宋体" w:cs="Times New Roman"/>
                <w:snapToGrid w:val="0"/>
                <w:color w:val="121212"/>
                <w:kern w:val="2"/>
                <w:sz w:val="24"/>
                <w:szCs w:val="24"/>
                <w:highlight w:val="none"/>
                <w:lang w:val="en-US" w:eastAsia="zh-CN" w:bidi="ar-SA"/>
              </w:rPr>
              <w:t>安徽尚德谱检测技术有限责任公司对</w:t>
            </w:r>
            <w:r>
              <w:rPr>
                <w:rFonts w:hint="eastAsia" w:cs="Times New Roman"/>
                <w:snapToGrid w:val="0"/>
                <w:color w:val="121212"/>
                <w:kern w:val="2"/>
                <w:sz w:val="24"/>
                <w:szCs w:val="24"/>
                <w:highlight w:val="none"/>
                <w:lang w:val="en-US" w:eastAsia="zh-CN" w:bidi="ar-SA"/>
              </w:rPr>
              <w:t>安徽飞松机械股份有限公司</w:t>
            </w:r>
            <w:r>
              <w:rPr>
                <w:color w:val="121212"/>
                <w:spacing w:val="-2"/>
              </w:rPr>
              <w:t>安徽锐康体育用品生产项目</w:t>
            </w:r>
            <w:r>
              <w:rPr>
                <w:rFonts w:hint="default" w:ascii="Times New Roman" w:hAnsi="Times New Roman" w:eastAsia="宋体" w:cs="Times New Roman"/>
                <w:snapToGrid w:val="0"/>
                <w:color w:val="121212"/>
                <w:kern w:val="2"/>
                <w:sz w:val="24"/>
                <w:szCs w:val="24"/>
                <w:highlight w:val="none"/>
                <w:lang w:val="en-US" w:eastAsia="zh-CN" w:bidi="ar-SA"/>
              </w:rPr>
              <w:t>项目地下风向的前张家进行现状监测，</w:t>
            </w:r>
            <w:r>
              <w:rPr>
                <w:rFonts w:hint="eastAsia" w:ascii="Times New Roman" w:hAnsi="Times New Roman" w:eastAsia="宋体" w:cs="Times New Roman"/>
                <w:color w:val="121212"/>
                <w:kern w:val="2"/>
                <w:sz w:val="24"/>
                <w:szCs w:val="24"/>
                <w:highlight w:val="none"/>
                <w:lang w:val="en-US" w:eastAsia="zh-CN" w:bidi="ar-SA"/>
              </w:rPr>
              <w:t>监测点位于本项目西南侧约581米</w:t>
            </w:r>
            <w:r>
              <w:rPr>
                <w:rFonts w:hint="eastAsia" w:cs="Times New Roman"/>
                <w:color w:val="121212"/>
                <w:sz w:val="24"/>
                <w:szCs w:val="24"/>
                <w:lang w:val="en-US" w:eastAsia="zh-CN" w:bidi="ar"/>
              </w:rPr>
              <w:t>，</w:t>
            </w:r>
            <w:r>
              <w:rPr>
                <w:rFonts w:hint="default" w:ascii="Times New Roman" w:hAnsi="Times New Roman" w:eastAsia="宋体" w:cs="Times New Roman"/>
                <w:snapToGrid w:val="0"/>
                <w:color w:val="121212"/>
                <w:kern w:val="2"/>
                <w:sz w:val="24"/>
                <w:szCs w:val="24"/>
                <w:highlight w:val="none"/>
                <w:lang w:val="en-US" w:eastAsia="zh-CN" w:bidi="ar-SA"/>
              </w:rPr>
              <w:t>监测时间为2021年12月20日~2021年12月22日，监测结果如下表所示</w:t>
            </w:r>
            <w:commentRangeEnd w:id="30"/>
            <w:r>
              <w:rPr>
                <w:color w:val="121212"/>
              </w:rPr>
              <w:commentReference w:id="30"/>
            </w:r>
            <w:commentRangeEnd w:id="31"/>
            <w:r>
              <w:rPr>
                <w:color w:val="121212"/>
              </w:rPr>
              <w:commentReference w:id="31"/>
            </w:r>
            <w:r>
              <w:rPr>
                <w:rFonts w:hint="eastAsia" w:cs="Times New Roman"/>
                <w:snapToGrid w:val="0"/>
                <w:color w:val="121212"/>
                <w:kern w:val="2"/>
                <w:sz w:val="24"/>
                <w:szCs w:val="24"/>
                <w:highlight w:val="none"/>
                <w:lang w:val="en-US" w:eastAsia="zh-CN" w:bidi="ar-SA"/>
              </w:rPr>
              <w:t>：</w:t>
            </w:r>
          </w:p>
          <w:p>
            <w:pPr>
              <w:pStyle w:val="39"/>
              <w:keepNext/>
              <w:keepLines/>
              <w:pageBreakBefore w:val="0"/>
              <w:widowControl w:val="0"/>
              <w:kinsoku/>
              <w:wordWrap/>
              <w:overflowPunct/>
              <w:topLinePunct w:val="0"/>
              <w:autoSpaceDE/>
              <w:autoSpaceDN/>
              <w:bidi w:val="0"/>
              <w:adjustRightInd/>
              <w:snapToGrid/>
              <w:spacing w:line="360" w:lineRule="auto"/>
              <w:textAlignment w:val="auto"/>
              <w:rPr>
                <w:rFonts w:hint="eastAsia"/>
                <w:color w:val="121212"/>
                <w:highlight w:val="none"/>
                <w:lang w:val="en-US" w:eastAsia="zh-CN"/>
              </w:rPr>
            </w:pPr>
          </w:p>
          <w:p>
            <w:pPr>
              <w:pStyle w:val="39"/>
              <w:keepNext/>
              <w:keepLines/>
              <w:pageBreakBefore w:val="0"/>
              <w:widowControl w:val="0"/>
              <w:kinsoku/>
              <w:wordWrap/>
              <w:overflowPunct/>
              <w:topLinePunct w:val="0"/>
              <w:autoSpaceDE/>
              <w:autoSpaceDN/>
              <w:bidi w:val="0"/>
              <w:adjustRightInd/>
              <w:snapToGrid/>
              <w:spacing w:line="360" w:lineRule="auto"/>
              <w:textAlignment w:val="auto"/>
              <w:rPr>
                <w:rFonts w:hint="eastAsia"/>
                <w:color w:val="121212"/>
                <w:highlight w:val="none"/>
                <w:lang w:val="en-US" w:eastAsia="zh-CN"/>
              </w:rPr>
            </w:pPr>
          </w:p>
          <w:p>
            <w:pPr>
              <w:pStyle w:val="39"/>
              <w:keepNext/>
              <w:keepLines/>
              <w:pageBreakBefore w:val="0"/>
              <w:widowControl w:val="0"/>
              <w:kinsoku/>
              <w:wordWrap/>
              <w:overflowPunct/>
              <w:topLinePunct w:val="0"/>
              <w:autoSpaceDE/>
              <w:autoSpaceDN/>
              <w:bidi w:val="0"/>
              <w:adjustRightInd/>
              <w:snapToGrid/>
              <w:spacing w:line="360" w:lineRule="auto"/>
              <w:textAlignment w:val="auto"/>
              <w:rPr>
                <w:rFonts w:hint="default"/>
                <w:color w:val="121212"/>
                <w:highlight w:val="none"/>
                <w:lang w:val="en-US" w:eastAsia="zh-CN"/>
              </w:rPr>
            </w:pPr>
            <w:r>
              <w:rPr>
                <w:rFonts w:hint="eastAsia"/>
                <w:color w:val="121212"/>
                <w:highlight w:val="none"/>
                <w:lang w:val="en-US" w:eastAsia="zh-CN"/>
              </w:rPr>
              <w:t>表3-2  大气环境质量现状监测结果（mg/m</w:t>
            </w:r>
            <w:r>
              <w:rPr>
                <w:rFonts w:hint="eastAsia"/>
                <w:color w:val="121212"/>
                <w:highlight w:val="none"/>
                <w:vertAlign w:val="superscript"/>
                <w:lang w:val="en-US" w:eastAsia="zh-CN"/>
              </w:rPr>
              <w:t>3</w:t>
            </w:r>
            <w:r>
              <w:rPr>
                <w:rFonts w:hint="eastAsia"/>
                <w:color w:val="121212"/>
                <w:highlight w:val="none"/>
                <w:lang w:val="en-US" w:eastAsia="zh-CN"/>
              </w:rPr>
              <w:t>）</w:t>
            </w:r>
          </w:p>
          <w:tbl>
            <w:tblPr>
              <w:tblStyle w:val="60"/>
              <w:tblW w:w="4998" w:type="pct"/>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1"/>
              <w:gridCol w:w="2550"/>
              <w:gridCol w:w="2550"/>
              <w:gridCol w:w="2569"/>
            </w:tblGrid>
            <w:tr>
              <w:tblPrEx>
                <w:tblLayout w:type="fixed"/>
              </w:tblPrEx>
              <w:trPr>
                <w:trHeight w:val="397" w:hRule="atLeast"/>
                <w:jc w:val="center"/>
              </w:trPr>
              <w:tc>
                <w:tcPr>
                  <w:tcW w:w="881" w:type="dxa"/>
                  <w:vMerge w:val="restart"/>
                  <w:tcBorders>
                    <w:bottom w:val="nil"/>
                  </w:tcBorders>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color w:val="121212"/>
                      <w:sz w:val="21"/>
                      <w:szCs w:val="21"/>
                    </w:rPr>
                  </w:pPr>
                  <w:r>
                    <w:rPr>
                      <w:color w:val="121212"/>
                      <w:spacing w:val="-3"/>
                      <w:sz w:val="21"/>
                      <w:szCs w:val="21"/>
                    </w:rPr>
                    <w:t>检测项</w:t>
                  </w:r>
                  <w:r>
                    <w:rPr>
                      <w:color w:val="121212"/>
                      <w:sz w:val="21"/>
                      <w:szCs w:val="21"/>
                    </w:rPr>
                    <w:t>目</w:t>
                  </w:r>
                </w:p>
              </w:tc>
              <w:tc>
                <w:tcPr>
                  <w:tcW w:w="7669" w:type="dxa"/>
                  <w:gridSpan w:val="3"/>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color w:val="121212"/>
                      <w:sz w:val="21"/>
                      <w:szCs w:val="21"/>
                    </w:rPr>
                  </w:pPr>
                  <w:r>
                    <w:rPr>
                      <w:color w:val="121212"/>
                      <w:spacing w:val="-1"/>
                      <w:sz w:val="21"/>
                      <w:szCs w:val="21"/>
                    </w:rPr>
                    <w:t>监测点位：前张家</w:t>
                  </w:r>
                </w:p>
              </w:tc>
            </w:tr>
            <w:tr>
              <w:tblPrEx>
                <w:tblLayout w:type="fixed"/>
              </w:tblPrEx>
              <w:trPr>
                <w:trHeight w:val="397" w:hRule="atLeast"/>
                <w:jc w:val="center"/>
              </w:trPr>
              <w:tc>
                <w:tcPr>
                  <w:tcW w:w="881"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ascii="Arial"/>
                      <w:color w:val="121212"/>
                      <w:sz w:val="21"/>
                      <w:szCs w:val="21"/>
                    </w:rPr>
                  </w:pPr>
                </w:p>
              </w:tc>
              <w:tc>
                <w:tcPr>
                  <w:tcW w:w="2550" w:type="dxa"/>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color w:val="121212"/>
                      <w:sz w:val="21"/>
                      <w:szCs w:val="21"/>
                    </w:rPr>
                  </w:pPr>
                  <w:r>
                    <w:rPr>
                      <w:rFonts w:ascii="Times New Roman" w:hAnsi="Times New Roman" w:eastAsia="Times New Roman" w:cs="Times New Roman"/>
                      <w:color w:val="121212"/>
                      <w:spacing w:val="-4"/>
                      <w:sz w:val="21"/>
                      <w:szCs w:val="21"/>
                    </w:rPr>
                    <w:t>2021</w:t>
                  </w:r>
                  <w:r>
                    <w:rPr>
                      <w:color w:val="121212"/>
                      <w:spacing w:val="-4"/>
                      <w:sz w:val="21"/>
                      <w:szCs w:val="21"/>
                    </w:rPr>
                    <w:t>年</w:t>
                  </w:r>
                  <w:r>
                    <w:rPr>
                      <w:rFonts w:ascii="Times New Roman" w:hAnsi="Times New Roman" w:eastAsia="Times New Roman" w:cs="Times New Roman"/>
                      <w:color w:val="121212"/>
                      <w:spacing w:val="-4"/>
                      <w:sz w:val="21"/>
                      <w:szCs w:val="21"/>
                    </w:rPr>
                    <w:t>12</w:t>
                  </w:r>
                  <w:r>
                    <w:rPr>
                      <w:color w:val="121212"/>
                      <w:spacing w:val="-4"/>
                      <w:sz w:val="21"/>
                      <w:szCs w:val="21"/>
                    </w:rPr>
                    <w:t>月</w:t>
                  </w:r>
                  <w:r>
                    <w:rPr>
                      <w:color w:val="121212"/>
                      <w:spacing w:val="-41"/>
                      <w:sz w:val="21"/>
                      <w:szCs w:val="21"/>
                    </w:rPr>
                    <w:t xml:space="preserve"> </w:t>
                  </w:r>
                  <w:r>
                    <w:rPr>
                      <w:rFonts w:ascii="Times New Roman" w:hAnsi="Times New Roman" w:eastAsia="Times New Roman" w:cs="Times New Roman"/>
                      <w:color w:val="121212"/>
                      <w:spacing w:val="-4"/>
                      <w:sz w:val="21"/>
                      <w:szCs w:val="21"/>
                    </w:rPr>
                    <w:t>20</w:t>
                  </w:r>
                  <w:r>
                    <w:rPr>
                      <w:color w:val="121212"/>
                      <w:spacing w:val="-4"/>
                      <w:sz w:val="21"/>
                      <w:szCs w:val="21"/>
                    </w:rPr>
                    <w:t>日</w:t>
                  </w:r>
                </w:p>
              </w:tc>
              <w:tc>
                <w:tcPr>
                  <w:tcW w:w="2550" w:type="dxa"/>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color w:val="121212"/>
                      <w:sz w:val="21"/>
                      <w:szCs w:val="21"/>
                    </w:rPr>
                  </w:pPr>
                  <w:r>
                    <w:rPr>
                      <w:rFonts w:ascii="Times New Roman" w:hAnsi="Times New Roman" w:eastAsia="Times New Roman" w:cs="Times New Roman"/>
                      <w:color w:val="121212"/>
                      <w:spacing w:val="-4"/>
                      <w:sz w:val="21"/>
                      <w:szCs w:val="21"/>
                    </w:rPr>
                    <w:t>2021</w:t>
                  </w:r>
                  <w:r>
                    <w:rPr>
                      <w:color w:val="121212"/>
                      <w:spacing w:val="-4"/>
                      <w:sz w:val="21"/>
                      <w:szCs w:val="21"/>
                    </w:rPr>
                    <w:t>年</w:t>
                  </w:r>
                  <w:r>
                    <w:rPr>
                      <w:rFonts w:ascii="Times New Roman" w:hAnsi="Times New Roman" w:eastAsia="Times New Roman" w:cs="Times New Roman"/>
                      <w:color w:val="121212"/>
                      <w:spacing w:val="-4"/>
                      <w:sz w:val="21"/>
                      <w:szCs w:val="21"/>
                    </w:rPr>
                    <w:t>12</w:t>
                  </w:r>
                  <w:r>
                    <w:rPr>
                      <w:color w:val="121212"/>
                      <w:spacing w:val="-4"/>
                      <w:sz w:val="21"/>
                      <w:szCs w:val="21"/>
                    </w:rPr>
                    <w:t>月</w:t>
                  </w:r>
                  <w:r>
                    <w:rPr>
                      <w:color w:val="121212"/>
                      <w:spacing w:val="-41"/>
                      <w:sz w:val="21"/>
                      <w:szCs w:val="21"/>
                    </w:rPr>
                    <w:t xml:space="preserve"> </w:t>
                  </w:r>
                  <w:r>
                    <w:rPr>
                      <w:rFonts w:ascii="Times New Roman" w:hAnsi="Times New Roman" w:eastAsia="Times New Roman" w:cs="Times New Roman"/>
                      <w:color w:val="121212"/>
                      <w:spacing w:val="-4"/>
                      <w:sz w:val="21"/>
                      <w:szCs w:val="21"/>
                    </w:rPr>
                    <w:t>21</w:t>
                  </w:r>
                  <w:r>
                    <w:rPr>
                      <w:color w:val="121212"/>
                      <w:spacing w:val="-4"/>
                      <w:sz w:val="21"/>
                      <w:szCs w:val="21"/>
                    </w:rPr>
                    <w:t>日</w:t>
                  </w:r>
                </w:p>
              </w:tc>
              <w:tc>
                <w:tcPr>
                  <w:tcW w:w="2569" w:type="dxa"/>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color w:val="121212"/>
                      <w:sz w:val="21"/>
                      <w:szCs w:val="21"/>
                    </w:rPr>
                  </w:pPr>
                  <w:r>
                    <w:rPr>
                      <w:rFonts w:ascii="Times New Roman" w:hAnsi="Times New Roman" w:eastAsia="Times New Roman" w:cs="Times New Roman"/>
                      <w:color w:val="121212"/>
                      <w:spacing w:val="-4"/>
                      <w:sz w:val="21"/>
                      <w:szCs w:val="21"/>
                    </w:rPr>
                    <w:t>2021</w:t>
                  </w:r>
                  <w:r>
                    <w:rPr>
                      <w:color w:val="121212"/>
                      <w:spacing w:val="-4"/>
                      <w:sz w:val="21"/>
                      <w:szCs w:val="21"/>
                    </w:rPr>
                    <w:t>年</w:t>
                  </w:r>
                  <w:r>
                    <w:rPr>
                      <w:rFonts w:ascii="Times New Roman" w:hAnsi="Times New Roman" w:eastAsia="Times New Roman" w:cs="Times New Roman"/>
                      <w:color w:val="121212"/>
                      <w:spacing w:val="-4"/>
                      <w:sz w:val="21"/>
                      <w:szCs w:val="21"/>
                    </w:rPr>
                    <w:t>12</w:t>
                  </w:r>
                  <w:r>
                    <w:rPr>
                      <w:color w:val="121212"/>
                      <w:spacing w:val="-4"/>
                      <w:sz w:val="21"/>
                      <w:szCs w:val="21"/>
                    </w:rPr>
                    <w:t>月</w:t>
                  </w:r>
                  <w:r>
                    <w:rPr>
                      <w:color w:val="121212"/>
                      <w:spacing w:val="-41"/>
                      <w:sz w:val="21"/>
                      <w:szCs w:val="21"/>
                    </w:rPr>
                    <w:t xml:space="preserve"> </w:t>
                  </w:r>
                  <w:r>
                    <w:rPr>
                      <w:rFonts w:ascii="Times New Roman" w:hAnsi="Times New Roman" w:eastAsia="Times New Roman" w:cs="Times New Roman"/>
                      <w:color w:val="121212"/>
                      <w:spacing w:val="-4"/>
                      <w:sz w:val="21"/>
                      <w:szCs w:val="21"/>
                    </w:rPr>
                    <w:t>22</w:t>
                  </w:r>
                  <w:r>
                    <w:rPr>
                      <w:color w:val="121212"/>
                      <w:spacing w:val="-4"/>
                      <w:sz w:val="21"/>
                      <w:szCs w:val="21"/>
                    </w:rPr>
                    <w:t>日</w:t>
                  </w:r>
                </w:p>
              </w:tc>
            </w:tr>
            <w:tr>
              <w:tblPrEx>
                <w:tblLayout w:type="fixed"/>
              </w:tblPrEx>
              <w:trPr>
                <w:trHeight w:val="397" w:hRule="atLeast"/>
                <w:jc w:val="center"/>
              </w:trPr>
              <w:tc>
                <w:tcPr>
                  <w:tcW w:w="881"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ascii="Times New Roman" w:hAnsi="Times New Roman" w:eastAsia="Times New Roman" w:cs="Times New Roman"/>
                      <w:color w:val="121212"/>
                      <w:sz w:val="21"/>
                      <w:szCs w:val="21"/>
                    </w:rPr>
                  </w:pPr>
                  <w:r>
                    <w:rPr>
                      <w:rFonts w:ascii="Times New Roman" w:hAnsi="Times New Roman" w:eastAsia="Times New Roman" w:cs="Times New Roman"/>
                      <w:color w:val="121212"/>
                      <w:spacing w:val="-3"/>
                      <w:sz w:val="21"/>
                      <w:szCs w:val="21"/>
                    </w:rPr>
                    <w:t>TSP</w:t>
                  </w:r>
                </w:p>
              </w:tc>
              <w:tc>
                <w:tcPr>
                  <w:tcW w:w="2550" w:type="dxa"/>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color w:val="121212"/>
                      <w:sz w:val="21"/>
                      <w:szCs w:val="21"/>
                    </w:rPr>
                  </w:pPr>
                  <w:r>
                    <w:rPr>
                      <w:color w:val="121212"/>
                      <w:spacing w:val="-13"/>
                      <w:sz w:val="21"/>
                      <w:szCs w:val="21"/>
                    </w:rPr>
                    <w:t>日均值</w:t>
                  </w:r>
                </w:p>
              </w:tc>
              <w:tc>
                <w:tcPr>
                  <w:tcW w:w="2550" w:type="dxa"/>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color w:val="121212"/>
                      <w:sz w:val="21"/>
                      <w:szCs w:val="21"/>
                    </w:rPr>
                  </w:pPr>
                  <w:r>
                    <w:rPr>
                      <w:color w:val="121212"/>
                      <w:spacing w:val="-13"/>
                      <w:sz w:val="21"/>
                      <w:szCs w:val="21"/>
                    </w:rPr>
                    <w:t>日均值</w:t>
                  </w:r>
                </w:p>
              </w:tc>
              <w:tc>
                <w:tcPr>
                  <w:tcW w:w="2569" w:type="dxa"/>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color w:val="121212"/>
                      <w:sz w:val="21"/>
                      <w:szCs w:val="21"/>
                    </w:rPr>
                  </w:pPr>
                  <w:r>
                    <w:rPr>
                      <w:color w:val="121212"/>
                      <w:spacing w:val="-13"/>
                      <w:sz w:val="21"/>
                      <w:szCs w:val="21"/>
                    </w:rPr>
                    <w:t>日均值</w:t>
                  </w:r>
                </w:p>
              </w:tc>
            </w:tr>
            <w:tr>
              <w:tblPrEx>
                <w:tblLayout w:type="fixed"/>
              </w:tblPrEx>
              <w:trPr>
                <w:trHeight w:val="397" w:hRule="atLeast"/>
                <w:jc w:val="center"/>
              </w:trPr>
              <w:tc>
                <w:tcPr>
                  <w:tcW w:w="881"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ascii="Arial"/>
                      <w:color w:val="121212"/>
                      <w:sz w:val="21"/>
                      <w:szCs w:val="21"/>
                    </w:rPr>
                  </w:pP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ascii="Times New Roman" w:hAnsi="Times New Roman" w:eastAsia="Times New Roman" w:cs="Times New Roman"/>
                      <w:color w:val="121212"/>
                      <w:sz w:val="21"/>
                      <w:szCs w:val="21"/>
                    </w:rPr>
                  </w:pPr>
                  <w:r>
                    <w:rPr>
                      <w:rFonts w:ascii="Times New Roman" w:hAnsi="Times New Roman" w:eastAsia="Times New Roman" w:cs="Times New Roman"/>
                      <w:color w:val="121212"/>
                      <w:spacing w:val="-1"/>
                      <w:sz w:val="21"/>
                      <w:szCs w:val="21"/>
                    </w:rPr>
                    <w:t>0.211</w:t>
                  </w:r>
                </w:p>
              </w:tc>
              <w:tc>
                <w:tcPr>
                  <w:tcW w:w="255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ascii="Times New Roman" w:hAnsi="Times New Roman" w:eastAsia="Times New Roman" w:cs="Times New Roman"/>
                      <w:color w:val="121212"/>
                      <w:sz w:val="21"/>
                      <w:szCs w:val="21"/>
                    </w:rPr>
                  </w:pPr>
                  <w:r>
                    <w:rPr>
                      <w:rFonts w:ascii="Times New Roman" w:hAnsi="Times New Roman" w:eastAsia="Times New Roman" w:cs="Times New Roman"/>
                      <w:color w:val="121212"/>
                      <w:spacing w:val="-2"/>
                      <w:sz w:val="21"/>
                      <w:szCs w:val="21"/>
                    </w:rPr>
                    <w:t>0.231</w:t>
                  </w:r>
                </w:p>
              </w:tc>
              <w:tc>
                <w:tcPr>
                  <w:tcW w:w="256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ascii="Times New Roman" w:hAnsi="Times New Roman" w:eastAsia="Times New Roman" w:cs="Times New Roman"/>
                      <w:color w:val="121212"/>
                      <w:sz w:val="21"/>
                      <w:szCs w:val="21"/>
                    </w:rPr>
                  </w:pPr>
                  <w:r>
                    <w:rPr>
                      <w:rFonts w:ascii="Times New Roman" w:hAnsi="Times New Roman" w:eastAsia="Times New Roman" w:cs="Times New Roman"/>
                      <w:color w:val="121212"/>
                      <w:spacing w:val="-2"/>
                      <w:sz w:val="21"/>
                      <w:szCs w:val="21"/>
                    </w:rPr>
                    <w:t>0.228</w:t>
                  </w:r>
                </w:p>
              </w:tc>
            </w:tr>
          </w:tbl>
          <w:p>
            <w:pPr>
              <w:pStyle w:val="2"/>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200"/>
              <w:jc w:val="both"/>
              <w:textAlignment w:val="auto"/>
              <w:outlineLvl w:val="9"/>
              <w:rPr>
                <w:rFonts w:hint="default" w:ascii="Times New Roman" w:hAnsi="Times New Roman" w:eastAsia="宋体" w:cs="Times New Roman"/>
                <w:color w:val="121212"/>
                <w:szCs w:val="24"/>
                <w:highlight w:val="none"/>
              </w:rPr>
            </w:pPr>
            <w:r>
              <w:rPr>
                <w:rFonts w:hint="default" w:ascii="Times New Roman" w:hAnsi="Times New Roman" w:eastAsia="宋体" w:cs="Times New Roman"/>
                <w:color w:val="121212"/>
                <w:szCs w:val="24"/>
                <w:highlight w:val="none"/>
              </w:rPr>
              <w:t>综上，评价区域内评价因子</w:t>
            </w:r>
            <w:r>
              <w:rPr>
                <w:rFonts w:hint="default" w:ascii="Times New Roman" w:hAnsi="Times New Roman" w:eastAsia="宋体" w:cs="Times New Roman"/>
                <w:color w:val="121212"/>
                <w:kern w:val="2"/>
                <w:sz w:val="24"/>
                <w:szCs w:val="24"/>
                <w:highlight w:val="none"/>
                <w:lang w:val="en-US" w:eastAsia="zh-CN" w:bidi="ar-SA"/>
              </w:rPr>
              <w:t>TSP浓度满足《环境空气质量标准》(GB3095-2012)中二级标准限值，</w:t>
            </w:r>
            <w:r>
              <w:rPr>
                <w:rFonts w:hint="default" w:ascii="Times New Roman" w:hAnsi="Times New Roman" w:eastAsia="宋体" w:cs="Times New Roman"/>
                <w:color w:val="121212"/>
                <w:szCs w:val="24"/>
                <w:highlight w:val="none"/>
                <w:lang w:val="en-US" w:eastAsia="zh-CN"/>
              </w:rPr>
              <w:t>说</w:t>
            </w:r>
            <w:r>
              <w:rPr>
                <w:rFonts w:hint="default" w:ascii="Times New Roman" w:hAnsi="Times New Roman" w:eastAsia="宋体" w:cs="Times New Roman"/>
                <w:color w:val="121212"/>
                <w:szCs w:val="24"/>
                <w:highlight w:val="none"/>
              </w:rPr>
              <w:t>明评价区域内环境空气质量现状总体良好。</w:t>
            </w:r>
          </w:p>
          <w:p>
            <w:pPr>
              <w:pStyle w:val="13"/>
              <w:ind w:left="0" w:leftChars="0" w:firstLine="0" w:firstLineChars="0"/>
              <w:rPr>
                <w:rFonts w:hint="default"/>
                <w:color w:val="121212"/>
              </w:rPr>
            </w:pPr>
            <w:r>
              <w:rPr>
                <w:color w:val="121212"/>
              </w:rPr>
              <w:drawing>
                <wp:inline distT="0" distB="0" distL="114300" distR="114300">
                  <wp:extent cx="5257800" cy="4000500"/>
                  <wp:effectExtent l="0" t="0" r="0" b="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9"/>
                          <a:stretch>
                            <a:fillRect/>
                          </a:stretch>
                        </pic:blipFill>
                        <pic:spPr>
                          <a:xfrm>
                            <a:off x="0" y="0"/>
                            <a:ext cx="5257800" cy="4000500"/>
                          </a:xfrm>
                          <a:prstGeom prst="rect">
                            <a:avLst/>
                          </a:prstGeom>
                          <a:noFill/>
                          <a:ln>
                            <a:noFill/>
                          </a:ln>
                        </pic:spPr>
                      </pic:pic>
                    </a:graphicData>
                  </a:graphic>
                </wp:inline>
              </w:drawing>
            </w:r>
          </w:p>
          <w:p>
            <w:pPr>
              <w:pStyle w:val="70"/>
              <w:spacing w:before="30" w:line="228" w:lineRule="auto"/>
              <w:ind w:left="2860"/>
              <w:rPr>
                <w:rFonts w:hint="eastAsia" w:ascii="Times New Roman" w:hAnsi="Times New Roman" w:eastAsia="宋体" w:cstheme="minorBidi"/>
                <w:b/>
                <w:bCs/>
                <w:color w:val="121212"/>
                <w:kern w:val="2"/>
                <w:sz w:val="24"/>
                <w:szCs w:val="24"/>
                <w:highlight w:val="none"/>
                <w:lang w:val="en-US" w:eastAsia="zh-CN" w:bidi="ar-SA"/>
              </w:rPr>
            </w:pPr>
            <w:r>
              <w:rPr>
                <w:rFonts w:hint="eastAsia" w:ascii="Times New Roman" w:hAnsi="Times New Roman" w:eastAsia="宋体" w:cstheme="minorBidi"/>
                <w:b/>
                <w:bCs/>
                <w:color w:val="121212"/>
                <w:kern w:val="2"/>
                <w:sz w:val="24"/>
                <w:szCs w:val="24"/>
                <w:highlight w:val="none"/>
                <w:lang w:val="en-US" w:eastAsia="zh-CN" w:bidi="ar-SA"/>
              </w:rPr>
              <w:t>图3-1  环境现状监测点位图</w:t>
            </w:r>
          </w:p>
          <w:p>
            <w:pPr>
              <w:pStyle w:val="6"/>
              <w:bidi w:val="0"/>
              <w:rPr>
                <w:rFonts w:hint="default"/>
                <w:color w:val="121212"/>
                <w:highlight w:val="none"/>
                <w:lang w:val="en-US" w:eastAsia="zh-CN"/>
              </w:rPr>
            </w:pPr>
            <w:r>
              <w:rPr>
                <w:rFonts w:hint="eastAsia"/>
                <w:color w:val="121212"/>
                <w:highlight w:val="none"/>
                <w:lang w:val="en-US" w:eastAsia="zh-CN"/>
              </w:rPr>
              <w:t>二、地表水环境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outlineLvl w:val="9"/>
              <w:rPr>
                <w:rFonts w:hint="default" w:ascii="Times New Roman" w:hAnsi="Times New Roman" w:eastAsia="宋体" w:cs="Times New Roman"/>
                <w:color w:val="121212"/>
                <w:sz w:val="24"/>
                <w:highlight w:val="none"/>
              </w:rPr>
            </w:pPr>
            <w:r>
              <w:rPr>
                <w:rFonts w:hint="default"/>
                <w:color w:val="121212"/>
                <w:highlight w:val="none"/>
              </w:rPr>
              <w:t>根据《</w:t>
            </w:r>
            <w:r>
              <w:rPr>
                <w:rFonts w:hint="eastAsia"/>
                <w:color w:val="121212"/>
                <w:highlight w:val="none"/>
                <w:lang w:val="en-US" w:eastAsia="zh-CN"/>
              </w:rPr>
              <w:t>建设项目环境影响报告表编制技术指南（污染影响类）（试行）</w:t>
            </w:r>
            <w:r>
              <w:rPr>
                <w:rFonts w:hint="default"/>
                <w:color w:val="121212"/>
                <w:highlight w:val="none"/>
              </w:rPr>
              <w:t>》，</w:t>
            </w:r>
            <w:r>
              <w:rPr>
                <w:rFonts w:hint="eastAsia"/>
                <w:color w:val="121212"/>
                <w:highlight w:val="none"/>
                <w:lang w:val="en-US" w:eastAsia="zh-CN"/>
              </w:rPr>
              <w:t>地表</w:t>
            </w:r>
            <w:r>
              <w:rPr>
                <w:rFonts w:hint="default"/>
                <w:color w:val="121212"/>
                <w:highlight w:val="none"/>
              </w:rPr>
              <w:t>水环境质量现状调查应</w:t>
            </w:r>
            <w:r>
              <w:rPr>
                <w:rFonts w:hint="eastAsia"/>
                <w:color w:val="121212"/>
                <w:highlight w:val="none"/>
                <w:lang w:val="en-US" w:eastAsia="zh-CN"/>
              </w:rPr>
              <w:t>引用与建设项目距离近的有效数据，包括近3年的规划环境影响评价的监测数据，所在流域控制单元内国家、地方控制断面监测数据，生态环境主管部门发布的水环境质量数据或地表水达标情况的结论</w:t>
            </w:r>
            <w:r>
              <w:rPr>
                <w:rFonts w:hint="default"/>
                <w:color w:val="121212"/>
                <w:highlight w:val="none"/>
              </w:rPr>
              <w:t>。</w:t>
            </w:r>
          </w:p>
          <w:p>
            <w:pPr>
              <w:bidi w:val="0"/>
              <w:rPr>
                <w:rFonts w:hint="eastAsia" w:eastAsia="宋体"/>
                <w:color w:val="121212"/>
                <w:lang w:eastAsia="zh-CN"/>
              </w:rPr>
            </w:pPr>
            <w:r>
              <w:rPr>
                <w:rFonts w:hint="eastAsia"/>
                <w:color w:val="121212"/>
                <w:lang w:val="en-US" w:eastAsia="zh-CN"/>
              </w:rPr>
              <w:t>根据《宿州市2022年环境质量状况报告》，水环境方面：</w:t>
            </w:r>
            <w:r>
              <w:rPr>
                <w:color w:val="121212"/>
              </w:rPr>
              <w:t>2022年宿州市国考断面优良水体比例为53.8%，同比提升15.3个百分点，达到有监测记录以来最好水平；汇入洪泽湖跨省界河流和汇入沱湖跨市</w:t>
            </w:r>
            <w:commentRangeStart w:id="32"/>
            <w:commentRangeStart w:id="33"/>
            <w:r>
              <w:rPr>
                <w:color w:val="121212"/>
              </w:rPr>
              <w:t>界河流水质全部达到Ⅲ类，跨省界、市界重点河流出境水质比入境水质提升一个类别；水环境质量改善率位列全省第3位。市县集中式饮用水水源地水质达标率100%。</w:t>
            </w:r>
            <w:r>
              <w:rPr>
                <w:rFonts w:hint="eastAsia" w:ascii="Times New Roman" w:hAnsi="Times New Roman"/>
                <w:color w:val="121212"/>
                <w:lang w:val="en-US" w:eastAsia="zh-CN"/>
              </w:rPr>
              <w:t>闫河</w:t>
            </w:r>
            <w:r>
              <w:rPr>
                <w:rFonts w:ascii="Times New Roman" w:hAnsi="Times New Roman"/>
                <w:color w:val="121212"/>
              </w:rPr>
              <w:t>水质满足</w:t>
            </w:r>
            <w:r>
              <w:rPr>
                <w:rFonts w:ascii="Times New Roman" w:hAnsi="Times New Roman"/>
                <w:color w:val="121212"/>
                <w:szCs w:val="24"/>
              </w:rPr>
              <w:t>《地表水环境质量标准》（GB3838-2002）</w:t>
            </w:r>
            <w:r>
              <w:rPr>
                <w:rFonts w:hint="eastAsia" w:cs="宋体"/>
                <w:color w:val="121212"/>
                <w:szCs w:val="24"/>
              </w:rPr>
              <w:t>Ⅳ</w:t>
            </w:r>
            <w:r>
              <w:rPr>
                <w:rFonts w:ascii="Times New Roman" w:hAnsi="Times New Roman"/>
                <w:color w:val="121212"/>
                <w:szCs w:val="24"/>
              </w:rPr>
              <w:t>类标准</w:t>
            </w:r>
            <w:r>
              <w:rPr>
                <w:rFonts w:ascii="Times New Roman" w:hAnsi="Times New Roman"/>
                <w:color w:val="121212"/>
              </w:rPr>
              <w:t>要求</w:t>
            </w:r>
            <w:r>
              <w:rPr>
                <w:rFonts w:hint="eastAsia" w:ascii="Times New Roman" w:hAnsi="Times New Roman"/>
                <w:color w:val="121212"/>
                <w:lang w:eastAsia="zh-CN"/>
              </w:rPr>
              <w:t>。</w:t>
            </w:r>
          </w:p>
          <w:p>
            <w:pPr>
              <w:pStyle w:val="6"/>
              <w:keepNext w:val="0"/>
              <w:keepLines w:val="0"/>
              <w:pageBreakBefore w:val="0"/>
              <w:widowControl w:val="0"/>
              <w:kinsoku/>
              <w:wordWrap/>
              <w:topLinePunct w:val="0"/>
              <w:bidi w:val="0"/>
              <w:rPr>
                <w:rFonts w:hint="default"/>
                <w:color w:val="121212"/>
                <w:highlight w:val="none"/>
                <w:lang w:val="en-US" w:eastAsia="zh-CN"/>
              </w:rPr>
            </w:pPr>
            <w:r>
              <w:rPr>
                <w:rFonts w:hint="eastAsia"/>
                <w:color w:val="121212"/>
                <w:highlight w:val="none"/>
                <w:lang w:val="en-US" w:eastAsia="zh-CN"/>
              </w:rPr>
              <w:t>三、声环境</w:t>
            </w:r>
            <w:commentRangeEnd w:id="32"/>
            <w:r>
              <w:rPr>
                <w:color w:val="121212"/>
              </w:rPr>
              <w:commentReference w:id="32"/>
            </w:r>
            <w:commentRangeEnd w:id="33"/>
            <w:r>
              <w:rPr>
                <w:color w:val="121212"/>
              </w:rPr>
              <w:commentReference w:id="33"/>
            </w:r>
          </w:p>
          <w:p>
            <w:pPr>
              <w:keepNext w:val="0"/>
              <w:keepLines w:val="0"/>
              <w:pageBreakBefore w:val="0"/>
              <w:widowControl w:val="0"/>
              <w:kinsoku/>
              <w:wordWrap/>
              <w:overflowPunct/>
              <w:topLinePunct w:val="0"/>
              <w:autoSpaceDE/>
              <w:autoSpaceDN/>
              <w:bidi w:val="0"/>
              <w:adjustRightInd/>
              <w:snapToGrid w:val="0"/>
              <w:ind w:left="0" w:leftChars="0" w:right="0" w:rightChars="0"/>
              <w:jc w:val="both"/>
              <w:textAlignment w:val="auto"/>
              <w:rPr>
                <w:rFonts w:hint="eastAsia"/>
                <w:color w:val="121212"/>
                <w:highlight w:val="none"/>
                <w:lang w:val="en-US" w:eastAsia="zh-CN"/>
              </w:rPr>
            </w:pPr>
            <w:r>
              <w:rPr>
                <w:rFonts w:hint="default"/>
                <w:color w:val="121212"/>
                <w:highlight w:val="none"/>
              </w:rPr>
              <w:t>根据</w:t>
            </w:r>
            <w:r>
              <w:rPr>
                <w:rFonts w:hint="eastAsia"/>
                <w:color w:val="121212"/>
                <w:highlight w:val="none"/>
                <w:lang w:eastAsia="zh-CN"/>
              </w:rPr>
              <w:t>《</w:t>
            </w:r>
            <w:r>
              <w:rPr>
                <w:rFonts w:hint="default"/>
                <w:color w:val="121212"/>
                <w:highlight w:val="none"/>
              </w:rPr>
              <w:t>建设项目环境影响报告表编制技术指南（污染影响类）</w:t>
            </w:r>
            <w:r>
              <w:rPr>
                <w:rFonts w:hint="eastAsia"/>
                <w:color w:val="121212"/>
                <w:highlight w:val="none"/>
                <w:lang w:eastAsia="zh-CN"/>
              </w:rPr>
              <w:t>》</w:t>
            </w:r>
            <w:r>
              <w:rPr>
                <w:rFonts w:hint="default"/>
                <w:color w:val="121212"/>
                <w:highlight w:val="none"/>
              </w:rPr>
              <w:t>（试行）</w:t>
            </w:r>
            <w:r>
              <w:rPr>
                <w:rFonts w:hint="eastAsia"/>
                <w:color w:val="121212"/>
                <w:highlight w:val="none"/>
                <w:lang w:eastAsia="zh-CN"/>
              </w:rPr>
              <w:t>，</w:t>
            </w:r>
            <w:r>
              <w:rPr>
                <w:rFonts w:hint="eastAsia"/>
                <w:color w:val="121212"/>
                <w:highlight w:val="none"/>
                <w:lang w:val="en-US" w:eastAsia="zh-CN"/>
              </w:rPr>
              <w:t>若厂界外周边50m范围内存在声环境保护目标的建设项目，应监测保护目标声环境质量现状并评价达标情况。</w:t>
            </w:r>
          </w:p>
          <w:p>
            <w:pPr>
              <w:keepNext w:val="0"/>
              <w:keepLines w:val="0"/>
              <w:pageBreakBefore w:val="0"/>
              <w:widowControl w:val="0"/>
              <w:kinsoku/>
              <w:wordWrap/>
              <w:overflowPunct/>
              <w:topLinePunct w:val="0"/>
              <w:autoSpaceDE/>
              <w:autoSpaceDN/>
              <w:bidi w:val="0"/>
              <w:adjustRightInd/>
              <w:snapToGrid/>
              <w:jc w:val="both"/>
              <w:textAlignment w:val="auto"/>
              <w:rPr>
                <w:rFonts w:hint="default"/>
                <w:color w:val="121212"/>
                <w:highlight w:val="none"/>
              </w:rPr>
            </w:pPr>
            <w:r>
              <w:rPr>
                <w:rFonts w:hint="eastAsia"/>
                <w:color w:val="121212"/>
                <w:highlight w:val="none"/>
                <w:lang w:val="en-US" w:eastAsia="zh-CN"/>
              </w:rPr>
              <w:t>根据现场勘探，本项目厂界外周边50m范围内并不存在声环境保护目标。因此，本项目无需开展声环境质量监测</w:t>
            </w:r>
            <w:r>
              <w:rPr>
                <w:rFonts w:hint="eastAsia"/>
                <w:color w:val="121212"/>
                <w:highlight w:val="none"/>
                <w:lang w:val="en-US" w:eastAsia="zh-CN"/>
              </w:rPr>
              <w:t>。</w:t>
            </w:r>
          </w:p>
          <w:p>
            <w:pPr>
              <w:pStyle w:val="6"/>
              <w:bidi w:val="0"/>
              <w:rPr>
                <w:rFonts w:hint="default"/>
                <w:color w:val="121212"/>
                <w:highlight w:val="none"/>
                <w:lang w:val="en-US" w:eastAsia="zh-CN"/>
              </w:rPr>
            </w:pPr>
            <w:r>
              <w:rPr>
                <w:rFonts w:hint="eastAsia"/>
                <w:color w:val="121212"/>
                <w:highlight w:val="none"/>
                <w:lang w:val="en-US" w:eastAsia="zh-CN"/>
              </w:rPr>
              <w:t>四、生态环境</w:t>
            </w:r>
          </w:p>
          <w:p>
            <w:pPr>
              <w:bidi w:val="0"/>
              <w:rPr>
                <w:rFonts w:hint="default"/>
                <w:color w:val="121212"/>
                <w:highlight w:val="none"/>
                <w:lang w:val="en-US" w:eastAsia="zh-CN"/>
              </w:rPr>
            </w:pPr>
            <w:r>
              <w:rPr>
                <w:rFonts w:ascii="Times New Roman" w:hAnsi="Times New Roman" w:eastAsia="宋体" w:cs="Times New Roman"/>
                <w:bCs/>
                <w:color w:val="121212"/>
                <w:spacing w:val="-2"/>
                <w:kern w:val="0"/>
                <w:sz w:val="24"/>
                <w:highlight w:val="none"/>
              </w:rPr>
              <w:t>项目位于</w:t>
            </w:r>
            <w:r>
              <w:rPr>
                <w:rFonts w:hint="eastAsia"/>
                <w:color w:val="121212"/>
                <w:highlight w:val="none"/>
                <w:lang w:val="en-US" w:eastAsia="zh-CN"/>
              </w:rPr>
              <w:t>安徽省宿州市灵璧县灵城镇北部开发区机电产业园二期</w:t>
            </w:r>
            <w:r>
              <w:rPr>
                <w:rFonts w:ascii="Times New Roman" w:hAnsi="Times New Roman" w:eastAsia="宋体" w:cs="Times New Roman"/>
                <w:bCs/>
                <w:color w:val="121212"/>
                <w:spacing w:val="-2"/>
                <w:kern w:val="0"/>
                <w:sz w:val="24"/>
                <w:highlight w:val="none"/>
              </w:rPr>
              <w:t>，</w:t>
            </w:r>
            <w:r>
              <w:rPr>
                <w:color w:val="121212"/>
                <w:spacing w:val="1"/>
              </w:rPr>
              <w:t>所在地土性质为工业用地</w:t>
            </w:r>
            <w:r>
              <w:rPr>
                <w:rFonts w:hint="eastAsia"/>
                <w:color w:val="121212"/>
                <w:highlight w:val="none"/>
                <w:lang w:val="en-US" w:eastAsia="zh-CN"/>
              </w:rPr>
              <w:t>，不涉及新增用地</w:t>
            </w:r>
            <w:r>
              <w:rPr>
                <w:rFonts w:hint="eastAsia"/>
                <w:color w:val="121212"/>
                <w:highlight w:val="none"/>
                <w:lang w:val="en-US" w:eastAsia="zh-CN"/>
              </w:rPr>
              <w:t>，</w:t>
            </w:r>
            <w:r>
              <w:rPr>
                <w:rFonts w:hint="eastAsia" w:cs="Times New Roman"/>
                <w:color w:val="121212"/>
                <w:sz w:val="24"/>
                <w:lang w:val="en-US" w:eastAsia="zh-CN"/>
              </w:rPr>
              <w:t>用地范围内</w:t>
            </w:r>
            <w:r>
              <w:rPr>
                <w:rFonts w:hint="default" w:ascii="Times New Roman" w:hAnsi="Times New Roman" w:cs="Times New Roman"/>
                <w:color w:val="121212"/>
                <w:sz w:val="24"/>
                <w:lang w:val="en-US" w:eastAsia="zh-CN"/>
              </w:rPr>
              <w:t>不涉及</w:t>
            </w:r>
            <w:r>
              <w:rPr>
                <w:rFonts w:hint="default" w:ascii="Times New Roman" w:hAnsi="Times New Roman" w:cs="Times New Roman"/>
                <w:color w:val="121212"/>
                <w:sz w:val="24"/>
                <w:szCs w:val="24"/>
              </w:rPr>
              <w:t>生态环境保护目标</w:t>
            </w:r>
            <w:r>
              <w:rPr>
                <w:rFonts w:hint="eastAsia"/>
                <w:color w:val="121212"/>
                <w:highlight w:val="none"/>
                <w:lang w:val="en-US" w:eastAsia="zh-CN"/>
              </w:rPr>
              <w:t>。</w:t>
            </w:r>
          </w:p>
          <w:p>
            <w:pPr>
              <w:keepNext w:val="0"/>
              <w:keepLines w:val="0"/>
              <w:pageBreakBefore w:val="0"/>
              <w:widowControl w:val="0"/>
              <w:bidi w:val="0"/>
              <w:spacing w:beforeAutospacing="0" w:afterAutospacing="0" w:line="360" w:lineRule="auto"/>
              <w:ind w:left="0" w:leftChars="0" w:right="0" w:rightChars="0" w:firstLine="482" w:firstLineChars="200"/>
              <w:rPr>
                <w:rFonts w:cs="Calibri"/>
                <w:b/>
                <w:bCs/>
                <w:color w:val="121212"/>
                <w:sz w:val="24"/>
              </w:rPr>
            </w:pPr>
            <w:r>
              <w:rPr>
                <w:rFonts w:hint="eastAsia" w:cs="Calibri"/>
                <w:b/>
                <w:bCs/>
                <w:color w:val="121212"/>
                <w:sz w:val="24"/>
                <w:lang w:eastAsia="zh-CN"/>
              </w:rPr>
              <w:t>五</w:t>
            </w:r>
            <w:r>
              <w:rPr>
                <w:rFonts w:hint="eastAsia" w:cs="Calibri"/>
                <w:b/>
                <w:bCs/>
                <w:color w:val="121212"/>
                <w:sz w:val="24"/>
              </w:rPr>
              <w:t>、电磁辐射</w:t>
            </w:r>
          </w:p>
          <w:p>
            <w:pPr>
              <w:keepNext w:val="0"/>
              <w:keepLines w:val="0"/>
              <w:pageBreakBefore w:val="0"/>
              <w:widowControl w:val="0"/>
              <w:bidi w:val="0"/>
              <w:spacing w:beforeAutospacing="0" w:afterAutospacing="0" w:line="360" w:lineRule="auto"/>
              <w:ind w:left="0" w:leftChars="0" w:right="0" w:rightChars="0" w:firstLine="480" w:firstLineChars="200"/>
              <w:rPr>
                <w:rFonts w:hint="eastAsia"/>
                <w:color w:val="121212"/>
                <w:highlight w:val="none"/>
                <w:lang w:val="en-US" w:eastAsia="zh-CN"/>
              </w:rPr>
            </w:pPr>
            <w:r>
              <w:rPr>
                <w:rFonts w:hint="eastAsia" w:cs="Calibri"/>
                <w:color w:val="121212"/>
                <w:sz w:val="24"/>
              </w:rPr>
              <w:t>无电磁辐射影响</w:t>
            </w:r>
            <w:r>
              <w:rPr>
                <w:rFonts w:hint="default" w:ascii="Times New Roman" w:hAnsi="Times New Roman" w:eastAsia="宋体" w:cs="Times New Roman"/>
                <w:color w:val="121212"/>
                <w:sz w:val="24"/>
                <w:lang w:val="en-US" w:eastAsia="zh-CN"/>
              </w:rPr>
              <w:t>。</w:t>
            </w:r>
          </w:p>
          <w:p>
            <w:pPr>
              <w:pStyle w:val="6"/>
              <w:bidi w:val="0"/>
              <w:rPr>
                <w:rFonts w:hint="default"/>
                <w:color w:val="121212"/>
                <w:highlight w:val="none"/>
                <w:lang w:val="en-US" w:eastAsia="zh-CN"/>
              </w:rPr>
            </w:pPr>
            <w:r>
              <w:rPr>
                <w:rFonts w:hint="eastAsia"/>
                <w:color w:val="121212"/>
                <w:highlight w:val="none"/>
                <w:lang w:val="en-US" w:eastAsia="zh-CN"/>
              </w:rPr>
              <w:t>五、地下水、土壤环境质量现状</w:t>
            </w:r>
          </w:p>
          <w:p>
            <w:pPr>
              <w:bidi w:val="0"/>
              <w:rPr>
                <w:rFonts w:hint="default"/>
                <w:color w:val="121212"/>
                <w:highlight w:val="none"/>
                <w:lang w:val="en-US" w:eastAsia="zh-CN"/>
              </w:rPr>
            </w:pPr>
            <w:r>
              <w:rPr>
                <w:rFonts w:hint="default" w:ascii="Times New Roman" w:hAnsi="Times New Roman" w:eastAsia="宋体" w:cs="Times New Roman"/>
                <w:b w:val="0"/>
                <w:bCs w:val="0"/>
                <w:color w:val="121212"/>
                <w:sz w:val="24"/>
                <w:lang w:val="en-US" w:eastAsia="zh-CN"/>
              </w:rPr>
              <w:t>本项目</w:t>
            </w:r>
            <w:r>
              <w:rPr>
                <w:rFonts w:hint="eastAsia" w:cs="Times New Roman"/>
                <w:b w:val="0"/>
                <w:bCs w:val="0"/>
                <w:color w:val="121212"/>
                <w:sz w:val="24"/>
                <w:lang w:val="en-US" w:eastAsia="zh-CN"/>
              </w:rPr>
              <w:t>采取防腐防渗等措施可有效避免对</w:t>
            </w:r>
            <w:r>
              <w:rPr>
                <w:rFonts w:hint="default" w:ascii="Times New Roman" w:hAnsi="Times New Roman" w:eastAsia="宋体" w:cs="Times New Roman"/>
                <w:b w:val="0"/>
                <w:bCs w:val="0"/>
                <w:color w:val="121212"/>
                <w:sz w:val="24"/>
                <w:lang w:val="en-US" w:eastAsia="zh-CN"/>
              </w:rPr>
              <w:t>土壤、地下水环境</w:t>
            </w:r>
            <w:r>
              <w:rPr>
                <w:rFonts w:hint="eastAsia" w:cs="Times New Roman"/>
                <w:b w:val="0"/>
                <w:bCs w:val="0"/>
                <w:color w:val="121212"/>
                <w:sz w:val="24"/>
                <w:lang w:val="en-US" w:eastAsia="zh-CN"/>
              </w:rPr>
              <w:t>造成</w:t>
            </w:r>
            <w:r>
              <w:rPr>
                <w:rFonts w:hint="default" w:ascii="Times New Roman" w:hAnsi="Times New Roman" w:eastAsia="宋体" w:cs="Times New Roman"/>
                <w:b w:val="0"/>
                <w:bCs w:val="0"/>
                <w:color w:val="121212"/>
                <w:sz w:val="24"/>
                <w:lang w:val="en-US" w:eastAsia="zh-CN"/>
              </w:rPr>
              <w:t>污染，</w:t>
            </w:r>
            <w:r>
              <w:rPr>
                <w:rFonts w:hint="eastAsia" w:eastAsia="宋体" w:cs="Times New Roman"/>
                <w:b w:val="0"/>
                <w:bCs w:val="0"/>
                <w:color w:val="121212"/>
                <w:sz w:val="24"/>
                <w:lang w:val="en-US" w:eastAsia="zh-CN"/>
              </w:rPr>
              <w:t>项目不存在</w:t>
            </w:r>
            <w:r>
              <w:rPr>
                <w:rFonts w:hint="default" w:ascii="Times New Roman" w:hAnsi="Times New Roman" w:eastAsia="宋体" w:cs="Times New Roman"/>
                <w:b w:val="0"/>
                <w:bCs w:val="0"/>
                <w:color w:val="121212"/>
                <w:sz w:val="24"/>
                <w:lang w:val="en-US" w:eastAsia="zh-CN"/>
              </w:rPr>
              <w:t>土壤、地下水环境污染途径</w:t>
            </w:r>
            <w:r>
              <w:rPr>
                <w:rFonts w:hint="eastAsia" w:ascii="Times New Roman" w:hAnsi="Times New Roman" w:eastAsia="宋体" w:cs="Times New Roman"/>
                <w:b w:val="0"/>
                <w:bCs w:val="0"/>
                <w:color w:val="121212"/>
                <w:sz w:val="24"/>
                <w:lang w:val="en-US" w:eastAsia="zh-CN"/>
              </w:rPr>
              <w:t>，</w:t>
            </w:r>
            <w:r>
              <w:rPr>
                <w:rFonts w:hint="default" w:ascii="Times New Roman" w:hAnsi="Times New Roman" w:eastAsia="宋体" w:cs="Times New Roman"/>
                <w:b w:val="0"/>
                <w:bCs w:val="0"/>
                <w:color w:val="121212"/>
                <w:sz w:val="24"/>
                <w:lang w:val="en-US" w:eastAsia="zh-CN"/>
              </w:rPr>
              <w:t>根据建设项目环境影响报告表编制技术指南（污染影响类）（试行），不</w:t>
            </w:r>
            <w:r>
              <w:rPr>
                <w:rFonts w:hint="eastAsia" w:cs="Times New Roman"/>
                <w:b w:val="0"/>
                <w:bCs w:val="0"/>
                <w:color w:val="121212"/>
                <w:sz w:val="24"/>
                <w:lang w:val="en-US" w:eastAsia="zh-CN"/>
              </w:rPr>
              <w:t>对</w:t>
            </w:r>
            <w:r>
              <w:rPr>
                <w:rFonts w:hint="default" w:ascii="Times New Roman" w:hAnsi="Times New Roman" w:eastAsia="宋体" w:cs="Times New Roman"/>
                <w:b w:val="0"/>
                <w:bCs w:val="0"/>
                <w:color w:val="121212"/>
                <w:sz w:val="24"/>
                <w:lang w:val="en-US" w:eastAsia="zh-CN"/>
              </w:rPr>
              <w:t>地下水、土壤环境质量</w:t>
            </w:r>
            <w:r>
              <w:rPr>
                <w:rFonts w:hint="eastAsia" w:cs="Times New Roman"/>
                <w:b w:val="0"/>
                <w:bCs w:val="0"/>
                <w:color w:val="121212"/>
                <w:sz w:val="24"/>
                <w:lang w:val="en-US" w:eastAsia="zh-CN"/>
              </w:rPr>
              <w:t>进行</w:t>
            </w:r>
            <w:r>
              <w:rPr>
                <w:rFonts w:hint="default" w:ascii="Times New Roman" w:hAnsi="Times New Roman" w:eastAsia="宋体" w:cs="Times New Roman"/>
                <w:b w:val="0"/>
                <w:bCs w:val="0"/>
                <w:color w:val="121212"/>
                <w:sz w:val="24"/>
                <w:lang w:val="en-US" w:eastAsia="zh-CN"/>
              </w:rPr>
              <w:t>现状监测</w:t>
            </w:r>
            <w:r>
              <w:rPr>
                <w:rFonts w:hint="default" w:ascii="Times New Roman" w:hAnsi="Times New Roman" w:cs="Times New Roman"/>
                <w:color w:val="121212"/>
                <w:sz w:val="24"/>
                <w:highlight w:val="none"/>
              </w:rPr>
              <w:t>。</w:t>
            </w:r>
          </w:p>
        </w:tc>
      </w:tr>
      <w:tr>
        <w:tblPrEx>
          <w:tblLayout w:type="fixed"/>
        </w:tblPrEx>
        <w:trPr>
          <w:trHeight w:val="397" w:hRule="atLeast"/>
          <w:jc w:val="center"/>
        </w:trPr>
        <w:tc>
          <w:tcPr>
            <w:tcW w:w="514" w:type="dxa"/>
            <w:vAlign w:val="center"/>
          </w:tcPr>
          <w:p>
            <w:pPr>
              <w:ind w:left="0" w:leftChars="0" w:firstLine="0" w:firstLineChars="0"/>
              <w:jc w:val="center"/>
              <w:rPr>
                <w:rFonts w:hint="default" w:ascii="Times New Roman" w:hAnsi="Times New Roman" w:eastAsia="宋体" w:cstheme="minorBidi"/>
                <w:color w:val="121212"/>
                <w:kern w:val="2"/>
                <w:sz w:val="24"/>
                <w:szCs w:val="24"/>
                <w:highlight w:val="none"/>
                <w:vertAlign w:val="baseline"/>
                <w:lang w:val="en-US" w:eastAsia="zh-CN" w:bidi="ar-SA"/>
              </w:rPr>
            </w:pPr>
            <w:r>
              <w:rPr>
                <w:rFonts w:hint="eastAsia"/>
                <w:b/>
                <w:bCs/>
                <w:color w:val="121212"/>
                <w:highlight w:val="none"/>
                <w:lang w:val="en-US" w:eastAsia="zh-CN"/>
              </w:rPr>
              <w:t>环境保护目标</w:t>
            </w:r>
          </w:p>
        </w:tc>
        <w:tc>
          <w:tcPr>
            <w:tcW w:w="8774" w:type="dxa"/>
            <w:vAlign w:val="top"/>
          </w:tcPr>
          <w:p>
            <w:pPr>
              <w:pStyle w:val="6"/>
              <w:bidi w:val="0"/>
              <w:rPr>
                <w:rFonts w:hint="default"/>
                <w:color w:val="121212"/>
                <w:highlight w:val="none"/>
                <w:lang w:val="en-US" w:eastAsia="zh-CN"/>
              </w:rPr>
            </w:pPr>
            <w:r>
              <w:rPr>
                <w:rFonts w:hint="eastAsia"/>
                <w:color w:val="121212"/>
                <w:highlight w:val="none"/>
                <w:lang w:val="en-US" w:eastAsia="zh-CN"/>
              </w:rPr>
              <w:t>1、大气环境保护目标</w:t>
            </w:r>
          </w:p>
          <w:p>
            <w:pPr>
              <w:bidi w:val="0"/>
              <w:rPr>
                <w:rFonts w:hint="eastAsia"/>
                <w:color w:val="121212"/>
                <w:highlight w:val="none"/>
                <w:lang w:val="en-US" w:eastAsia="zh-CN"/>
              </w:rPr>
            </w:pPr>
            <w:commentRangeStart w:id="34"/>
            <w:r>
              <w:rPr>
                <w:rFonts w:hint="default"/>
                <w:color w:val="121212"/>
                <w:highlight w:val="none"/>
              </w:rPr>
              <w:t>根据现场踏勘与调查，项目</w:t>
            </w:r>
            <w:r>
              <w:rPr>
                <w:rFonts w:hint="eastAsia"/>
                <w:color w:val="121212"/>
                <w:highlight w:val="none"/>
                <w:lang w:val="en-US" w:eastAsia="zh-CN"/>
              </w:rPr>
              <w:t>500m范围内无环境敏感目标</w:t>
            </w:r>
            <w:r>
              <w:rPr>
                <w:rFonts w:hint="default"/>
                <w:color w:val="121212"/>
                <w:highlight w:val="none"/>
              </w:rPr>
              <w:t>。</w:t>
            </w:r>
            <w:commentRangeEnd w:id="34"/>
            <w:r>
              <w:rPr>
                <w:color w:val="121212"/>
              </w:rPr>
              <w:commentReference w:id="34"/>
            </w:r>
          </w:p>
          <w:p>
            <w:pPr>
              <w:numPr>
                <w:ilvl w:val="0"/>
                <w:numId w:val="2"/>
              </w:numPr>
              <w:adjustRightInd w:val="0"/>
              <w:snapToGrid w:val="0"/>
              <w:spacing w:line="360" w:lineRule="auto"/>
              <w:ind w:left="0" w:leftChars="0" w:firstLine="482" w:firstLineChars="200"/>
              <w:rPr>
                <w:rFonts w:hint="default" w:ascii="Times New Roman" w:hAnsi="Times New Roman" w:eastAsia="宋体" w:cs="Times New Roman"/>
                <w:b/>
                <w:bCs/>
                <w:iCs/>
                <w:color w:val="121212"/>
                <w:sz w:val="24"/>
                <w:highlight w:val="none"/>
              </w:rPr>
            </w:pPr>
            <w:r>
              <w:rPr>
                <w:rFonts w:hint="default" w:ascii="Times New Roman" w:hAnsi="Times New Roman" w:eastAsia="宋体" w:cs="Times New Roman"/>
                <w:b/>
                <w:bCs/>
                <w:iCs/>
                <w:color w:val="121212"/>
                <w:sz w:val="24"/>
                <w:highlight w:val="none"/>
              </w:rPr>
              <w:t>声环境保护目标</w:t>
            </w:r>
          </w:p>
          <w:p>
            <w:pPr>
              <w:keepNext w:val="0"/>
              <w:keepLines w:val="0"/>
              <w:pageBreakBefore w:val="0"/>
              <w:widowControl w:val="0"/>
              <w:wordWrap/>
              <w:topLinePunct w:val="0"/>
              <w:bidi w:val="0"/>
              <w:snapToGrid w:val="0"/>
              <w:ind w:left="0" w:leftChars="0" w:right="0" w:rightChars="0"/>
              <w:rPr>
                <w:rFonts w:hint="default"/>
                <w:color w:val="121212"/>
                <w:highlight w:val="none"/>
                <w:lang w:val="en-US" w:eastAsia="zh-CN"/>
              </w:rPr>
            </w:pPr>
            <w:r>
              <w:rPr>
                <w:rFonts w:hint="eastAsia"/>
                <w:color w:val="121212"/>
                <w:highlight w:val="none"/>
                <w:lang w:val="en-US" w:eastAsia="zh-CN"/>
              </w:rPr>
              <w:t>厂界外50m范围内无声环境保护目标。</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eastAsia="宋体" w:cs="Times New Roman"/>
                <w:b/>
                <w:bCs/>
                <w:iCs/>
                <w:color w:val="121212"/>
                <w:sz w:val="24"/>
                <w:highlight w:val="none"/>
                <w:lang w:val="en-US" w:eastAsia="zh-CN"/>
              </w:rPr>
            </w:pPr>
            <w:r>
              <w:rPr>
                <w:rFonts w:hint="eastAsia" w:cs="Times New Roman"/>
                <w:b/>
                <w:bCs/>
                <w:iCs/>
                <w:color w:val="121212"/>
                <w:sz w:val="24"/>
                <w:highlight w:val="none"/>
                <w:lang w:val="en-US" w:eastAsia="zh-CN"/>
              </w:rPr>
              <w:t>3、地下水环境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iCs/>
                <w:color w:val="121212"/>
                <w:sz w:val="24"/>
                <w:highlight w:val="none"/>
              </w:rPr>
            </w:pPr>
            <w:r>
              <w:rPr>
                <w:rFonts w:hint="default" w:ascii="Times New Roman" w:hAnsi="Times New Roman" w:cs="Times New Roman"/>
                <w:color w:val="121212"/>
                <w:sz w:val="24"/>
                <w:szCs w:val="24"/>
                <w:highlight w:val="none"/>
              </w:rPr>
              <w:t>厂界外500m范围内无地下水集中式使用水水源和热水、矿泉水、温泉等特殊地下水资源</w:t>
            </w:r>
            <w:r>
              <w:rPr>
                <w:rFonts w:hint="eastAsia" w:cs="Times New Roman"/>
                <w:color w:val="121212"/>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iCs/>
                <w:color w:val="121212"/>
                <w:sz w:val="24"/>
                <w:highlight w:val="none"/>
                <w:lang w:val="en-US" w:eastAsia="zh-CN"/>
              </w:rPr>
            </w:pPr>
            <w:r>
              <w:rPr>
                <w:rFonts w:hint="default" w:ascii="Times New Roman" w:hAnsi="Times New Roman" w:eastAsia="宋体" w:cs="Times New Roman"/>
                <w:b/>
                <w:bCs/>
                <w:iCs/>
                <w:color w:val="121212"/>
                <w:sz w:val="24"/>
                <w:highlight w:val="none"/>
                <w:lang w:val="en-US" w:eastAsia="zh-CN"/>
              </w:rPr>
              <w:t>4、</w:t>
            </w:r>
            <w:r>
              <w:rPr>
                <w:rFonts w:hint="eastAsia" w:ascii="Times New Roman" w:hAnsi="Times New Roman" w:eastAsia="宋体" w:cs="Times New Roman"/>
                <w:b/>
                <w:bCs/>
                <w:iCs/>
                <w:color w:val="121212"/>
                <w:sz w:val="24"/>
                <w:highlight w:val="none"/>
                <w:lang w:val="en-US" w:eastAsia="zh-CN"/>
              </w:rPr>
              <w:t>生态</w:t>
            </w:r>
            <w:r>
              <w:rPr>
                <w:rFonts w:hint="default" w:ascii="Times New Roman" w:hAnsi="Times New Roman" w:eastAsia="宋体" w:cs="Times New Roman"/>
                <w:b/>
                <w:bCs/>
                <w:iCs/>
                <w:color w:val="121212"/>
                <w:sz w:val="24"/>
                <w:highlight w:val="none"/>
                <w:lang w:val="en-US" w:eastAsia="zh-CN"/>
              </w:rPr>
              <w:t>环境保护目标</w:t>
            </w:r>
          </w:p>
          <w:p>
            <w:pPr>
              <w:keepNext w:val="0"/>
              <w:keepLines w:val="0"/>
              <w:pageBreakBefore w:val="0"/>
              <w:widowControl w:val="0"/>
              <w:kinsoku/>
              <w:wordWrap/>
              <w:overflowPunct/>
              <w:topLinePunct w:val="0"/>
              <w:autoSpaceDE/>
              <w:autoSpaceDN/>
              <w:bidi w:val="0"/>
              <w:ind w:firstLine="480" w:firstLineChars="200"/>
              <w:textAlignment w:val="auto"/>
              <w:rPr>
                <w:rFonts w:hint="default" w:ascii="Times New Roman" w:hAnsi="Times New Roman" w:eastAsia="宋体" w:cstheme="minorBidi"/>
                <w:color w:val="121212"/>
                <w:kern w:val="2"/>
                <w:sz w:val="24"/>
                <w:szCs w:val="24"/>
                <w:highlight w:val="none"/>
                <w:lang w:val="en-US" w:eastAsia="zh-CN" w:bidi="ar-SA"/>
              </w:rPr>
            </w:pPr>
            <w:r>
              <w:rPr>
                <w:rFonts w:hint="eastAsia" w:ascii="Times New Roman" w:hAnsi="Times New Roman" w:eastAsia="宋体" w:cs="Times New Roman"/>
                <w:color w:val="121212"/>
                <w:sz w:val="24"/>
                <w:szCs w:val="24"/>
                <w:highlight w:val="none"/>
                <w:lang w:val="en-US" w:eastAsia="zh-CN"/>
              </w:rPr>
              <w:t>项目不涉及生态环境保护目标。</w:t>
            </w:r>
          </w:p>
        </w:tc>
      </w:tr>
      <w:tr>
        <w:tblPrEx>
          <w:tblLayout w:type="fixed"/>
        </w:tblPrEx>
        <w:trPr>
          <w:trHeight w:val="397" w:hRule="atLeast"/>
          <w:jc w:val="center"/>
        </w:trPr>
        <w:tc>
          <w:tcPr>
            <w:tcW w:w="514" w:type="dxa"/>
            <w:vAlign w:val="center"/>
          </w:tcPr>
          <w:p>
            <w:pPr>
              <w:adjustRightInd w:val="0"/>
              <w:snapToGrid w:val="0"/>
              <w:ind w:left="0" w:leftChars="0" w:firstLine="0" w:firstLineChars="0"/>
              <w:jc w:val="center"/>
              <w:rPr>
                <w:rFonts w:hint="default" w:ascii="Times New Roman" w:hAnsi="Times New Roman" w:eastAsia="宋体" w:cs="Times New Roman"/>
                <w:b/>
                <w:color w:val="121212"/>
                <w:kern w:val="0"/>
                <w:szCs w:val="21"/>
                <w:highlight w:val="none"/>
              </w:rPr>
            </w:pPr>
            <w:r>
              <w:rPr>
                <w:rFonts w:hint="default" w:ascii="Times New Roman" w:hAnsi="Times New Roman" w:eastAsia="宋体" w:cs="Times New Roman"/>
                <w:b/>
                <w:color w:val="121212"/>
                <w:kern w:val="0"/>
                <w:szCs w:val="21"/>
                <w:highlight w:val="none"/>
              </w:rPr>
              <w:t>污染</w:t>
            </w:r>
          </w:p>
          <w:p>
            <w:pPr>
              <w:adjustRightInd w:val="0"/>
              <w:snapToGrid w:val="0"/>
              <w:ind w:left="0" w:leftChars="0" w:firstLine="0" w:firstLineChars="0"/>
              <w:jc w:val="center"/>
              <w:rPr>
                <w:rFonts w:hint="default" w:ascii="Times New Roman" w:hAnsi="Times New Roman" w:eastAsia="宋体" w:cs="Times New Roman"/>
                <w:b/>
                <w:color w:val="121212"/>
                <w:kern w:val="0"/>
                <w:szCs w:val="21"/>
                <w:highlight w:val="none"/>
              </w:rPr>
            </w:pPr>
            <w:r>
              <w:rPr>
                <w:rFonts w:hint="default" w:ascii="Times New Roman" w:hAnsi="Times New Roman" w:eastAsia="宋体" w:cs="Times New Roman"/>
                <w:b/>
                <w:color w:val="121212"/>
                <w:kern w:val="0"/>
                <w:szCs w:val="21"/>
                <w:highlight w:val="none"/>
              </w:rPr>
              <w:t>物排</w:t>
            </w:r>
          </w:p>
          <w:p>
            <w:pPr>
              <w:adjustRightInd w:val="0"/>
              <w:snapToGrid w:val="0"/>
              <w:ind w:left="0" w:leftChars="0" w:firstLine="0" w:firstLineChars="0"/>
              <w:jc w:val="center"/>
              <w:rPr>
                <w:rFonts w:hint="default" w:ascii="Times New Roman" w:hAnsi="Times New Roman" w:eastAsia="宋体" w:cs="Times New Roman"/>
                <w:b/>
                <w:color w:val="121212"/>
                <w:kern w:val="0"/>
                <w:szCs w:val="21"/>
                <w:highlight w:val="none"/>
              </w:rPr>
            </w:pPr>
            <w:r>
              <w:rPr>
                <w:rFonts w:hint="default" w:ascii="Times New Roman" w:hAnsi="Times New Roman" w:eastAsia="宋体" w:cs="Times New Roman"/>
                <w:b/>
                <w:color w:val="121212"/>
                <w:kern w:val="0"/>
                <w:szCs w:val="21"/>
                <w:highlight w:val="none"/>
              </w:rPr>
              <w:t>放控</w:t>
            </w:r>
          </w:p>
          <w:p>
            <w:pPr>
              <w:adjustRightInd w:val="0"/>
              <w:snapToGrid w:val="0"/>
              <w:ind w:left="0" w:leftChars="0" w:firstLine="0" w:firstLineChars="0"/>
              <w:jc w:val="center"/>
              <w:rPr>
                <w:rFonts w:hint="default" w:ascii="Times New Roman" w:hAnsi="Times New Roman" w:eastAsia="宋体" w:cs="Times New Roman"/>
                <w:b/>
                <w:color w:val="121212"/>
                <w:kern w:val="0"/>
                <w:szCs w:val="21"/>
                <w:highlight w:val="none"/>
              </w:rPr>
            </w:pPr>
            <w:r>
              <w:rPr>
                <w:rFonts w:hint="default" w:ascii="Times New Roman" w:hAnsi="Times New Roman" w:eastAsia="宋体" w:cs="Times New Roman"/>
                <w:b/>
                <w:color w:val="121212"/>
                <w:kern w:val="0"/>
                <w:szCs w:val="21"/>
                <w:highlight w:val="none"/>
              </w:rPr>
              <w:t>制标</w:t>
            </w:r>
          </w:p>
          <w:p>
            <w:pPr>
              <w:ind w:left="0" w:leftChars="0" w:firstLine="0" w:firstLineChars="0"/>
              <w:jc w:val="center"/>
              <w:rPr>
                <w:rFonts w:hint="eastAsia" w:ascii="Times New Roman" w:hAnsi="Times New Roman" w:eastAsia="宋体" w:cstheme="minorBidi"/>
                <w:b/>
                <w:bCs/>
                <w:color w:val="121212"/>
                <w:kern w:val="2"/>
                <w:sz w:val="24"/>
                <w:szCs w:val="24"/>
                <w:highlight w:val="none"/>
                <w:lang w:val="en-US" w:eastAsia="zh-CN" w:bidi="ar-SA"/>
              </w:rPr>
            </w:pPr>
            <w:r>
              <w:rPr>
                <w:rFonts w:hint="default" w:ascii="Times New Roman" w:hAnsi="Times New Roman" w:eastAsia="宋体" w:cs="Times New Roman"/>
                <w:b/>
                <w:color w:val="121212"/>
                <w:kern w:val="0"/>
                <w:szCs w:val="21"/>
                <w:highlight w:val="none"/>
              </w:rPr>
              <w:t>准</w:t>
            </w:r>
          </w:p>
        </w:tc>
        <w:tc>
          <w:tcPr>
            <w:tcW w:w="8774" w:type="dxa"/>
            <w:vAlign w:val="top"/>
          </w:tcPr>
          <w:p>
            <w:pPr>
              <w:pStyle w:val="6"/>
              <w:bidi w:val="0"/>
              <w:rPr>
                <w:rFonts w:hint="default"/>
                <w:color w:val="121212"/>
                <w:highlight w:val="none"/>
                <w:lang w:val="en-US" w:eastAsia="zh-CN"/>
              </w:rPr>
            </w:pPr>
            <w:r>
              <w:rPr>
                <w:rFonts w:hint="eastAsia"/>
                <w:color w:val="121212"/>
                <w:highlight w:val="none"/>
                <w:lang w:val="en-US" w:eastAsia="zh-CN"/>
              </w:rPr>
              <w:t>一、</w:t>
            </w:r>
            <w:r>
              <w:rPr>
                <w:rFonts w:hint="default"/>
                <w:color w:val="121212"/>
                <w:highlight w:val="none"/>
              </w:rPr>
              <w:t>大气污染物排放标准</w:t>
            </w:r>
          </w:p>
          <w:p>
            <w:pPr>
              <w:bidi w:val="0"/>
              <w:rPr>
                <w:rFonts w:hint="default"/>
                <w:color w:val="121212"/>
                <w:highlight w:val="none"/>
                <w:lang w:val="en-US" w:eastAsia="zh-CN"/>
              </w:rPr>
            </w:pPr>
            <w:r>
              <w:rPr>
                <w:rFonts w:hint="eastAsia"/>
                <w:color w:val="121212"/>
                <w:highlight w:val="none"/>
                <w:lang w:val="en-US" w:eastAsia="zh-CN"/>
              </w:rPr>
              <w:t>本项目生产过程中产生的颗粒物排放执行《大气污染物综合排放标准》（GB16297-1996）表2二级标椎。</w:t>
            </w:r>
          </w:p>
          <w:p>
            <w:pPr>
              <w:pStyle w:val="39"/>
              <w:bidi w:val="0"/>
              <w:rPr>
                <w:rFonts w:hint="default"/>
                <w:color w:val="121212"/>
                <w:highlight w:val="none"/>
                <w:lang w:val="en-US" w:eastAsia="zh-CN"/>
              </w:rPr>
            </w:pPr>
            <w:r>
              <w:rPr>
                <w:rFonts w:hint="eastAsia"/>
                <w:color w:val="121212"/>
                <w:highlight w:val="none"/>
                <w:lang w:val="en-US" w:eastAsia="zh-CN"/>
              </w:rPr>
              <w:t>表3-6  大气污染排放标准</w:t>
            </w:r>
          </w:p>
          <w:tbl>
            <w:tblPr>
              <w:tblStyle w:val="60"/>
              <w:tblW w:w="8167" w:type="dxa"/>
              <w:jc w:val="center"/>
              <w:tblInd w:w="0" w:type="dxa"/>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1374"/>
              <w:gridCol w:w="1245"/>
              <w:gridCol w:w="1791"/>
              <w:gridCol w:w="1962"/>
              <w:gridCol w:w="1795"/>
            </w:tblGrid>
            <w:tr>
              <w:tblPrEx>
                <w:tblLayout w:type="fixed"/>
              </w:tblPrEx>
              <w:trPr>
                <w:trHeight w:val="397" w:hRule="atLeast"/>
                <w:jc w:val="center"/>
              </w:trPr>
              <w:tc>
                <w:tcPr>
                  <w:tcW w:w="1374" w:type="dxa"/>
                  <w:vMerge w:val="restart"/>
                  <w:tcBorders>
                    <w:tl2br w:val="nil"/>
                    <w:tr2bl w:val="nil"/>
                  </w:tcBorders>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Times New Roman" w:hAnsi="Times New Roman" w:eastAsia="宋体" w:cstheme="minorBidi"/>
                      <w:color w:val="121212"/>
                      <w:kern w:val="2"/>
                      <w:sz w:val="21"/>
                      <w:szCs w:val="21"/>
                      <w:highlight w:val="none"/>
                      <w:lang w:val="en-US" w:eastAsia="zh-CN" w:bidi="ar-SA"/>
                    </w:rPr>
                  </w:pPr>
                  <w:r>
                    <w:rPr>
                      <w:rFonts w:hint="eastAsia" w:ascii="Times New Roman" w:hAnsi="Times New Roman" w:eastAsia="宋体" w:cstheme="minorBidi"/>
                      <w:color w:val="121212"/>
                      <w:kern w:val="2"/>
                      <w:sz w:val="21"/>
                      <w:szCs w:val="21"/>
                      <w:highlight w:val="none"/>
                      <w:lang w:val="en-US" w:eastAsia="zh-CN" w:bidi="ar-SA"/>
                    </w:rPr>
                    <w:t>污染物</w:t>
                  </w:r>
                </w:p>
              </w:tc>
              <w:tc>
                <w:tcPr>
                  <w:tcW w:w="1245" w:type="dxa"/>
                  <w:vMerge w:val="restart"/>
                  <w:tcBorders>
                    <w:tl2br w:val="nil"/>
                    <w:tr2bl w:val="nil"/>
                  </w:tcBorders>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Times New Roman" w:hAnsi="Times New Roman" w:eastAsia="宋体" w:cstheme="minorBidi"/>
                      <w:color w:val="121212"/>
                      <w:kern w:val="2"/>
                      <w:sz w:val="21"/>
                      <w:szCs w:val="21"/>
                      <w:highlight w:val="none"/>
                      <w:lang w:val="en-US" w:eastAsia="zh-CN" w:bidi="ar-SA"/>
                    </w:rPr>
                  </w:pPr>
                  <w:r>
                    <w:rPr>
                      <w:rFonts w:hint="eastAsia" w:ascii="Times New Roman" w:hAnsi="Times New Roman" w:eastAsia="宋体" w:cstheme="minorBidi"/>
                      <w:color w:val="121212"/>
                      <w:kern w:val="2"/>
                      <w:sz w:val="21"/>
                      <w:szCs w:val="21"/>
                      <w:highlight w:val="none"/>
                      <w:lang w:val="en-US" w:eastAsia="zh-CN" w:bidi="ar-SA"/>
                    </w:rPr>
                    <w:t>最高允许排放浓度（mg/m3）</w:t>
                  </w:r>
                </w:p>
              </w:tc>
              <w:tc>
                <w:tcPr>
                  <w:tcW w:w="1791" w:type="dxa"/>
                  <w:vMerge w:val="restart"/>
                  <w:tcBorders>
                    <w:tl2br w:val="nil"/>
                    <w:tr2bl w:val="nil"/>
                  </w:tcBorders>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Times New Roman" w:hAnsi="Times New Roman" w:eastAsia="宋体" w:cstheme="minorBidi"/>
                      <w:color w:val="121212"/>
                      <w:kern w:val="2"/>
                      <w:sz w:val="21"/>
                      <w:szCs w:val="21"/>
                      <w:highlight w:val="none"/>
                      <w:lang w:val="en-US" w:eastAsia="zh-CN" w:bidi="ar-SA"/>
                    </w:rPr>
                  </w:pPr>
                  <w:r>
                    <w:rPr>
                      <w:rFonts w:hint="eastAsia" w:ascii="Times New Roman" w:hAnsi="Times New Roman" w:eastAsia="宋体" w:cstheme="minorBidi"/>
                      <w:color w:val="121212"/>
                      <w:kern w:val="2"/>
                      <w:sz w:val="21"/>
                      <w:szCs w:val="21"/>
                      <w:highlight w:val="none"/>
                      <w:lang w:val="en-US" w:eastAsia="zh-CN" w:bidi="ar-SA"/>
                    </w:rPr>
                    <w:t>15m排气筒最高</w:t>
                  </w:r>
                </w:p>
                <w:p>
                  <w:pPr>
                    <w:pStyle w:val="7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Times New Roman" w:hAnsi="Times New Roman" w:eastAsia="宋体" w:cstheme="minorBidi"/>
                      <w:color w:val="121212"/>
                      <w:kern w:val="2"/>
                      <w:sz w:val="21"/>
                      <w:szCs w:val="21"/>
                      <w:highlight w:val="none"/>
                      <w:lang w:val="en-US" w:eastAsia="zh-CN" w:bidi="ar-SA"/>
                    </w:rPr>
                  </w:pPr>
                  <w:r>
                    <w:rPr>
                      <w:rFonts w:hint="eastAsia" w:ascii="Times New Roman" w:hAnsi="Times New Roman" w:eastAsia="宋体" w:cstheme="minorBidi"/>
                      <w:color w:val="121212"/>
                      <w:kern w:val="2"/>
                      <w:sz w:val="21"/>
                      <w:szCs w:val="21"/>
                      <w:highlight w:val="none"/>
                      <w:lang w:val="en-US" w:eastAsia="zh-CN" w:bidi="ar-SA"/>
                    </w:rPr>
                    <w:t>允许排放速率</w:t>
                  </w:r>
                </w:p>
                <w:p>
                  <w:pPr>
                    <w:pStyle w:val="7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Times New Roman" w:hAnsi="Times New Roman" w:eastAsia="宋体" w:cstheme="minorBidi"/>
                      <w:color w:val="121212"/>
                      <w:kern w:val="2"/>
                      <w:sz w:val="21"/>
                      <w:szCs w:val="21"/>
                      <w:highlight w:val="none"/>
                      <w:lang w:val="en-US" w:eastAsia="zh-CN" w:bidi="ar-SA"/>
                    </w:rPr>
                  </w:pPr>
                  <w:r>
                    <w:rPr>
                      <w:rFonts w:hint="eastAsia" w:ascii="Times New Roman" w:hAnsi="Times New Roman" w:eastAsia="宋体" w:cstheme="minorBidi"/>
                      <w:color w:val="121212"/>
                      <w:kern w:val="2"/>
                      <w:sz w:val="21"/>
                      <w:szCs w:val="21"/>
                      <w:highlight w:val="none"/>
                      <w:lang w:val="en-US" w:eastAsia="zh-CN" w:bidi="ar-SA"/>
                    </w:rPr>
                    <w:t>（kg/h）</w:t>
                  </w:r>
                </w:p>
              </w:tc>
              <w:tc>
                <w:tcPr>
                  <w:tcW w:w="3757" w:type="dxa"/>
                  <w:gridSpan w:val="2"/>
                  <w:tcBorders>
                    <w:tl2br w:val="nil"/>
                    <w:tr2bl w:val="nil"/>
                  </w:tcBorders>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eastAsia" w:ascii="Times New Roman" w:hAnsi="Times New Roman" w:eastAsia="宋体" w:cstheme="minorBidi"/>
                      <w:color w:val="121212"/>
                      <w:kern w:val="2"/>
                      <w:sz w:val="21"/>
                      <w:szCs w:val="21"/>
                      <w:highlight w:val="none"/>
                      <w:lang w:val="en-US" w:eastAsia="zh-CN" w:bidi="ar-SA"/>
                    </w:rPr>
                  </w:pPr>
                  <w:r>
                    <w:rPr>
                      <w:rFonts w:hint="eastAsia" w:ascii="Times New Roman" w:hAnsi="Times New Roman" w:eastAsia="宋体" w:cstheme="minorBidi"/>
                      <w:color w:val="121212"/>
                      <w:kern w:val="2"/>
                      <w:sz w:val="21"/>
                      <w:szCs w:val="21"/>
                      <w:highlight w:val="none"/>
                      <w:lang w:val="en-US" w:eastAsia="zh-CN" w:bidi="ar-SA"/>
                    </w:rPr>
                    <w:t>无组织排放监控浓度限值</w:t>
                  </w:r>
                </w:p>
              </w:tc>
            </w:tr>
            <w:tr>
              <w:tblPrEx>
                <w:tblLayout w:type="fixed"/>
              </w:tblPrEx>
              <w:trPr>
                <w:trHeight w:val="397" w:hRule="atLeast"/>
                <w:jc w:val="center"/>
              </w:trPr>
              <w:tc>
                <w:tcPr>
                  <w:tcW w:w="1374" w:type="dxa"/>
                  <w:vMerge w:val="continue"/>
                  <w:tcBorders>
                    <w:tl2br w:val="nil"/>
                    <w:tr2bl w:val="nil"/>
                  </w:tcBorders>
                  <w:vAlign w:val="center"/>
                </w:tcPr>
                <w:p>
                  <w:pPr>
                    <w:bidi w:val="0"/>
                    <w:rPr>
                      <w:rFonts w:hint="eastAsia" w:ascii="Times New Roman" w:hAnsi="Times New Roman" w:eastAsia="宋体" w:cstheme="minorBidi"/>
                      <w:color w:val="121212"/>
                      <w:kern w:val="2"/>
                      <w:sz w:val="21"/>
                      <w:szCs w:val="21"/>
                      <w:highlight w:val="none"/>
                      <w:lang w:val="en-US" w:eastAsia="zh-CN" w:bidi="ar-SA"/>
                    </w:rPr>
                  </w:pPr>
                </w:p>
              </w:tc>
              <w:tc>
                <w:tcPr>
                  <w:tcW w:w="1245" w:type="dxa"/>
                  <w:vMerge w:val="continue"/>
                  <w:tcBorders>
                    <w:tl2br w:val="nil"/>
                    <w:tr2bl w:val="nil"/>
                  </w:tcBorders>
                  <w:vAlign w:val="center"/>
                </w:tcPr>
                <w:p>
                  <w:pPr>
                    <w:bidi w:val="0"/>
                    <w:rPr>
                      <w:rFonts w:hint="eastAsia" w:ascii="Times New Roman" w:hAnsi="Times New Roman" w:eastAsia="宋体" w:cstheme="minorBidi"/>
                      <w:color w:val="121212"/>
                      <w:kern w:val="2"/>
                      <w:sz w:val="21"/>
                      <w:szCs w:val="21"/>
                      <w:highlight w:val="none"/>
                      <w:lang w:val="en-US" w:eastAsia="zh-CN" w:bidi="ar-SA"/>
                    </w:rPr>
                  </w:pPr>
                </w:p>
              </w:tc>
              <w:tc>
                <w:tcPr>
                  <w:tcW w:w="1791" w:type="dxa"/>
                  <w:vMerge w:val="continue"/>
                  <w:tcBorders>
                    <w:tl2br w:val="nil"/>
                    <w:tr2bl w:val="nil"/>
                  </w:tcBorders>
                  <w:vAlign w:val="center"/>
                </w:tcPr>
                <w:p>
                  <w:pPr>
                    <w:bidi w:val="0"/>
                    <w:rPr>
                      <w:rFonts w:hint="eastAsia" w:ascii="Times New Roman" w:hAnsi="Times New Roman" w:eastAsia="宋体" w:cstheme="minorBidi"/>
                      <w:color w:val="121212"/>
                      <w:kern w:val="2"/>
                      <w:sz w:val="21"/>
                      <w:szCs w:val="21"/>
                      <w:highlight w:val="none"/>
                      <w:lang w:val="en-US" w:eastAsia="zh-CN" w:bidi="ar-SA"/>
                    </w:rPr>
                  </w:pPr>
                </w:p>
              </w:tc>
              <w:tc>
                <w:tcPr>
                  <w:tcW w:w="1962" w:type="dxa"/>
                  <w:tcBorders>
                    <w:tl2br w:val="nil"/>
                    <w:tr2bl w:val="nil"/>
                  </w:tcBorders>
                  <w:vAlign w:val="center"/>
                </w:tcPr>
                <w:p>
                  <w:pPr>
                    <w:bidi w:val="0"/>
                    <w:rPr>
                      <w:rFonts w:hint="eastAsia" w:ascii="Times New Roman" w:hAnsi="Times New Roman" w:eastAsia="宋体" w:cstheme="minorBidi"/>
                      <w:color w:val="121212"/>
                      <w:kern w:val="2"/>
                      <w:sz w:val="21"/>
                      <w:szCs w:val="21"/>
                      <w:highlight w:val="none"/>
                      <w:lang w:val="en-US" w:eastAsia="zh-CN" w:bidi="ar-SA"/>
                    </w:rPr>
                  </w:pPr>
                  <w:r>
                    <w:rPr>
                      <w:rFonts w:hint="eastAsia" w:ascii="Times New Roman" w:hAnsi="Times New Roman" w:eastAsia="宋体" w:cstheme="minorBidi"/>
                      <w:color w:val="121212"/>
                      <w:kern w:val="2"/>
                      <w:sz w:val="21"/>
                      <w:szCs w:val="21"/>
                      <w:highlight w:val="none"/>
                      <w:lang w:val="en-US" w:eastAsia="zh-CN" w:bidi="ar-SA"/>
                    </w:rPr>
                    <w:t>监控点</w:t>
                  </w:r>
                </w:p>
              </w:tc>
              <w:tc>
                <w:tcPr>
                  <w:tcW w:w="1795" w:type="dxa"/>
                  <w:tcBorders>
                    <w:tl2br w:val="nil"/>
                    <w:tr2bl w:val="nil"/>
                  </w:tcBorders>
                  <w:vAlign w:val="center"/>
                </w:tcPr>
                <w:p>
                  <w:pPr>
                    <w:bidi w:val="0"/>
                    <w:rPr>
                      <w:rFonts w:hint="eastAsia" w:ascii="Times New Roman" w:hAnsi="Times New Roman" w:eastAsia="宋体" w:cstheme="minorBidi"/>
                      <w:color w:val="121212"/>
                      <w:kern w:val="2"/>
                      <w:sz w:val="21"/>
                      <w:szCs w:val="21"/>
                      <w:highlight w:val="none"/>
                      <w:lang w:val="en-US" w:eastAsia="zh-CN" w:bidi="ar-SA"/>
                    </w:rPr>
                  </w:pPr>
                  <w:r>
                    <w:rPr>
                      <w:rFonts w:hint="eastAsia" w:ascii="Times New Roman" w:hAnsi="Times New Roman" w:eastAsia="宋体" w:cstheme="minorBidi"/>
                      <w:color w:val="121212"/>
                      <w:kern w:val="2"/>
                      <w:sz w:val="21"/>
                      <w:szCs w:val="21"/>
                      <w:highlight w:val="none"/>
                      <w:lang w:val="en-US" w:eastAsia="zh-CN" w:bidi="ar-SA"/>
                    </w:rPr>
                    <w:t>浓度（mg/m</w:t>
                  </w:r>
                  <w:r>
                    <w:rPr>
                      <w:rFonts w:hint="eastAsia" w:ascii="Times New Roman" w:hAnsi="Times New Roman" w:eastAsia="宋体" w:cstheme="minorBidi"/>
                      <w:color w:val="121212"/>
                      <w:kern w:val="2"/>
                      <w:sz w:val="21"/>
                      <w:szCs w:val="21"/>
                      <w:highlight w:val="none"/>
                      <w:vertAlign w:val="superscript"/>
                      <w:lang w:val="en-US" w:eastAsia="zh-CN" w:bidi="ar-SA"/>
                    </w:rPr>
                    <w:t>3</w:t>
                  </w:r>
                  <w:r>
                    <w:rPr>
                      <w:rFonts w:hint="eastAsia" w:ascii="Times New Roman" w:hAnsi="Times New Roman" w:eastAsia="宋体" w:cstheme="minorBidi"/>
                      <w:color w:val="121212"/>
                      <w:kern w:val="2"/>
                      <w:sz w:val="21"/>
                      <w:szCs w:val="21"/>
                      <w:highlight w:val="none"/>
                      <w:lang w:val="en-US" w:eastAsia="zh-CN" w:bidi="ar-SA"/>
                    </w:rPr>
                    <w:t>）</w:t>
                  </w:r>
                </w:p>
              </w:tc>
            </w:tr>
            <w:tr>
              <w:tblPrEx>
                <w:tblLayout w:type="fixed"/>
              </w:tblPrEx>
              <w:trPr>
                <w:trHeight w:val="397" w:hRule="atLeast"/>
                <w:jc w:val="center"/>
              </w:trPr>
              <w:tc>
                <w:tcPr>
                  <w:tcW w:w="1374" w:type="dxa"/>
                  <w:tcBorders>
                    <w:tl2br w:val="nil"/>
                    <w:tr2bl w:val="nil"/>
                  </w:tcBorders>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color w:val="121212"/>
                      <w:sz w:val="21"/>
                      <w:szCs w:val="21"/>
                    </w:rPr>
                  </w:pPr>
                  <w:r>
                    <w:rPr>
                      <w:color w:val="121212"/>
                      <w:spacing w:val="7"/>
                      <w:sz w:val="21"/>
                      <w:szCs w:val="21"/>
                    </w:rPr>
                    <w:t>颗粒物</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ascii="Times New Roman" w:hAnsi="Times New Roman" w:eastAsia="Times New Roman" w:cs="Times New Roman"/>
                      <w:color w:val="121212"/>
                      <w:sz w:val="21"/>
                      <w:szCs w:val="21"/>
                    </w:rPr>
                  </w:pPr>
                  <w:r>
                    <w:rPr>
                      <w:rFonts w:ascii="Times New Roman" w:hAnsi="Times New Roman" w:eastAsia="Times New Roman" w:cs="Times New Roman"/>
                      <w:color w:val="121212"/>
                      <w:spacing w:val="-3"/>
                      <w:sz w:val="21"/>
                      <w:szCs w:val="21"/>
                    </w:rPr>
                    <w:t>120</w:t>
                  </w:r>
                </w:p>
              </w:tc>
              <w:tc>
                <w:tcPr>
                  <w:tcW w:w="17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ascii="Times New Roman" w:hAnsi="Times New Roman" w:eastAsia="Times New Roman" w:cs="Times New Roman"/>
                      <w:color w:val="121212"/>
                      <w:sz w:val="21"/>
                      <w:szCs w:val="21"/>
                    </w:rPr>
                  </w:pPr>
                  <w:r>
                    <w:rPr>
                      <w:rFonts w:ascii="Times New Roman" w:hAnsi="Times New Roman" w:eastAsia="Times New Roman" w:cs="Times New Roman"/>
                      <w:color w:val="121212"/>
                      <w:spacing w:val="1"/>
                      <w:sz w:val="21"/>
                      <w:szCs w:val="21"/>
                    </w:rPr>
                    <w:t>3.5</w:t>
                  </w:r>
                </w:p>
              </w:tc>
              <w:tc>
                <w:tcPr>
                  <w:tcW w:w="1962" w:type="dxa"/>
                  <w:tcBorders>
                    <w:tl2br w:val="nil"/>
                    <w:tr2bl w:val="nil"/>
                  </w:tcBorders>
                  <w:vAlign w:val="center"/>
                </w:tcPr>
                <w:p>
                  <w:pPr>
                    <w:pStyle w:val="70"/>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color w:val="121212"/>
                      <w:sz w:val="21"/>
                      <w:szCs w:val="21"/>
                    </w:rPr>
                  </w:pPr>
                  <w:r>
                    <w:rPr>
                      <w:color w:val="121212"/>
                      <w:spacing w:val="8"/>
                      <w:sz w:val="21"/>
                      <w:szCs w:val="21"/>
                    </w:rPr>
                    <w:t>周界外浓度最高点</w:t>
                  </w:r>
                </w:p>
              </w:tc>
              <w:tc>
                <w:tcPr>
                  <w:tcW w:w="17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ascii="Times New Roman" w:hAnsi="Times New Roman" w:eastAsia="Times New Roman" w:cs="Times New Roman"/>
                      <w:color w:val="121212"/>
                      <w:sz w:val="21"/>
                      <w:szCs w:val="21"/>
                    </w:rPr>
                  </w:pPr>
                  <w:r>
                    <w:rPr>
                      <w:rFonts w:ascii="Times New Roman" w:hAnsi="Times New Roman" w:eastAsia="Times New Roman" w:cs="Times New Roman"/>
                      <w:color w:val="121212"/>
                      <w:spacing w:val="-4"/>
                      <w:sz w:val="21"/>
                      <w:szCs w:val="21"/>
                    </w:rPr>
                    <w:t>1.0</w:t>
                  </w:r>
                </w:p>
              </w:tc>
            </w:tr>
          </w:tbl>
          <w:p>
            <w:pPr>
              <w:pStyle w:val="7"/>
              <w:bidi w:val="0"/>
              <w:rPr>
                <w:rFonts w:hint="default"/>
                <w:color w:val="121212"/>
                <w:highlight w:val="none"/>
                <w:lang w:val="en-US" w:eastAsia="zh-CN"/>
              </w:rPr>
            </w:pPr>
            <w:r>
              <w:rPr>
                <w:rFonts w:hint="eastAsia"/>
                <w:color w:val="121212"/>
                <w:highlight w:val="none"/>
                <w:lang w:val="en-US" w:eastAsia="zh-CN"/>
              </w:rPr>
              <w:t>二、废水排放标准</w:t>
            </w:r>
          </w:p>
          <w:p>
            <w:pPr>
              <w:bidi w:val="0"/>
              <w:rPr>
                <w:rFonts w:hint="eastAsia" w:ascii="Times New Roman" w:hAnsi="Times New Roman" w:eastAsia="宋体"/>
                <w:b w:val="0"/>
                <w:bCs/>
                <w:color w:val="121212"/>
                <w:highlight w:val="none"/>
                <w:lang w:val="en-US" w:eastAsia="zh-CN"/>
              </w:rPr>
            </w:pPr>
            <w:r>
              <w:rPr>
                <w:rFonts w:hint="eastAsia" w:ascii="Times New Roman" w:hAnsi="Times New Roman" w:eastAsia="宋体"/>
                <w:b w:val="0"/>
                <w:bCs/>
                <w:color w:val="121212"/>
                <w:highlight w:val="none"/>
                <w:lang w:val="en-US" w:eastAsia="zh-CN"/>
              </w:rPr>
              <w:t>本项目废水主要为生活污水，依托安徽飞松机械股份有限公司化粪池处理后，排入灵璧开发区北部新区污水处理厂集中处理。</w:t>
            </w:r>
          </w:p>
          <w:p>
            <w:pPr>
              <w:pStyle w:val="6"/>
              <w:bidi w:val="0"/>
              <w:rPr>
                <w:rFonts w:hint="default"/>
                <w:color w:val="121212"/>
                <w:highlight w:val="none"/>
                <w:lang w:val="en-US" w:eastAsia="zh-CN"/>
              </w:rPr>
            </w:pPr>
            <w:r>
              <w:rPr>
                <w:rFonts w:hint="eastAsia"/>
                <w:color w:val="121212"/>
                <w:highlight w:val="none"/>
                <w:lang w:val="en-US" w:eastAsia="zh-CN"/>
              </w:rPr>
              <w:t>三、噪声排放标准</w:t>
            </w:r>
          </w:p>
          <w:p>
            <w:pPr>
              <w:bidi w:val="0"/>
              <w:rPr>
                <w:rFonts w:hint="default" w:ascii="Times New Roman" w:hAnsi="Times New Roman" w:eastAsia="宋体" w:cs="Times New Roman"/>
                <w:color w:val="121212"/>
                <w:spacing w:val="-4"/>
                <w:sz w:val="24"/>
                <w:szCs w:val="24"/>
                <w:highlight w:val="none"/>
              </w:rPr>
            </w:pPr>
            <w:r>
              <w:rPr>
                <w:rFonts w:hint="eastAsia"/>
                <w:color w:val="121212"/>
                <w:highlight w:val="none"/>
                <w:lang w:val="en-US" w:eastAsia="zh-CN"/>
              </w:rPr>
              <w:t>本项目厂界噪声执行</w:t>
            </w:r>
            <w:r>
              <w:rPr>
                <w:rFonts w:hint="default" w:ascii="Times New Roman" w:hAnsi="Times New Roman" w:eastAsia="宋体" w:cs="Times New Roman"/>
                <w:color w:val="121212"/>
                <w:spacing w:val="-4"/>
                <w:sz w:val="24"/>
                <w:szCs w:val="24"/>
                <w:highlight w:val="none"/>
              </w:rPr>
              <w:t>《工业企业厂界环境噪声排放标准》（GB1234</w:t>
            </w:r>
            <w:commentRangeStart w:id="35"/>
            <w:commentRangeStart w:id="36"/>
            <w:r>
              <w:rPr>
                <w:rFonts w:hint="default" w:ascii="Times New Roman" w:hAnsi="Times New Roman" w:eastAsia="宋体" w:cs="Times New Roman"/>
                <w:color w:val="121212"/>
                <w:spacing w:val="-4"/>
                <w:sz w:val="24"/>
                <w:szCs w:val="24"/>
                <w:highlight w:val="none"/>
              </w:rPr>
              <w:t>8-2008）</w:t>
            </w:r>
            <w:r>
              <w:rPr>
                <w:rFonts w:hint="eastAsia" w:cs="Times New Roman"/>
                <w:color w:val="121212"/>
                <w:spacing w:val="-4"/>
                <w:sz w:val="24"/>
                <w:szCs w:val="24"/>
                <w:highlight w:val="none"/>
                <w:lang w:val="en-US" w:eastAsia="zh-CN"/>
              </w:rPr>
              <w:t>3</w:t>
            </w:r>
            <w:r>
              <w:rPr>
                <w:rFonts w:hint="default" w:ascii="Times New Roman" w:hAnsi="Times New Roman" w:eastAsia="宋体" w:cs="Times New Roman"/>
                <w:color w:val="121212"/>
                <w:spacing w:val="-4"/>
                <w:sz w:val="24"/>
                <w:szCs w:val="24"/>
                <w:highlight w:val="none"/>
              </w:rPr>
              <w:t>类标准，详见下表：</w:t>
            </w:r>
            <w:commentRangeEnd w:id="35"/>
            <w:r>
              <w:rPr>
                <w:color w:val="121212"/>
              </w:rPr>
              <w:commentReference w:id="35"/>
            </w:r>
            <w:commentRangeEnd w:id="36"/>
            <w:r>
              <w:rPr>
                <w:color w:val="121212"/>
              </w:rPr>
              <w:commentReference w:id="36"/>
            </w:r>
          </w:p>
          <w:p>
            <w:pPr>
              <w:pStyle w:val="39"/>
              <w:bidi w:val="0"/>
              <w:rPr>
                <w:rFonts w:hint="default"/>
                <w:color w:val="121212"/>
                <w:highlight w:val="none"/>
                <w:lang w:val="en-US" w:eastAsia="zh-CN"/>
              </w:rPr>
            </w:pPr>
            <w:r>
              <w:rPr>
                <w:rFonts w:hint="default"/>
                <w:color w:val="121212"/>
                <w:highlight w:val="none"/>
                <w:lang w:val="en-US" w:eastAsia="zh-CN"/>
              </w:rPr>
              <w:t>表3-</w:t>
            </w:r>
            <w:r>
              <w:rPr>
                <w:rFonts w:hint="eastAsia"/>
                <w:color w:val="121212"/>
                <w:highlight w:val="none"/>
                <w:lang w:val="en-US" w:eastAsia="zh-CN"/>
              </w:rPr>
              <w:t>7</w:t>
            </w:r>
            <w:r>
              <w:rPr>
                <w:rFonts w:hint="default"/>
                <w:color w:val="121212"/>
                <w:highlight w:val="none"/>
                <w:lang w:val="en-US" w:eastAsia="zh-CN"/>
              </w:rPr>
              <w:t xml:space="preserve">  厂界噪声排放限值</w:t>
            </w:r>
          </w:p>
          <w:tbl>
            <w:tblPr>
              <w:tblStyle w:val="37"/>
              <w:tblW w:w="4998"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1"/>
              <w:gridCol w:w="2781"/>
              <w:gridCol w:w="2513"/>
            </w:tblGrid>
            <w:tr>
              <w:tblPrEx>
                <w:tblLayout w:type="fixed"/>
              </w:tblPrEx>
              <w:trPr>
                <w:trHeight w:val="397" w:hRule="atLeast"/>
                <w:jc w:val="center"/>
              </w:trPr>
              <w:tc>
                <w:tcPr>
                  <w:tcW w:w="3251" w:type="dxa"/>
                  <w:vAlign w:val="center"/>
                </w:tcPr>
                <w:p>
                  <w:pPr>
                    <w:pStyle w:val="47"/>
                    <w:bidi w:val="0"/>
                    <w:rPr>
                      <w:rFonts w:hint="default"/>
                      <w:b/>
                      <w:bCs/>
                      <w:color w:val="121212"/>
                      <w:highlight w:val="none"/>
                    </w:rPr>
                  </w:pPr>
                  <w:r>
                    <w:rPr>
                      <w:rFonts w:hint="default"/>
                      <w:b/>
                      <w:bCs/>
                      <w:color w:val="121212"/>
                      <w:highlight w:val="none"/>
                    </w:rPr>
                    <w:t>标准</w:t>
                  </w:r>
                </w:p>
              </w:tc>
              <w:tc>
                <w:tcPr>
                  <w:tcW w:w="2781" w:type="dxa"/>
                  <w:vAlign w:val="center"/>
                </w:tcPr>
                <w:p>
                  <w:pPr>
                    <w:pStyle w:val="47"/>
                    <w:bidi w:val="0"/>
                    <w:rPr>
                      <w:rFonts w:hint="default"/>
                      <w:b/>
                      <w:bCs/>
                      <w:color w:val="121212"/>
                      <w:highlight w:val="none"/>
                    </w:rPr>
                  </w:pPr>
                  <w:r>
                    <w:rPr>
                      <w:rFonts w:hint="default"/>
                      <w:b/>
                      <w:bCs/>
                      <w:color w:val="121212"/>
                      <w:highlight w:val="none"/>
                    </w:rPr>
                    <w:t>昼间</w:t>
                  </w:r>
                </w:p>
              </w:tc>
              <w:tc>
                <w:tcPr>
                  <w:tcW w:w="2513" w:type="dxa"/>
                  <w:vAlign w:val="center"/>
                </w:tcPr>
                <w:p>
                  <w:pPr>
                    <w:pStyle w:val="47"/>
                    <w:bidi w:val="0"/>
                    <w:rPr>
                      <w:rFonts w:hint="default"/>
                      <w:b/>
                      <w:bCs/>
                      <w:color w:val="121212"/>
                      <w:highlight w:val="none"/>
                    </w:rPr>
                  </w:pPr>
                  <w:r>
                    <w:rPr>
                      <w:rFonts w:hint="default"/>
                      <w:b/>
                      <w:bCs/>
                      <w:color w:val="121212"/>
                      <w:highlight w:val="none"/>
                    </w:rPr>
                    <w:t>夜间</w:t>
                  </w:r>
                </w:p>
              </w:tc>
            </w:tr>
            <w:tr>
              <w:tblPrEx>
                <w:tblLayout w:type="fixed"/>
              </w:tblPrEx>
              <w:trPr>
                <w:trHeight w:val="397" w:hRule="atLeast"/>
                <w:jc w:val="center"/>
              </w:trPr>
              <w:tc>
                <w:tcPr>
                  <w:tcW w:w="3251" w:type="dxa"/>
                  <w:vAlign w:val="center"/>
                </w:tcPr>
                <w:p>
                  <w:pPr>
                    <w:pStyle w:val="47"/>
                    <w:bidi w:val="0"/>
                    <w:rPr>
                      <w:rFonts w:hint="default"/>
                      <w:color w:val="121212"/>
                      <w:highlight w:val="none"/>
                    </w:rPr>
                  </w:pPr>
                  <w:r>
                    <w:rPr>
                      <w:rFonts w:hint="default"/>
                      <w:color w:val="121212"/>
                      <w:highlight w:val="none"/>
                    </w:rPr>
                    <w:t>GB12348-2008中</w:t>
                  </w:r>
                  <w:r>
                    <w:rPr>
                      <w:rFonts w:hint="eastAsia"/>
                      <w:color w:val="121212"/>
                      <w:highlight w:val="none"/>
                      <w:lang w:val="en-US" w:eastAsia="zh-CN"/>
                    </w:rPr>
                    <w:t>3</w:t>
                  </w:r>
                  <w:r>
                    <w:rPr>
                      <w:rFonts w:hint="default"/>
                      <w:color w:val="121212"/>
                      <w:highlight w:val="none"/>
                    </w:rPr>
                    <w:t>类标准</w:t>
                  </w:r>
                </w:p>
              </w:tc>
              <w:tc>
                <w:tcPr>
                  <w:tcW w:w="2781" w:type="dxa"/>
                  <w:vAlign w:val="center"/>
                </w:tcPr>
                <w:p>
                  <w:pPr>
                    <w:pStyle w:val="47"/>
                    <w:bidi w:val="0"/>
                    <w:rPr>
                      <w:rFonts w:hint="default"/>
                      <w:color w:val="121212"/>
                      <w:highlight w:val="none"/>
                    </w:rPr>
                  </w:pPr>
                  <w:r>
                    <w:rPr>
                      <w:rFonts w:hint="default"/>
                      <w:color w:val="121212"/>
                      <w:highlight w:val="none"/>
                    </w:rPr>
                    <w:t>6</w:t>
                  </w:r>
                  <w:r>
                    <w:rPr>
                      <w:rFonts w:hint="eastAsia"/>
                      <w:color w:val="121212"/>
                      <w:highlight w:val="none"/>
                      <w:lang w:val="en-US" w:eastAsia="zh-CN"/>
                    </w:rPr>
                    <w:t>5</w:t>
                  </w:r>
                  <w:r>
                    <w:rPr>
                      <w:rFonts w:hint="default"/>
                      <w:color w:val="121212"/>
                      <w:highlight w:val="none"/>
                    </w:rPr>
                    <w:t>dB(A)</w:t>
                  </w:r>
                </w:p>
              </w:tc>
              <w:tc>
                <w:tcPr>
                  <w:tcW w:w="2513" w:type="dxa"/>
                  <w:vAlign w:val="center"/>
                </w:tcPr>
                <w:p>
                  <w:pPr>
                    <w:pStyle w:val="47"/>
                    <w:bidi w:val="0"/>
                    <w:rPr>
                      <w:rFonts w:hint="default"/>
                      <w:color w:val="121212"/>
                      <w:highlight w:val="none"/>
                    </w:rPr>
                  </w:pPr>
                  <w:r>
                    <w:rPr>
                      <w:rFonts w:hint="default"/>
                      <w:color w:val="121212"/>
                      <w:highlight w:val="none"/>
                    </w:rPr>
                    <w:t>5</w:t>
                  </w:r>
                  <w:r>
                    <w:rPr>
                      <w:rFonts w:hint="eastAsia"/>
                      <w:color w:val="121212"/>
                      <w:highlight w:val="none"/>
                      <w:lang w:val="en-US" w:eastAsia="zh-CN"/>
                    </w:rPr>
                    <w:t>5</w:t>
                  </w:r>
                  <w:r>
                    <w:rPr>
                      <w:rFonts w:hint="default"/>
                      <w:color w:val="121212"/>
                      <w:highlight w:val="none"/>
                    </w:rPr>
                    <w:t>dB(A)</w:t>
                  </w:r>
                </w:p>
              </w:tc>
            </w:tr>
          </w:tbl>
          <w:p>
            <w:pPr>
              <w:pStyle w:val="6"/>
              <w:bidi w:val="0"/>
              <w:rPr>
                <w:rFonts w:hint="default"/>
                <w:color w:val="121212"/>
                <w:highlight w:val="none"/>
                <w:lang w:val="en-US" w:eastAsia="zh-CN"/>
              </w:rPr>
            </w:pPr>
            <w:r>
              <w:rPr>
                <w:rFonts w:hint="eastAsia"/>
                <w:color w:val="121212"/>
                <w:highlight w:val="none"/>
                <w:lang w:val="en-US" w:eastAsia="zh-CN"/>
              </w:rPr>
              <w:t>四、固体废物排放标准</w:t>
            </w:r>
          </w:p>
          <w:p>
            <w:pPr>
              <w:bidi w:val="0"/>
              <w:rPr>
                <w:rFonts w:hint="default" w:ascii="Times New Roman" w:hAnsi="Times New Roman" w:eastAsia="宋体" w:cstheme="minorBidi"/>
                <w:color w:val="121212"/>
                <w:kern w:val="2"/>
                <w:szCs w:val="24"/>
                <w:highlight w:val="none"/>
                <w:lang w:val="en-US" w:eastAsia="zh-CN" w:bidi="ar-SA"/>
              </w:rPr>
            </w:pPr>
            <w:r>
              <w:rPr>
                <w:rFonts w:hint="default" w:ascii="Times New Roman" w:hAnsi="Times New Roman" w:cs="Times New Roman"/>
                <w:bCs/>
                <w:color w:val="121212"/>
                <w:sz w:val="24"/>
                <w:szCs w:val="24"/>
              </w:rPr>
              <w:t>一般工业固废执行</w:t>
            </w:r>
            <w:r>
              <w:rPr>
                <w:rFonts w:hint="default" w:ascii="Times New Roman" w:hAnsi="Times New Roman" w:eastAsia="宋体" w:cs="Times New Roman"/>
                <w:bCs/>
                <w:color w:val="121212"/>
                <w:sz w:val="24"/>
              </w:rPr>
              <w:t>《一般工业固体废物贮存和填埋污染控制标准》（GB18599-2020）中的相关规定</w:t>
            </w:r>
            <w:r>
              <w:rPr>
                <w:rFonts w:hint="eastAsia" w:cs="Times New Roman"/>
                <w:bCs/>
                <w:color w:val="121212"/>
                <w:sz w:val="24"/>
                <w:lang w:eastAsia="zh-CN"/>
              </w:rPr>
              <w:t>；</w:t>
            </w:r>
            <w:r>
              <w:rPr>
                <w:rFonts w:hint="default" w:ascii="Times New Roman" w:hAnsi="Times New Roman" w:eastAsia="宋体" w:cs="Times New Roman"/>
                <w:color w:val="121212"/>
                <w:spacing w:val="-4"/>
                <w:sz w:val="24"/>
                <w:szCs w:val="24"/>
              </w:rPr>
              <w:t>危险固废贮存执行《危险废物贮存污染控制标准》（GB18597-20</w:t>
            </w:r>
            <w:r>
              <w:rPr>
                <w:rFonts w:hint="eastAsia"/>
                <w:color w:val="121212"/>
                <w:sz w:val="24"/>
                <w:szCs w:val="24"/>
                <w:lang w:val="en-US" w:eastAsia="zh-CN"/>
              </w:rPr>
              <w:t>23</w:t>
            </w:r>
            <w:r>
              <w:rPr>
                <w:rFonts w:hint="default" w:ascii="Times New Roman" w:hAnsi="Times New Roman" w:eastAsia="宋体" w:cs="Times New Roman"/>
                <w:color w:val="121212"/>
                <w:spacing w:val="-4"/>
                <w:sz w:val="24"/>
                <w:szCs w:val="24"/>
              </w:rPr>
              <w:t>）中的有关规定</w:t>
            </w:r>
            <w:r>
              <w:rPr>
                <w:rFonts w:hint="eastAsia"/>
                <w:color w:val="121212"/>
                <w:highlight w:val="none"/>
                <w:lang w:eastAsia="zh-CN"/>
              </w:rPr>
              <w:t>。</w:t>
            </w:r>
          </w:p>
        </w:tc>
      </w:tr>
      <w:tr>
        <w:tblPrEx>
          <w:tblLayout w:type="fixed"/>
        </w:tblPrEx>
        <w:trPr>
          <w:trHeight w:val="397" w:hRule="atLeast"/>
          <w:jc w:val="center"/>
        </w:trPr>
        <w:tc>
          <w:tcPr>
            <w:tcW w:w="514"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b/>
                <w:color w:val="121212"/>
                <w:kern w:val="0"/>
                <w:sz w:val="24"/>
                <w:szCs w:val="24"/>
                <w:highlight w:val="none"/>
              </w:rPr>
            </w:pPr>
            <w:r>
              <w:rPr>
                <w:rFonts w:hint="default" w:ascii="Times New Roman" w:hAnsi="Times New Roman" w:eastAsia="宋体" w:cs="Times New Roman"/>
                <w:b/>
                <w:color w:val="121212"/>
                <w:kern w:val="0"/>
                <w:sz w:val="24"/>
                <w:szCs w:val="24"/>
                <w:highlight w:val="none"/>
              </w:rPr>
              <w:t>总量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default" w:ascii="Times New Roman" w:hAnsi="Times New Roman" w:eastAsia="宋体" w:cs="Times New Roman"/>
                <w:b/>
                <w:color w:val="121212"/>
                <w:kern w:val="0"/>
                <w:sz w:val="24"/>
                <w:szCs w:val="24"/>
                <w:highlight w:val="none"/>
              </w:rPr>
            </w:pPr>
            <w:r>
              <w:rPr>
                <w:rFonts w:hint="default" w:ascii="Times New Roman" w:hAnsi="Times New Roman" w:eastAsia="宋体" w:cs="Times New Roman"/>
                <w:b/>
                <w:color w:val="121212"/>
                <w:kern w:val="0"/>
                <w:sz w:val="24"/>
                <w:szCs w:val="24"/>
                <w:highlight w:val="none"/>
              </w:rPr>
              <w:t>控制</w:t>
            </w:r>
          </w:p>
          <w:p>
            <w:pPr>
              <w:ind w:left="0" w:leftChars="0" w:firstLine="0" w:firstLineChars="0"/>
              <w:jc w:val="center"/>
              <w:rPr>
                <w:rFonts w:hint="eastAsia" w:ascii="Times New Roman" w:hAnsi="Times New Roman" w:eastAsia="宋体" w:cs="Times New Roman"/>
                <w:b/>
                <w:color w:val="121212"/>
                <w:kern w:val="0"/>
                <w:sz w:val="24"/>
                <w:szCs w:val="21"/>
                <w:highlight w:val="none"/>
                <w:lang w:val="en-US" w:eastAsia="zh-CN" w:bidi="ar-SA"/>
              </w:rPr>
            </w:pPr>
            <w:r>
              <w:rPr>
                <w:rFonts w:hint="default" w:ascii="Times New Roman" w:hAnsi="Times New Roman" w:eastAsia="宋体" w:cs="Times New Roman"/>
                <w:b/>
                <w:color w:val="121212"/>
                <w:kern w:val="0"/>
                <w:sz w:val="24"/>
                <w:szCs w:val="24"/>
                <w:highlight w:val="none"/>
              </w:rPr>
              <w:t>指标</w:t>
            </w:r>
          </w:p>
        </w:tc>
        <w:tc>
          <w:tcPr>
            <w:tcW w:w="8774" w:type="dxa"/>
            <w:vAlign w:val="center"/>
          </w:tcPr>
          <w:p>
            <w:pPr>
              <w:bidi w:val="0"/>
              <w:rPr>
                <w:rFonts w:hint="default" w:ascii="Times New Roman" w:hAnsi="Times New Roman" w:eastAsia="宋体"/>
                <w:b w:val="0"/>
                <w:bCs/>
                <w:color w:val="121212"/>
                <w:highlight w:val="none"/>
                <w:lang w:val="en-US" w:eastAsia="zh-CN"/>
              </w:rPr>
            </w:pPr>
            <w:r>
              <w:rPr>
                <w:rFonts w:hint="default" w:ascii="Times New Roman" w:hAnsi="Times New Roman" w:eastAsia="宋体"/>
                <w:b w:val="0"/>
                <w:bCs/>
                <w:color w:val="121212"/>
                <w:highlight w:val="none"/>
                <w:lang w:val="en-US" w:eastAsia="zh-CN"/>
              </w:rPr>
              <w:t>建设单位应根据本项目废气、废水和固体废物等污染物的排放量，向上级主管部门和环保部门申请各项污染物排放总量控制指标。</w:t>
            </w:r>
          </w:p>
          <w:p>
            <w:pPr>
              <w:bidi w:val="0"/>
              <w:rPr>
                <w:rFonts w:hint="default" w:ascii="Times New Roman" w:hAnsi="Times New Roman" w:eastAsia="宋体"/>
                <w:b w:val="0"/>
                <w:bCs/>
                <w:color w:val="121212"/>
                <w:highlight w:val="none"/>
                <w:lang w:val="en-US" w:eastAsia="zh-CN"/>
              </w:rPr>
            </w:pPr>
            <w:r>
              <w:rPr>
                <w:rFonts w:hint="default" w:ascii="Times New Roman" w:hAnsi="Times New Roman" w:eastAsia="宋体"/>
                <w:b w:val="0"/>
                <w:bCs/>
                <w:color w:val="121212"/>
                <w:highlight w:val="none"/>
                <w:lang w:val="en-US" w:eastAsia="zh-CN"/>
              </w:rPr>
              <w:t>①水污染物排放总量控制指标</w:t>
            </w:r>
          </w:p>
          <w:p>
            <w:pPr>
              <w:bidi w:val="0"/>
              <w:rPr>
                <w:rFonts w:hint="eastAsia" w:ascii="Times New Roman" w:hAnsi="Times New Roman" w:eastAsia="宋体"/>
                <w:b w:val="0"/>
                <w:bCs/>
                <w:color w:val="121212"/>
                <w:highlight w:val="none"/>
                <w:lang w:val="en-US" w:eastAsia="zh-CN"/>
              </w:rPr>
            </w:pPr>
            <w:r>
              <w:rPr>
                <w:rFonts w:hint="eastAsia" w:ascii="Times New Roman" w:hAnsi="Times New Roman" w:eastAsia="宋体"/>
                <w:b w:val="0"/>
                <w:bCs/>
                <w:color w:val="121212"/>
                <w:highlight w:val="none"/>
                <w:lang w:val="en-US" w:eastAsia="zh-CN"/>
              </w:rPr>
              <w:t>本项目废水主要为生活污水，依托安徽飞松机械股份有限公司化粪池处理后，排入灵璧开发区北部新区污水处理厂集中处理，无需申请</w:t>
            </w:r>
            <w:r>
              <w:rPr>
                <w:rFonts w:hint="default" w:ascii="Times New Roman" w:hAnsi="Times New Roman" w:eastAsia="宋体"/>
                <w:b w:val="0"/>
                <w:bCs/>
                <w:color w:val="121212"/>
                <w:highlight w:val="none"/>
                <w:lang w:val="en-US" w:eastAsia="zh-CN"/>
              </w:rPr>
              <w:t>水污染物排放总量控制指标</w:t>
            </w:r>
            <w:r>
              <w:rPr>
                <w:rFonts w:hint="eastAsia" w:ascii="Times New Roman" w:hAnsi="Times New Roman" w:eastAsia="宋体"/>
                <w:b w:val="0"/>
                <w:bCs/>
                <w:color w:val="121212"/>
                <w:highlight w:val="none"/>
                <w:lang w:val="en-US" w:eastAsia="zh-CN"/>
              </w:rPr>
              <w:t>。</w:t>
            </w:r>
          </w:p>
          <w:p>
            <w:pPr>
              <w:bidi w:val="0"/>
              <w:rPr>
                <w:rFonts w:hint="default" w:ascii="Times New Roman" w:hAnsi="Times New Roman" w:eastAsia="宋体"/>
                <w:b w:val="0"/>
                <w:bCs/>
                <w:color w:val="121212"/>
                <w:highlight w:val="none"/>
                <w:lang w:val="en-US" w:eastAsia="zh-CN"/>
              </w:rPr>
            </w:pPr>
            <w:r>
              <w:rPr>
                <w:rFonts w:hint="default" w:ascii="Times New Roman" w:hAnsi="Times New Roman" w:eastAsia="宋体"/>
                <w:b w:val="0"/>
                <w:bCs/>
                <w:color w:val="121212"/>
                <w:highlight w:val="none"/>
                <w:lang w:val="en-US" w:eastAsia="zh-CN"/>
              </w:rPr>
              <w:t>②大气污染物排放总量控制指标</w:t>
            </w:r>
          </w:p>
          <w:p>
            <w:pPr>
              <w:bidi w:val="0"/>
              <w:rPr>
                <w:rFonts w:hint="default"/>
                <w:color w:val="121212"/>
                <w:highlight w:val="none"/>
                <w:lang w:val="en-US" w:eastAsia="zh-CN"/>
              </w:rPr>
            </w:pPr>
            <w:r>
              <w:rPr>
                <w:rFonts w:hint="default" w:ascii="Times New Roman" w:hAnsi="Times New Roman" w:eastAsia="宋体"/>
                <w:b w:val="0"/>
                <w:bCs/>
                <w:color w:val="121212"/>
                <w:highlight w:val="none"/>
                <w:lang w:val="en-US" w:eastAsia="zh-CN"/>
              </w:rPr>
              <w:t>生产工序产生的大气污染物主要为</w:t>
            </w:r>
            <w:r>
              <w:rPr>
                <w:rFonts w:hint="eastAsia" w:ascii="Times New Roman" w:hAnsi="Times New Roman" w:eastAsia="宋体"/>
                <w:b w:val="0"/>
                <w:bCs/>
                <w:color w:val="121212"/>
                <w:highlight w:val="none"/>
                <w:lang w:val="en-US" w:eastAsia="zh-CN"/>
              </w:rPr>
              <w:t>粉尘，</w:t>
            </w:r>
            <w:r>
              <w:rPr>
                <w:rFonts w:hint="default" w:ascii="Times New Roman" w:hAnsi="Times New Roman" w:eastAsia="宋体"/>
                <w:b w:val="0"/>
                <w:bCs/>
                <w:color w:val="121212"/>
                <w:highlight w:val="none"/>
                <w:lang w:val="en-US" w:eastAsia="zh-CN"/>
              </w:rPr>
              <w:t>其大气污染物排放总量控制指标为：</w:t>
            </w:r>
            <w:r>
              <w:rPr>
                <w:rFonts w:hint="eastAsia" w:ascii="Times New Roman" w:hAnsi="Times New Roman" w:eastAsia="宋体"/>
                <w:b w:val="0"/>
                <w:bCs/>
                <w:color w:val="121212"/>
                <w:highlight w:val="none"/>
                <w:lang w:val="en-US" w:eastAsia="zh-CN"/>
              </w:rPr>
              <w:t>粉尘（颗粒物）：</w:t>
            </w:r>
            <w:r>
              <w:rPr>
                <w:rFonts w:hint="eastAsia"/>
                <w:b w:val="0"/>
                <w:bCs/>
                <w:color w:val="121212"/>
                <w:highlight w:val="none"/>
                <w:lang w:val="en-US" w:eastAsia="zh-CN"/>
              </w:rPr>
              <w:t>0.0831t</w:t>
            </w:r>
            <w:r>
              <w:rPr>
                <w:rFonts w:hint="eastAsia" w:ascii="Times New Roman" w:hAnsi="Times New Roman" w:eastAsia="宋体"/>
                <w:b w:val="0"/>
                <w:bCs/>
                <w:color w:val="121212"/>
                <w:highlight w:val="none"/>
                <w:lang w:val="en-US" w:eastAsia="zh-CN"/>
              </w:rPr>
              <w:t>/a。</w:t>
            </w:r>
          </w:p>
        </w:tc>
      </w:tr>
    </w:tbl>
    <w:p>
      <w:pP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br w:type="page"/>
      </w:r>
    </w:p>
    <w:p>
      <w:pPr>
        <w:pStyle w:val="5"/>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四、主要环境影响和保护措施</w:t>
      </w:r>
    </w:p>
    <w:tbl>
      <w:tblPr>
        <w:tblStyle w:val="38"/>
        <w:tblW w:w="93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8818"/>
      </w:tblGrid>
      <w:tr>
        <w:tblPrEx>
          <w:tblLayout w:type="fixed"/>
        </w:tblPrEx>
        <w:trPr>
          <w:trHeight w:val="3037" w:hRule="atLeast"/>
        </w:trPr>
        <w:tc>
          <w:tcPr>
            <w:tcW w:w="575" w:type="dxa"/>
            <w:vAlign w:val="center"/>
          </w:tcPr>
          <w:p>
            <w:pPr>
              <w:bidi w:val="0"/>
              <w:ind w:left="0" w:leftChars="0" w:firstLine="0" w:firstLineChars="0"/>
              <w:jc w:val="center"/>
              <w:rPr>
                <w:rFonts w:hint="default"/>
                <w:color w:val="000000" w:themeColor="text1"/>
                <w:highlight w:val="none"/>
                <w:vertAlign w:val="baseline"/>
                <w:lang w:val="en-US"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施工期环境保护措施</w:t>
            </w:r>
          </w:p>
        </w:tc>
        <w:tc>
          <w:tcPr>
            <w:tcW w:w="8818" w:type="dxa"/>
            <w:vAlign w:val="center"/>
          </w:tcPr>
          <w:p>
            <w:pPr>
              <w:bidi w:val="0"/>
              <w:jc w:val="both"/>
              <w:rPr>
                <w:rFonts w:hint="default"/>
                <w:color w:val="000000" w:themeColor="text1"/>
                <w:highlight w:val="none"/>
                <w:vertAlign w:val="baseline"/>
                <w:lang w:val="en-US" w:eastAsia="zh-CN"/>
                <w14:textFill>
                  <w14:solidFill>
                    <w14:schemeClr w14:val="tx1"/>
                  </w14:solidFill>
                </w14:textFill>
              </w:rPr>
            </w:pPr>
            <w:r>
              <w:rPr>
                <w:rFonts w:hint="eastAsia"/>
                <w:color w:val="auto"/>
                <w:highlight w:val="none"/>
                <w:lang w:val="en-US" w:eastAsia="zh-CN"/>
              </w:rPr>
              <w:t>安徽华跃专用汽</w:t>
            </w:r>
            <w:commentRangeStart w:id="37"/>
            <w:commentRangeStart w:id="38"/>
            <w:r>
              <w:rPr>
                <w:rFonts w:hint="eastAsia"/>
                <w:color w:val="auto"/>
                <w:highlight w:val="none"/>
                <w:lang w:val="en-US" w:eastAsia="zh-CN"/>
              </w:rPr>
              <w:t>车装备有限公司位于</w:t>
            </w:r>
            <w:r>
              <w:rPr>
                <w:rFonts w:hint="eastAsia"/>
                <w:color w:val="000000" w:themeColor="text1"/>
                <w:highlight w:val="none"/>
                <w:lang w:val="en-US" w:eastAsia="zh-CN"/>
                <w14:textFill>
                  <w14:solidFill>
                    <w14:schemeClr w14:val="tx1"/>
                  </w14:solidFill>
                </w14:textFill>
              </w:rPr>
              <w:t>宿州市灵璧县灵城镇北部开发区机电产业园二期</w:t>
            </w:r>
            <w:r>
              <w:rPr>
                <w:rFonts w:hint="eastAsia"/>
                <w:color w:val="auto"/>
                <w:highlight w:val="none"/>
                <w:lang w:val="en-US" w:eastAsia="zh-CN"/>
              </w:rPr>
              <w:t>，租赁</w:t>
            </w:r>
            <w:r>
              <w:rPr>
                <w:rFonts w:hint="eastAsia" w:ascii="Times New Roman" w:hAnsi="Times New Roman" w:eastAsia="宋体"/>
                <w:b w:val="0"/>
                <w:bCs/>
                <w:color w:val="000000" w:themeColor="text1"/>
                <w:highlight w:val="none"/>
                <w:lang w:val="en-US" w:eastAsia="zh-CN"/>
                <w14:textFill>
                  <w14:solidFill>
                    <w14:schemeClr w14:val="tx1"/>
                  </w14:solidFill>
                </w14:textFill>
              </w:rPr>
              <w:t>安徽飞松机械股份有限公司</w:t>
            </w:r>
            <w:r>
              <w:rPr>
                <w:rFonts w:hint="eastAsia" w:ascii="宋体" w:hAnsi="宋体" w:eastAsia="宋体" w:cs="宋体"/>
                <w:color w:val="auto"/>
                <w:sz w:val="24"/>
                <w:lang w:val="en-US" w:eastAsia="zh-CN"/>
              </w:rPr>
              <w:t>新建</w:t>
            </w:r>
            <w:r>
              <w:rPr>
                <w:rFonts w:hint="eastAsia" w:ascii="宋体" w:hAnsi="宋体" w:eastAsia="宋体" w:cs="宋体"/>
                <w:color w:val="auto"/>
                <w:sz w:val="24"/>
                <w:lang w:eastAsia="zh-CN"/>
              </w:rPr>
              <w:t>生产</w:t>
            </w:r>
            <w:r>
              <w:rPr>
                <w:rFonts w:hint="eastAsia" w:ascii="宋体" w:hAnsi="宋体" w:eastAsia="宋体" w:cs="宋体"/>
                <w:color w:val="auto"/>
                <w:sz w:val="24"/>
                <w:lang w:val="en-US" w:eastAsia="zh-CN"/>
              </w:rPr>
              <w:t>厂房</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租赁</w:t>
            </w:r>
            <w:r>
              <w:rPr>
                <w:rFonts w:hint="eastAsia" w:ascii="宋体" w:hAnsi="宋体" w:eastAsia="宋体" w:cs="宋体"/>
                <w:color w:val="auto"/>
                <w:sz w:val="24"/>
                <w:lang w:eastAsia="zh-CN"/>
              </w:rPr>
              <w:t>厂房</w:t>
            </w:r>
            <w:r>
              <w:rPr>
                <w:rFonts w:hint="eastAsia" w:ascii="宋体" w:hAnsi="宋体" w:eastAsia="宋体" w:cs="宋体"/>
                <w:color w:val="auto"/>
                <w:sz w:val="24"/>
                <w:lang w:val="en-US" w:eastAsia="zh-CN"/>
              </w:rPr>
              <w:t>现未建设</w:t>
            </w:r>
            <w:r>
              <w:rPr>
                <w:rFonts w:hint="eastAsia"/>
                <w:color w:val="auto"/>
                <w:highlight w:val="none"/>
                <w:lang w:val="en-US" w:eastAsia="zh-CN"/>
              </w:rPr>
              <w:t>，厂房由</w:t>
            </w:r>
            <w:r>
              <w:rPr>
                <w:rFonts w:hint="eastAsia" w:ascii="Times New Roman" w:hAnsi="Times New Roman" w:eastAsia="宋体"/>
                <w:b w:val="0"/>
                <w:bCs/>
                <w:color w:val="000000" w:themeColor="text1"/>
                <w:highlight w:val="none"/>
                <w:lang w:val="en-US" w:eastAsia="zh-CN"/>
                <w14:textFill>
                  <w14:solidFill>
                    <w14:schemeClr w14:val="tx1"/>
                  </w14:solidFill>
                </w14:textFill>
              </w:rPr>
              <w:t>安徽飞松机械股份有限公司建设。</w:t>
            </w:r>
            <w:r>
              <w:rPr>
                <w:rFonts w:hint="eastAsia"/>
                <w:color w:val="auto"/>
                <w:highlight w:val="none"/>
                <w:lang w:val="en-US" w:eastAsia="zh-CN"/>
              </w:rPr>
              <w:t>拟建设年组装1000辆专用汽车生产</w:t>
            </w:r>
            <w:r>
              <w:rPr>
                <w:rFonts w:hint="eastAsia"/>
                <w:b w:val="0"/>
                <w:bCs/>
                <w:color w:val="auto"/>
                <w:highlight w:val="none"/>
                <w:lang w:val="en-US" w:eastAsia="zh-CN"/>
              </w:rPr>
              <w:t>项目</w:t>
            </w:r>
            <w:r>
              <w:rPr>
                <w:rFonts w:hint="eastAsia"/>
                <w:color w:val="auto"/>
                <w:highlight w:val="none"/>
                <w:lang w:val="en-US" w:eastAsia="zh-CN"/>
              </w:rPr>
              <w:t>，本项目无主体工程建设，</w:t>
            </w:r>
            <w:r>
              <w:rPr>
                <w:rFonts w:hint="default"/>
                <w:color w:val="auto"/>
                <w:highlight w:val="none"/>
                <w:lang w:val="en-US" w:eastAsia="zh-CN"/>
              </w:rPr>
              <w:t>建设单位只需对新购置的生产设备</w:t>
            </w:r>
            <w:r>
              <w:rPr>
                <w:rFonts w:hint="eastAsia"/>
                <w:color w:val="auto"/>
                <w:highlight w:val="none"/>
                <w:lang w:val="en-US" w:eastAsia="zh-CN"/>
              </w:rPr>
              <w:t>进行</w:t>
            </w:r>
            <w:r>
              <w:rPr>
                <w:rFonts w:hint="default"/>
                <w:color w:val="auto"/>
                <w:highlight w:val="none"/>
                <w:lang w:val="en-US" w:eastAsia="zh-CN"/>
              </w:rPr>
              <w:t>安装。施工期环境影响较小，</w:t>
            </w:r>
            <w:r>
              <w:rPr>
                <w:rFonts w:hint="eastAsia"/>
                <w:color w:val="auto"/>
                <w:highlight w:val="none"/>
                <w:lang w:val="en-US" w:eastAsia="zh-CN"/>
              </w:rPr>
              <w:t>无需考虑。</w:t>
            </w:r>
            <w:commentRangeEnd w:id="37"/>
            <w:r>
              <w:commentReference w:id="37"/>
            </w:r>
            <w:commentRangeEnd w:id="38"/>
            <w:r>
              <w:commentReference w:id="38"/>
            </w:r>
          </w:p>
        </w:tc>
      </w:tr>
      <w:tr>
        <w:tblPrEx>
          <w:tblLayout w:type="fixed"/>
        </w:tblPrEx>
        <w:trPr>
          <w:trHeight w:val="3037" w:hRule="atLeast"/>
        </w:trPr>
        <w:tc>
          <w:tcPr>
            <w:tcW w:w="575" w:type="dxa"/>
            <w:vAlign w:val="center"/>
          </w:tcPr>
          <w:p>
            <w:pPr>
              <w:bidi w:val="0"/>
              <w:ind w:left="0" w:leftChars="0" w:firstLine="0" w:firstLineChars="0"/>
              <w:jc w:val="center"/>
              <w:rPr>
                <w:rFonts w:hint="eastAsia"/>
                <w:b/>
                <w:bCs/>
                <w:color w:val="000000" w:themeColor="text1"/>
                <w:highlight w:val="none"/>
                <w:lang w:eastAsia="zh-CN"/>
                <w14:textFill>
                  <w14:solidFill>
                    <w14:schemeClr w14:val="tx1"/>
                  </w14:solidFill>
                </w14:textFill>
              </w:rPr>
            </w:pPr>
            <w:r>
              <w:rPr>
                <w:rFonts w:hint="default" w:ascii="Times New Roman" w:hAnsi="Times New Roman" w:cs="Times New Roman"/>
                <w:b/>
                <w:bCs/>
                <w:color w:val="000000" w:themeColor="text1"/>
                <w:sz w:val="24"/>
                <w:szCs w:val="32"/>
                <w:highlight w:val="none"/>
                <w14:textFill>
                  <w14:solidFill>
                    <w14:schemeClr w14:val="tx1"/>
                  </w14:solidFill>
                </w14:textFill>
              </w:rPr>
              <w:t>运营期环境影响和保护措施</w:t>
            </w:r>
          </w:p>
        </w:tc>
        <w:tc>
          <w:tcPr>
            <w:tcW w:w="8818" w:type="dxa"/>
            <w:vAlign w:val="center"/>
          </w:tcPr>
          <w:p>
            <w:pPr>
              <w:pStyle w:val="6"/>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一、废气</w:t>
            </w:r>
          </w:p>
          <w:p>
            <w:pPr>
              <w:pStyle w:val="7"/>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1、废气源强</w:t>
            </w:r>
          </w:p>
          <w:p>
            <w:pPr>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本项目废气主要为</w:t>
            </w:r>
            <w:r>
              <w:rPr>
                <w:rFonts w:hint="eastAsia" w:cs="Times New Roman"/>
                <w:bCs/>
                <w:color w:val="auto"/>
                <w:sz w:val="24"/>
                <w:lang w:val="en-US" w:eastAsia="zh-CN"/>
              </w:rPr>
              <w:t>切割</w:t>
            </w:r>
            <w:r>
              <w:rPr>
                <w:rFonts w:hint="eastAsia" w:cs="Times New Roman"/>
                <w:bCs/>
                <w:color w:val="auto"/>
                <w:sz w:val="24"/>
                <w:lang w:eastAsia="zh-CN"/>
              </w:rPr>
              <w:t>粉尘、</w:t>
            </w:r>
            <w:r>
              <w:rPr>
                <w:rFonts w:hint="eastAsia" w:cs="Times New Roman"/>
                <w:bCs/>
                <w:color w:val="auto"/>
                <w:sz w:val="24"/>
                <w:lang w:val="en-US" w:eastAsia="zh-CN"/>
              </w:rPr>
              <w:t>焊接</w:t>
            </w:r>
            <w:r>
              <w:rPr>
                <w:rFonts w:hint="eastAsia" w:cs="Times New Roman"/>
                <w:bCs/>
                <w:color w:val="auto"/>
                <w:sz w:val="24"/>
                <w:lang w:eastAsia="zh-CN"/>
              </w:rPr>
              <w:t>粉尘</w:t>
            </w:r>
            <w:r>
              <w:rPr>
                <w:rFonts w:hint="eastAsia" w:cs="Times New Roman"/>
                <w:bCs/>
                <w:color w:val="auto"/>
                <w:sz w:val="24"/>
                <w:lang w:val="en-US" w:eastAsia="zh-CN"/>
              </w:rPr>
              <w:t>、打磨粉尘</w:t>
            </w:r>
            <w:r>
              <w:rPr>
                <w:rFonts w:hint="eastAsia"/>
                <w:color w:val="000000" w:themeColor="text1"/>
                <w:highlight w:val="none"/>
                <w:lang w:val="en-US" w:eastAsia="zh-CN"/>
                <w14:textFill>
                  <w14:solidFill>
                    <w14:schemeClr w14:val="tx1"/>
                  </w14:solidFill>
                </w14:textFill>
              </w:rPr>
              <w:t>。</w:t>
            </w:r>
          </w:p>
          <w:p>
            <w:pPr>
              <w:pStyle w:val="32"/>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1</w:t>
            </w:r>
            <w:r>
              <w:rPr>
                <w:rFonts w:hint="default" w:ascii="Times New Roman" w:hAnsi="Times New Roman" w:cs="Times New Roman"/>
                <w:color w:val="auto"/>
                <w:lang w:eastAsia="zh-CN"/>
              </w:rPr>
              <w:t>）</w:t>
            </w:r>
            <w:r>
              <w:rPr>
                <w:rFonts w:hint="eastAsia" w:cs="Times New Roman"/>
                <w:bCs/>
                <w:color w:val="auto"/>
                <w:sz w:val="24"/>
                <w:lang w:val="en-US" w:eastAsia="zh-CN"/>
              </w:rPr>
              <w:t>切割废气</w:t>
            </w:r>
          </w:p>
          <w:p>
            <w:pPr>
              <w:bidi w:val="0"/>
              <w:rPr>
                <w:rFonts w:hint="eastAsia"/>
                <w:color w:val="auto"/>
                <w:highlight w:val="none"/>
                <w:lang w:val="en-US" w:eastAsia="zh-CN"/>
              </w:rPr>
            </w:pPr>
            <w:r>
              <w:rPr>
                <w:rFonts w:hint="eastAsia"/>
                <w:color w:val="000000" w:themeColor="text1"/>
                <w:highlight w:val="none"/>
                <w:lang w:val="en-US" w:eastAsia="zh-CN"/>
                <w14:textFill>
                  <w14:solidFill>
                    <w14:schemeClr w14:val="tx1"/>
                  </w14:solidFill>
                </w14:textFill>
              </w:rPr>
              <w:t>项目钢板主要采用激光切割机进行下料，激光切割机是将从</w:t>
            </w:r>
            <w:r>
              <w:rPr>
                <w:rFonts w:hint="eastAsia"/>
                <w:color w:val="000000" w:themeColor="text1"/>
                <w:highlight w:val="none"/>
                <w:lang w:val="en-US" w:eastAsia="zh-CN"/>
                <w14:textFill>
                  <w14:solidFill>
                    <w14:schemeClr w14:val="tx1"/>
                  </w14:solidFill>
                </w14:textFill>
              </w:rPr>
              <w:fldChar w:fldCharType="begin"/>
            </w:r>
            <w:r>
              <w:rPr>
                <w:rFonts w:hint="eastAsia"/>
                <w:color w:val="000000" w:themeColor="text1"/>
                <w:highlight w:val="none"/>
                <w:lang w:val="en-US" w:eastAsia="zh-CN"/>
                <w14:textFill>
                  <w14:solidFill>
                    <w14:schemeClr w14:val="tx1"/>
                  </w14:solidFill>
                </w14:textFill>
              </w:rPr>
              <w:instrText xml:space="preserve"> HYPERLINK "https://baike.baidu.com/item/%E6%BF%80%E5%85%89%E5%99%A8/2374206?fromModule=lemma_inlink" \t "https://baike.baidu.com/item/%E6%BF%80%E5%85%89%E5%88%87%E5%89%B2%E6%9C%BA/_blank" </w:instrText>
            </w:r>
            <w:r>
              <w:rPr>
                <w:rFonts w:hint="eastAsia"/>
                <w:color w:val="000000" w:themeColor="text1"/>
                <w:highlight w:val="none"/>
                <w:lang w:val="en-US" w:eastAsia="zh-CN"/>
                <w14:textFill>
                  <w14:solidFill>
                    <w14:schemeClr w14:val="tx1"/>
                  </w14:solidFill>
                </w14:textFill>
              </w:rPr>
              <w:fldChar w:fldCharType="separate"/>
            </w:r>
            <w:r>
              <w:rPr>
                <w:rFonts w:hint="eastAsia"/>
                <w:color w:val="000000" w:themeColor="text1"/>
                <w:highlight w:val="none"/>
                <w:lang w:val="en-US" w:eastAsia="zh-CN"/>
                <w14:textFill>
                  <w14:solidFill>
                    <w14:schemeClr w14:val="tx1"/>
                  </w14:solidFill>
                </w14:textFill>
              </w:rPr>
              <w:t>激光器</w:t>
            </w:r>
            <w:r>
              <w:rPr>
                <w:rFonts w:hint="eastAsia"/>
                <w:color w:val="000000" w:themeColor="text1"/>
                <w:highlight w:val="none"/>
                <w:lang w:val="en-US" w:eastAsia="zh-CN"/>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发射出的激光，经光路系统，聚焦成高</w:t>
            </w:r>
            <w:r>
              <w:rPr>
                <w:rFonts w:hint="eastAsia"/>
                <w:color w:val="000000" w:themeColor="text1"/>
                <w:highlight w:val="none"/>
                <w:lang w:val="en-US" w:eastAsia="zh-CN"/>
                <w14:textFill>
                  <w14:solidFill>
                    <w14:schemeClr w14:val="tx1"/>
                  </w14:solidFill>
                </w14:textFill>
              </w:rPr>
              <w:fldChar w:fldCharType="begin"/>
            </w:r>
            <w:r>
              <w:rPr>
                <w:rFonts w:hint="eastAsia"/>
                <w:color w:val="000000" w:themeColor="text1"/>
                <w:highlight w:val="none"/>
                <w:lang w:val="en-US" w:eastAsia="zh-CN"/>
                <w14:textFill>
                  <w14:solidFill>
                    <w14:schemeClr w14:val="tx1"/>
                  </w14:solidFill>
                </w14:textFill>
              </w:rPr>
              <w:instrText xml:space="preserve"> HYPERLINK "https://baike.baidu.com/item/%E5%8A%9F%E7%8E%87%E5%AF%86%E5%BA%A6/1595397?fromModule=lemma_inlink" \t "https://baike.baidu.com/item/%E6%BF%80%E5%85%89%E5%88%87%E5%89%B2%E6%9C%BA/_blank" </w:instrText>
            </w:r>
            <w:r>
              <w:rPr>
                <w:rFonts w:hint="eastAsia"/>
                <w:color w:val="000000" w:themeColor="text1"/>
                <w:highlight w:val="none"/>
                <w:lang w:val="en-US" w:eastAsia="zh-CN"/>
                <w14:textFill>
                  <w14:solidFill>
                    <w14:schemeClr w14:val="tx1"/>
                  </w14:solidFill>
                </w14:textFill>
              </w:rPr>
              <w:fldChar w:fldCharType="separate"/>
            </w:r>
            <w:r>
              <w:rPr>
                <w:rFonts w:hint="eastAsia"/>
                <w:color w:val="000000" w:themeColor="text1"/>
                <w:highlight w:val="none"/>
                <w:lang w:val="en-US" w:eastAsia="zh-CN"/>
                <w14:textFill>
                  <w14:solidFill>
                    <w14:schemeClr w14:val="tx1"/>
                  </w14:solidFill>
                </w14:textFill>
              </w:rPr>
              <w:t>功率密度</w:t>
            </w:r>
            <w:r>
              <w:rPr>
                <w:rFonts w:hint="eastAsia"/>
                <w:color w:val="000000" w:themeColor="text1"/>
                <w:highlight w:val="none"/>
                <w:lang w:val="en-US" w:eastAsia="zh-CN"/>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的激光束。激光束照射到</w:t>
            </w:r>
            <w:r>
              <w:rPr>
                <w:rFonts w:hint="eastAsia"/>
                <w:color w:val="000000" w:themeColor="text1"/>
                <w:highlight w:val="none"/>
                <w:lang w:val="en-US" w:eastAsia="zh-CN"/>
                <w14:textFill>
                  <w14:solidFill>
                    <w14:schemeClr w14:val="tx1"/>
                  </w14:solidFill>
                </w14:textFill>
              </w:rPr>
              <w:fldChar w:fldCharType="begin"/>
            </w:r>
            <w:r>
              <w:rPr>
                <w:rFonts w:hint="eastAsia"/>
                <w:color w:val="000000" w:themeColor="text1"/>
                <w:highlight w:val="none"/>
                <w:lang w:val="en-US" w:eastAsia="zh-CN"/>
                <w14:textFill>
                  <w14:solidFill>
                    <w14:schemeClr w14:val="tx1"/>
                  </w14:solidFill>
                </w14:textFill>
              </w:rPr>
              <w:instrText xml:space="preserve"> HYPERLINK "https://baike.baidu.com/item/%E5%B7%A5%E4%BB%B6/0?fromModule=lemma_inlink" \t "https://baike.baidu.com/item/%E6%BF%80%E5%85%89%E5%88%87%E5%89%B2%E6%9C%BA/_blank" </w:instrText>
            </w:r>
            <w:r>
              <w:rPr>
                <w:rFonts w:hint="eastAsia"/>
                <w:color w:val="000000" w:themeColor="text1"/>
                <w:highlight w:val="none"/>
                <w:lang w:val="en-US" w:eastAsia="zh-CN"/>
                <w14:textFill>
                  <w14:solidFill>
                    <w14:schemeClr w14:val="tx1"/>
                  </w14:solidFill>
                </w14:textFill>
              </w:rPr>
              <w:fldChar w:fldCharType="separate"/>
            </w:r>
            <w:r>
              <w:rPr>
                <w:rFonts w:hint="eastAsia"/>
                <w:color w:val="000000" w:themeColor="text1"/>
                <w:highlight w:val="none"/>
                <w:lang w:val="en-US" w:eastAsia="zh-CN"/>
                <w14:textFill>
                  <w14:solidFill>
                    <w14:schemeClr w14:val="tx1"/>
                  </w14:solidFill>
                </w14:textFill>
              </w:rPr>
              <w:t>工件</w:t>
            </w:r>
            <w:r>
              <w:rPr>
                <w:rFonts w:hint="eastAsia"/>
                <w:color w:val="000000" w:themeColor="text1"/>
                <w:highlight w:val="none"/>
                <w:lang w:val="en-US" w:eastAsia="zh-CN"/>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表面，使工件达到</w:t>
            </w:r>
            <w:r>
              <w:rPr>
                <w:rFonts w:hint="eastAsia"/>
                <w:color w:val="000000" w:themeColor="text1"/>
                <w:highlight w:val="none"/>
                <w:lang w:val="en-US" w:eastAsia="zh-CN"/>
                <w14:textFill>
                  <w14:solidFill>
                    <w14:schemeClr w14:val="tx1"/>
                  </w14:solidFill>
                </w14:textFill>
              </w:rPr>
              <w:fldChar w:fldCharType="begin"/>
            </w:r>
            <w:r>
              <w:rPr>
                <w:rFonts w:hint="eastAsia"/>
                <w:color w:val="000000" w:themeColor="text1"/>
                <w:highlight w:val="none"/>
                <w:lang w:val="en-US" w:eastAsia="zh-CN"/>
                <w14:textFill>
                  <w14:solidFill>
                    <w14:schemeClr w14:val="tx1"/>
                  </w14:solidFill>
                </w14:textFill>
              </w:rPr>
              <w:instrText xml:space="preserve"> HYPERLINK "https://baike.baidu.com/item/%E7%86%94%E7%82%B9/2144633?fromModule=lemma_inlink" \t "https://baike.baidu.com/item/%E6%BF%80%E5%85%89%E5%88%87%E5%89%B2%E6%9C%BA/_blank" </w:instrText>
            </w:r>
            <w:r>
              <w:rPr>
                <w:rFonts w:hint="eastAsia"/>
                <w:color w:val="000000" w:themeColor="text1"/>
                <w:highlight w:val="none"/>
                <w:lang w:val="en-US" w:eastAsia="zh-CN"/>
                <w14:textFill>
                  <w14:solidFill>
                    <w14:schemeClr w14:val="tx1"/>
                  </w14:solidFill>
                </w14:textFill>
              </w:rPr>
              <w:fldChar w:fldCharType="separate"/>
            </w:r>
            <w:r>
              <w:rPr>
                <w:rFonts w:hint="eastAsia"/>
                <w:color w:val="000000" w:themeColor="text1"/>
                <w:highlight w:val="none"/>
                <w:lang w:val="en-US" w:eastAsia="zh-CN"/>
                <w14:textFill>
                  <w14:solidFill>
                    <w14:schemeClr w14:val="tx1"/>
                  </w14:solidFill>
                </w14:textFill>
              </w:rPr>
              <w:t>熔点</w:t>
            </w:r>
            <w:r>
              <w:rPr>
                <w:rFonts w:hint="eastAsia"/>
                <w:color w:val="000000" w:themeColor="text1"/>
                <w:highlight w:val="none"/>
                <w:lang w:val="en-US" w:eastAsia="zh-CN"/>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或沸点，同时与光束同轴的高压气体将熔化或</w:t>
            </w:r>
            <w:r>
              <w:rPr>
                <w:rFonts w:hint="eastAsia"/>
                <w:color w:val="000000" w:themeColor="text1"/>
                <w:highlight w:val="none"/>
                <w:lang w:val="en-US" w:eastAsia="zh-CN"/>
                <w14:textFill>
                  <w14:solidFill>
                    <w14:schemeClr w14:val="tx1"/>
                  </w14:solidFill>
                </w14:textFill>
              </w:rPr>
              <w:fldChar w:fldCharType="begin"/>
            </w:r>
            <w:r>
              <w:rPr>
                <w:rFonts w:hint="eastAsia"/>
                <w:color w:val="000000" w:themeColor="text1"/>
                <w:highlight w:val="none"/>
                <w:lang w:val="en-US" w:eastAsia="zh-CN"/>
                <w14:textFill>
                  <w14:solidFill>
                    <w14:schemeClr w14:val="tx1"/>
                  </w14:solidFill>
                </w14:textFill>
              </w:rPr>
              <w:instrText xml:space="preserve"> HYPERLINK "https://baike.baidu.com/item/%E6%B0%94%E5%8C%96/4361815?fromModule=lemma_inlink" \t "https://baike.baidu.com/item/%E6%BF%80%E5%85%89%E5%88%87%E5%89%B2%E6%9C%BA/_blank" </w:instrText>
            </w:r>
            <w:r>
              <w:rPr>
                <w:rFonts w:hint="eastAsia"/>
                <w:color w:val="000000" w:themeColor="text1"/>
                <w:highlight w:val="none"/>
                <w:lang w:val="en-US" w:eastAsia="zh-CN"/>
                <w14:textFill>
                  <w14:solidFill>
                    <w14:schemeClr w14:val="tx1"/>
                  </w14:solidFill>
                </w14:textFill>
              </w:rPr>
              <w:fldChar w:fldCharType="separate"/>
            </w:r>
            <w:r>
              <w:rPr>
                <w:rFonts w:hint="eastAsia"/>
                <w:color w:val="000000" w:themeColor="text1"/>
                <w:highlight w:val="none"/>
                <w:lang w:val="en-US" w:eastAsia="zh-CN"/>
                <w14:textFill>
                  <w14:solidFill>
                    <w14:schemeClr w14:val="tx1"/>
                  </w14:solidFill>
                </w14:textFill>
              </w:rPr>
              <w:t>气化</w:t>
            </w:r>
            <w:r>
              <w:rPr>
                <w:rFonts w:hint="eastAsia"/>
                <w:color w:val="000000" w:themeColor="text1"/>
                <w:highlight w:val="none"/>
                <w:lang w:val="en-US" w:eastAsia="zh-CN"/>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金属吹走。切割过程中均会产生一定量的切割烟尘。根据《排污源统计调查产排污核算方法和系数手册》“机械行业系数手册”中的“</w:t>
            </w:r>
            <w:r>
              <w:rPr>
                <w:rFonts w:ascii="Times New Roman" w:hAnsi="Times New Roman" w:eastAsia="Times New Roman" w:cs="Times New Roman"/>
                <w:spacing w:val="-3"/>
              </w:rPr>
              <w:t>04</w:t>
            </w:r>
            <w:r>
              <w:rPr>
                <w:spacing w:val="-3"/>
              </w:rPr>
              <w:t>下料</w:t>
            </w:r>
            <w:r>
              <w:rPr>
                <w:rFonts w:hint="eastAsia"/>
                <w:spacing w:val="-3"/>
                <w:lang w:val="en-US" w:eastAsia="zh-CN"/>
              </w:rPr>
              <w:t>-</w:t>
            </w:r>
            <w:r>
              <w:rPr>
                <w:rFonts w:hint="eastAsia"/>
                <w:color w:val="000000" w:themeColor="text1"/>
                <w:highlight w:val="none"/>
                <w:lang w:val="en-US" w:eastAsia="zh-CN"/>
                <w14:textFill>
                  <w14:solidFill>
                    <w14:schemeClr w14:val="tx1"/>
                  </w14:solidFill>
                </w14:textFill>
              </w:rPr>
              <w:t>氧/可燃气切割”，激光切割颗粒物产污系数为1.50kg/t原料，本项目钢板年用量为500t/a</w:t>
            </w:r>
            <w:r>
              <w:rPr>
                <w:rFonts w:hint="eastAsia"/>
                <w:color w:val="auto"/>
                <w:highlight w:val="none"/>
                <w:lang w:val="en-US" w:eastAsia="zh-CN"/>
              </w:rPr>
              <w:t>，切割机每天累计运行时间约为6h，则本项目切割下料工序烟尘产生量为0.75t/a。</w:t>
            </w:r>
          </w:p>
          <w:p>
            <w:pPr>
              <w:pStyle w:val="23"/>
              <w:spacing w:after="0" w:line="360" w:lineRule="auto"/>
              <w:ind w:left="0" w:leftChars="0" w:firstLine="480"/>
            </w:pPr>
            <w:r>
              <w:rPr>
                <w:rFonts w:hint="eastAsia"/>
                <w:szCs w:val="24"/>
              </w:rPr>
              <w:t>本项目拟在</w:t>
            </w:r>
            <w:r>
              <w:rPr>
                <w:rFonts w:hint="eastAsia"/>
                <w:szCs w:val="24"/>
                <w:lang w:val="en-US" w:eastAsia="zh-CN"/>
              </w:rPr>
              <w:t>切割机</w:t>
            </w:r>
            <w:r>
              <w:rPr>
                <w:rFonts w:hint="eastAsia"/>
                <w:szCs w:val="24"/>
              </w:rPr>
              <w:t>上方设置</w:t>
            </w:r>
            <w:r>
              <w:rPr>
                <w:rFonts w:hint="eastAsia"/>
                <w:szCs w:val="24"/>
                <w:lang w:val="en-US" w:eastAsia="zh-CN"/>
              </w:rPr>
              <w:t>1.2</w:t>
            </w:r>
            <w:r>
              <w:rPr>
                <w:rFonts w:hint="default" w:ascii="Times New Roman" w:hAnsi="Times New Roman" w:cs="Times New Roman"/>
                <w:szCs w:val="24"/>
              </w:rPr>
              <w:t>mm×</w:t>
            </w:r>
            <w:r>
              <w:rPr>
                <w:rFonts w:hint="eastAsia" w:ascii="Times New Roman" w:hAnsi="Times New Roman" w:cs="Times New Roman"/>
                <w:szCs w:val="24"/>
                <w:lang w:val="en-US" w:eastAsia="zh-CN"/>
              </w:rPr>
              <w:t>1.2</w:t>
            </w:r>
            <w:r>
              <w:rPr>
                <w:rFonts w:hint="eastAsia"/>
                <w:szCs w:val="24"/>
              </w:rPr>
              <w:t>mm集气罩</w:t>
            </w:r>
            <w:r>
              <w:rPr>
                <w:rFonts w:hint="eastAsia"/>
                <w:szCs w:val="24"/>
                <w:lang w:val="en-US" w:eastAsia="zh-CN"/>
              </w:rPr>
              <w:t>1</w:t>
            </w:r>
            <w:r>
              <w:rPr>
                <w:rFonts w:hint="eastAsia"/>
                <w:szCs w:val="24"/>
              </w:rPr>
              <w:t>个。</w:t>
            </w:r>
          </w:p>
          <w:p>
            <w:pPr>
              <w:adjustRightInd w:val="0"/>
              <w:snapToGrid w:val="0"/>
              <w:spacing w:line="360" w:lineRule="auto"/>
              <w:ind w:firstLine="480" w:firstLineChars="200"/>
              <w:rPr>
                <w:kern w:val="0"/>
                <w:sz w:val="24"/>
              </w:rPr>
            </w:pPr>
            <w:r>
              <w:rPr>
                <w:kern w:val="0"/>
                <w:sz w:val="24"/>
              </w:rPr>
              <w:t>参照《环境工程设计手册》中集气罩风量确定计算公式：</w:t>
            </w:r>
          </w:p>
          <w:p>
            <w:pPr>
              <w:adjustRightInd w:val="0"/>
              <w:snapToGrid w:val="0"/>
              <w:spacing w:line="360" w:lineRule="auto"/>
              <w:jc w:val="center"/>
              <w:rPr>
                <w:kern w:val="0"/>
                <w:sz w:val="24"/>
              </w:rPr>
            </w:pPr>
            <w:r>
              <w:rPr>
                <w:kern w:val="0"/>
                <w:sz w:val="24"/>
              </w:rPr>
              <w:t>Q=KPHVx</w:t>
            </w:r>
          </w:p>
          <w:p>
            <w:pPr>
              <w:adjustRightInd w:val="0"/>
              <w:snapToGrid w:val="0"/>
              <w:spacing w:line="360" w:lineRule="auto"/>
              <w:ind w:firstLine="480" w:firstLineChars="200"/>
              <w:rPr>
                <w:kern w:val="0"/>
                <w:sz w:val="24"/>
              </w:rPr>
            </w:pPr>
            <w:r>
              <w:rPr>
                <w:kern w:val="0"/>
                <w:sz w:val="24"/>
              </w:rPr>
              <w:t>式中：Q——风量m</w:t>
            </w:r>
            <w:r>
              <w:rPr>
                <w:kern w:val="0"/>
                <w:sz w:val="24"/>
                <w:vertAlign w:val="superscript"/>
              </w:rPr>
              <w:t>3</w:t>
            </w:r>
            <w:r>
              <w:rPr>
                <w:kern w:val="0"/>
                <w:sz w:val="24"/>
              </w:rPr>
              <w:t>/s；</w:t>
            </w:r>
          </w:p>
          <w:p>
            <w:pPr>
              <w:adjustRightInd w:val="0"/>
              <w:snapToGrid w:val="0"/>
              <w:spacing w:line="360" w:lineRule="auto"/>
              <w:ind w:firstLine="1200" w:firstLineChars="500"/>
              <w:rPr>
                <w:kern w:val="0"/>
                <w:sz w:val="24"/>
              </w:rPr>
            </w:pPr>
            <w:r>
              <w:rPr>
                <w:kern w:val="0"/>
                <w:sz w:val="24"/>
              </w:rPr>
              <w:t>k——考虑沿高度速度分布不均的安全系数，通常取k=1.4；</w:t>
            </w:r>
          </w:p>
          <w:p>
            <w:pPr>
              <w:adjustRightInd w:val="0"/>
              <w:snapToGrid w:val="0"/>
              <w:spacing w:line="360" w:lineRule="auto"/>
              <w:ind w:firstLine="1200" w:firstLineChars="500"/>
              <w:rPr>
                <w:kern w:val="0"/>
                <w:sz w:val="24"/>
              </w:rPr>
            </w:pPr>
            <w:r>
              <w:rPr>
                <w:kern w:val="0"/>
                <w:sz w:val="24"/>
              </w:rPr>
              <w:t>P——罩口敞开周长m；</w:t>
            </w:r>
          </w:p>
          <w:p>
            <w:pPr>
              <w:adjustRightInd w:val="0"/>
              <w:snapToGrid w:val="0"/>
              <w:spacing w:line="360" w:lineRule="auto"/>
              <w:ind w:firstLine="1200" w:firstLineChars="500"/>
              <w:rPr>
                <w:kern w:val="0"/>
                <w:sz w:val="24"/>
              </w:rPr>
            </w:pPr>
            <w:r>
              <w:rPr>
                <w:kern w:val="0"/>
                <w:sz w:val="24"/>
              </w:rPr>
              <w:t>H——罩口距污染源的距离（本项目取0.</w:t>
            </w:r>
            <w:r>
              <w:rPr>
                <w:rFonts w:hint="eastAsia"/>
                <w:kern w:val="0"/>
                <w:sz w:val="24"/>
                <w:lang w:val="en-US" w:eastAsia="zh-CN"/>
              </w:rPr>
              <w:t>6</w:t>
            </w:r>
            <w:r>
              <w:rPr>
                <w:kern w:val="0"/>
                <w:sz w:val="24"/>
              </w:rPr>
              <w:t>m）；</w:t>
            </w:r>
          </w:p>
          <w:p>
            <w:pPr>
              <w:adjustRightInd w:val="0"/>
              <w:snapToGrid w:val="0"/>
              <w:spacing w:line="360" w:lineRule="auto"/>
              <w:ind w:firstLine="1200" w:firstLineChars="500"/>
              <w:rPr>
                <w:kern w:val="0"/>
                <w:sz w:val="24"/>
              </w:rPr>
            </w:pPr>
            <w:r>
              <w:rPr>
                <w:kern w:val="0"/>
                <w:sz w:val="24"/>
              </w:rPr>
              <w:t>Vx——控制速度m/s（本项目取0.</w:t>
            </w:r>
            <w:r>
              <w:rPr>
                <w:rFonts w:hint="eastAsia"/>
                <w:kern w:val="0"/>
                <w:sz w:val="24"/>
                <w:lang w:val="en-US" w:eastAsia="zh-CN"/>
              </w:rPr>
              <w:t>4</w:t>
            </w:r>
            <w:r>
              <w:rPr>
                <w:kern w:val="0"/>
                <w:sz w:val="24"/>
              </w:rPr>
              <w:t>m/s）。</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center"/>
              <w:textAlignment w:val="auto"/>
              <w:rPr>
                <w:kern w:val="0"/>
                <w:sz w:val="24"/>
              </w:rPr>
            </w:pPr>
            <w:r>
              <w:rPr>
                <w:kern w:val="0"/>
                <w:sz w:val="24"/>
              </w:rPr>
              <w:t>Q=1.4×2（</w:t>
            </w:r>
            <w:r>
              <w:rPr>
                <w:rFonts w:hint="eastAsia"/>
                <w:kern w:val="0"/>
                <w:sz w:val="24"/>
                <w:lang w:val="en-US" w:eastAsia="zh-CN"/>
              </w:rPr>
              <w:t>1.2</w:t>
            </w:r>
            <w:r>
              <w:rPr>
                <w:kern w:val="0"/>
                <w:sz w:val="24"/>
              </w:rPr>
              <w:t>+</w:t>
            </w:r>
            <w:r>
              <w:rPr>
                <w:rFonts w:hint="eastAsia"/>
                <w:kern w:val="0"/>
                <w:sz w:val="24"/>
                <w:lang w:val="en-US" w:eastAsia="zh-CN"/>
              </w:rPr>
              <w:t>1.2</w:t>
            </w:r>
            <w:r>
              <w:rPr>
                <w:kern w:val="0"/>
                <w:sz w:val="24"/>
              </w:rPr>
              <w:t>）×0.</w:t>
            </w:r>
            <w:r>
              <w:rPr>
                <w:rFonts w:hint="eastAsia"/>
                <w:kern w:val="0"/>
                <w:sz w:val="24"/>
                <w:lang w:val="en-US" w:eastAsia="zh-CN"/>
              </w:rPr>
              <w:t>6</w:t>
            </w:r>
            <w:r>
              <w:rPr>
                <w:kern w:val="0"/>
                <w:sz w:val="24"/>
              </w:rPr>
              <w:t>×0.</w:t>
            </w:r>
            <w:r>
              <w:rPr>
                <w:rFonts w:hint="eastAsia"/>
                <w:kern w:val="0"/>
                <w:sz w:val="24"/>
                <w:lang w:val="en-US" w:eastAsia="zh-CN"/>
              </w:rPr>
              <w:t>4</w:t>
            </w:r>
            <w:r>
              <w:rPr>
                <w:kern w:val="0"/>
                <w:sz w:val="24"/>
              </w:rPr>
              <w:t>×3600=</w:t>
            </w:r>
            <w:r>
              <w:rPr>
                <w:rFonts w:hint="eastAsia"/>
                <w:kern w:val="0"/>
                <w:sz w:val="24"/>
                <w:lang w:val="en-US" w:eastAsia="zh-CN"/>
              </w:rPr>
              <w:t>5806</w:t>
            </w:r>
            <w:r>
              <w:rPr>
                <w:kern w:val="0"/>
                <w:sz w:val="24"/>
              </w:rPr>
              <w:t>m</w:t>
            </w:r>
            <w:r>
              <w:rPr>
                <w:kern w:val="0"/>
                <w:sz w:val="24"/>
                <w:vertAlign w:val="superscript"/>
              </w:rPr>
              <w:t>3</w:t>
            </w:r>
            <w:r>
              <w:rPr>
                <w:kern w:val="0"/>
                <w:sz w:val="24"/>
              </w:rPr>
              <w:t>/h</w:t>
            </w:r>
            <w:r>
              <w:rPr>
                <w:rFonts w:ascii="Times New Roman" w:hAnsi="Times New Roman"/>
                <w:szCs w:val="24"/>
              </w:rPr>
              <w:t>≈</w:t>
            </w:r>
            <w:r>
              <w:rPr>
                <w:rFonts w:hint="eastAsia" w:ascii="Times New Roman" w:hAnsi="Times New Roman"/>
                <w:szCs w:val="24"/>
                <w:lang w:val="en-US" w:eastAsia="zh-CN"/>
              </w:rPr>
              <w:t>6000</w:t>
            </w:r>
            <w:r>
              <w:rPr>
                <w:rFonts w:ascii="Times New Roman" w:hAnsi="Times New Roman"/>
                <w:szCs w:val="24"/>
              </w:rPr>
              <w:t>m</w:t>
            </w:r>
            <w:r>
              <w:rPr>
                <w:rFonts w:ascii="Times New Roman" w:hAnsi="Times New Roman"/>
                <w:szCs w:val="24"/>
                <w:vertAlign w:val="superscript"/>
              </w:rPr>
              <w:t>3</w:t>
            </w:r>
            <w:r>
              <w:rPr>
                <w:rFonts w:ascii="Times New Roman" w:hAnsi="Times New Roman"/>
                <w:szCs w:val="24"/>
              </w:rPr>
              <w:t>/h</w:t>
            </w:r>
          </w:p>
          <w:p>
            <w:pPr>
              <w:bidi w:val="0"/>
              <w:rPr>
                <w:rFonts w:hint="default"/>
                <w:color w:val="00B050"/>
                <w:highlight w:val="none"/>
                <w:lang w:val="en-US" w:eastAsia="zh-CN"/>
              </w:rPr>
            </w:pPr>
            <w:r>
              <w:rPr>
                <w:rFonts w:hint="default" w:ascii="Times New Roman" w:hAnsi="Times New Roman" w:cs="Times New Roman"/>
                <w:color w:val="auto"/>
                <w:sz w:val="24"/>
                <w:szCs w:val="32"/>
                <w:highlight w:val="none"/>
                <w:lang w:val="en-US" w:eastAsia="zh-CN"/>
              </w:rPr>
              <w:t>项目</w:t>
            </w:r>
            <w:r>
              <w:rPr>
                <w:rFonts w:hint="eastAsia" w:cs="Times New Roman"/>
                <w:color w:val="auto"/>
                <w:sz w:val="24"/>
                <w:szCs w:val="32"/>
                <w:highlight w:val="none"/>
                <w:lang w:val="en-US" w:eastAsia="zh-CN"/>
              </w:rPr>
              <w:t>设置集气罩对产生的</w:t>
            </w:r>
            <w:r>
              <w:rPr>
                <w:rFonts w:hint="eastAsia" w:cs="Times New Roman"/>
                <w:color w:val="auto"/>
                <w:kern w:val="2"/>
                <w:sz w:val="24"/>
                <w:szCs w:val="24"/>
                <w:lang w:val="en-US" w:eastAsia="zh-CN" w:bidi="ar"/>
              </w:rPr>
              <w:t>切割</w:t>
            </w:r>
            <w:r>
              <w:rPr>
                <w:rFonts w:hint="eastAsia" w:cs="Times New Roman"/>
                <w:color w:val="auto"/>
                <w:sz w:val="24"/>
                <w:szCs w:val="32"/>
                <w:highlight w:val="none"/>
                <w:lang w:val="en-US" w:eastAsia="zh-CN"/>
              </w:rPr>
              <w:t>粉尘进行收集，收集后通过布袋除尘器处理，</w:t>
            </w:r>
            <w:r>
              <w:rPr>
                <w:rFonts w:hint="default" w:ascii="Times New Roman" w:hAnsi="Times New Roman" w:cs="Times New Roman"/>
                <w:color w:val="auto"/>
                <w:sz w:val="24"/>
                <w:szCs w:val="32"/>
                <w:highlight w:val="none"/>
                <w:lang w:val="en-US" w:eastAsia="zh-CN"/>
              </w:rPr>
              <w:t>布袋除尘器处理后通过</w:t>
            </w:r>
            <w:r>
              <w:rPr>
                <w:rFonts w:hint="default" w:ascii="Times New Roman" w:hAnsi="Times New Roman" w:eastAsia="宋体" w:cs="Times New Roman"/>
                <w:color w:val="000000"/>
                <w:kern w:val="2"/>
                <w:sz w:val="24"/>
                <w:szCs w:val="22"/>
                <w:highlight w:val="none"/>
                <w:lang w:val="en-US" w:eastAsia="zh-CN" w:bidi="ar-SA"/>
              </w:rPr>
              <w:t>1根</w:t>
            </w:r>
            <w:r>
              <w:rPr>
                <w:rFonts w:hint="eastAsia" w:cs="Times New Roman"/>
                <w:color w:val="000000"/>
                <w:kern w:val="2"/>
                <w:sz w:val="24"/>
                <w:szCs w:val="22"/>
                <w:highlight w:val="none"/>
                <w:lang w:val="en-US" w:eastAsia="zh-CN" w:bidi="ar-SA"/>
              </w:rPr>
              <w:t>15</w:t>
            </w:r>
            <w:r>
              <w:rPr>
                <w:rFonts w:hint="default" w:ascii="Times New Roman" w:hAnsi="Times New Roman" w:eastAsia="宋体" w:cs="Times New Roman"/>
                <w:color w:val="000000"/>
                <w:kern w:val="2"/>
                <w:sz w:val="24"/>
                <w:szCs w:val="22"/>
                <w:highlight w:val="none"/>
                <w:lang w:val="en-US" w:eastAsia="zh-CN" w:bidi="ar-SA"/>
              </w:rPr>
              <w:t>m高排气筒（</w:t>
            </w:r>
            <w:r>
              <w:rPr>
                <w:rFonts w:hint="eastAsia" w:ascii="Times New Roman" w:hAnsi="Times New Roman" w:eastAsia="宋体" w:cs="Times New Roman"/>
                <w:color w:val="000000"/>
                <w:kern w:val="2"/>
                <w:sz w:val="24"/>
                <w:szCs w:val="22"/>
                <w:highlight w:val="none"/>
                <w:lang w:val="en-US" w:eastAsia="zh-CN" w:bidi="ar-SA"/>
              </w:rPr>
              <w:t>DA00</w:t>
            </w:r>
            <w:r>
              <w:rPr>
                <w:rFonts w:hint="eastAsia" w:ascii="Times New Roman" w:hAnsi="Times New Roman" w:cs="Times New Roman"/>
                <w:color w:val="000000"/>
                <w:kern w:val="2"/>
                <w:sz w:val="24"/>
                <w:szCs w:val="22"/>
                <w:highlight w:val="none"/>
                <w:lang w:val="en-US" w:eastAsia="zh-CN" w:bidi="ar-SA"/>
              </w:rPr>
              <w:t>1</w:t>
            </w:r>
            <w:r>
              <w:rPr>
                <w:rFonts w:hint="default" w:ascii="Times New Roman" w:hAnsi="Times New Roman" w:eastAsia="宋体" w:cs="Times New Roman"/>
                <w:color w:val="000000"/>
                <w:kern w:val="2"/>
                <w:sz w:val="24"/>
                <w:szCs w:val="22"/>
                <w:highlight w:val="none"/>
                <w:lang w:val="en-US" w:eastAsia="zh-CN" w:bidi="ar-SA"/>
              </w:rPr>
              <w:t>）排放</w:t>
            </w:r>
            <w:r>
              <w:rPr>
                <w:rFonts w:hint="eastAsia" w:ascii="Times New Roman" w:hAnsi="Times New Roman" w:cs="Times New Roman"/>
                <w:color w:val="auto"/>
                <w:kern w:val="0"/>
                <w:sz w:val="24"/>
                <w:szCs w:val="24"/>
                <w:lang w:eastAsia="zh-CN"/>
              </w:rPr>
              <w:t>。</w:t>
            </w:r>
            <w:commentRangeStart w:id="39"/>
            <w:commentRangeStart w:id="40"/>
            <w:r>
              <w:rPr>
                <w:rFonts w:hint="eastAsia"/>
                <w:kern w:val="2"/>
                <w:szCs w:val="22"/>
              </w:rPr>
              <w:t>集气罩</w:t>
            </w:r>
            <w:r>
              <w:rPr>
                <w:kern w:val="2"/>
                <w:szCs w:val="22"/>
              </w:rPr>
              <w:t>收集率按</w:t>
            </w:r>
            <w:r>
              <w:rPr>
                <w:rFonts w:hint="eastAsia"/>
                <w:kern w:val="2"/>
                <w:szCs w:val="22"/>
              </w:rPr>
              <w:t>9</w:t>
            </w:r>
            <w:r>
              <w:rPr>
                <w:rFonts w:hint="eastAsia"/>
                <w:kern w:val="2"/>
                <w:szCs w:val="22"/>
                <w:lang w:val="en-US" w:eastAsia="zh-CN"/>
              </w:rPr>
              <w:t>0</w:t>
            </w:r>
            <w:r>
              <w:rPr>
                <w:kern w:val="2"/>
                <w:szCs w:val="22"/>
              </w:rPr>
              <w:t>%计，除尘效率按9</w:t>
            </w:r>
            <w:r>
              <w:rPr>
                <w:rFonts w:hint="eastAsia"/>
                <w:kern w:val="2"/>
                <w:szCs w:val="22"/>
                <w:lang w:val="en-US" w:eastAsia="zh-CN"/>
              </w:rPr>
              <w:t>5</w:t>
            </w:r>
            <w:r>
              <w:rPr>
                <w:kern w:val="2"/>
                <w:szCs w:val="22"/>
              </w:rPr>
              <w:t>%计</w:t>
            </w:r>
            <w:commentRangeEnd w:id="39"/>
            <w:r>
              <w:commentReference w:id="39"/>
            </w:r>
            <w:commentRangeEnd w:id="40"/>
            <w:r>
              <w:commentReference w:id="40"/>
            </w:r>
            <w:r>
              <w:rPr>
                <w:kern w:val="2"/>
                <w:szCs w:val="22"/>
              </w:rPr>
              <w:t>，则</w:t>
            </w:r>
            <w:r>
              <w:rPr>
                <w:rFonts w:hint="eastAsia"/>
                <w:kern w:val="2"/>
                <w:szCs w:val="22"/>
                <w:lang w:val="en-US" w:eastAsia="zh-CN"/>
              </w:rPr>
              <w:t>切割</w:t>
            </w:r>
            <w:r>
              <w:rPr>
                <w:kern w:val="2"/>
                <w:szCs w:val="22"/>
              </w:rPr>
              <w:t>粉尘有组织</w:t>
            </w:r>
            <w:r>
              <w:rPr>
                <w:rFonts w:hint="eastAsia"/>
                <w:kern w:val="2"/>
                <w:szCs w:val="22"/>
              </w:rPr>
              <w:t>收集量为</w:t>
            </w:r>
            <w:r>
              <w:rPr>
                <w:rFonts w:hint="eastAsia"/>
                <w:kern w:val="2"/>
                <w:szCs w:val="22"/>
                <w:lang w:val="en-US" w:eastAsia="zh-CN"/>
              </w:rPr>
              <w:t>0.641</w:t>
            </w:r>
            <w:r>
              <w:rPr>
                <w:rFonts w:hint="eastAsia"/>
                <w:kern w:val="2"/>
                <w:szCs w:val="22"/>
              </w:rPr>
              <w:t>t/a，</w:t>
            </w:r>
            <w:r>
              <w:rPr>
                <w:rFonts w:hint="eastAsia"/>
                <w:kern w:val="2"/>
                <w:szCs w:val="22"/>
                <w:lang w:val="en-US" w:eastAsia="zh-CN"/>
              </w:rPr>
              <w:t>切割</w:t>
            </w:r>
            <w:r>
              <w:rPr>
                <w:kern w:val="2"/>
                <w:szCs w:val="22"/>
              </w:rPr>
              <w:t>粉尘有组织</w:t>
            </w:r>
            <w:r>
              <w:rPr>
                <w:rFonts w:hint="eastAsia"/>
                <w:kern w:val="2"/>
                <w:szCs w:val="22"/>
              </w:rPr>
              <w:t>排放</w:t>
            </w:r>
            <w:r>
              <w:rPr>
                <w:kern w:val="2"/>
                <w:szCs w:val="22"/>
              </w:rPr>
              <w:t>量约</w:t>
            </w:r>
            <w:r>
              <w:rPr>
                <w:rFonts w:hint="eastAsia"/>
                <w:kern w:val="2"/>
                <w:szCs w:val="22"/>
                <w:lang w:val="en-US" w:eastAsia="zh-CN"/>
              </w:rPr>
              <w:t>0.0338</w:t>
            </w:r>
            <w:r>
              <w:rPr>
                <w:kern w:val="2"/>
                <w:szCs w:val="22"/>
              </w:rPr>
              <w:t>t/a；</w:t>
            </w:r>
            <w:r>
              <w:rPr>
                <w:rFonts w:hint="eastAsia"/>
              </w:rPr>
              <w:t>项目</w:t>
            </w:r>
            <w:r>
              <w:rPr>
                <w:szCs w:val="32"/>
              </w:rPr>
              <w:t>未收集</w:t>
            </w:r>
            <w:r>
              <w:rPr>
                <w:rFonts w:hint="eastAsia"/>
                <w:szCs w:val="32"/>
              </w:rPr>
              <w:t>到的</w:t>
            </w:r>
            <w:r>
              <w:rPr>
                <w:szCs w:val="32"/>
              </w:rPr>
              <w:t>粉尘</w:t>
            </w:r>
            <w:r>
              <w:rPr>
                <w:rFonts w:hint="default" w:ascii="Times New Roman" w:hAnsi="Times New Roman" w:cs="Times New Roman"/>
                <w:b w:val="0"/>
                <w:bCs w:val="0"/>
                <w:color w:val="auto"/>
                <w:sz w:val="24"/>
                <w:szCs w:val="24"/>
                <w:highlight w:val="none"/>
                <w:lang w:val="en-US" w:eastAsia="zh-CN"/>
              </w:rPr>
              <w:t>经</w:t>
            </w:r>
            <w:r>
              <w:rPr>
                <w:rFonts w:hint="eastAsia" w:cs="Times New Roman"/>
                <w:b w:val="0"/>
                <w:bCs w:val="0"/>
                <w:color w:val="auto"/>
                <w:sz w:val="24"/>
                <w:szCs w:val="24"/>
                <w:highlight w:val="none"/>
                <w:lang w:val="en-US" w:eastAsia="zh-CN"/>
              </w:rPr>
              <w:t>厂房阻隔、自然沉降</w:t>
            </w:r>
            <w:r>
              <w:rPr>
                <w:rFonts w:hint="eastAsia" w:ascii="Times New Roman" w:hAnsi="Times New Roman" w:eastAsia="宋体" w:cs="Times New Roman"/>
                <w:b w:val="0"/>
                <w:bCs w:val="0"/>
                <w:color w:val="auto"/>
                <w:sz w:val="24"/>
                <w:szCs w:val="24"/>
                <w:highlight w:val="none"/>
                <w:lang w:val="en-US" w:eastAsia="zh-CN"/>
              </w:rPr>
              <w:t>80%</w:t>
            </w:r>
            <w:r>
              <w:rPr>
                <w:rFonts w:hint="default" w:ascii="Times New Roman" w:hAnsi="Times New Roman" w:eastAsia="宋体" w:cs="Times New Roman"/>
                <w:b w:val="0"/>
                <w:bCs w:val="0"/>
                <w:color w:val="auto"/>
                <w:sz w:val="24"/>
                <w:szCs w:val="24"/>
                <w:highlight w:val="none"/>
                <w:lang w:val="en-US" w:eastAsia="zh-CN"/>
              </w:rPr>
              <w:t>后以无组织形式排放</w:t>
            </w:r>
            <w:r>
              <w:rPr>
                <w:rFonts w:hint="eastAsia" w:ascii="Times New Roman" w:hAnsi="Times New Roman" w:eastAsia="宋体" w:cs="Times New Roman"/>
                <w:b w:val="0"/>
                <w:bCs w:val="0"/>
                <w:color w:val="auto"/>
                <w:sz w:val="24"/>
                <w:szCs w:val="24"/>
                <w:highlight w:val="none"/>
                <w:lang w:val="en-US" w:eastAsia="zh-CN"/>
              </w:rPr>
              <w:t>，则无组织粉尘的排放量约为0.015t/a。</w:t>
            </w:r>
          </w:p>
          <w:p>
            <w:pPr>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（2）焊接废气</w:t>
            </w:r>
          </w:p>
          <w:p>
            <w:pPr>
              <w:pStyle w:val="23"/>
              <w:spacing w:after="0" w:line="360" w:lineRule="auto"/>
              <w:ind w:left="0" w:leftChars="0" w:firstLine="480"/>
            </w:pPr>
            <w:r>
              <w:rPr>
                <w:rFonts w:hint="eastAsia"/>
              </w:rPr>
              <w:t>项目焊接工序主要利用二氧化碳保护焊，焊接工序焊丝使用量为</w:t>
            </w:r>
            <w:r>
              <w:rPr>
                <w:rFonts w:hint="eastAsia"/>
                <w:lang w:val="en-US" w:eastAsia="zh-CN"/>
              </w:rPr>
              <w:t>6</w:t>
            </w:r>
            <w:r>
              <w:rPr>
                <w:rFonts w:hint="eastAsia"/>
              </w:rPr>
              <w:t>t/a，根据</w:t>
            </w:r>
            <w:r>
              <w:rPr>
                <w:rFonts w:hint="eastAsia"/>
                <w:color w:val="000000" w:themeColor="text1"/>
                <w:highlight w:val="none"/>
                <w:lang w:val="en-US" w:eastAsia="zh-CN"/>
                <w14:textFill>
                  <w14:solidFill>
                    <w14:schemeClr w14:val="tx1"/>
                  </w14:solidFill>
                </w14:textFill>
              </w:rPr>
              <w:t>《排污源统计调查产排污核算方法和系数手册》“机械行业系数手册”中的</w:t>
            </w:r>
            <w:r>
              <w:rPr>
                <w:rFonts w:ascii="宋体" w:hAnsi="宋体" w:eastAsia="宋体" w:cs="宋体"/>
                <w:sz w:val="24"/>
                <w:szCs w:val="24"/>
              </w:rPr>
              <w:t>药芯焊丝</w:t>
            </w:r>
            <w:r>
              <w:rPr>
                <w:rFonts w:hint="eastAsia" w:ascii="宋体" w:hAnsi="宋体" w:eastAsia="宋体" w:cs="宋体"/>
                <w:sz w:val="24"/>
                <w:szCs w:val="24"/>
                <w:lang w:val="en-US" w:eastAsia="zh-CN"/>
              </w:rPr>
              <w:t>-二氧化碳保护焊、埋弧焊、氩弧焊，焊接颗粒物</w:t>
            </w:r>
            <w:r>
              <w:rPr>
                <w:rFonts w:hint="eastAsia"/>
                <w:color w:val="000000" w:themeColor="text1"/>
                <w:highlight w:val="none"/>
                <w:lang w:val="en-US" w:eastAsia="zh-CN"/>
                <w14:textFill>
                  <w14:solidFill>
                    <w14:schemeClr w14:val="tx1"/>
                  </w14:solidFill>
                </w14:textFill>
              </w:rPr>
              <w:t>产污系数为20.50kg/t原料</w:t>
            </w:r>
            <w:r>
              <w:rPr>
                <w:rFonts w:hint="eastAsia"/>
              </w:rPr>
              <w:t>。</w:t>
            </w:r>
            <w:r>
              <w:rPr>
                <w:rFonts w:hint="eastAsia"/>
                <w:szCs w:val="24"/>
              </w:rPr>
              <w:t>本项目</w:t>
            </w:r>
            <w:r>
              <w:rPr>
                <w:rFonts w:hint="eastAsia"/>
                <w:szCs w:val="24"/>
                <w:lang w:val="en-US" w:eastAsia="zh-CN"/>
              </w:rPr>
              <w:t>焊接工序颗粒物产生量为0.123t/a</w:t>
            </w:r>
            <w:r>
              <w:rPr>
                <w:rFonts w:hint="eastAsia"/>
                <w:szCs w:val="24"/>
              </w:rPr>
              <w:t>。</w:t>
            </w:r>
          </w:p>
          <w:p>
            <w:pPr>
              <w:keepNext w:val="0"/>
              <w:keepLines w:val="0"/>
              <w:pageBreakBefore w:val="0"/>
              <w:widowControl w:val="0"/>
              <w:numPr>
                <w:ilvl w:val="0"/>
                <w:numId w:val="0"/>
              </w:numPr>
              <w:kinsoku/>
              <w:wordWrap/>
              <w:overflowPunct/>
              <w:topLinePunct w:val="0"/>
              <w:autoSpaceDE/>
              <w:autoSpaceDN/>
              <w:bidi w:val="0"/>
              <w:spacing w:line="360" w:lineRule="auto"/>
              <w:ind w:left="0" w:leftChars="0" w:firstLine="480" w:firstLineChars="200"/>
              <w:jc w:val="both"/>
              <w:textAlignment w:val="auto"/>
              <w:rPr>
                <w:rFonts w:hint="eastAsia"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Cs/>
                <w:color w:val="000000"/>
                <w:kern w:val="2"/>
                <w:sz w:val="24"/>
                <w:szCs w:val="24"/>
                <w:highlight w:val="none"/>
                <w:lang w:val="en-US" w:eastAsia="zh-CN" w:bidi="ar-SA"/>
              </w:rPr>
              <w:t>项目共有</w:t>
            </w:r>
            <w:r>
              <w:rPr>
                <w:rFonts w:hint="eastAsia" w:ascii="Times New Roman" w:hAnsi="Times New Roman" w:eastAsia="宋体" w:cs="Times New Roman"/>
                <w:bCs/>
                <w:color w:val="000000"/>
                <w:kern w:val="2"/>
                <w:sz w:val="24"/>
                <w:szCs w:val="24"/>
                <w:highlight w:val="none"/>
                <w:lang w:val="en-US" w:eastAsia="zh-CN" w:bidi="ar-SA"/>
              </w:rPr>
              <w:t>6台</w:t>
            </w:r>
            <w:r>
              <w:rPr>
                <w:rFonts w:hint="eastAsia"/>
              </w:rPr>
              <w:t>二氧化碳保护</w:t>
            </w:r>
            <w:r>
              <w:rPr>
                <w:rFonts w:hint="eastAsia"/>
                <w:b w:val="0"/>
                <w:bCs/>
                <w:sz w:val="24"/>
                <w:szCs w:val="24"/>
                <w:vertAlign w:val="baseline"/>
                <w:lang w:val="en-US" w:eastAsia="zh-CN"/>
              </w:rPr>
              <w:t>电焊机，</w:t>
            </w:r>
            <w:r>
              <w:rPr>
                <w:rFonts w:hint="default" w:ascii="Times New Roman" w:hAnsi="Times New Roman" w:eastAsia="宋体" w:cs="Times New Roman"/>
                <w:bCs/>
                <w:color w:val="000000"/>
                <w:kern w:val="2"/>
                <w:sz w:val="24"/>
                <w:szCs w:val="24"/>
                <w:highlight w:val="none"/>
                <w:lang w:val="en-US" w:eastAsia="zh-CN" w:bidi="ar-SA"/>
              </w:rPr>
              <w:t>项目</w:t>
            </w:r>
            <w:r>
              <w:rPr>
                <w:rFonts w:hint="eastAsia" w:cs="Times New Roman"/>
                <w:bCs/>
                <w:color w:val="000000"/>
                <w:kern w:val="2"/>
                <w:sz w:val="24"/>
                <w:szCs w:val="24"/>
                <w:highlight w:val="none"/>
                <w:lang w:val="en-US" w:eastAsia="zh-CN" w:bidi="ar-SA"/>
              </w:rPr>
              <w:t>拟</w:t>
            </w:r>
            <w:r>
              <w:rPr>
                <w:rFonts w:hint="default" w:ascii="Times New Roman" w:hAnsi="Times New Roman" w:eastAsia="宋体" w:cs="Times New Roman"/>
                <w:bCs/>
                <w:color w:val="000000"/>
                <w:kern w:val="2"/>
                <w:sz w:val="24"/>
                <w:szCs w:val="24"/>
                <w:highlight w:val="none"/>
                <w:lang w:val="en-US" w:eastAsia="zh-CN" w:bidi="ar-SA"/>
              </w:rPr>
              <w:t>设置</w:t>
            </w:r>
            <w:r>
              <w:rPr>
                <w:rFonts w:hint="eastAsia" w:ascii="Times New Roman" w:hAnsi="Times New Roman" w:eastAsia="宋体" w:cs="Times New Roman"/>
                <w:bCs/>
                <w:color w:val="000000"/>
                <w:kern w:val="2"/>
                <w:sz w:val="24"/>
                <w:szCs w:val="24"/>
                <w:highlight w:val="none"/>
                <w:lang w:val="en-US" w:eastAsia="zh-CN" w:bidi="ar-SA"/>
              </w:rPr>
              <w:t>6</w:t>
            </w:r>
            <w:r>
              <w:rPr>
                <w:rFonts w:hint="default" w:ascii="Times New Roman" w:hAnsi="Times New Roman" w:eastAsia="宋体" w:cs="Times New Roman"/>
                <w:bCs/>
                <w:color w:val="000000"/>
                <w:kern w:val="2"/>
                <w:sz w:val="24"/>
                <w:szCs w:val="24"/>
                <w:highlight w:val="none"/>
                <w:lang w:val="en-US" w:eastAsia="zh-CN" w:bidi="ar-SA"/>
              </w:rPr>
              <w:t>台移动式焊接烟尘净化器，用于焊接烟尘收集处理，</w:t>
            </w:r>
            <w:r>
              <w:rPr>
                <w:rFonts w:hint="eastAsia" w:ascii="Times New Roman" w:hAnsi="Times New Roman" w:eastAsia="宋体" w:cs="Times New Roman"/>
                <w:bCs/>
                <w:color w:val="000000"/>
                <w:kern w:val="2"/>
                <w:sz w:val="24"/>
                <w:szCs w:val="24"/>
                <w:highlight w:val="none"/>
                <w:lang w:val="en-US" w:eastAsia="zh-CN" w:bidi="ar-SA"/>
              </w:rPr>
              <w:t>6台焊接烟尘净化器对应6台</w:t>
            </w:r>
            <w:r>
              <w:rPr>
                <w:rFonts w:hint="eastAsia"/>
              </w:rPr>
              <w:t>二氧化碳保护</w:t>
            </w:r>
            <w:r>
              <w:rPr>
                <w:rFonts w:hint="eastAsia"/>
                <w:b w:val="0"/>
                <w:bCs/>
                <w:sz w:val="24"/>
                <w:szCs w:val="24"/>
                <w:vertAlign w:val="baseline"/>
                <w:lang w:val="en-US" w:eastAsia="zh-CN"/>
              </w:rPr>
              <w:t>电焊机</w:t>
            </w:r>
            <w:r>
              <w:rPr>
                <w:rFonts w:hint="eastAsia" w:ascii="Times New Roman" w:hAnsi="Times New Roman" w:eastAsia="宋体" w:cs="Times New Roman"/>
                <w:bCs/>
                <w:color w:val="000000"/>
                <w:kern w:val="2"/>
                <w:sz w:val="24"/>
                <w:szCs w:val="24"/>
                <w:highlight w:val="none"/>
                <w:lang w:val="en-US" w:eastAsia="zh-CN" w:bidi="ar-SA"/>
              </w:rPr>
              <w:t>，</w:t>
            </w:r>
            <w:r>
              <w:rPr>
                <w:rFonts w:hint="default" w:ascii="Times New Roman" w:hAnsi="Times New Roman" w:eastAsia="宋体" w:cs="Times New Roman"/>
                <w:bCs/>
                <w:color w:val="000000"/>
                <w:kern w:val="2"/>
                <w:sz w:val="24"/>
                <w:szCs w:val="24"/>
                <w:highlight w:val="none"/>
                <w:lang w:val="en-US" w:eastAsia="zh-CN" w:bidi="ar-SA"/>
              </w:rPr>
              <w:t>处理后的焊接烟尘车间内无组织排放。每台移动式焊接烟尘净化器设计风量1000m</w:t>
            </w:r>
            <w:r>
              <w:rPr>
                <w:rFonts w:hint="default" w:ascii="Times New Roman" w:hAnsi="Times New Roman" w:eastAsia="宋体" w:cs="Times New Roman"/>
                <w:bCs/>
                <w:color w:val="000000"/>
                <w:kern w:val="2"/>
                <w:sz w:val="24"/>
                <w:szCs w:val="24"/>
                <w:highlight w:val="none"/>
                <w:vertAlign w:val="superscript"/>
                <w:lang w:val="en-US" w:eastAsia="zh-CN" w:bidi="ar-SA"/>
              </w:rPr>
              <w:t>3</w:t>
            </w:r>
            <w:r>
              <w:rPr>
                <w:rFonts w:hint="default" w:ascii="Times New Roman" w:hAnsi="Times New Roman" w:eastAsia="宋体" w:cs="Times New Roman"/>
                <w:bCs/>
                <w:color w:val="000000"/>
                <w:kern w:val="2"/>
                <w:sz w:val="24"/>
                <w:szCs w:val="24"/>
                <w:highlight w:val="none"/>
                <w:lang w:val="en-US" w:eastAsia="zh-CN" w:bidi="ar-SA"/>
              </w:rPr>
              <w:t>/h。捕集效率</w:t>
            </w:r>
            <w:r>
              <w:rPr>
                <w:rFonts w:hint="eastAsia" w:ascii="Times New Roman" w:hAnsi="Times New Roman" w:eastAsia="宋体" w:cs="Times New Roman"/>
                <w:bCs/>
                <w:color w:val="000000"/>
                <w:kern w:val="2"/>
                <w:sz w:val="24"/>
                <w:szCs w:val="24"/>
                <w:highlight w:val="none"/>
                <w:lang w:val="en-US" w:eastAsia="zh-CN" w:bidi="ar-SA"/>
              </w:rPr>
              <w:t>80</w:t>
            </w:r>
            <w:r>
              <w:rPr>
                <w:rFonts w:hint="default" w:ascii="Times New Roman" w:hAnsi="Times New Roman" w:eastAsia="宋体" w:cs="Times New Roman"/>
                <w:bCs/>
                <w:color w:val="000000"/>
                <w:kern w:val="2"/>
                <w:sz w:val="24"/>
                <w:szCs w:val="24"/>
                <w:highlight w:val="none"/>
                <w:lang w:val="en-US" w:eastAsia="zh-CN" w:bidi="ar-SA"/>
              </w:rPr>
              <w:t>%，焊接烟尘净化器处理效率95%。</w:t>
            </w:r>
            <w:r>
              <w:rPr>
                <w:rFonts w:hint="eastAsia" w:ascii="Times New Roman" w:hAnsi="Times New Roman" w:eastAsia="宋体" w:cs="Times New Roman"/>
                <w:bCs/>
                <w:color w:val="000000"/>
                <w:kern w:val="2"/>
                <w:sz w:val="24"/>
                <w:szCs w:val="24"/>
                <w:highlight w:val="none"/>
                <w:lang w:val="en-US" w:eastAsia="zh-CN" w:bidi="ar-SA"/>
              </w:rPr>
              <w:t>则粉尘</w:t>
            </w:r>
            <w:r>
              <w:rPr>
                <w:kern w:val="2"/>
                <w:szCs w:val="22"/>
              </w:rPr>
              <w:t>有组织</w:t>
            </w:r>
            <w:r>
              <w:rPr>
                <w:rFonts w:hint="eastAsia"/>
                <w:kern w:val="2"/>
                <w:szCs w:val="22"/>
              </w:rPr>
              <w:t>收集量为</w:t>
            </w:r>
            <w:r>
              <w:rPr>
                <w:rFonts w:hint="eastAsia"/>
                <w:kern w:val="2"/>
                <w:szCs w:val="22"/>
                <w:lang w:val="en-US" w:eastAsia="zh-CN"/>
              </w:rPr>
              <w:t>0.0935</w:t>
            </w:r>
            <w:r>
              <w:rPr>
                <w:rFonts w:hint="eastAsia"/>
                <w:kern w:val="2"/>
                <w:szCs w:val="22"/>
              </w:rPr>
              <w:t>t/a，</w:t>
            </w:r>
            <w:r>
              <w:rPr>
                <w:kern w:val="2"/>
                <w:szCs w:val="22"/>
              </w:rPr>
              <w:t>粉尘有组织</w:t>
            </w:r>
            <w:r>
              <w:rPr>
                <w:rFonts w:hint="eastAsia"/>
                <w:kern w:val="2"/>
                <w:szCs w:val="22"/>
              </w:rPr>
              <w:t>排放</w:t>
            </w:r>
            <w:r>
              <w:rPr>
                <w:kern w:val="2"/>
                <w:szCs w:val="22"/>
              </w:rPr>
              <w:t>量约</w:t>
            </w:r>
            <w:r>
              <w:rPr>
                <w:rFonts w:hint="eastAsia"/>
                <w:kern w:val="2"/>
                <w:szCs w:val="22"/>
                <w:lang w:val="en-US" w:eastAsia="zh-CN"/>
              </w:rPr>
              <w:t>0.00675</w:t>
            </w:r>
            <w:r>
              <w:rPr>
                <w:kern w:val="2"/>
                <w:szCs w:val="22"/>
              </w:rPr>
              <w:t>t/a；</w:t>
            </w:r>
            <w:r>
              <w:rPr>
                <w:rFonts w:hint="eastAsia"/>
              </w:rPr>
              <w:t>项目</w:t>
            </w:r>
            <w:r>
              <w:rPr>
                <w:szCs w:val="32"/>
              </w:rPr>
              <w:t>未收集</w:t>
            </w:r>
            <w:r>
              <w:rPr>
                <w:rFonts w:hint="eastAsia"/>
                <w:szCs w:val="32"/>
              </w:rPr>
              <w:t>到的</w:t>
            </w:r>
            <w:r>
              <w:rPr>
                <w:szCs w:val="32"/>
              </w:rPr>
              <w:t>粉尘</w:t>
            </w:r>
            <w:r>
              <w:rPr>
                <w:rFonts w:hint="default" w:ascii="Times New Roman" w:hAnsi="Times New Roman" w:cs="Times New Roman"/>
                <w:b w:val="0"/>
                <w:bCs w:val="0"/>
                <w:color w:val="auto"/>
                <w:sz w:val="24"/>
                <w:szCs w:val="24"/>
                <w:highlight w:val="none"/>
                <w:lang w:val="en-US" w:eastAsia="zh-CN"/>
              </w:rPr>
              <w:t>经</w:t>
            </w:r>
            <w:r>
              <w:rPr>
                <w:rFonts w:hint="eastAsia" w:cs="Times New Roman"/>
                <w:b w:val="0"/>
                <w:bCs w:val="0"/>
                <w:color w:val="auto"/>
                <w:sz w:val="24"/>
                <w:szCs w:val="24"/>
                <w:highlight w:val="none"/>
                <w:lang w:val="en-US" w:eastAsia="zh-CN"/>
              </w:rPr>
              <w:t>厂房阻隔、自然沉降</w:t>
            </w:r>
            <w:r>
              <w:rPr>
                <w:rFonts w:hint="eastAsia" w:ascii="Times New Roman" w:hAnsi="Times New Roman" w:eastAsia="宋体" w:cs="Times New Roman"/>
                <w:b w:val="0"/>
                <w:bCs w:val="0"/>
                <w:color w:val="auto"/>
                <w:sz w:val="24"/>
                <w:szCs w:val="24"/>
                <w:highlight w:val="none"/>
                <w:lang w:val="en-US" w:eastAsia="zh-CN"/>
              </w:rPr>
              <w:t>80%</w:t>
            </w:r>
            <w:r>
              <w:rPr>
                <w:rFonts w:hint="default" w:ascii="Times New Roman" w:hAnsi="Times New Roman" w:eastAsia="宋体" w:cs="Times New Roman"/>
                <w:b w:val="0"/>
                <w:bCs w:val="0"/>
                <w:color w:val="auto"/>
                <w:sz w:val="24"/>
                <w:szCs w:val="24"/>
                <w:highlight w:val="none"/>
                <w:lang w:val="en-US" w:eastAsia="zh-CN"/>
              </w:rPr>
              <w:t>后以无组织形式排放</w:t>
            </w:r>
            <w:r>
              <w:rPr>
                <w:rFonts w:hint="eastAsia" w:ascii="Times New Roman" w:hAnsi="Times New Roman" w:eastAsia="宋体" w:cs="Times New Roman"/>
                <w:b w:val="0"/>
                <w:bCs w:val="0"/>
                <w:color w:val="auto"/>
                <w:sz w:val="24"/>
                <w:szCs w:val="24"/>
                <w:highlight w:val="none"/>
                <w:lang w:val="en-US" w:eastAsia="zh-CN"/>
              </w:rPr>
              <w:t>，则无组织粉尘的排放量约为0.0059t/a。</w:t>
            </w:r>
          </w:p>
          <w:p>
            <w:pPr>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eastAsia" w:cs="Times New Roman"/>
                <w:color w:val="auto"/>
                <w:kern w:val="2"/>
                <w:sz w:val="24"/>
                <w:szCs w:val="24"/>
                <w:lang w:val="en-US" w:eastAsia="zh-CN" w:bidi="ar"/>
              </w:rPr>
              <w:t>打磨废气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56" w:firstLineChars="200"/>
              <w:jc w:val="both"/>
              <w:textAlignment w:val="auto"/>
              <w:rPr>
                <w:rFonts w:hint="eastAsia" w:ascii="Times New Roman" w:hAnsi="Times New Roman" w:eastAsia="宋体" w:cs="Times New Roman"/>
                <w:b w:val="0"/>
                <w:bCs w:val="0"/>
                <w:color w:val="auto"/>
                <w:sz w:val="24"/>
                <w:szCs w:val="24"/>
                <w:lang w:eastAsia="zh-CN"/>
              </w:rPr>
            </w:pPr>
            <w:r>
              <w:rPr>
                <w:rFonts w:hint="eastAsia" w:cs="Times New Roman"/>
                <w:color w:val="auto"/>
                <w:spacing w:val="-6"/>
                <w:sz w:val="24"/>
                <w:lang w:eastAsia="zh-CN"/>
              </w:rPr>
              <w:t>项目</w:t>
            </w:r>
            <w:r>
              <w:rPr>
                <w:rFonts w:hint="eastAsia" w:cs="Times New Roman"/>
                <w:color w:val="auto"/>
                <w:spacing w:val="-6"/>
                <w:sz w:val="24"/>
                <w:lang w:val="en-US" w:eastAsia="zh-CN"/>
              </w:rPr>
              <w:t>打磨</w:t>
            </w:r>
            <w:r>
              <w:rPr>
                <w:rFonts w:hint="eastAsia" w:cs="Times New Roman"/>
                <w:color w:val="auto"/>
                <w:spacing w:val="-6"/>
                <w:sz w:val="24"/>
                <w:lang w:eastAsia="zh-CN"/>
              </w:rPr>
              <w:t>过程会有粉尘产生，</w:t>
            </w:r>
            <w:r>
              <w:rPr>
                <w:rFonts w:hint="eastAsia" w:cs="Times New Roman"/>
                <w:color w:val="auto"/>
                <w:spacing w:val="-6"/>
                <w:sz w:val="24"/>
                <w:lang w:val="en-US" w:eastAsia="zh-CN"/>
              </w:rPr>
              <w:t>评价建议企业固定打磨工位，打磨工序三侧设置挡板、一侧用于工件进出。</w:t>
            </w:r>
            <w:r>
              <w:rPr>
                <w:rFonts w:hint="eastAsia" w:cs="Times New Roman"/>
                <w:color w:val="auto"/>
                <w:spacing w:val="-6"/>
                <w:sz w:val="24"/>
                <w:lang w:eastAsia="zh-CN"/>
              </w:rPr>
              <w:t>参考《</w:t>
            </w:r>
            <w:r>
              <w:rPr>
                <w:rFonts w:hint="default" w:ascii="Times New Roman" w:hAnsi="Times New Roman" w:eastAsia="宋体" w:cs="Times New Roman"/>
                <w:color w:val="auto"/>
                <w:kern w:val="2"/>
                <w:sz w:val="24"/>
                <w:szCs w:val="22"/>
                <w:highlight w:val="none"/>
                <w:lang w:val="en-US" w:eastAsia="zh-CN" w:bidi="ar-SA"/>
              </w:rPr>
              <w:t>排放源统计调查产排污核算方法和系数手册</w:t>
            </w:r>
            <w:r>
              <w:rPr>
                <w:rFonts w:hint="eastAsia" w:cs="Times New Roman"/>
                <w:color w:val="auto"/>
                <w:spacing w:val="-6"/>
                <w:sz w:val="24"/>
                <w:lang w:eastAsia="zh-CN"/>
              </w:rPr>
              <w:t>》</w:t>
            </w:r>
            <w:r>
              <w:rPr>
                <w:rFonts w:hint="eastAsia"/>
                <w:color w:val="000000" w:themeColor="text1"/>
                <w:highlight w:val="none"/>
                <w:lang w:val="en-US" w:eastAsia="zh-CN"/>
                <w14:textFill>
                  <w14:solidFill>
                    <w14:schemeClr w14:val="tx1"/>
                  </w14:solidFill>
                </w14:textFill>
              </w:rPr>
              <w:t>“机械行业系数手册”</w:t>
            </w:r>
            <w:r>
              <w:rPr>
                <w:rFonts w:hint="eastAsia" w:cs="Times New Roman"/>
                <w:color w:val="auto"/>
                <w:spacing w:val="-6"/>
                <w:sz w:val="24"/>
                <w:lang w:eastAsia="zh-CN"/>
              </w:rPr>
              <w:t>中“</w:t>
            </w:r>
            <w:r>
              <w:rPr>
                <w:rFonts w:hint="eastAsia" w:cs="Times New Roman"/>
                <w:color w:val="auto"/>
                <w:spacing w:val="-6"/>
                <w:sz w:val="24"/>
                <w:lang w:val="en-US" w:eastAsia="zh-CN"/>
              </w:rPr>
              <w:t>06预处理-抛丸、喷砂、打磨、滚筒</w:t>
            </w:r>
            <w:r>
              <w:rPr>
                <w:rFonts w:hint="eastAsia" w:cs="Times New Roman"/>
                <w:color w:val="auto"/>
                <w:spacing w:val="-6"/>
                <w:sz w:val="24"/>
                <w:lang w:eastAsia="zh-CN"/>
              </w:rPr>
              <w:t>”中颗粒物的产污系数为</w:t>
            </w:r>
            <w:r>
              <w:rPr>
                <w:rFonts w:hint="eastAsia" w:cs="Times New Roman"/>
                <w:color w:val="auto"/>
                <w:spacing w:val="-6"/>
                <w:sz w:val="24"/>
                <w:lang w:val="en-US" w:eastAsia="zh-CN"/>
              </w:rPr>
              <w:t>2.19千克/吨-产品，本项目使用500t/a钢板，则打磨粉尘产生量约为1.095t/a</w:t>
            </w:r>
            <w:r>
              <w:rPr>
                <w:rFonts w:hint="eastAsia" w:ascii="Times New Roman" w:hAnsi="Times New Roman" w:cs="Times New Roman"/>
                <w:color w:val="auto"/>
                <w:spacing w:val="-6"/>
                <w:sz w:val="24"/>
                <w:lang w:eastAsia="zh-CN"/>
              </w:rPr>
              <w:t>。</w:t>
            </w:r>
          </w:p>
          <w:p>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Times New Roman" w:hAnsi="Times New Roman" w:cs="Times New Roman"/>
                <w:b w:val="0"/>
                <w:bCs w:val="0"/>
                <w:color w:val="auto"/>
                <w:sz w:val="24"/>
                <w:szCs w:val="24"/>
                <w:lang w:eastAsia="zh-CN"/>
              </w:rPr>
            </w:pPr>
            <w:r>
              <w:rPr>
                <w:rFonts w:hint="default" w:ascii="Times New Roman" w:hAnsi="Times New Roman" w:cs="Times New Roman"/>
                <w:color w:val="auto"/>
                <w:sz w:val="24"/>
                <w:szCs w:val="32"/>
                <w:highlight w:val="none"/>
                <w:lang w:val="en-US" w:eastAsia="zh-CN"/>
              </w:rPr>
              <w:t>项目</w:t>
            </w:r>
            <w:r>
              <w:rPr>
                <w:rFonts w:hint="eastAsia" w:cs="Times New Roman"/>
                <w:color w:val="auto"/>
                <w:spacing w:val="-6"/>
                <w:sz w:val="24"/>
                <w:lang w:val="en-US" w:eastAsia="zh-CN"/>
              </w:rPr>
              <w:t>设置2个打磨工位，</w:t>
            </w:r>
            <w:commentRangeStart w:id="41"/>
            <w:commentRangeStart w:id="42"/>
            <w:r>
              <w:rPr>
                <w:rFonts w:hint="eastAsia" w:cs="Times New Roman"/>
                <w:color w:val="auto"/>
                <w:sz w:val="24"/>
                <w:szCs w:val="32"/>
                <w:highlight w:val="none"/>
                <w:lang w:val="en-US" w:eastAsia="zh-CN"/>
              </w:rPr>
              <w:t>拟设置集气罩对产生的</w:t>
            </w:r>
            <w:r>
              <w:rPr>
                <w:rFonts w:hint="eastAsia" w:cs="Times New Roman"/>
                <w:color w:val="auto"/>
                <w:kern w:val="2"/>
                <w:sz w:val="24"/>
                <w:szCs w:val="24"/>
                <w:lang w:val="en-US" w:eastAsia="zh-CN" w:bidi="ar"/>
              </w:rPr>
              <w:t>打磨</w:t>
            </w:r>
            <w:r>
              <w:rPr>
                <w:rFonts w:hint="eastAsia" w:cs="Times New Roman"/>
                <w:color w:val="auto"/>
                <w:sz w:val="24"/>
                <w:szCs w:val="32"/>
                <w:highlight w:val="none"/>
                <w:lang w:val="en-US" w:eastAsia="zh-CN"/>
              </w:rPr>
              <w:t>粉尘进行收集，收集后通过布袋除尘器处理，</w:t>
            </w:r>
            <w:r>
              <w:rPr>
                <w:rFonts w:hint="default" w:ascii="Times New Roman" w:hAnsi="Times New Roman" w:cs="Times New Roman"/>
                <w:color w:val="auto"/>
                <w:sz w:val="24"/>
                <w:szCs w:val="32"/>
                <w:highlight w:val="none"/>
                <w:lang w:val="en-US" w:eastAsia="zh-CN"/>
              </w:rPr>
              <w:t>布袋除尘器处理后通过</w:t>
            </w:r>
            <w:r>
              <w:rPr>
                <w:rFonts w:hint="default" w:ascii="Times New Roman" w:hAnsi="Times New Roman" w:eastAsia="宋体" w:cs="Times New Roman"/>
                <w:color w:val="000000"/>
                <w:kern w:val="2"/>
                <w:sz w:val="24"/>
                <w:szCs w:val="22"/>
                <w:highlight w:val="none"/>
                <w:lang w:val="en-US" w:eastAsia="zh-CN" w:bidi="ar-SA"/>
              </w:rPr>
              <w:t>1根</w:t>
            </w:r>
            <w:r>
              <w:rPr>
                <w:rFonts w:hint="eastAsia" w:cs="Times New Roman"/>
                <w:color w:val="000000"/>
                <w:kern w:val="2"/>
                <w:sz w:val="24"/>
                <w:szCs w:val="22"/>
                <w:highlight w:val="none"/>
                <w:lang w:val="en-US" w:eastAsia="zh-CN" w:bidi="ar-SA"/>
              </w:rPr>
              <w:t>15</w:t>
            </w:r>
            <w:r>
              <w:rPr>
                <w:rFonts w:hint="default" w:ascii="Times New Roman" w:hAnsi="Times New Roman" w:eastAsia="宋体" w:cs="Times New Roman"/>
                <w:color w:val="000000"/>
                <w:kern w:val="2"/>
                <w:sz w:val="24"/>
                <w:szCs w:val="22"/>
                <w:highlight w:val="none"/>
                <w:lang w:val="en-US" w:eastAsia="zh-CN" w:bidi="ar-SA"/>
              </w:rPr>
              <w:t>m高排气筒（</w:t>
            </w:r>
            <w:r>
              <w:rPr>
                <w:rFonts w:hint="eastAsia" w:ascii="Times New Roman" w:hAnsi="Times New Roman" w:eastAsia="宋体" w:cs="Times New Roman"/>
                <w:color w:val="000000"/>
                <w:kern w:val="2"/>
                <w:sz w:val="24"/>
                <w:szCs w:val="22"/>
                <w:highlight w:val="none"/>
                <w:lang w:val="en-US" w:eastAsia="zh-CN" w:bidi="ar-SA"/>
              </w:rPr>
              <w:t>DA00</w:t>
            </w:r>
            <w:r>
              <w:rPr>
                <w:rFonts w:hint="eastAsia" w:ascii="Times New Roman" w:hAnsi="Times New Roman" w:cs="Times New Roman"/>
                <w:color w:val="000000"/>
                <w:kern w:val="2"/>
                <w:sz w:val="24"/>
                <w:szCs w:val="22"/>
                <w:highlight w:val="none"/>
                <w:lang w:val="en-US" w:eastAsia="zh-CN" w:bidi="ar-SA"/>
              </w:rPr>
              <w:t>1</w:t>
            </w:r>
            <w:r>
              <w:rPr>
                <w:rFonts w:hint="default" w:ascii="Times New Roman" w:hAnsi="Times New Roman" w:eastAsia="宋体" w:cs="Times New Roman"/>
                <w:color w:val="000000"/>
                <w:kern w:val="2"/>
                <w:sz w:val="24"/>
                <w:szCs w:val="22"/>
                <w:highlight w:val="none"/>
                <w:lang w:val="en-US" w:eastAsia="zh-CN" w:bidi="ar-SA"/>
              </w:rPr>
              <w:t>）排放</w:t>
            </w:r>
            <w:r>
              <w:rPr>
                <w:rFonts w:hint="eastAsia" w:ascii="Times New Roman" w:hAnsi="Times New Roman" w:cs="Times New Roman"/>
                <w:color w:val="auto"/>
                <w:kern w:val="0"/>
                <w:sz w:val="24"/>
                <w:szCs w:val="24"/>
                <w:lang w:eastAsia="zh-CN"/>
              </w:rPr>
              <w:t>。</w:t>
            </w:r>
            <w:r>
              <w:rPr>
                <w:rFonts w:hint="eastAsia" w:cs="Times New Roman"/>
                <w:color w:val="auto"/>
                <w:sz w:val="24"/>
                <w:szCs w:val="32"/>
                <w:highlight w:val="none"/>
                <w:lang w:val="en-US" w:eastAsia="zh-CN"/>
              </w:rPr>
              <w:t>项目</w:t>
            </w:r>
            <w:r>
              <w:rPr>
                <w:rFonts w:hint="eastAsia" w:ascii="Times New Roman" w:hAnsi="Times New Roman" w:cs="Times New Roman"/>
                <w:color w:val="auto"/>
                <w:sz w:val="24"/>
                <w:szCs w:val="24"/>
                <w:lang w:eastAsia="zh-CN"/>
              </w:rPr>
              <w:t>拟</w:t>
            </w:r>
            <w:r>
              <w:rPr>
                <w:rFonts w:hint="eastAsia" w:ascii="Times New Roman" w:hAnsi="Times New Roman" w:cs="Times New Roman"/>
                <w:color w:val="auto"/>
                <w:sz w:val="24"/>
                <w:szCs w:val="24"/>
                <w:lang w:val="en-US" w:eastAsia="zh-CN"/>
              </w:rPr>
              <w:t>在</w:t>
            </w:r>
            <w:r>
              <w:rPr>
                <w:rFonts w:hint="eastAsia" w:cs="Times New Roman"/>
                <w:color w:val="auto"/>
                <w:sz w:val="24"/>
                <w:szCs w:val="24"/>
                <w:lang w:val="en-US" w:eastAsia="zh-CN"/>
              </w:rPr>
              <w:t>打磨工位</w:t>
            </w:r>
            <w:r>
              <w:rPr>
                <w:rFonts w:hint="eastAsia" w:ascii="Times New Roman" w:hAnsi="Times New Roman" w:cs="Times New Roman"/>
                <w:color w:val="auto"/>
                <w:sz w:val="24"/>
                <w:szCs w:val="24"/>
                <w:lang w:val="en-US" w:eastAsia="zh-CN"/>
              </w:rPr>
              <w:t>上方</w:t>
            </w:r>
            <w:r>
              <w:rPr>
                <w:rFonts w:hint="eastAsia" w:cs="Times New Roman"/>
                <w:color w:val="auto"/>
                <w:sz w:val="24"/>
                <w:szCs w:val="24"/>
                <w:lang w:val="en-US" w:eastAsia="zh-CN"/>
              </w:rPr>
              <w:t>各</w:t>
            </w:r>
            <w:r>
              <w:rPr>
                <w:rFonts w:hint="eastAsia" w:ascii="Times New Roman" w:hAnsi="Times New Roman" w:cs="Times New Roman"/>
                <w:color w:val="auto"/>
                <w:sz w:val="24"/>
                <w:szCs w:val="24"/>
                <w:lang w:eastAsia="zh-CN"/>
              </w:rPr>
              <w:t>设置</w:t>
            </w:r>
            <w:r>
              <w:rPr>
                <w:rFonts w:hint="eastAsia" w:ascii="Times New Roman" w:hAnsi="Times New Roman" w:cs="Times New Roman"/>
                <w:color w:val="auto"/>
                <w:sz w:val="24"/>
                <w:szCs w:val="24"/>
                <w:lang w:val="en-US" w:eastAsia="zh-CN"/>
              </w:rPr>
              <w:t>1300</w:t>
            </w:r>
            <w:r>
              <w:rPr>
                <w:rFonts w:hint="default" w:ascii="Times New Roman" w:hAnsi="Times New Roman" w:cs="Times New Roman"/>
                <w:color w:val="auto"/>
                <w:sz w:val="24"/>
                <w:szCs w:val="24"/>
                <w:lang w:eastAsia="zh-CN"/>
              </w:rPr>
              <w:t>mm×</w:t>
            </w:r>
            <w:r>
              <w:rPr>
                <w:rFonts w:hint="default" w:ascii="Times New Roman" w:hAnsi="Times New Roman" w:cs="Times New Roman"/>
                <w:color w:val="auto"/>
                <w:sz w:val="24"/>
                <w:szCs w:val="24"/>
                <w:lang w:val="en-US" w:eastAsia="zh-CN"/>
              </w:rPr>
              <w:t>1</w:t>
            </w:r>
            <w:r>
              <w:rPr>
                <w:rFonts w:hint="eastAsia"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lang w:val="en-US" w:eastAsia="zh-CN"/>
              </w:rPr>
              <w:t>00</w:t>
            </w:r>
            <w:r>
              <w:rPr>
                <w:rFonts w:hint="eastAsia" w:ascii="Times New Roman" w:hAnsi="Times New Roman" w:cs="Times New Roman"/>
                <w:color w:val="auto"/>
                <w:sz w:val="24"/>
                <w:szCs w:val="24"/>
                <w:lang w:eastAsia="zh-CN"/>
              </w:rPr>
              <w:t>mm集气罩</w:t>
            </w:r>
            <w:r>
              <w:rPr>
                <w:rFonts w:hint="eastAsia" w:ascii="Times New Roman" w:hAnsi="Times New Roman" w:cs="Times New Roman"/>
                <w:color w:val="auto"/>
                <w:sz w:val="24"/>
                <w:szCs w:val="24"/>
                <w:lang w:val="en-US" w:eastAsia="zh-CN"/>
              </w:rPr>
              <w:t>1个</w:t>
            </w:r>
            <w:r>
              <w:rPr>
                <w:rFonts w:hint="eastAsia" w:cs="Times New Roman"/>
                <w:b w:val="0"/>
                <w:bCs w:val="0"/>
                <w:color w:val="auto"/>
                <w:sz w:val="24"/>
                <w:szCs w:val="24"/>
                <w:lang w:eastAsia="zh-CN"/>
              </w:rPr>
              <w:t>。</w:t>
            </w:r>
            <w:commentRangeEnd w:id="41"/>
            <w:r>
              <w:commentReference w:id="41"/>
            </w:r>
            <w:commentRangeEnd w:id="42"/>
            <w:r>
              <w:commentReference w:id="42"/>
            </w:r>
          </w:p>
          <w:p>
            <w:pPr>
              <w:keepNext w:val="0"/>
              <w:keepLines w:val="0"/>
              <w:pageBreakBefore w:val="0"/>
              <w:kinsoku/>
              <w:wordWrap/>
              <w:overflowPunct/>
              <w:topLinePunct w:val="0"/>
              <w:autoSpaceDE/>
              <w:autoSpaceDN/>
              <w:bidi w:val="0"/>
              <w:adjustRightInd/>
              <w:spacing w:line="360" w:lineRule="auto"/>
              <w:ind w:firstLine="480" w:firstLineChars="200"/>
              <w:jc w:val="both"/>
              <w:textAlignment w:val="auto"/>
              <w:rPr>
                <w:rFonts w:hint="eastAsia" w:ascii="Times New Roman" w:hAnsi="Times New Roman" w:cs="Times New Roman"/>
                <w:color w:val="auto"/>
                <w:sz w:val="24"/>
                <w:szCs w:val="24"/>
                <w:lang w:eastAsia="zh-CN"/>
              </w:rPr>
            </w:pPr>
            <w:r>
              <w:rPr>
                <w:rFonts w:hint="eastAsia" w:cs="Times New Roman"/>
                <w:b w:val="0"/>
                <w:bCs w:val="0"/>
                <w:color w:val="auto"/>
                <w:sz w:val="24"/>
                <w:szCs w:val="24"/>
                <w:lang w:val="en-US" w:eastAsia="zh-CN"/>
              </w:rPr>
              <w:t>参照</w:t>
            </w:r>
            <w:r>
              <w:rPr>
                <w:rFonts w:hint="default" w:ascii="Times New Roman" w:hAnsi="Times New Roman" w:cs="Times New Roman"/>
                <w:color w:val="auto"/>
                <w:kern w:val="0"/>
                <w:sz w:val="24"/>
                <w:szCs w:val="24"/>
              </w:rPr>
              <w:t>《环境工程设计手册》</w:t>
            </w:r>
            <w:r>
              <w:rPr>
                <w:rFonts w:hint="eastAsia" w:ascii="Times New Roman" w:hAnsi="Times New Roman" w:cs="Times New Roman"/>
                <w:color w:val="auto"/>
                <w:sz w:val="24"/>
                <w:szCs w:val="24"/>
                <w:lang w:eastAsia="zh-CN"/>
              </w:rPr>
              <w:t>中集气罩风量确定计算公式：</w:t>
            </w:r>
          </w:p>
          <w:p>
            <w:pPr>
              <w:pStyle w:val="42"/>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leftChars="0" w:right="0" w:firstLine="0" w:firstLineChars="0"/>
              <w:jc w:val="center"/>
              <w:textAlignment w:val="auto"/>
              <w:rPr>
                <w:rFonts w:hint="default" w:ascii="Times New Roman" w:hAnsi="Times New Roman" w:eastAsia="TimesNewRomanPSMT" w:cs="Times New Roman"/>
                <w:b w:val="0"/>
                <w:bCs w:val="0"/>
                <w:color w:val="auto"/>
                <w:kern w:val="0"/>
                <w:sz w:val="24"/>
                <w:szCs w:val="24"/>
                <w:lang w:val="en-US" w:eastAsia="zh-CN" w:bidi="ar"/>
              </w:rPr>
            </w:pPr>
            <w:r>
              <w:rPr>
                <w:rFonts w:hint="default" w:ascii="Times New Roman" w:hAnsi="Times New Roman" w:eastAsia="TimesNewRomanPSMT" w:cs="Times New Roman"/>
                <w:b w:val="0"/>
                <w:bCs w:val="0"/>
                <w:color w:val="auto"/>
                <w:kern w:val="0"/>
                <w:sz w:val="24"/>
                <w:szCs w:val="24"/>
                <w:lang w:val="en-US" w:eastAsia="zh-CN" w:bidi="ar"/>
              </w:rPr>
              <w:t>Q=kPHVx</w:t>
            </w:r>
          </w:p>
          <w:p>
            <w:pPr>
              <w:pStyle w:val="42"/>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jc w:val="both"/>
              <w:textAlignment w:val="auto"/>
              <w:rPr>
                <w:rFonts w:hint="default" w:ascii="Times New Roman" w:hAnsi="Times New Roman" w:eastAsia="TimesNewRomanPSMT" w:cs="Times New Roman"/>
                <w:b w:val="0"/>
                <w:bCs w:val="0"/>
                <w:color w:val="auto"/>
                <w:kern w:val="0"/>
                <w:sz w:val="24"/>
                <w:szCs w:val="24"/>
                <w:lang w:val="en-US" w:eastAsia="zh-CN" w:bidi="ar"/>
              </w:rPr>
            </w:pPr>
            <w:r>
              <w:rPr>
                <w:rFonts w:hint="default" w:ascii="Times New Roman" w:hAnsi="Times New Roman" w:eastAsia="TimesNewRomanPSMT" w:cs="Times New Roman"/>
                <w:b w:val="0"/>
                <w:bCs w:val="0"/>
                <w:color w:val="auto"/>
                <w:kern w:val="0"/>
                <w:sz w:val="24"/>
                <w:szCs w:val="24"/>
                <w:lang w:val="en-US" w:eastAsia="zh-CN" w:bidi="ar"/>
              </w:rPr>
              <w:t>式中：Q——风量m</w:t>
            </w:r>
            <w:r>
              <w:rPr>
                <w:rFonts w:hint="default" w:ascii="Times New Roman" w:hAnsi="Times New Roman" w:eastAsia="TimesNewRomanPSMT" w:cs="Times New Roman"/>
                <w:b w:val="0"/>
                <w:bCs w:val="0"/>
                <w:color w:val="auto"/>
                <w:kern w:val="0"/>
                <w:sz w:val="24"/>
                <w:szCs w:val="24"/>
                <w:vertAlign w:val="superscript"/>
                <w:lang w:val="en-US" w:eastAsia="zh-CN" w:bidi="ar"/>
              </w:rPr>
              <w:t>3</w:t>
            </w:r>
            <w:r>
              <w:rPr>
                <w:rFonts w:hint="default" w:ascii="Times New Roman" w:hAnsi="Times New Roman" w:eastAsia="TimesNewRomanPSMT" w:cs="Times New Roman"/>
                <w:b w:val="0"/>
                <w:bCs w:val="0"/>
                <w:color w:val="auto"/>
                <w:kern w:val="0"/>
                <w:sz w:val="24"/>
                <w:szCs w:val="24"/>
                <w:lang w:val="en-US" w:eastAsia="zh-CN" w:bidi="ar"/>
              </w:rPr>
              <w:t>/s</w:t>
            </w:r>
          </w:p>
          <w:p>
            <w:pPr>
              <w:pStyle w:val="42"/>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1200" w:firstLineChars="500"/>
              <w:jc w:val="both"/>
              <w:textAlignment w:val="auto"/>
              <w:rPr>
                <w:rFonts w:hint="default" w:ascii="Times New Roman" w:hAnsi="Times New Roman" w:eastAsia="TimesNewRomanPSMT" w:cs="Times New Roman"/>
                <w:b w:val="0"/>
                <w:bCs w:val="0"/>
                <w:color w:val="auto"/>
                <w:kern w:val="0"/>
                <w:sz w:val="24"/>
                <w:szCs w:val="24"/>
                <w:lang w:val="en-US" w:eastAsia="zh-CN" w:bidi="ar"/>
              </w:rPr>
            </w:pPr>
            <w:r>
              <w:rPr>
                <w:rFonts w:hint="default" w:ascii="Times New Roman" w:hAnsi="Times New Roman" w:eastAsia="TimesNewRomanPSMT" w:cs="Times New Roman"/>
                <w:b w:val="0"/>
                <w:bCs w:val="0"/>
                <w:color w:val="auto"/>
                <w:kern w:val="0"/>
                <w:sz w:val="24"/>
                <w:szCs w:val="24"/>
                <w:lang w:val="en-US" w:eastAsia="zh-CN" w:bidi="ar"/>
              </w:rPr>
              <w:t>k——考虑沿高度速度分布不均的安全系数，通常取k=1.4</w:t>
            </w:r>
          </w:p>
          <w:p>
            <w:pPr>
              <w:pStyle w:val="42"/>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1200" w:firstLineChars="500"/>
              <w:jc w:val="both"/>
              <w:textAlignment w:val="auto"/>
              <w:rPr>
                <w:rFonts w:hint="default" w:ascii="Times New Roman" w:hAnsi="Times New Roman" w:eastAsia="TimesNewRomanPSMT" w:cs="Times New Roman"/>
                <w:b w:val="0"/>
                <w:bCs w:val="0"/>
                <w:color w:val="auto"/>
                <w:kern w:val="0"/>
                <w:sz w:val="24"/>
                <w:szCs w:val="24"/>
                <w:lang w:val="en-US" w:eastAsia="zh-CN" w:bidi="ar"/>
              </w:rPr>
            </w:pPr>
            <w:r>
              <w:rPr>
                <w:rFonts w:hint="default" w:ascii="Times New Roman" w:hAnsi="Times New Roman" w:eastAsia="TimesNewRomanPSMT" w:cs="Times New Roman"/>
                <w:b w:val="0"/>
                <w:bCs w:val="0"/>
                <w:color w:val="auto"/>
                <w:kern w:val="0"/>
                <w:sz w:val="24"/>
                <w:szCs w:val="24"/>
                <w:lang w:val="en-US" w:eastAsia="zh-CN" w:bidi="ar"/>
              </w:rPr>
              <w:t>P——罩口敞开周长m</w:t>
            </w:r>
          </w:p>
          <w:p>
            <w:pPr>
              <w:pStyle w:val="42"/>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1200" w:firstLineChars="500"/>
              <w:jc w:val="both"/>
              <w:textAlignment w:val="auto"/>
              <w:rPr>
                <w:rFonts w:hint="default" w:ascii="Times New Roman" w:hAnsi="Times New Roman" w:eastAsia="TimesNewRomanPSMT" w:cs="Times New Roman"/>
                <w:b w:val="0"/>
                <w:bCs w:val="0"/>
                <w:color w:val="auto"/>
                <w:kern w:val="0"/>
                <w:sz w:val="24"/>
                <w:szCs w:val="24"/>
                <w:lang w:val="en-US" w:eastAsia="zh-CN" w:bidi="ar"/>
              </w:rPr>
            </w:pPr>
            <w:r>
              <w:rPr>
                <w:rFonts w:hint="default" w:ascii="Times New Roman" w:hAnsi="Times New Roman" w:eastAsia="TimesNewRomanPSMT" w:cs="Times New Roman"/>
                <w:b w:val="0"/>
                <w:bCs w:val="0"/>
                <w:color w:val="auto"/>
                <w:kern w:val="0"/>
                <w:sz w:val="24"/>
                <w:szCs w:val="24"/>
                <w:lang w:val="en-US" w:eastAsia="zh-CN" w:bidi="ar"/>
              </w:rPr>
              <w:t>H——罩口距污染源的距离（本项目取0.</w:t>
            </w:r>
            <w:r>
              <w:rPr>
                <w:rFonts w:hint="eastAsia" w:ascii="Times New Roman" w:hAnsi="Times New Roman" w:eastAsia="TimesNewRomanPSMT" w:cs="Times New Roman"/>
                <w:b w:val="0"/>
                <w:bCs w:val="0"/>
                <w:color w:val="auto"/>
                <w:kern w:val="0"/>
                <w:sz w:val="24"/>
                <w:szCs w:val="24"/>
                <w:lang w:val="en-US" w:eastAsia="zh-CN" w:bidi="ar"/>
              </w:rPr>
              <w:t>6</w:t>
            </w:r>
            <w:r>
              <w:rPr>
                <w:rFonts w:hint="default" w:ascii="Times New Roman" w:hAnsi="Times New Roman" w:eastAsia="TimesNewRomanPSMT" w:cs="Times New Roman"/>
                <w:b w:val="0"/>
                <w:bCs w:val="0"/>
                <w:color w:val="auto"/>
                <w:kern w:val="0"/>
                <w:sz w:val="24"/>
                <w:szCs w:val="24"/>
                <w:lang w:val="en-US" w:eastAsia="zh-CN" w:bidi="ar"/>
              </w:rPr>
              <w:t>m）</w:t>
            </w:r>
          </w:p>
          <w:p>
            <w:pPr>
              <w:pStyle w:val="42"/>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auto"/>
              <w:ind w:left="0" w:right="0" w:firstLine="1200" w:firstLineChars="500"/>
              <w:jc w:val="both"/>
              <w:textAlignment w:val="auto"/>
              <w:rPr>
                <w:rFonts w:hint="default" w:ascii="Times New Roman" w:hAnsi="Times New Roman" w:eastAsia="TimesNewRomanPSMT" w:cs="Times New Roman"/>
                <w:b w:val="0"/>
                <w:bCs w:val="0"/>
                <w:color w:val="auto"/>
                <w:kern w:val="0"/>
                <w:sz w:val="24"/>
                <w:szCs w:val="24"/>
                <w:lang w:val="en-US" w:eastAsia="zh-CN" w:bidi="ar"/>
              </w:rPr>
            </w:pPr>
            <w:r>
              <w:rPr>
                <w:rFonts w:hint="default" w:ascii="Times New Roman" w:hAnsi="Times New Roman" w:eastAsia="TimesNewRomanPSMT" w:cs="Times New Roman"/>
                <w:b w:val="0"/>
                <w:bCs w:val="0"/>
                <w:color w:val="auto"/>
                <w:kern w:val="0"/>
                <w:sz w:val="24"/>
                <w:szCs w:val="24"/>
                <w:lang w:val="en-US" w:eastAsia="zh-CN" w:bidi="ar"/>
              </w:rPr>
              <w:t>Vx——控制速度m/s（本项目取0.</w:t>
            </w:r>
            <w:r>
              <w:rPr>
                <w:rFonts w:hint="eastAsia" w:ascii="Times New Roman" w:hAnsi="Times New Roman" w:eastAsia="TimesNewRomanPSMT" w:cs="Times New Roman"/>
                <w:b w:val="0"/>
                <w:bCs w:val="0"/>
                <w:color w:val="auto"/>
                <w:kern w:val="0"/>
                <w:sz w:val="24"/>
                <w:szCs w:val="24"/>
                <w:lang w:val="en-US" w:eastAsia="zh-CN" w:bidi="ar"/>
              </w:rPr>
              <w:t>5</w:t>
            </w:r>
            <w:r>
              <w:rPr>
                <w:rFonts w:hint="default" w:ascii="Times New Roman" w:hAnsi="Times New Roman" w:eastAsia="TimesNewRomanPSMT" w:cs="Times New Roman"/>
                <w:b w:val="0"/>
                <w:bCs w:val="0"/>
                <w:color w:val="auto"/>
                <w:kern w:val="0"/>
                <w:sz w:val="24"/>
                <w:szCs w:val="24"/>
                <w:lang w:val="en-US" w:eastAsia="zh-CN" w:bidi="ar"/>
              </w:rPr>
              <w:t>m/s）</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1200" w:firstLineChars="500"/>
              <w:jc w:val="both"/>
              <w:textAlignment w:val="auto"/>
              <w:rPr>
                <w:rFonts w:hint="default" w:ascii="Times New Roman" w:hAnsi="Times New Roman" w:cs="Times New Roman"/>
                <w:color w:val="auto"/>
                <w:sz w:val="24"/>
                <w:szCs w:val="32"/>
                <w:lang w:val="en-US" w:eastAsia="zh-CN"/>
              </w:rPr>
            </w:pPr>
            <w:r>
              <w:rPr>
                <w:rFonts w:hint="default" w:ascii="Times New Roman" w:hAnsi="Times New Roman" w:eastAsia="TimesNewRomanPSMT" w:cs="Times New Roman"/>
                <w:b w:val="0"/>
                <w:bCs w:val="0"/>
                <w:color w:val="auto"/>
                <w:kern w:val="0"/>
                <w:sz w:val="24"/>
                <w:szCs w:val="24"/>
                <w:lang w:val="en-US" w:eastAsia="zh-CN" w:bidi="ar"/>
              </w:rPr>
              <w:t>Q=1.4</w:t>
            </w:r>
            <w:r>
              <w:rPr>
                <w:rFonts w:hint="default" w:ascii="Times New Roman" w:hAnsi="Times New Roman" w:eastAsia="宋体" w:cs="Times New Roman"/>
                <w:b w:val="0"/>
                <w:bCs w:val="0"/>
                <w:color w:val="auto"/>
                <w:kern w:val="0"/>
                <w:sz w:val="24"/>
                <w:szCs w:val="24"/>
                <w:lang w:val="en-US" w:eastAsia="zh-CN" w:bidi="ar"/>
              </w:rPr>
              <w:t>×</w:t>
            </w:r>
            <w:r>
              <w:rPr>
                <w:rFonts w:hint="default" w:ascii="Times New Roman" w:hAnsi="Times New Roman" w:cs="Times New Roman"/>
                <w:b w:val="0"/>
                <w:bCs w:val="0"/>
                <w:color w:val="auto"/>
                <w:kern w:val="0"/>
                <w:sz w:val="24"/>
                <w:szCs w:val="24"/>
                <w:lang w:val="en-US" w:eastAsia="zh-CN" w:bidi="ar"/>
              </w:rPr>
              <w:t>2</w:t>
            </w:r>
            <w:r>
              <w:rPr>
                <w:rFonts w:hint="default" w:ascii="Times New Roman" w:hAnsi="Times New Roman" w:cs="Times New Roman"/>
                <w:color w:val="auto"/>
                <w:kern w:val="0"/>
                <w:sz w:val="24"/>
                <w:szCs w:val="24"/>
              </w:rPr>
              <w:t>（</w:t>
            </w:r>
            <w:r>
              <w:rPr>
                <w:rFonts w:hint="eastAsia" w:ascii="Times New Roman" w:hAnsi="Times New Roman" w:cs="Times New Roman"/>
                <w:color w:val="auto"/>
                <w:kern w:val="0"/>
                <w:sz w:val="24"/>
                <w:szCs w:val="24"/>
                <w:lang w:val="en-US" w:eastAsia="zh-CN"/>
              </w:rPr>
              <w:t>1.3</w:t>
            </w:r>
            <w:r>
              <w:rPr>
                <w:rFonts w:hint="default" w:ascii="Times New Roman" w:hAnsi="Times New Roman" w:cs="Times New Roman"/>
                <w:color w:val="auto"/>
                <w:kern w:val="0"/>
                <w:sz w:val="24"/>
                <w:szCs w:val="24"/>
              </w:rPr>
              <w:t>+</w:t>
            </w:r>
            <w:r>
              <w:rPr>
                <w:rFonts w:hint="eastAsia" w:ascii="Times New Roman" w:hAnsi="Times New Roman" w:cs="Times New Roman"/>
                <w:color w:val="auto"/>
                <w:kern w:val="0"/>
                <w:sz w:val="24"/>
                <w:szCs w:val="24"/>
                <w:lang w:val="en-US" w:eastAsia="zh-CN"/>
              </w:rPr>
              <w:t>1.3</w:t>
            </w:r>
            <w:r>
              <w:rPr>
                <w:rFonts w:hint="default" w:ascii="Times New Roman" w:hAnsi="Times New Roman" w:cs="Times New Roman"/>
                <w:color w:val="auto"/>
                <w:kern w:val="0"/>
                <w:sz w:val="24"/>
                <w:szCs w:val="24"/>
              </w:rPr>
              <w:t>）</w:t>
            </w:r>
            <w:r>
              <w:rPr>
                <w:rFonts w:hint="default" w:ascii="Times New Roman" w:hAnsi="Times New Roman" w:eastAsia="宋体" w:cs="Times New Roman"/>
                <w:b w:val="0"/>
                <w:bCs w:val="0"/>
                <w:color w:val="auto"/>
                <w:kern w:val="0"/>
                <w:sz w:val="24"/>
                <w:szCs w:val="24"/>
                <w:lang w:val="en-US" w:eastAsia="zh-CN" w:bidi="ar"/>
              </w:rPr>
              <w:t>×</w:t>
            </w:r>
            <w:r>
              <w:rPr>
                <w:rFonts w:hint="default" w:ascii="Times New Roman" w:hAnsi="Times New Roman" w:eastAsia="TimesNewRomanPSMT" w:cs="Times New Roman"/>
                <w:b w:val="0"/>
                <w:bCs w:val="0"/>
                <w:color w:val="auto"/>
                <w:kern w:val="0"/>
                <w:sz w:val="24"/>
                <w:szCs w:val="24"/>
                <w:lang w:val="en-US" w:eastAsia="zh-CN" w:bidi="ar"/>
              </w:rPr>
              <w:t>0.</w:t>
            </w:r>
            <w:r>
              <w:rPr>
                <w:rFonts w:hint="eastAsia" w:ascii="Times New Roman" w:hAnsi="Times New Roman" w:eastAsia="TimesNewRomanPSMT" w:cs="Times New Roman"/>
                <w:b w:val="0"/>
                <w:bCs w:val="0"/>
                <w:color w:val="auto"/>
                <w:kern w:val="0"/>
                <w:sz w:val="24"/>
                <w:szCs w:val="24"/>
                <w:lang w:val="en-US" w:eastAsia="zh-CN" w:bidi="ar"/>
              </w:rPr>
              <w:t>6</w:t>
            </w:r>
            <w:r>
              <w:rPr>
                <w:rFonts w:hint="default" w:ascii="Times New Roman" w:hAnsi="Times New Roman" w:eastAsia="宋体" w:cs="Times New Roman"/>
                <w:b w:val="0"/>
                <w:bCs w:val="0"/>
                <w:color w:val="auto"/>
                <w:kern w:val="0"/>
                <w:sz w:val="24"/>
                <w:szCs w:val="24"/>
                <w:lang w:val="en-US" w:eastAsia="zh-CN" w:bidi="ar"/>
              </w:rPr>
              <w:t>×</w:t>
            </w:r>
            <w:r>
              <w:rPr>
                <w:rFonts w:hint="default" w:ascii="Times New Roman" w:hAnsi="Times New Roman" w:cs="Times New Roman"/>
                <w:b w:val="0"/>
                <w:bCs w:val="0"/>
                <w:color w:val="auto"/>
                <w:kern w:val="0"/>
                <w:sz w:val="24"/>
                <w:szCs w:val="24"/>
                <w:lang w:val="en-US" w:eastAsia="zh-CN" w:bidi="ar"/>
              </w:rPr>
              <w:t>0.</w:t>
            </w:r>
            <w:r>
              <w:rPr>
                <w:rFonts w:hint="eastAsia" w:ascii="Times New Roman" w:hAnsi="Times New Roman" w:cs="Times New Roman"/>
                <w:b w:val="0"/>
                <w:bCs w:val="0"/>
                <w:color w:val="auto"/>
                <w:kern w:val="0"/>
                <w:sz w:val="24"/>
                <w:szCs w:val="24"/>
                <w:lang w:val="en-US" w:eastAsia="zh-CN" w:bidi="ar"/>
              </w:rPr>
              <w:t>5</w:t>
            </w:r>
            <w:r>
              <w:rPr>
                <w:rFonts w:hint="default" w:ascii="Times New Roman" w:hAnsi="Times New Roman" w:eastAsia="宋体" w:cs="Times New Roman"/>
                <w:b w:val="0"/>
                <w:bCs w:val="0"/>
                <w:color w:val="auto"/>
                <w:kern w:val="0"/>
                <w:sz w:val="24"/>
                <w:szCs w:val="24"/>
                <w:lang w:val="en-US" w:eastAsia="zh-CN" w:bidi="ar"/>
              </w:rPr>
              <w:t>×</w:t>
            </w:r>
            <w:r>
              <w:rPr>
                <w:rFonts w:hint="default" w:ascii="Times New Roman" w:hAnsi="Times New Roman" w:eastAsia="TimesNewRomanPSMT" w:cs="Times New Roman"/>
                <w:b w:val="0"/>
                <w:bCs w:val="0"/>
                <w:color w:val="auto"/>
                <w:kern w:val="0"/>
                <w:sz w:val="24"/>
                <w:szCs w:val="24"/>
                <w:lang w:val="en-US" w:eastAsia="zh-CN" w:bidi="ar"/>
              </w:rPr>
              <w:t>3600=</w:t>
            </w:r>
            <w:r>
              <w:rPr>
                <w:rFonts w:hint="eastAsia" w:ascii="Times New Roman" w:hAnsi="Times New Roman" w:eastAsia="TimesNewRomanPSMT" w:cs="Times New Roman"/>
                <w:b w:val="0"/>
                <w:bCs w:val="0"/>
                <w:color w:val="auto"/>
                <w:kern w:val="0"/>
                <w:sz w:val="24"/>
                <w:szCs w:val="24"/>
                <w:lang w:val="en-US" w:eastAsia="zh-CN" w:bidi="ar"/>
              </w:rPr>
              <w:t>7862.4</w:t>
            </w:r>
            <w:r>
              <w:rPr>
                <w:rFonts w:hint="default" w:ascii="Times New Roman" w:hAnsi="Times New Roman" w:eastAsia="TimesNewRomanPSMT" w:cs="Times New Roman"/>
                <w:b w:val="0"/>
                <w:bCs w:val="0"/>
                <w:color w:val="auto"/>
                <w:kern w:val="0"/>
                <w:sz w:val="24"/>
                <w:szCs w:val="24"/>
                <w:lang w:val="en-US" w:eastAsia="zh-CN" w:bidi="ar"/>
              </w:rPr>
              <w:t>m</w:t>
            </w:r>
            <w:r>
              <w:rPr>
                <w:rFonts w:hint="default" w:ascii="Times New Roman" w:hAnsi="Times New Roman" w:eastAsia="TimesNewRomanPSMT" w:cs="Times New Roman"/>
                <w:b w:val="0"/>
                <w:bCs w:val="0"/>
                <w:color w:val="auto"/>
                <w:kern w:val="0"/>
                <w:sz w:val="24"/>
                <w:szCs w:val="24"/>
                <w:vertAlign w:val="superscript"/>
                <w:lang w:val="en-US" w:eastAsia="zh-CN" w:bidi="ar"/>
              </w:rPr>
              <w:t>3</w:t>
            </w:r>
            <w:r>
              <w:rPr>
                <w:rFonts w:hint="default" w:ascii="Times New Roman" w:hAnsi="Times New Roman" w:eastAsia="TimesNewRomanPSMT" w:cs="Times New Roman"/>
                <w:b w:val="0"/>
                <w:bCs w:val="0"/>
                <w:color w:val="auto"/>
                <w:kern w:val="0"/>
                <w:sz w:val="15"/>
                <w:szCs w:val="15"/>
                <w:vertAlign w:val="superscript"/>
                <w:lang w:val="en-US" w:eastAsia="zh-CN" w:bidi="ar"/>
              </w:rPr>
              <w:t xml:space="preserve"> </w:t>
            </w:r>
            <w:r>
              <w:rPr>
                <w:rFonts w:hint="default" w:ascii="Times New Roman" w:hAnsi="Times New Roman" w:eastAsia="TimesNewRomanPSMT" w:cs="Times New Roman"/>
                <w:b w:val="0"/>
                <w:bCs w:val="0"/>
                <w:color w:val="auto"/>
                <w:kern w:val="0"/>
                <w:sz w:val="24"/>
                <w:szCs w:val="24"/>
                <w:lang w:val="en-US" w:eastAsia="zh-CN" w:bidi="ar"/>
              </w:rPr>
              <w:t>/h</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8</w:t>
            </w:r>
            <w:r>
              <w:rPr>
                <w:rFonts w:hint="eastAsia" w:ascii="Times New Roman" w:hAnsi="Times New Roman" w:cs="Times New Roman"/>
                <w:color w:val="auto"/>
                <w:sz w:val="24"/>
                <w:szCs w:val="24"/>
                <w:lang w:val="en-US" w:eastAsia="zh-CN"/>
              </w:rPr>
              <w:t>0</w:t>
            </w:r>
            <w:r>
              <w:rPr>
                <w:rFonts w:hint="default" w:ascii="Times New Roman" w:hAnsi="Times New Roman" w:cs="Times New Roman"/>
                <w:color w:val="auto"/>
                <w:sz w:val="24"/>
                <w:szCs w:val="24"/>
                <w:lang w:val="en-US" w:eastAsia="zh-CN"/>
              </w:rPr>
              <w:t>00</w:t>
            </w:r>
            <w:r>
              <w:rPr>
                <w:rFonts w:hint="default" w:ascii="Times New Roman" w:hAnsi="Times New Roman" w:cs="Times New Roman"/>
                <w:color w:val="auto"/>
                <w:kern w:val="0"/>
                <w:sz w:val="24"/>
                <w:szCs w:val="24"/>
              </w:rPr>
              <w:t>m</w:t>
            </w:r>
            <w:r>
              <w:rPr>
                <w:rFonts w:hint="default" w:ascii="Times New Roman" w:hAnsi="Times New Roman" w:cs="Times New Roman"/>
                <w:color w:val="auto"/>
                <w:kern w:val="0"/>
                <w:sz w:val="24"/>
                <w:szCs w:val="24"/>
                <w:vertAlign w:val="superscript"/>
              </w:rPr>
              <w:t>3</w:t>
            </w:r>
            <w:r>
              <w:rPr>
                <w:rFonts w:hint="default" w:ascii="Times New Roman" w:hAnsi="Times New Roman" w:cs="Times New Roman"/>
                <w:color w:val="auto"/>
                <w:kern w:val="0"/>
                <w:sz w:val="24"/>
                <w:szCs w:val="24"/>
              </w:rPr>
              <w:t>/h</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1200" w:firstLineChars="500"/>
              <w:jc w:val="both"/>
              <w:textAlignment w:val="auto"/>
              <w:rPr>
                <w:rFonts w:hint="eastAsia" w:ascii="Times New Roman" w:hAnsi="Times New Roman" w:eastAsia="宋体" w:cs="Times New Roman"/>
                <w:b w:val="0"/>
                <w:bCs w:val="0"/>
                <w:color w:val="auto"/>
                <w:sz w:val="24"/>
                <w:szCs w:val="24"/>
                <w:lang w:eastAsia="zh-CN"/>
              </w:rPr>
            </w:pPr>
            <w:r>
              <w:rPr>
                <w:rFonts w:hint="eastAsia" w:cs="Times New Roman"/>
                <w:color w:val="auto"/>
                <w:kern w:val="2"/>
                <w:sz w:val="24"/>
                <w:szCs w:val="22"/>
                <w:highlight w:val="none"/>
                <w:lang w:val="en-US" w:eastAsia="zh-CN" w:bidi="ar-SA"/>
              </w:rPr>
              <w:t>根据计算，风量为16000</w:t>
            </w:r>
            <w:r>
              <w:rPr>
                <w:rFonts w:hint="default" w:ascii="Times New Roman" w:hAnsi="Times New Roman" w:cs="Times New Roman"/>
                <w:color w:val="auto"/>
                <w:kern w:val="0"/>
                <w:sz w:val="24"/>
                <w:szCs w:val="24"/>
              </w:rPr>
              <w:t>m</w:t>
            </w:r>
            <w:r>
              <w:rPr>
                <w:rFonts w:hint="default" w:ascii="Times New Roman" w:hAnsi="Times New Roman" w:cs="Times New Roman"/>
                <w:color w:val="auto"/>
                <w:kern w:val="0"/>
                <w:sz w:val="24"/>
                <w:szCs w:val="24"/>
                <w:vertAlign w:val="superscript"/>
              </w:rPr>
              <w:t>3</w:t>
            </w:r>
            <w:r>
              <w:rPr>
                <w:rFonts w:hint="default" w:ascii="Times New Roman" w:hAnsi="Times New Roman" w:cs="Times New Roman"/>
                <w:color w:val="auto"/>
                <w:kern w:val="0"/>
                <w:sz w:val="24"/>
                <w:szCs w:val="24"/>
              </w:rPr>
              <w:t>/h</w:t>
            </w:r>
            <w:r>
              <w:rPr>
                <w:rFonts w:hint="eastAsia" w:ascii="Times New Roman" w:hAnsi="Times New Roman" w:cs="Times New Roman"/>
                <w:color w:val="auto"/>
                <w:kern w:val="0"/>
                <w:sz w:val="24"/>
                <w:szCs w:val="24"/>
                <w:lang w:eastAsia="zh-CN"/>
              </w:rPr>
              <w:t>，</w:t>
            </w:r>
            <w:r>
              <w:rPr>
                <w:rFonts w:hint="eastAsia" w:ascii="Times New Roman" w:hAnsi="Times New Roman" w:eastAsia="宋体" w:cs="Times New Roman"/>
                <w:color w:val="auto"/>
                <w:kern w:val="2"/>
                <w:sz w:val="24"/>
                <w:szCs w:val="22"/>
                <w:highlight w:val="none"/>
                <w:lang w:val="en-US" w:eastAsia="zh-CN" w:bidi="ar-SA"/>
              </w:rPr>
              <w:t>集气罩</w:t>
            </w:r>
            <w:r>
              <w:rPr>
                <w:rFonts w:hint="default" w:ascii="Times New Roman" w:hAnsi="Times New Roman" w:eastAsia="宋体" w:cs="Times New Roman"/>
                <w:color w:val="auto"/>
                <w:kern w:val="2"/>
                <w:sz w:val="24"/>
                <w:szCs w:val="22"/>
                <w:highlight w:val="none"/>
                <w:lang w:val="en-US" w:eastAsia="zh-CN" w:bidi="ar-SA"/>
              </w:rPr>
              <w:t>收集</w:t>
            </w:r>
            <w:r>
              <w:rPr>
                <w:rFonts w:hint="eastAsia" w:cs="Times New Roman"/>
                <w:color w:val="auto"/>
                <w:kern w:val="2"/>
                <w:sz w:val="24"/>
                <w:szCs w:val="22"/>
                <w:highlight w:val="none"/>
                <w:lang w:val="en-US" w:eastAsia="zh-CN" w:bidi="ar-SA"/>
              </w:rPr>
              <w:t>效</w:t>
            </w:r>
            <w:r>
              <w:rPr>
                <w:rFonts w:hint="default" w:ascii="Times New Roman" w:hAnsi="Times New Roman" w:eastAsia="宋体" w:cs="Times New Roman"/>
                <w:color w:val="auto"/>
                <w:kern w:val="2"/>
                <w:sz w:val="24"/>
                <w:szCs w:val="22"/>
                <w:highlight w:val="none"/>
                <w:lang w:val="en-US" w:eastAsia="zh-CN" w:bidi="ar-SA"/>
              </w:rPr>
              <w:t>率按</w:t>
            </w:r>
            <w:r>
              <w:rPr>
                <w:rFonts w:hint="eastAsia" w:ascii="Times New Roman" w:hAnsi="Times New Roman" w:eastAsia="宋体" w:cs="Times New Roman"/>
                <w:color w:val="auto"/>
                <w:kern w:val="2"/>
                <w:sz w:val="24"/>
                <w:szCs w:val="22"/>
                <w:highlight w:val="none"/>
                <w:lang w:val="en-US" w:eastAsia="zh-CN" w:bidi="ar-SA"/>
              </w:rPr>
              <w:t>9</w:t>
            </w:r>
            <w:r>
              <w:rPr>
                <w:rFonts w:hint="default" w:ascii="Times New Roman" w:hAnsi="Times New Roman" w:eastAsia="宋体" w:cs="Times New Roman"/>
                <w:color w:val="auto"/>
                <w:kern w:val="2"/>
                <w:sz w:val="24"/>
                <w:szCs w:val="22"/>
                <w:highlight w:val="none"/>
                <w:lang w:val="en-US" w:eastAsia="zh-CN" w:bidi="ar-SA"/>
              </w:rPr>
              <w:t>0%计，</w:t>
            </w:r>
            <w:r>
              <w:rPr>
                <w:rFonts w:hint="eastAsia" w:ascii="Times New Roman" w:hAnsi="Times New Roman" w:eastAsia="宋体" w:cs="Times New Roman"/>
                <w:color w:val="auto"/>
                <w:kern w:val="2"/>
                <w:sz w:val="24"/>
                <w:szCs w:val="22"/>
                <w:highlight w:val="none"/>
                <w:lang w:val="en-US" w:eastAsia="zh-CN" w:bidi="ar-SA"/>
              </w:rPr>
              <w:t>因此</w:t>
            </w:r>
            <w:r>
              <w:rPr>
                <w:rFonts w:hint="eastAsia" w:cs="Times New Roman"/>
                <w:color w:val="auto"/>
                <w:kern w:val="2"/>
                <w:sz w:val="24"/>
                <w:szCs w:val="22"/>
                <w:highlight w:val="none"/>
                <w:lang w:val="en-US" w:eastAsia="zh-CN" w:bidi="ar-SA"/>
              </w:rPr>
              <w:t>打磨</w:t>
            </w:r>
            <w:r>
              <w:rPr>
                <w:rFonts w:hint="eastAsia" w:ascii="Times New Roman" w:hAnsi="Times New Roman" w:cs="Times New Roman"/>
                <w:color w:val="auto"/>
                <w:sz w:val="24"/>
                <w:szCs w:val="32"/>
                <w:lang w:val="en-US" w:eastAsia="zh-CN"/>
              </w:rPr>
              <w:t>粉尘有组织收集量为</w:t>
            </w:r>
            <w:r>
              <w:rPr>
                <w:rFonts w:hint="eastAsia" w:cs="Times New Roman"/>
                <w:color w:val="auto"/>
                <w:sz w:val="24"/>
                <w:szCs w:val="32"/>
                <w:lang w:val="en-US" w:eastAsia="zh-CN"/>
              </w:rPr>
              <w:t>0.936</w:t>
            </w:r>
            <w:r>
              <w:rPr>
                <w:rFonts w:hint="eastAsia" w:ascii="Times New Roman" w:hAnsi="Times New Roman" w:cs="Times New Roman"/>
                <w:color w:val="auto"/>
                <w:sz w:val="24"/>
                <w:szCs w:val="32"/>
                <w:lang w:val="en-US" w:eastAsia="zh-CN"/>
              </w:rPr>
              <w:t>t/a，布袋除尘器处理效率</w:t>
            </w:r>
            <w:r>
              <w:rPr>
                <w:rFonts w:hint="eastAsia" w:cs="Times New Roman"/>
                <w:color w:val="auto"/>
                <w:sz w:val="24"/>
                <w:szCs w:val="32"/>
                <w:lang w:val="en-US" w:eastAsia="zh-CN"/>
              </w:rPr>
              <w:t>按</w:t>
            </w:r>
            <w:r>
              <w:rPr>
                <w:rFonts w:hint="eastAsia" w:ascii="Times New Roman" w:hAnsi="Times New Roman" w:cs="Times New Roman"/>
                <w:color w:val="auto"/>
                <w:sz w:val="24"/>
                <w:szCs w:val="32"/>
                <w:lang w:val="en-US" w:eastAsia="zh-CN"/>
              </w:rPr>
              <w:t>9</w:t>
            </w:r>
            <w:r>
              <w:rPr>
                <w:rFonts w:hint="eastAsia" w:cs="Times New Roman"/>
                <w:color w:val="auto"/>
                <w:sz w:val="24"/>
                <w:szCs w:val="32"/>
                <w:lang w:val="en-US" w:eastAsia="zh-CN"/>
              </w:rPr>
              <w:t>5</w:t>
            </w:r>
            <w:r>
              <w:rPr>
                <w:rFonts w:hint="eastAsia" w:ascii="Times New Roman" w:hAnsi="Times New Roman" w:cs="Times New Roman"/>
                <w:color w:val="auto"/>
                <w:sz w:val="24"/>
                <w:szCs w:val="32"/>
                <w:lang w:val="en-US" w:eastAsia="zh-CN"/>
              </w:rPr>
              <w:t>%</w:t>
            </w:r>
            <w:r>
              <w:rPr>
                <w:rFonts w:hint="eastAsia" w:cs="Times New Roman"/>
                <w:color w:val="auto"/>
                <w:sz w:val="24"/>
                <w:szCs w:val="32"/>
                <w:lang w:val="en-US" w:eastAsia="zh-CN"/>
              </w:rPr>
              <w:t>计</w:t>
            </w:r>
            <w:r>
              <w:rPr>
                <w:rFonts w:hint="eastAsia" w:ascii="Times New Roman" w:hAnsi="Times New Roman" w:cs="Times New Roman"/>
                <w:color w:val="auto"/>
                <w:sz w:val="24"/>
                <w:szCs w:val="32"/>
                <w:lang w:val="en-US" w:eastAsia="zh-CN"/>
              </w:rPr>
              <w:t>，处理后的废气经1根</w:t>
            </w:r>
            <w:r>
              <w:rPr>
                <w:rFonts w:hint="eastAsia" w:cs="Times New Roman"/>
                <w:color w:val="auto"/>
                <w:sz w:val="24"/>
                <w:szCs w:val="32"/>
                <w:lang w:val="en-US" w:eastAsia="zh-CN"/>
              </w:rPr>
              <w:t>15</w:t>
            </w:r>
            <w:r>
              <w:rPr>
                <w:rFonts w:hint="eastAsia" w:ascii="Times New Roman" w:hAnsi="Times New Roman" w:cs="Times New Roman"/>
                <w:color w:val="auto"/>
                <w:sz w:val="24"/>
                <w:szCs w:val="32"/>
                <w:lang w:val="en-US" w:eastAsia="zh-CN"/>
              </w:rPr>
              <w:t>m高排气筒高空排放（DA001），则有组织排放量为</w:t>
            </w:r>
            <w:r>
              <w:rPr>
                <w:rFonts w:hint="eastAsia" w:cs="Times New Roman"/>
                <w:color w:val="auto"/>
                <w:sz w:val="24"/>
                <w:szCs w:val="32"/>
                <w:lang w:val="en-US" w:eastAsia="zh-CN"/>
              </w:rPr>
              <w:t>0.0493</w:t>
            </w:r>
            <w:r>
              <w:rPr>
                <w:rFonts w:hint="eastAsia" w:ascii="Times New Roman" w:hAnsi="Times New Roman" w:cs="Times New Roman"/>
                <w:color w:val="auto"/>
                <w:sz w:val="24"/>
                <w:szCs w:val="32"/>
                <w:lang w:val="en-US" w:eastAsia="zh-CN"/>
              </w:rPr>
              <w:t>t/a</w:t>
            </w:r>
            <w:r>
              <w:rPr>
                <w:rFonts w:hint="eastAsia" w:cs="Times New Roman"/>
                <w:b w:val="0"/>
                <w:bCs w:val="0"/>
                <w:color w:val="auto"/>
                <w:sz w:val="24"/>
                <w:szCs w:val="32"/>
                <w:highlight w:val="none"/>
                <w:lang w:val="en-US" w:eastAsia="zh-CN"/>
              </w:rPr>
              <w:t>。</w:t>
            </w:r>
            <w:r>
              <w:rPr>
                <w:rFonts w:hint="default" w:ascii="Times New Roman" w:hAnsi="Times New Roman" w:cs="Times New Roman"/>
                <w:color w:val="auto"/>
                <w:sz w:val="24"/>
                <w:szCs w:val="24"/>
                <w:lang w:val="en-US" w:eastAsia="zh-CN"/>
              </w:rPr>
              <w:t>未收集</w:t>
            </w:r>
            <w:r>
              <w:rPr>
                <w:rFonts w:hint="eastAsia" w:ascii="Times New Roman" w:hAnsi="Times New Roman" w:cs="Times New Roman"/>
                <w:color w:val="auto"/>
                <w:sz w:val="24"/>
                <w:szCs w:val="24"/>
                <w:lang w:val="en-US" w:eastAsia="zh-CN"/>
              </w:rPr>
              <w:t>到</w:t>
            </w:r>
            <w:r>
              <w:rPr>
                <w:rFonts w:hint="default" w:ascii="Times New Roman" w:hAnsi="Times New Roman" w:cs="Times New Roman"/>
                <w:color w:val="auto"/>
                <w:sz w:val="24"/>
                <w:szCs w:val="24"/>
                <w:lang w:val="en-US" w:eastAsia="zh-CN"/>
              </w:rPr>
              <w:t>的粉尘</w:t>
            </w:r>
            <w:r>
              <w:rPr>
                <w:rFonts w:hint="default" w:ascii="Times New Roman" w:hAnsi="Times New Roman" w:cs="Times New Roman"/>
                <w:b w:val="0"/>
                <w:bCs w:val="0"/>
                <w:color w:val="auto"/>
                <w:sz w:val="24"/>
                <w:szCs w:val="24"/>
                <w:highlight w:val="none"/>
                <w:lang w:val="en-US" w:eastAsia="zh-CN"/>
              </w:rPr>
              <w:t>经</w:t>
            </w:r>
            <w:r>
              <w:rPr>
                <w:rFonts w:hint="eastAsia" w:cs="Times New Roman"/>
                <w:b w:val="0"/>
                <w:bCs w:val="0"/>
                <w:color w:val="auto"/>
                <w:sz w:val="24"/>
                <w:szCs w:val="24"/>
                <w:highlight w:val="none"/>
                <w:lang w:val="en-US" w:eastAsia="zh-CN"/>
              </w:rPr>
              <w:t>厂房阻隔、自然沉降80%</w:t>
            </w:r>
            <w:r>
              <w:rPr>
                <w:rFonts w:hint="default" w:ascii="Times New Roman" w:hAnsi="Times New Roman" w:cs="Times New Roman"/>
                <w:b w:val="0"/>
                <w:bCs w:val="0"/>
                <w:color w:val="auto"/>
                <w:sz w:val="24"/>
                <w:szCs w:val="24"/>
                <w:highlight w:val="none"/>
                <w:lang w:val="en-US" w:eastAsia="zh-CN"/>
              </w:rPr>
              <w:t>后以无组织形式排放，则无组织粉尘的排放量为</w:t>
            </w:r>
            <w:r>
              <w:rPr>
                <w:rFonts w:hint="eastAsia" w:cs="Times New Roman"/>
                <w:b w:val="0"/>
                <w:bCs w:val="0"/>
                <w:color w:val="auto"/>
                <w:sz w:val="24"/>
                <w:szCs w:val="24"/>
                <w:highlight w:val="none"/>
                <w:lang w:val="en-US" w:eastAsia="zh-CN"/>
              </w:rPr>
              <w:t>0.0219</w:t>
            </w:r>
            <w:r>
              <w:rPr>
                <w:rFonts w:hint="default" w:ascii="Times New Roman" w:hAnsi="Times New Roman" w:cs="Times New Roman"/>
                <w:color w:val="auto"/>
                <w:sz w:val="24"/>
                <w:szCs w:val="24"/>
                <w:lang w:val="en-US" w:eastAsia="zh-CN"/>
              </w:rPr>
              <w:t>t/a</w:t>
            </w:r>
            <w:r>
              <w:rPr>
                <w:rFonts w:hint="eastAsia" w:cs="Times New Roman"/>
                <w:color w:val="auto"/>
                <w:sz w:val="24"/>
                <w:szCs w:val="24"/>
                <w:highlight w:val="none"/>
                <w:lang w:val="en-US" w:eastAsia="zh-CN"/>
              </w:rPr>
              <w:t>。</w:t>
            </w:r>
          </w:p>
          <w:p>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right="0" w:rightChars="0" w:firstLine="0" w:firstLineChars="0"/>
              <w:jc w:val="both"/>
              <w:textAlignment w:val="auto"/>
              <w:rPr>
                <w:rFonts w:hint="default" w:ascii="Times New Roman" w:hAnsi="Times New Roman" w:eastAsia="宋体" w:cs="Times New Roman"/>
                <w:color w:val="FF0000"/>
                <w:sz w:val="24"/>
                <w:lang w:val="en-US" w:eastAsia="zh-CN"/>
              </w:rPr>
            </w:pPr>
            <w:r>
              <w:rPr>
                <w:rFonts w:hint="default" w:ascii="Times New Roman" w:hAnsi="Times New Roman" w:eastAsia="宋体" w:cs="Times New Roman"/>
                <w:color w:val="FF0000"/>
                <w:sz w:val="24"/>
                <w:lang w:val="en-US" w:eastAsia="zh-CN"/>
              </w:rPr>
              <w:drawing>
                <wp:inline distT="0" distB="0" distL="114300" distR="114300">
                  <wp:extent cx="4945380" cy="2082165"/>
                  <wp:effectExtent l="0" t="0" r="0" b="0"/>
                  <wp:docPr id="10" name="ECB019B1-382A-4266-B25C-5B523AA43C14-3" descr="C:/Users/Administrator/AppData/Local/Temp/wps.ZDtIbs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B019B1-382A-4266-B25C-5B523AA43C14-3" descr="C:/Users/Administrator/AppData/Local/Temp/wps.ZDtIbswps"/>
                          <pic:cNvPicPr>
                            <a:picLocks noChangeAspect="1"/>
                          </pic:cNvPicPr>
                        </pic:nvPicPr>
                        <pic:blipFill>
                          <a:blip r:embed="rId10"/>
                          <a:srcRect r="8968" b="14286"/>
                          <a:stretch>
                            <a:fillRect/>
                          </a:stretch>
                        </pic:blipFill>
                        <pic:spPr>
                          <a:xfrm>
                            <a:off x="0" y="0"/>
                            <a:ext cx="4945380" cy="2082165"/>
                          </a:xfrm>
                          <a:prstGeom prst="rect">
                            <a:avLst/>
                          </a:prstGeom>
                        </pic:spPr>
                      </pic:pic>
                    </a:graphicData>
                  </a:graphic>
                </wp:inline>
              </w:drawing>
            </w:r>
          </w:p>
          <w:p>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right="0" w:rightChars="0" w:firstLine="482" w:firstLineChars="20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b/>
                <w:bCs/>
                <w:color w:val="auto"/>
                <w:sz w:val="24"/>
                <w:szCs w:val="24"/>
                <w:lang w:eastAsia="zh-CN"/>
              </w:rPr>
              <w:t>图</w:t>
            </w:r>
            <w:r>
              <w:rPr>
                <w:rFonts w:hint="default" w:ascii="Times New Roman" w:hAnsi="Times New Roman" w:cs="Times New Roman"/>
                <w:b/>
                <w:bCs/>
                <w:color w:val="auto"/>
                <w:sz w:val="24"/>
                <w:szCs w:val="24"/>
                <w:lang w:val="en-US" w:eastAsia="zh-CN"/>
              </w:rPr>
              <w:t xml:space="preserve">4-1  </w:t>
            </w:r>
            <w:r>
              <w:rPr>
                <w:rFonts w:hint="default" w:ascii="Times New Roman" w:hAnsi="Times New Roman" w:cs="Times New Roman"/>
                <w:b/>
                <w:bCs/>
                <w:color w:val="auto"/>
                <w:sz w:val="24"/>
                <w:lang w:val="en-US" w:eastAsia="zh-CN"/>
              </w:rPr>
              <w:t>废气管线收集图</w:t>
            </w:r>
          </w:p>
          <w:p>
            <w:pPr>
              <w:bidi w:val="0"/>
              <w:ind w:left="0" w:leftChars="0" w:firstLine="0" w:firstLineChars="0"/>
              <w:jc w:val="center"/>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ind w:left="0" w:leftChars="0" w:firstLine="0" w:firstLineChars="0"/>
              <w:jc w:val="both"/>
              <w:rPr>
                <w:rFonts w:hint="eastAsia"/>
                <w:b/>
                <w:bCs/>
                <w:color w:val="000000" w:themeColor="text1"/>
                <w:highlight w:val="none"/>
                <w:lang w:eastAsia="zh-CN"/>
                <w14:textFill>
                  <w14:solidFill>
                    <w14:schemeClr w14:val="tx1"/>
                  </w14:solidFill>
                </w14:textFill>
              </w:rPr>
            </w:pPr>
          </w:p>
          <w:p>
            <w:pPr>
              <w:bidi w:val="0"/>
              <w:ind w:left="0" w:leftChars="0" w:firstLine="0" w:firstLineChars="0"/>
              <w:jc w:val="both"/>
              <w:rPr>
                <w:rFonts w:hint="eastAsia"/>
                <w:b/>
                <w:bCs/>
                <w:color w:val="000000" w:themeColor="text1"/>
                <w:highlight w:val="none"/>
                <w:lang w:eastAsia="zh-CN"/>
                <w14:textFill>
                  <w14:solidFill>
                    <w14:schemeClr w14:val="tx1"/>
                  </w14:solidFill>
                </w14:textFill>
              </w:rPr>
            </w:pPr>
          </w:p>
        </w:tc>
      </w:tr>
    </w:tbl>
    <w:p>
      <w:pPr>
        <w:rPr>
          <w:rFonts w:hint="default"/>
          <w:color w:val="000000" w:themeColor="text1"/>
          <w:highlight w:val="none"/>
          <w:lang w:val="en-US" w:eastAsia="zh-CN"/>
          <w14:textFill>
            <w14:solidFill>
              <w14:schemeClr w14:val="tx1"/>
            </w14:solidFill>
          </w14:textFill>
        </w:rPr>
        <w:sectPr>
          <w:footerReference r:id="rId5" w:type="default"/>
          <w:pgSz w:w="11906" w:h="16838"/>
          <w:pgMar w:top="1417" w:right="1417" w:bottom="1417" w:left="1417" w:header="851" w:footer="992" w:gutter="0"/>
          <w:pgBorders>
            <w:top w:val="none" w:color="auto" w:sz="0" w:space="0"/>
            <w:left w:val="none" w:color="auto" w:sz="0" w:space="0"/>
            <w:bottom w:val="none" w:color="auto" w:sz="0" w:space="0"/>
            <w:right w:val="none" w:color="auto" w:sz="0" w:space="0"/>
          </w:pgBorders>
          <w:pgNumType w:fmt="decimal" w:start="1"/>
          <w:cols w:space="425" w:num="1"/>
          <w:docGrid w:type="lines" w:linePitch="312" w:charSpace="0"/>
        </w:sectPr>
      </w:pPr>
      <w:r>
        <w:rPr>
          <w:rFonts w:hint="default"/>
          <w:color w:val="000000" w:themeColor="text1"/>
          <w:highlight w:val="none"/>
          <w:lang w:val="en-US" w:eastAsia="zh-CN"/>
          <w14:textFill>
            <w14:solidFill>
              <w14:schemeClr w14:val="tx1"/>
            </w14:solidFill>
          </w14:textFill>
        </w:rPr>
        <w:br w:type="page"/>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3691"/>
      </w:tblGrid>
      <w:tr>
        <w:tblPrEx>
          <w:tblLayout w:type="fixed"/>
        </w:tblPrEx>
        <w:tc>
          <w:tcPr>
            <w:tcW w:w="483" w:type="dxa"/>
            <w:vAlign w:val="center"/>
          </w:tcPr>
          <w:p>
            <w:pPr>
              <w:pStyle w:val="23"/>
              <w:ind w:left="0" w:leftChars="0" w:firstLine="0" w:firstLineChars="0"/>
              <w:jc w:val="center"/>
              <w:rPr>
                <w:rFonts w:hint="default"/>
                <w:color w:val="000000" w:themeColor="text1"/>
                <w:highlight w:val="none"/>
                <w:lang w:val="en-US" w:eastAsia="zh-CN"/>
                <w14:textFill>
                  <w14:solidFill>
                    <w14:schemeClr w14:val="tx1"/>
                  </w14:solidFill>
                </w14:textFill>
              </w:rPr>
            </w:pPr>
            <w:r>
              <w:rPr>
                <w:rFonts w:hint="default" w:ascii="Times New Roman" w:hAnsi="Times New Roman" w:cs="Times New Roman"/>
                <w:b/>
                <w:bCs/>
                <w:color w:val="000000" w:themeColor="text1"/>
                <w:sz w:val="24"/>
                <w:szCs w:val="32"/>
                <w:highlight w:val="none"/>
                <w14:textFill>
                  <w14:solidFill>
                    <w14:schemeClr w14:val="tx1"/>
                  </w14:solidFill>
                </w14:textFill>
              </w:rPr>
              <w:t>运营期环境影响和保护措施</w:t>
            </w:r>
          </w:p>
        </w:tc>
        <w:tc>
          <w:tcPr>
            <w:tcW w:w="1369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sz w:val="24"/>
              </w:rPr>
            </w:pPr>
            <w:r>
              <w:rPr>
                <w:b/>
                <w:sz w:val="24"/>
              </w:rPr>
              <w:t>表4</w:t>
            </w:r>
            <w:r>
              <w:rPr>
                <w:rFonts w:hint="eastAsia"/>
                <w:b/>
                <w:sz w:val="24"/>
              </w:rPr>
              <w:t>-</w:t>
            </w:r>
            <w:r>
              <w:rPr>
                <w:rFonts w:hint="eastAsia"/>
                <w:b/>
                <w:sz w:val="24"/>
                <w:lang w:val="en-US" w:eastAsia="zh-CN"/>
              </w:rPr>
              <w:t>1</w:t>
            </w:r>
            <w:r>
              <w:rPr>
                <w:b/>
                <w:sz w:val="24"/>
              </w:rPr>
              <w:t xml:space="preserve">  </w:t>
            </w:r>
            <w:r>
              <w:rPr>
                <w:rFonts w:hint="eastAsia"/>
                <w:b/>
                <w:sz w:val="24"/>
              </w:rPr>
              <w:t>项目有组织</w:t>
            </w:r>
            <w:r>
              <w:rPr>
                <w:b/>
                <w:sz w:val="24"/>
              </w:rPr>
              <w:t>大气污染物</w:t>
            </w:r>
            <w:r>
              <w:rPr>
                <w:rFonts w:hint="eastAsia"/>
                <w:b/>
                <w:sz w:val="24"/>
              </w:rPr>
              <w:t>产生及排放情况一览表</w:t>
            </w:r>
          </w:p>
          <w:tbl>
            <w:tblPr>
              <w:tblStyle w:val="37"/>
              <w:tblW w:w="134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899"/>
              <w:gridCol w:w="1049"/>
              <w:gridCol w:w="885"/>
              <w:gridCol w:w="675"/>
              <w:gridCol w:w="870"/>
              <w:gridCol w:w="870"/>
              <w:gridCol w:w="735"/>
              <w:gridCol w:w="675"/>
              <w:gridCol w:w="1065"/>
              <w:gridCol w:w="1125"/>
              <w:gridCol w:w="960"/>
              <w:gridCol w:w="885"/>
              <w:gridCol w:w="864"/>
              <w:gridCol w:w="852"/>
            </w:tblGrid>
            <w:tr>
              <w:tblPrEx>
                <w:tblLayout w:type="fixed"/>
              </w:tblPrEx>
              <w:trPr>
                <w:trHeight w:val="0" w:hRule="atLeast"/>
                <w:jc w:val="center"/>
              </w:trPr>
              <w:tc>
                <w:tcPr>
                  <w:tcW w:w="1056" w:type="dxa"/>
                  <w:vMerge w:val="restar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产污环节</w:t>
                  </w:r>
                </w:p>
              </w:tc>
              <w:tc>
                <w:tcPr>
                  <w:tcW w:w="899" w:type="dxa"/>
                  <w:vMerge w:val="restar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污染物种类</w:t>
                  </w:r>
                </w:p>
              </w:tc>
              <w:tc>
                <w:tcPr>
                  <w:tcW w:w="1934" w:type="dxa"/>
                  <w:gridSpan w:val="2"/>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污染物产生情况</w:t>
                  </w:r>
                </w:p>
              </w:tc>
              <w:tc>
                <w:tcPr>
                  <w:tcW w:w="675" w:type="dxa"/>
                  <w:vMerge w:val="restar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排放形式</w:t>
                  </w:r>
                </w:p>
              </w:tc>
              <w:tc>
                <w:tcPr>
                  <w:tcW w:w="4215" w:type="dxa"/>
                  <w:gridSpan w:val="5"/>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主要污染治理设施</w:t>
                  </w:r>
                </w:p>
              </w:tc>
              <w:tc>
                <w:tcPr>
                  <w:tcW w:w="2970" w:type="dxa"/>
                  <w:gridSpan w:val="3"/>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lang w:eastAsia="zh-CN"/>
                    </w:rPr>
                  </w:pPr>
                  <w:r>
                    <w:rPr>
                      <w:rFonts w:hint="eastAsia" w:ascii="Times New Roman" w:hAnsi="Times New Roman" w:eastAsia="宋体"/>
                      <w:sz w:val="21"/>
                      <w:szCs w:val="21"/>
                      <w:lang w:eastAsia="zh-CN"/>
                    </w:rPr>
                    <w:t>污染物排放情况</w:t>
                  </w:r>
                </w:p>
              </w:tc>
              <w:tc>
                <w:tcPr>
                  <w:tcW w:w="864" w:type="dxa"/>
                  <w:vMerge w:val="restar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lang w:eastAsia="zh-CN"/>
                    </w:rPr>
                  </w:pPr>
                  <w:r>
                    <w:rPr>
                      <w:rFonts w:hint="eastAsia" w:ascii="Times New Roman" w:hAnsi="Times New Roman" w:eastAsia="宋体"/>
                      <w:sz w:val="21"/>
                      <w:szCs w:val="21"/>
                      <w:lang w:eastAsia="zh-CN"/>
                    </w:rPr>
                    <w:t>排污口编号</w:t>
                  </w:r>
                </w:p>
              </w:tc>
              <w:tc>
                <w:tcPr>
                  <w:tcW w:w="852" w:type="dxa"/>
                  <w:vMerge w:val="restar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标准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限值mg/m</w:t>
                  </w:r>
                  <w:r>
                    <w:rPr>
                      <w:rFonts w:hint="eastAsia" w:ascii="Times New Roman" w:hAnsi="Times New Roman" w:eastAsia="宋体"/>
                      <w:sz w:val="21"/>
                      <w:szCs w:val="21"/>
                      <w:vertAlign w:val="superscript"/>
                      <w:lang w:val="en-US" w:eastAsia="zh-CN"/>
                    </w:rPr>
                    <w:t>3</w:t>
                  </w:r>
                </w:p>
              </w:tc>
            </w:tr>
            <w:tr>
              <w:tblPrEx>
                <w:tblLayout w:type="fixed"/>
              </w:tblPrEx>
              <w:trPr>
                <w:trHeight w:val="0" w:hRule="atLeast"/>
                <w:jc w:val="center"/>
              </w:trPr>
              <w:tc>
                <w:tcPr>
                  <w:tcW w:w="1056"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p>
              </w:tc>
              <w:tc>
                <w:tcPr>
                  <w:tcW w:w="89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p>
              </w:tc>
              <w:tc>
                <w:tcPr>
                  <w:tcW w:w="1049"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产生浓度mg/m</w:t>
                  </w:r>
                  <w:r>
                    <w:rPr>
                      <w:rFonts w:ascii="Times New Roman" w:hAnsi="Times New Roman" w:eastAsia="宋体"/>
                      <w:sz w:val="21"/>
                      <w:szCs w:val="21"/>
                      <w:vertAlign w:val="superscript"/>
                    </w:rPr>
                    <w:t>3</w:t>
                  </w:r>
                </w:p>
              </w:tc>
              <w:tc>
                <w:tcPr>
                  <w:tcW w:w="885"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产生量t/a</w:t>
                  </w:r>
                </w:p>
              </w:tc>
              <w:tc>
                <w:tcPr>
                  <w:tcW w:w="67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p>
              </w:tc>
              <w:tc>
                <w:tcPr>
                  <w:tcW w:w="870"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治理措施</w:t>
                  </w:r>
                </w:p>
              </w:tc>
              <w:tc>
                <w:tcPr>
                  <w:tcW w:w="870"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处理能力m</w:t>
                  </w:r>
                  <w:r>
                    <w:rPr>
                      <w:rFonts w:ascii="Times New Roman" w:hAnsi="Times New Roman" w:eastAsia="宋体"/>
                      <w:sz w:val="21"/>
                      <w:szCs w:val="21"/>
                      <w:vertAlign w:val="superscript"/>
                    </w:rPr>
                    <w:t>3</w:t>
                  </w:r>
                  <w:r>
                    <w:rPr>
                      <w:rFonts w:ascii="Times New Roman" w:hAnsi="Times New Roman" w:eastAsia="宋体"/>
                      <w:sz w:val="21"/>
                      <w:szCs w:val="21"/>
                    </w:rPr>
                    <w:t>/h</w:t>
                  </w:r>
                </w:p>
              </w:tc>
              <w:tc>
                <w:tcPr>
                  <w:tcW w:w="735"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收集效率</w:t>
                  </w:r>
                </w:p>
              </w:tc>
              <w:tc>
                <w:tcPr>
                  <w:tcW w:w="675"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去除效率</w:t>
                  </w:r>
                </w:p>
              </w:tc>
              <w:tc>
                <w:tcPr>
                  <w:tcW w:w="1065"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是否为可行技术</w:t>
                  </w:r>
                </w:p>
              </w:tc>
              <w:tc>
                <w:tcPr>
                  <w:tcW w:w="1125"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lang w:eastAsia="zh-CN"/>
                    </w:rPr>
                  </w:pPr>
                  <w:r>
                    <w:rPr>
                      <w:rFonts w:hint="eastAsia" w:ascii="Times New Roman" w:hAnsi="Times New Roman" w:eastAsia="宋体"/>
                      <w:sz w:val="21"/>
                      <w:szCs w:val="21"/>
                      <w:lang w:eastAsia="zh-CN"/>
                    </w:rPr>
                    <w:t>排放浓度mg/m</w:t>
                  </w:r>
                  <w:r>
                    <w:rPr>
                      <w:rFonts w:hint="eastAsia" w:ascii="Times New Roman" w:hAnsi="Times New Roman" w:eastAsia="宋体"/>
                      <w:sz w:val="21"/>
                      <w:szCs w:val="21"/>
                      <w:vertAlign w:val="superscript"/>
                      <w:lang w:eastAsia="zh-CN"/>
                    </w:rPr>
                    <w:t>3</w:t>
                  </w:r>
                </w:p>
              </w:tc>
              <w:tc>
                <w:tcPr>
                  <w:tcW w:w="960"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lang w:eastAsia="zh-CN"/>
                    </w:rPr>
                  </w:pPr>
                  <w:r>
                    <w:rPr>
                      <w:rFonts w:hint="eastAsia" w:ascii="Times New Roman" w:hAnsi="Times New Roman" w:eastAsia="宋体"/>
                      <w:sz w:val="21"/>
                      <w:szCs w:val="21"/>
                      <w:lang w:eastAsia="zh-CN"/>
                    </w:rPr>
                    <w:t>排放速率kg/h</w:t>
                  </w:r>
                </w:p>
              </w:tc>
              <w:tc>
                <w:tcPr>
                  <w:tcW w:w="885"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lang w:eastAsia="zh-CN"/>
                    </w:rPr>
                  </w:pPr>
                  <w:r>
                    <w:rPr>
                      <w:rFonts w:hint="eastAsia" w:ascii="Times New Roman" w:hAnsi="Times New Roman" w:eastAsia="宋体"/>
                      <w:sz w:val="21"/>
                      <w:szCs w:val="21"/>
                      <w:lang w:eastAsia="zh-CN"/>
                    </w:rPr>
                    <w:t>排放量t/a</w:t>
                  </w:r>
                </w:p>
              </w:tc>
              <w:tc>
                <w:tcPr>
                  <w:tcW w:w="86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lang w:eastAsia="zh-CN"/>
                    </w:rPr>
                  </w:pPr>
                </w:p>
              </w:tc>
              <w:tc>
                <w:tcPr>
                  <w:tcW w:w="852" w:type="dxa"/>
                  <w:vMerge w:val="continue"/>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lang w:val="en-US" w:eastAsia="zh-CN"/>
                    </w:rPr>
                  </w:pPr>
                </w:p>
              </w:tc>
            </w:tr>
            <w:tr>
              <w:tblPrEx>
                <w:tblLayout w:type="fixed"/>
              </w:tblPrEx>
              <w:trPr>
                <w:trHeight w:val="0" w:hRule="atLeast"/>
                <w:jc w:val="center"/>
              </w:trPr>
              <w:tc>
                <w:tcPr>
                  <w:tcW w:w="1056"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rPr>
                  </w:pPr>
                  <w:bookmarkStart w:id="15" w:name="_GoBack" w:colFirst="10" w:colLast="10"/>
                  <w:r>
                    <w:rPr>
                      <w:rFonts w:hint="eastAsia"/>
                      <w:sz w:val="21"/>
                      <w:szCs w:val="21"/>
                      <w:lang w:val="en-US" w:eastAsia="zh-CN"/>
                    </w:rPr>
                    <w:t>切割</w:t>
                  </w:r>
                  <w:r>
                    <w:rPr>
                      <w:rFonts w:hint="eastAsia" w:ascii="Times New Roman" w:hAnsi="Times New Roman" w:eastAsia="宋体"/>
                      <w:sz w:val="21"/>
                      <w:szCs w:val="21"/>
                    </w:rPr>
                    <w:t>工序</w:t>
                  </w:r>
                </w:p>
              </w:tc>
              <w:tc>
                <w:tcPr>
                  <w:tcW w:w="89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rPr>
                  </w:pPr>
                  <w:r>
                    <w:rPr>
                      <w:rFonts w:hint="eastAsia" w:ascii="Times New Roman" w:hAnsi="Times New Roman" w:eastAsia="宋体"/>
                      <w:sz w:val="21"/>
                      <w:szCs w:val="21"/>
                    </w:rPr>
                    <w:t>颗粒物</w:t>
                  </w:r>
                </w:p>
              </w:tc>
              <w:tc>
                <w:tcPr>
                  <w:tcW w:w="104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sz w:val="21"/>
                      <w:szCs w:val="21"/>
                      <w:lang w:val="en-US" w:eastAsia="zh-CN"/>
                    </w:rPr>
                  </w:pPr>
                  <w:r>
                    <w:rPr>
                      <w:rFonts w:hint="eastAsia"/>
                      <w:sz w:val="21"/>
                      <w:szCs w:val="21"/>
                      <w:lang w:val="en-US" w:eastAsia="zh-CN"/>
                    </w:rPr>
                    <w:t>83.33</w:t>
                  </w:r>
                </w:p>
              </w:tc>
              <w:tc>
                <w:tcPr>
                  <w:tcW w:w="88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sz w:val="21"/>
                      <w:szCs w:val="21"/>
                      <w:lang w:val="en-US" w:eastAsia="zh-CN"/>
                    </w:rPr>
                  </w:pPr>
                  <w:r>
                    <w:rPr>
                      <w:rFonts w:hint="eastAsia"/>
                      <w:sz w:val="21"/>
                      <w:szCs w:val="21"/>
                      <w:lang w:val="en-US" w:eastAsia="zh-CN"/>
                    </w:rPr>
                    <w:t>0.75</w:t>
                  </w:r>
                </w:p>
              </w:tc>
              <w:tc>
                <w:tcPr>
                  <w:tcW w:w="67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有组织</w:t>
                  </w:r>
                </w:p>
              </w:tc>
              <w:tc>
                <w:tcPr>
                  <w:tcW w:w="87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rPr>
                  </w:pPr>
                  <w:r>
                    <w:rPr>
                      <w:rFonts w:hint="eastAsia" w:ascii="Times New Roman" w:hAnsi="Times New Roman" w:eastAsia="宋体"/>
                      <w:sz w:val="21"/>
                      <w:szCs w:val="21"/>
                    </w:rPr>
                    <w:t>布袋除尘器</w:t>
                  </w:r>
                </w:p>
              </w:tc>
              <w:tc>
                <w:tcPr>
                  <w:tcW w:w="87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sz w:val="21"/>
                      <w:szCs w:val="21"/>
                      <w:lang w:val="en-US" w:eastAsia="zh-CN"/>
                    </w:rPr>
                  </w:pPr>
                  <w:r>
                    <w:rPr>
                      <w:rFonts w:hint="eastAsia"/>
                      <w:sz w:val="21"/>
                      <w:szCs w:val="21"/>
                      <w:lang w:val="en-US" w:eastAsia="zh-CN"/>
                    </w:rPr>
                    <w:t>6000</w:t>
                  </w:r>
                </w:p>
              </w:tc>
              <w:tc>
                <w:tcPr>
                  <w:tcW w:w="7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9</w:t>
                  </w:r>
                  <w:r>
                    <w:rPr>
                      <w:rFonts w:hint="eastAsia" w:ascii="Times New Roman" w:hAnsi="Times New Roman" w:eastAsia="宋体"/>
                      <w:sz w:val="21"/>
                      <w:szCs w:val="21"/>
                    </w:rPr>
                    <w:t>0</w:t>
                  </w:r>
                  <w:r>
                    <w:rPr>
                      <w:rFonts w:ascii="Times New Roman" w:hAnsi="Times New Roman" w:eastAsia="宋体"/>
                      <w:sz w:val="21"/>
                      <w:szCs w:val="21"/>
                    </w:rPr>
                    <w:t>%</w:t>
                  </w:r>
                </w:p>
              </w:tc>
              <w:tc>
                <w:tcPr>
                  <w:tcW w:w="67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9</w:t>
                  </w:r>
                  <w:r>
                    <w:rPr>
                      <w:rFonts w:hint="eastAsia"/>
                      <w:sz w:val="21"/>
                      <w:szCs w:val="21"/>
                      <w:lang w:val="en-US" w:eastAsia="zh-CN"/>
                    </w:rPr>
                    <w:t>5</w:t>
                  </w:r>
                  <w:r>
                    <w:rPr>
                      <w:rFonts w:ascii="Times New Roman" w:hAnsi="Times New Roman" w:eastAsia="宋体"/>
                      <w:sz w:val="21"/>
                      <w:szCs w:val="21"/>
                    </w:rPr>
                    <w:t>%</w:t>
                  </w:r>
                </w:p>
              </w:tc>
              <w:tc>
                <w:tcPr>
                  <w:tcW w:w="106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是</w:t>
                  </w:r>
                </w:p>
              </w:tc>
              <w:tc>
                <w:tcPr>
                  <w:tcW w:w="112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olor w:val="121212"/>
                      <w:sz w:val="21"/>
                      <w:szCs w:val="21"/>
                      <w:lang w:val="en-US" w:eastAsia="zh-CN"/>
                    </w:rPr>
                  </w:pPr>
                  <w:r>
                    <w:rPr>
                      <w:rFonts w:hint="eastAsia"/>
                      <w:color w:val="121212"/>
                      <w:sz w:val="21"/>
                      <w:szCs w:val="21"/>
                      <w:lang w:val="en-US" w:eastAsia="zh-CN"/>
                    </w:rPr>
                    <w:t>1.889</w:t>
                  </w:r>
                  <w:r>
                    <w:rPr>
                      <w:color w:val="121212"/>
                    </w:rPr>
                    <w:commentReference w:id="43"/>
                  </w:r>
                </w:p>
              </w:tc>
              <w:tc>
                <w:tcPr>
                  <w:tcW w:w="9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sz w:val="21"/>
                      <w:szCs w:val="21"/>
                      <w:lang w:val="en-US" w:eastAsia="zh-CN"/>
                    </w:rPr>
                  </w:pPr>
                  <w:r>
                    <w:rPr>
                      <w:rFonts w:hint="eastAsia"/>
                      <w:sz w:val="21"/>
                      <w:szCs w:val="21"/>
                      <w:lang w:val="en-US" w:eastAsia="zh-CN"/>
                    </w:rPr>
                    <w:t>0.0416</w:t>
                  </w:r>
                </w:p>
              </w:tc>
              <w:tc>
                <w:tcPr>
                  <w:tcW w:w="88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sz w:val="21"/>
                      <w:szCs w:val="21"/>
                      <w:lang w:val="en-US" w:eastAsia="zh-CN"/>
                    </w:rPr>
                  </w:pPr>
                  <w:r>
                    <w:rPr>
                      <w:rFonts w:hint="eastAsia"/>
                      <w:sz w:val="21"/>
                      <w:szCs w:val="21"/>
                      <w:lang w:val="en-US" w:eastAsia="zh-CN"/>
                    </w:rPr>
                    <w:t>0.0831</w:t>
                  </w:r>
                </w:p>
              </w:tc>
              <w:tc>
                <w:tcPr>
                  <w:tcW w:w="86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lang w:eastAsia="zh-CN"/>
                    </w:rPr>
                  </w:pPr>
                  <w:r>
                    <w:rPr>
                      <w:rFonts w:hint="eastAsia" w:ascii="Times New Roman" w:hAnsi="Times New Roman" w:eastAsia="宋体"/>
                      <w:sz w:val="21"/>
                      <w:szCs w:val="21"/>
                      <w:lang w:val="en-US" w:eastAsia="zh-CN"/>
                    </w:rPr>
                    <w:t>DA001</w:t>
                  </w:r>
                </w:p>
              </w:tc>
              <w:tc>
                <w:tcPr>
                  <w:tcW w:w="8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10</w:t>
                  </w:r>
                </w:p>
              </w:tc>
            </w:tr>
            <w:bookmarkEnd w:id="15"/>
            <w:tr>
              <w:tblPrEx>
                <w:tblLayout w:type="fixed"/>
              </w:tblPrEx>
              <w:trPr>
                <w:trHeight w:val="312" w:hRule="atLeast"/>
                <w:jc w:val="center"/>
              </w:trPr>
              <w:tc>
                <w:tcPr>
                  <w:tcW w:w="1056"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rPr>
                  </w:pPr>
                  <w:r>
                    <w:rPr>
                      <w:rFonts w:hint="eastAsia"/>
                      <w:sz w:val="21"/>
                      <w:szCs w:val="21"/>
                      <w:lang w:val="en-US" w:eastAsia="zh-CN"/>
                    </w:rPr>
                    <w:t>打磨</w:t>
                  </w:r>
                  <w:r>
                    <w:rPr>
                      <w:rFonts w:hint="eastAsia" w:ascii="Times New Roman" w:hAnsi="Times New Roman" w:eastAsia="宋体"/>
                      <w:sz w:val="21"/>
                      <w:szCs w:val="21"/>
                    </w:rPr>
                    <w:t>工序</w:t>
                  </w:r>
                </w:p>
              </w:tc>
              <w:tc>
                <w:tcPr>
                  <w:tcW w:w="89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rPr>
                  </w:pPr>
                  <w:r>
                    <w:rPr>
                      <w:rFonts w:hint="eastAsia" w:ascii="Times New Roman" w:hAnsi="Times New Roman" w:eastAsia="宋体"/>
                      <w:sz w:val="21"/>
                      <w:szCs w:val="21"/>
                    </w:rPr>
                    <w:t>颗粒物</w:t>
                  </w:r>
                </w:p>
              </w:tc>
              <w:tc>
                <w:tcPr>
                  <w:tcW w:w="104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sz w:val="21"/>
                      <w:szCs w:val="21"/>
                      <w:lang w:val="en-US" w:eastAsia="zh-CN"/>
                    </w:rPr>
                  </w:pPr>
                  <w:r>
                    <w:rPr>
                      <w:rFonts w:hint="eastAsia"/>
                      <w:sz w:val="21"/>
                      <w:szCs w:val="21"/>
                      <w:lang w:val="en-US" w:eastAsia="zh-CN"/>
                    </w:rPr>
                    <w:t>68.438</w:t>
                  </w:r>
                </w:p>
              </w:tc>
              <w:tc>
                <w:tcPr>
                  <w:tcW w:w="88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sz w:val="21"/>
                      <w:szCs w:val="21"/>
                      <w:lang w:val="en-US" w:eastAsia="zh-CN"/>
                    </w:rPr>
                  </w:pPr>
                  <w:r>
                    <w:rPr>
                      <w:rFonts w:hint="eastAsia"/>
                      <w:sz w:val="21"/>
                      <w:szCs w:val="21"/>
                      <w:lang w:val="en-US" w:eastAsia="zh-CN"/>
                    </w:rPr>
                    <w:t>1.095</w:t>
                  </w:r>
                </w:p>
              </w:tc>
              <w:tc>
                <w:tcPr>
                  <w:tcW w:w="67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p>
              </w:tc>
              <w:tc>
                <w:tcPr>
                  <w:tcW w:w="87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rPr>
                  </w:pPr>
                </w:p>
              </w:tc>
              <w:tc>
                <w:tcPr>
                  <w:tcW w:w="87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sz w:val="21"/>
                      <w:szCs w:val="21"/>
                      <w:lang w:val="en-US"/>
                    </w:rPr>
                  </w:pPr>
                  <w:r>
                    <w:rPr>
                      <w:rFonts w:hint="eastAsia"/>
                      <w:sz w:val="21"/>
                      <w:szCs w:val="21"/>
                      <w:lang w:val="en-US" w:eastAsia="zh-CN"/>
                    </w:rPr>
                    <w:t>16000</w:t>
                  </w:r>
                </w:p>
              </w:tc>
              <w:tc>
                <w:tcPr>
                  <w:tcW w:w="7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9</w:t>
                  </w:r>
                  <w:r>
                    <w:rPr>
                      <w:rFonts w:hint="eastAsia" w:ascii="Times New Roman" w:hAnsi="Times New Roman" w:eastAsia="宋体"/>
                      <w:sz w:val="21"/>
                      <w:szCs w:val="21"/>
                    </w:rPr>
                    <w:t>0</w:t>
                  </w:r>
                  <w:r>
                    <w:rPr>
                      <w:rFonts w:ascii="Times New Roman" w:hAnsi="Times New Roman" w:eastAsia="宋体"/>
                      <w:sz w:val="21"/>
                      <w:szCs w:val="21"/>
                    </w:rPr>
                    <w:t>%</w:t>
                  </w:r>
                </w:p>
              </w:tc>
              <w:tc>
                <w:tcPr>
                  <w:tcW w:w="67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9</w:t>
                  </w:r>
                  <w:r>
                    <w:rPr>
                      <w:rFonts w:hint="eastAsia"/>
                      <w:sz w:val="21"/>
                      <w:szCs w:val="21"/>
                      <w:lang w:val="en-US" w:eastAsia="zh-CN"/>
                    </w:rPr>
                    <w:t>5</w:t>
                  </w:r>
                  <w:r>
                    <w:rPr>
                      <w:rFonts w:ascii="Times New Roman" w:hAnsi="Times New Roman" w:eastAsia="宋体"/>
                      <w:sz w:val="21"/>
                      <w:szCs w:val="21"/>
                    </w:rPr>
                    <w:t>%</w:t>
                  </w:r>
                </w:p>
              </w:tc>
              <w:tc>
                <w:tcPr>
                  <w:tcW w:w="106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是</w:t>
                  </w:r>
                </w:p>
              </w:tc>
              <w:tc>
                <w:tcPr>
                  <w:tcW w:w="112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sz w:val="21"/>
                      <w:szCs w:val="21"/>
                      <w:lang w:val="en-US" w:eastAsia="zh-CN"/>
                    </w:rPr>
                  </w:pPr>
                </w:p>
              </w:tc>
              <w:tc>
                <w:tcPr>
                  <w:tcW w:w="9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sz w:val="21"/>
                      <w:szCs w:val="21"/>
                      <w:lang w:val="en-US" w:eastAsia="zh-CN"/>
                    </w:rPr>
                  </w:pPr>
                </w:p>
              </w:tc>
              <w:tc>
                <w:tcPr>
                  <w:tcW w:w="88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lang w:eastAsia="zh-CN"/>
                    </w:rPr>
                  </w:pPr>
                </w:p>
              </w:tc>
              <w:tc>
                <w:tcPr>
                  <w:tcW w:w="86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lang w:eastAsia="zh-CN"/>
                    </w:rPr>
                  </w:pPr>
                </w:p>
              </w:tc>
              <w:tc>
                <w:tcPr>
                  <w:tcW w:w="8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sz w:val="24"/>
              </w:rPr>
            </w:pPr>
            <w:r>
              <w:rPr>
                <w:b/>
                <w:sz w:val="24"/>
              </w:rPr>
              <w:t>表4</w:t>
            </w:r>
            <w:r>
              <w:rPr>
                <w:rFonts w:hint="eastAsia"/>
                <w:b/>
                <w:sz w:val="24"/>
              </w:rPr>
              <w:t>-</w:t>
            </w:r>
            <w:r>
              <w:rPr>
                <w:rFonts w:hint="eastAsia"/>
                <w:b/>
                <w:sz w:val="24"/>
                <w:lang w:val="en-US" w:eastAsia="zh-CN"/>
              </w:rPr>
              <w:t>2</w:t>
            </w:r>
            <w:r>
              <w:rPr>
                <w:b/>
                <w:sz w:val="24"/>
              </w:rPr>
              <w:t xml:space="preserve">  </w:t>
            </w:r>
            <w:r>
              <w:rPr>
                <w:rFonts w:hint="eastAsia"/>
                <w:b/>
                <w:sz w:val="24"/>
              </w:rPr>
              <w:t>项目无组织</w:t>
            </w:r>
            <w:r>
              <w:rPr>
                <w:b/>
                <w:sz w:val="24"/>
              </w:rPr>
              <w:t>大气污染物</w:t>
            </w:r>
            <w:r>
              <w:rPr>
                <w:rFonts w:hint="eastAsia"/>
                <w:b/>
                <w:sz w:val="24"/>
              </w:rPr>
              <w:t>产生及排放情况一览表</w:t>
            </w:r>
          </w:p>
          <w:tbl>
            <w:tblPr>
              <w:tblStyle w:val="37"/>
              <w:tblW w:w="134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915"/>
              <w:gridCol w:w="1125"/>
              <w:gridCol w:w="945"/>
              <w:gridCol w:w="645"/>
              <w:gridCol w:w="870"/>
              <w:gridCol w:w="870"/>
              <w:gridCol w:w="822"/>
              <w:gridCol w:w="701"/>
              <w:gridCol w:w="1075"/>
              <w:gridCol w:w="1062"/>
              <w:gridCol w:w="940"/>
              <w:gridCol w:w="800"/>
              <w:gridCol w:w="701"/>
              <w:gridCol w:w="790"/>
            </w:tblGrid>
            <w:tr>
              <w:tblPrEx>
                <w:tblLayout w:type="fixed"/>
              </w:tblPrEx>
              <w:trPr>
                <w:trHeight w:val="397" w:hRule="atLeast"/>
                <w:jc w:val="center"/>
              </w:trPr>
              <w:tc>
                <w:tcPr>
                  <w:tcW w:w="1204" w:type="dxa"/>
                  <w:vMerge w:val="restar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产污环节</w:t>
                  </w:r>
                </w:p>
              </w:tc>
              <w:tc>
                <w:tcPr>
                  <w:tcW w:w="915" w:type="dxa"/>
                  <w:vMerge w:val="restar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污染物种类</w:t>
                  </w:r>
                </w:p>
              </w:tc>
              <w:tc>
                <w:tcPr>
                  <w:tcW w:w="2070" w:type="dxa"/>
                  <w:gridSpan w:val="2"/>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污染物产生情况</w:t>
                  </w:r>
                </w:p>
              </w:tc>
              <w:tc>
                <w:tcPr>
                  <w:tcW w:w="645" w:type="dxa"/>
                  <w:vMerge w:val="restar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排放形式</w:t>
                  </w:r>
                </w:p>
              </w:tc>
              <w:tc>
                <w:tcPr>
                  <w:tcW w:w="4338" w:type="dxa"/>
                  <w:gridSpan w:val="5"/>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主要污染治理设施</w:t>
                  </w:r>
                </w:p>
              </w:tc>
              <w:tc>
                <w:tcPr>
                  <w:tcW w:w="2802" w:type="dxa"/>
                  <w:gridSpan w:val="3"/>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污染物排放情况</w:t>
                  </w:r>
                </w:p>
              </w:tc>
              <w:tc>
                <w:tcPr>
                  <w:tcW w:w="701" w:type="dxa"/>
                  <w:vMerge w:val="restar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排污口编号</w:t>
                  </w:r>
                </w:p>
              </w:tc>
              <w:tc>
                <w:tcPr>
                  <w:tcW w:w="790" w:type="dxa"/>
                  <w:vMerge w:val="restar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标准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限值mg/m</w:t>
                  </w:r>
                  <w:r>
                    <w:rPr>
                      <w:rFonts w:ascii="Times New Roman" w:hAnsi="Times New Roman" w:eastAsia="宋体"/>
                      <w:sz w:val="21"/>
                      <w:szCs w:val="21"/>
                      <w:vertAlign w:val="superscript"/>
                    </w:rPr>
                    <w:t>3</w:t>
                  </w:r>
                </w:p>
              </w:tc>
            </w:tr>
            <w:tr>
              <w:tblPrEx>
                <w:tblLayout w:type="fixed"/>
              </w:tblPrEx>
              <w:trPr>
                <w:trHeight w:val="397" w:hRule="atLeast"/>
                <w:jc w:val="center"/>
              </w:trPr>
              <w:tc>
                <w:tcPr>
                  <w:tcW w:w="120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p>
              </w:tc>
              <w:tc>
                <w:tcPr>
                  <w:tcW w:w="1125"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产生浓度mg/m</w:t>
                  </w:r>
                  <w:r>
                    <w:rPr>
                      <w:rFonts w:ascii="Times New Roman" w:hAnsi="Times New Roman" w:eastAsia="宋体"/>
                      <w:sz w:val="21"/>
                      <w:szCs w:val="21"/>
                      <w:vertAlign w:val="superscript"/>
                    </w:rPr>
                    <w:t>3</w:t>
                  </w:r>
                </w:p>
              </w:tc>
              <w:tc>
                <w:tcPr>
                  <w:tcW w:w="945"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产生量t/a</w:t>
                  </w:r>
                </w:p>
              </w:tc>
              <w:tc>
                <w:tcPr>
                  <w:tcW w:w="64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p>
              </w:tc>
              <w:tc>
                <w:tcPr>
                  <w:tcW w:w="870"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治理措施</w:t>
                  </w:r>
                </w:p>
              </w:tc>
              <w:tc>
                <w:tcPr>
                  <w:tcW w:w="870"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处理能力m</w:t>
                  </w:r>
                  <w:r>
                    <w:rPr>
                      <w:rFonts w:ascii="Times New Roman" w:hAnsi="Times New Roman" w:eastAsia="宋体"/>
                      <w:sz w:val="21"/>
                      <w:szCs w:val="21"/>
                      <w:vertAlign w:val="superscript"/>
                    </w:rPr>
                    <w:t>3</w:t>
                  </w:r>
                  <w:r>
                    <w:rPr>
                      <w:rFonts w:ascii="Times New Roman" w:hAnsi="Times New Roman" w:eastAsia="宋体"/>
                      <w:sz w:val="21"/>
                      <w:szCs w:val="21"/>
                    </w:rPr>
                    <w:t>/h</w:t>
                  </w:r>
                </w:p>
              </w:tc>
              <w:tc>
                <w:tcPr>
                  <w:tcW w:w="822"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收集效率</w:t>
                  </w:r>
                </w:p>
              </w:tc>
              <w:tc>
                <w:tcPr>
                  <w:tcW w:w="701"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去除效率</w:t>
                  </w:r>
                </w:p>
              </w:tc>
              <w:tc>
                <w:tcPr>
                  <w:tcW w:w="1075"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是否为可行技术</w:t>
                  </w:r>
                </w:p>
              </w:tc>
              <w:tc>
                <w:tcPr>
                  <w:tcW w:w="1062"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排放浓度mg/m</w:t>
                  </w:r>
                  <w:r>
                    <w:rPr>
                      <w:rFonts w:ascii="Times New Roman" w:hAnsi="Times New Roman" w:eastAsia="宋体"/>
                      <w:sz w:val="21"/>
                      <w:szCs w:val="21"/>
                      <w:vertAlign w:val="superscript"/>
                    </w:rPr>
                    <w:t>3</w:t>
                  </w:r>
                </w:p>
              </w:tc>
              <w:tc>
                <w:tcPr>
                  <w:tcW w:w="940"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排放速率kg/h</w:t>
                  </w:r>
                </w:p>
              </w:tc>
              <w:tc>
                <w:tcPr>
                  <w:tcW w:w="800"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排放量t/a</w:t>
                  </w:r>
                </w:p>
              </w:tc>
              <w:tc>
                <w:tcPr>
                  <w:tcW w:w="70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p>
              </w:tc>
              <w:tc>
                <w:tcPr>
                  <w:tcW w:w="790" w:type="dxa"/>
                  <w:vMerge w:val="continue"/>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p>
              </w:tc>
            </w:tr>
            <w:tr>
              <w:tblPrEx>
                <w:tblLayout w:type="fixed"/>
              </w:tblPrEx>
              <w:trPr>
                <w:trHeight w:val="397" w:hRule="atLeast"/>
                <w:jc w:val="center"/>
              </w:trPr>
              <w:tc>
                <w:tcPr>
                  <w:tcW w:w="120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sz w:val="21"/>
                      <w:szCs w:val="21"/>
                      <w:lang w:val="en-US" w:eastAsia="zh-CN"/>
                    </w:rPr>
                  </w:pPr>
                  <w:r>
                    <w:rPr>
                      <w:rFonts w:hint="eastAsia" w:cs="Times New Roman"/>
                      <w:color w:val="auto"/>
                      <w:sz w:val="21"/>
                      <w:szCs w:val="21"/>
                      <w:lang w:val="en-US" w:eastAsia="zh-CN"/>
                    </w:rPr>
                    <w:t>焊接工序</w:t>
                  </w:r>
                </w:p>
              </w:tc>
              <w:tc>
                <w:tcPr>
                  <w:tcW w:w="91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hint="eastAsia" w:ascii="Times New Roman" w:hAnsi="Times New Roman" w:eastAsia="宋体"/>
                      <w:sz w:val="21"/>
                      <w:szCs w:val="21"/>
                    </w:rPr>
                    <w:t>颗粒物</w:t>
                  </w:r>
                </w:p>
              </w:tc>
              <w:tc>
                <w:tcPr>
                  <w:tcW w:w="1125"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sz w:val="21"/>
                      <w:szCs w:val="21"/>
                      <w:lang w:val="en-US" w:eastAsia="zh-CN"/>
                    </w:rPr>
                  </w:pPr>
                  <w:r>
                    <w:rPr>
                      <w:rFonts w:hint="eastAsia"/>
                      <w:sz w:val="21"/>
                      <w:szCs w:val="21"/>
                      <w:lang w:val="en-US" w:eastAsia="zh-CN"/>
                    </w:rPr>
                    <w:t>61.5</w:t>
                  </w:r>
                </w:p>
              </w:tc>
              <w:tc>
                <w:tcPr>
                  <w:tcW w:w="945"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sz w:val="21"/>
                      <w:szCs w:val="21"/>
                      <w:lang w:val="en-US" w:eastAsia="zh-CN"/>
                    </w:rPr>
                  </w:pPr>
                  <w:r>
                    <w:rPr>
                      <w:rFonts w:hint="eastAsia"/>
                      <w:sz w:val="21"/>
                      <w:szCs w:val="21"/>
                      <w:lang w:val="en-US" w:eastAsia="zh-CN"/>
                    </w:rPr>
                    <w:t>0.123</w:t>
                  </w:r>
                </w:p>
              </w:tc>
              <w:tc>
                <w:tcPr>
                  <w:tcW w:w="64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无组织</w:t>
                  </w:r>
                </w:p>
              </w:tc>
              <w:tc>
                <w:tcPr>
                  <w:tcW w:w="870"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b/>
                      <w:bCs w:val="0"/>
                      <w:sz w:val="21"/>
                      <w:szCs w:val="21"/>
                      <w:lang w:val="en-US"/>
                    </w:rPr>
                  </w:pPr>
                  <w:r>
                    <w:rPr>
                      <w:rFonts w:hint="default" w:ascii="Times New Roman" w:hAnsi="Times New Roman" w:eastAsia="宋体" w:cs="Times New Roman"/>
                      <w:bCs/>
                      <w:color w:val="000000"/>
                      <w:kern w:val="2"/>
                      <w:sz w:val="21"/>
                      <w:szCs w:val="21"/>
                      <w:highlight w:val="none"/>
                      <w:lang w:val="en-US" w:eastAsia="zh-CN" w:bidi="ar-SA"/>
                    </w:rPr>
                    <w:t>移动式焊接烟尘净化器</w:t>
                  </w:r>
                  <w:r>
                    <w:rPr>
                      <w:rFonts w:hint="eastAsia" w:cs="Times New Roman"/>
                      <w:bCs/>
                      <w:color w:val="000000"/>
                      <w:kern w:val="2"/>
                      <w:sz w:val="21"/>
                      <w:szCs w:val="21"/>
                      <w:highlight w:val="none"/>
                      <w:lang w:val="en-US" w:eastAsia="zh-CN" w:bidi="ar-SA"/>
                    </w:rPr>
                    <w:t>、</w:t>
                  </w:r>
                  <w:r>
                    <w:rPr>
                      <w:rFonts w:hint="eastAsia"/>
                      <w:sz w:val="21"/>
                      <w:szCs w:val="21"/>
                      <w:lang w:val="en-US" w:eastAsia="zh-CN"/>
                    </w:rPr>
                    <w:t>自然沉降</w:t>
                  </w:r>
                </w:p>
              </w:tc>
              <w:tc>
                <w:tcPr>
                  <w:tcW w:w="870"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sz w:val="21"/>
                      <w:szCs w:val="21"/>
                      <w:lang w:val="en-US"/>
                    </w:rPr>
                  </w:pPr>
                  <w:r>
                    <w:rPr>
                      <w:rFonts w:hint="eastAsia"/>
                      <w:sz w:val="21"/>
                      <w:szCs w:val="21"/>
                      <w:lang w:val="en-US" w:eastAsia="zh-CN"/>
                    </w:rPr>
                    <w:t>1000</w:t>
                  </w:r>
                </w:p>
              </w:tc>
              <w:tc>
                <w:tcPr>
                  <w:tcW w:w="822"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sz w:val="21"/>
                      <w:szCs w:val="21"/>
                      <w:lang w:val="en-US"/>
                    </w:rPr>
                  </w:pPr>
                  <w:r>
                    <w:rPr>
                      <w:rFonts w:hint="eastAsia"/>
                      <w:sz w:val="21"/>
                      <w:szCs w:val="21"/>
                      <w:lang w:val="en-US" w:eastAsia="zh-CN"/>
                    </w:rPr>
                    <w:t>80</w:t>
                  </w:r>
                </w:p>
              </w:tc>
              <w:tc>
                <w:tcPr>
                  <w:tcW w:w="701"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hint="eastAsia" w:ascii="Times New Roman" w:hAnsi="Times New Roman" w:eastAsia="宋体"/>
                      <w:sz w:val="21"/>
                      <w:szCs w:val="21"/>
                      <w:lang w:val="en-US" w:eastAsia="zh-CN"/>
                    </w:rPr>
                    <w:t>9</w:t>
                  </w:r>
                  <w:r>
                    <w:rPr>
                      <w:rFonts w:hint="eastAsia"/>
                      <w:sz w:val="21"/>
                      <w:szCs w:val="21"/>
                      <w:lang w:val="en-US" w:eastAsia="zh-CN"/>
                    </w:rPr>
                    <w:t>5</w:t>
                  </w:r>
                  <w:r>
                    <w:rPr>
                      <w:rFonts w:hint="eastAsia" w:ascii="Times New Roman" w:hAnsi="Times New Roman" w:eastAsia="宋体"/>
                      <w:sz w:val="21"/>
                      <w:szCs w:val="21"/>
                      <w:lang w:val="en-US" w:eastAsia="zh-CN"/>
                    </w:rPr>
                    <w:t>%</w:t>
                  </w:r>
                </w:p>
              </w:tc>
              <w:tc>
                <w:tcPr>
                  <w:tcW w:w="1075"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lang w:eastAsia="zh-CN"/>
                    </w:rPr>
                  </w:pPr>
                  <w:r>
                    <w:rPr>
                      <w:rFonts w:hint="eastAsia"/>
                      <w:sz w:val="21"/>
                      <w:szCs w:val="21"/>
                      <w:lang w:val="en-US" w:eastAsia="zh-CN"/>
                    </w:rPr>
                    <w:t>是</w:t>
                  </w:r>
                </w:p>
              </w:tc>
              <w:tc>
                <w:tcPr>
                  <w:tcW w:w="1062"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hint="eastAsia" w:ascii="Times New Roman" w:hAnsi="Times New Roman" w:eastAsia="宋体"/>
                      <w:sz w:val="21"/>
                      <w:szCs w:val="21"/>
                    </w:rPr>
                    <w:t>/</w:t>
                  </w:r>
                </w:p>
              </w:tc>
              <w:tc>
                <w:tcPr>
                  <w:tcW w:w="940"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sz w:val="21"/>
                      <w:szCs w:val="21"/>
                      <w:lang w:val="en-US" w:eastAsia="zh-CN"/>
                    </w:rPr>
                  </w:pPr>
                  <w:r>
                    <w:rPr>
                      <w:rFonts w:hint="eastAsia"/>
                      <w:sz w:val="21"/>
                      <w:szCs w:val="21"/>
                      <w:lang w:val="en-US" w:eastAsia="zh-CN"/>
                    </w:rPr>
                    <w:t>0.0295</w:t>
                  </w:r>
                </w:p>
              </w:tc>
              <w:tc>
                <w:tcPr>
                  <w:tcW w:w="800"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sz w:val="21"/>
                      <w:szCs w:val="21"/>
                      <w:lang w:val="en-US" w:eastAsia="zh-CN"/>
                    </w:rPr>
                  </w:pPr>
                  <w:r>
                    <w:rPr>
                      <w:rFonts w:hint="eastAsia"/>
                      <w:sz w:val="21"/>
                      <w:szCs w:val="21"/>
                      <w:lang w:val="en-US" w:eastAsia="zh-CN"/>
                    </w:rPr>
                    <w:t>0.059</w:t>
                  </w:r>
                </w:p>
              </w:tc>
              <w:tc>
                <w:tcPr>
                  <w:tcW w:w="701"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hint="eastAsia" w:ascii="Times New Roman" w:hAnsi="Times New Roman" w:eastAsia="宋体"/>
                      <w:sz w:val="21"/>
                      <w:szCs w:val="21"/>
                    </w:rPr>
                    <w:t>/</w:t>
                  </w:r>
                </w:p>
              </w:tc>
              <w:tc>
                <w:tcPr>
                  <w:tcW w:w="790" w:type="dxa"/>
                  <w:vMerge w:val="restar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1.0</w:t>
                  </w:r>
                </w:p>
              </w:tc>
            </w:tr>
            <w:tr>
              <w:tblPrEx>
                <w:tblLayout w:type="fixed"/>
              </w:tblPrEx>
              <w:trPr>
                <w:trHeight w:val="397" w:hRule="atLeast"/>
                <w:jc w:val="center"/>
              </w:trPr>
              <w:tc>
                <w:tcPr>
                  <w:tcW w:w="120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hint="eastAsia"/>
                      <w:sz w:val="21"/>
                      <w:szCs w:val="21"/>
                      <w:lang w:val="en-US" w:eastAsia="zh-CN"/>
                    </w:rPr>
                    <w:t>切割</w:t>
                  </w:r>
                  <w:r>
                    <w:rPr>
                      <w:rFonts w:hint="eastAsia" w:ascii="Times New Roman" w:hAnsi="Times New Roman" w:eastAsia="宋体"/>
                      <w:sz w:val="21"/>
                      <w:szCs w:val="21"/>
                    </w:rPr>
                    <w:t>工序</w:t>
                  </w:r>
                </w:p>
              </w:tc>
              <w:tc>
                <w:tcPr>
                  <w:tcW w:w="91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hint="eastAsia" w:ascii="Times New Roman" w:hAnsi="Times New Roman" w:eastAsia="宋体"/>
                      <w:sz w:val="21"/>
                      <w:szCs w:val="21"/>
                    </w:rPr>
                    <w:t>颗粒物</w:t>
                  </w:r>
                </w:p>
              </w:tc>
              <w:tc>
                <w:tcPr>
                  <w:tcW w:w="1125"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hint="eastAsia" w:ascii="Times New Roman" w:hAnsi="Times New Roman" w:eastAsia="宋体"/>
                      <w:sz w:val="21"/>
                      <w:szCs w:val="21"/>
                    </w:rPr>
                    <w:t>/</w:t>
                  </w:r>
                </w:p>
              </w:tc>
              <w:tc>
                <w:tcPr>
                  <w:tcW w:w="945"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sz w:val="21"/>
                      <w:szCs w:val="21"/>
                      <w:lang w:val="en-US" w:eastAsia="zh-CN"/>
                    </w:rPr>
                  </w:pPr>
                  <w:r>
                    <w:rPr>
                      <w:rFonts w:hint="eastAsia"/>
                      <w:sz w:val="21"/>
                      <w:szCs w:val="21"/>
                      <w:lang w:val="en-US" w:eastAsia="zh-CN"/>
                    </w:rPr>
                    <w:t>0.075</w:t>
                  </w:r>
                </w:p>
              </w:tc>
              <w:tc>
                <w:tcPr>
                  <w:tcW w:w="64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p>
              </w:tc>
              <w:tc>
                <w:tcPr>
                  <w:tcW w:w="870"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sz w:val="21"/>
                      <w:szCs w:val="21"/>
                      <w:lang w:val="en-US" w:eastAsia="zh-CN"/>
                    </w:rPr>
                  </w:pPr>
                  <w:r>
                    <w:rPr>
                      <w:rFonts w:hint="eastAsia"/>
                      <w:sz w:val="21"/>
                      <w:szCs w:val="21"/>
                      <w:lang w:val="en-US" w:eastAsia="zh-CN"/>
                    </w:rPr>
                    <w:t>自然沉降</w:t>
                  </w:r>
                </w:p>
              </w:tc>
              <w:tc>
                <w:tcPr>
                  <w:tcW w:w="870"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hint="eastAsia" w:ascii="Times New Roman" w:hAnsi="Times New Roman" w:eastAsia="宋体"/>
                      <w:sz w:val="21"/>
                      <w:szCs w:val="21"/>
                    </w:rPr>
                    <w:t>/</w:t>
                  </w:r>
                </w:p>
              </w:tc>
              <w:tc>
                <w:tcPr>
                  <w:tcW w:w="822"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hint="eastAsia" w:ascii="Times New Roman" w:hAnsi="Times New Roman" w:eastAsia="宋体"/>
                      <w:sz w:val="21"/>
                      <w:szCs w:val="21"/>
                    </w:rPr>
                    <w:t>/</w:t>
                  </w:r>
                </w:p>
              </w:tc>
              <w:tc>
                <w:tcPr>
                  <w:tcW w:w="701"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hint="eastAsia"/>
                      <w:sz w:val="21"/>
                      <w:szCs w:val="21"/>
                      <w:lang w:val="en-US" w:eastAsia="zh-CN"/>
                    </w:rPr>
                    <w:t>8</w:t>
                  </w:r>
                  <w:r>
                    <w:rPr>
                      <w:rFonts w:hint="eastAsia" w:ascii="Times New Roman" w:hAnsi="Times New Roman" w:eastAsia="宋体"/>
                      <w:sz w:val="21"/>
                      <w:szCs w:val="21"/>
                      <w:lang w:val="en-US" w:eastAsia="zh-CN"/>
                    </w:rPr>
                    <w:t>0%</w:t>
                  </w:r>
                </w:p>
              </w:tc>
              <w:tc>
                <w:tcPr>
                  <w:tcW w:w="1075"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hint="eastAsia" w:ascii="Times New Roman" w:hAnsi="Times New Roman" w:eastAsia="宋体"/>
                      <w:sz w:val="21"/>
                      <w:szCs w:val="21"/>
                    </w:rPr>
                    <w:t>/</w:t>
                  </w:r>
                </w:p>
              </w:tc>
              <w:tc>
                <w:tcPr>
                  <w:tcW w:w="1062"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hint="eastAsia" w:ascii="Times New Roman" w:hAnsi="Times New Roman" w:eastAsia="宋体"/>
                      <w:sz w:val="21"/>
                      <w:szCs w:val="21"/>
                    </w:rPr>
                    <w:t>/</w:t>
                  </w:r>
                </w:p>
              </w:tc>
              <w:tc>
                <w:tcPr>
                  <w:tcW w:w="940"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sz w:val="21"/>
                      <w:szCs w:val="21"/>
                      <w:lang w:val="en-US" w:eastAsia="zh-CN"/>
                    </w:rPr>
                  </w:pPr>
                  <w:r>
                    <w:rPr>
                      <w:rFonts w:hint="eastAsia"/>
                      <w:sz w:val="21"/>
                      <w:szCs w:val="21"/>
                      <w:lang w:val="en-US" w:eastAsia="zh-CN"/>
                    </w:rPr>
                    <w:t>0.01</w:t>
                  </w:r>
                </w:p>
              </w:tc>
              <w:tc>
                <w:tcPr>
                  <w:tcW w:w="800"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sz w:val="21"/>
                      <w:szCs w:val="21"/>
                      <w:lang w:val="en-US" w:eastAsia="zh-CN"/>
                    </w:rPr>
                  </w:pPr>
                  <w:r>
                    <w:rPr>
                      <w:rFonts w:hint="eastAsia"/>
                      <w:sz w:val="21"/>
                      <w:szCs w:val="21"/>
                      <w:lang w:val="en-US" w:eastAsia="zh-CN"/>
                    </w:rPr>
                    <w:t>0.015</w:t>
                  </w:r>
                </w:p>
              </w:tc>
              <w:tc>
                <w:tcPr>
                  <w:tcW w:w="70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ascii="Times New Roman" w:hAnsi="Times New Roman" w:eastAsia="宋体"/>
                      <w:sz w:val="21"/>
                      <w:szCs w:val="21"/>
                    </w:rPr>
                  </w:pPr>
                </w:p>
              </w:tc>
              <w:tc>
                <w:tcPr>
                  <w:tcW w:w="790" w:type="dxa"/>
                  <w:vMerge w:val="continue"/>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ascii="Times New Roman" w:hAnsi="Times New Roman" w:eastAsia="宋体"/>
                      <w:sz w:val="21"/>
                      <w:szCs w:val="21"/>
                    </w:rPr>
                  </w:pPr>
                </w:p>
              </w:tc>
            </w:tr>
            <w:tr>
              <w:tblPrEx>
                <w:tblLayout w:type="fixed"/>
              </w:tblPrEx>
              <w:trPr>
                <w:trHeight w:val="397" w:hRule="atLeast"/>
                <w:jc w:val="center"/>
              </w:trPr>
              <w:tc>
                <w:tcPr>
                  <w:tcW w:w="120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hint="eastAsia"/>
                      <w:sz w:val="21"/>
                      <w:szCs w:val="21"/>
                      <w:lang w:val="en-US" w:eastAsia="zh-CN"/>
                    </w:rPr>
                    <w:t>打磨</w:t>
                  </w:r>
                  <w:r>
                    <w:rPr>
                      <w:rFonts w:hint="eastAsia" w:ascii="Times New Roman" w:hAnsi="Times New Roman" w:eastAsia="宋体"/>
                      <w:sz w:val="21"/>
                      <w:szCs w:val="21"/>
                    </w:rPr>
                    <w:t>工序</w:t>
                  </w:r>
                </w:p>
              </w:tc>
              <w:tc>
                <w:tcPr>
                  <w:tcW w:w="91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hint="eastAsia" w:ascii="Times New Roman" w:hAnsi="Times New Roman" w:eastAsia="宋体"/>
                      <w:sz w:val="21"/>
                      <w:szCs w:val="21"/>
                    </w:rPr>
                    <w:t>颗粒物</w:t>
                  </w:r>
                </w:p>
              </w:tc>
              <w:tc>
                <w:tcPr>
                  <w:tcW w:w="1125"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hint="eastAsia" w:ascii="Times New Roman" w:hAnsi="Times New Roman" w:eastAsia="宋体"/>
                      <w:sz w:val="21"/>
                      <w:szCs w:val="21"/>
                    </w:rPr>
                    <w:t>/</w:t>
                  </w:r>
                </w:p>
              </w:tc>
              <w:tc>
                <w:tcPr>
                  <w:tcW w:w="945"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sz w:val="21"/>
                      <w:szCs w:val="21"/>
                      <w:lang w:val="en-US" w:eastAsia="zh-CN"/>
                    </w:rPr>
                  </w:pPr>
                  <w:r>
                    <w:rPr>
                      <w:rFonts w:hint="eastAsia"/>
                      <w:sz w:val="21"/>
                      <w:szCs w:val="21"/>
                      <w:lang w:val="en-US" w:eastAsia="zh-CN"/>
                    </w:rPr>
                    <w:t>0.11</w:t>
                  </w:r>
                </w:p>
              </w:tc>
              <w:tc>
                <w:tcPr>
                  <w:tcW w:w="64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p>
              </w:tc>
              <w:tc>
                <w:tcPr>
                  <w:tcW w:w="870"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eastAsia="宋体"/>
                      <w:sz w:val="21"/>
                      <w:szCs w:val="21"/>
                      <w:lang w:val="en-US" w:eastAsia="zh-CN"/>
                    </w:rPr>
                  </w:pPr>
                  <w:r>
                    <w:rPr>
                      <w:rFonts w:hint="eastAsia"/>
                      <w:sz w:val="21"/>
                      <w:szCs w:val="21"/>
                      <w:lang w:val="en-US" w:eastAsia="zh-CN"/>
                    </w:rPr>
                    <w:t>自然沉降</w:t>
                  </w:r>
                </w:p>
              </w:tc>
              <w:tc>
                <w:tcPr>
                  <w:tcW w:w="870"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hint="eastAsia" w:ascii="Times New Roman" w:hAnsi="Times New Roman" w:eastAsia="宋体"/>
                      <w:sz w:val="21"/>
                      <w:szCs w:val="21"/>
                    </w:rPr>
                    <w:t>/</w:t>
                  </w:r>
                </w:p>
              </w:tc>
              <w:tc>
                <w:tcPr>
                  <w:tcW w:w="822"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hint="eastAsia" w:ascii="Times New Roman" w:hAnsi="Times New Roman" w:eastAsia="宋体"/>
                      <w:sz w:val="21"/>
                      <w:szCs w:val="21"/>
                    </w:rPr>
                    <w:t>/</w:t>
                  </w:r>
                </w:p>
              </w:tc>
              <w:tc>
                <w:tcPr>
                  <w:tcW w:w="701"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hint="eastAsia"/>
                      <w:sz w:val="21"/>
                      <w:szCs w:val="21"/>
                      <w:lang w:val="en-US" w:eastAsia="zh-CN"/>
                    </w:rPr>
                    <w:t>8</w:t>
                  </w:r>
                  <w:r>
                    <w:rPr>
                      <w:rFonts w:hint="eastAsia" w:ascii="Times New Roman" w:hAnsi="Times New Roman" w:eastAsia="宋体"/>
                      <w:sz w:val="21"/>
                      <w:szCs w:val="21"/>
                      <w:lang w:val="en-US" w:eastAsia="zh-CN"/>
                    </w:rPr>
                    <w:t>0%</w:t>
                  </w:r>
                </w:p>
              </w:tc>
              <w:tc>
                <w:tcPr>
                  <w:tcW w:w="1075"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hint="eastAsia" w:ascii="Times New Roman" w:hAnsi="Times New Roman" w:eastAsia="宋体"/>
                      <w:sz w:val="21"/>
                      <w:szCs w:val="21"/>
                    </w:rPr>
                    <w:t>/</w:t>
                  </w:r>
                </w:p>
              </w:tc>
              <w:tc>
                <w:tcPr>
                  <w:tcW w:w="1062"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hint="eastAsia" w:ascii="Times New Roman" w:hAnsi="Times New Roman" w:eastAsia="宋体"/>
                      <w:sz w:val="21"/>
                      <w:szCs w:val="21"/>
                    </w:rPr>
                    <w:t>/</w:t>
                  </w:r>
                </w:p>
              </w:tc>
              <w:tc>
                <w:tcPr>
                  <w:tcW w:w="940"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sz w:val="21"/>
                      <w:szCs w:val="21"/>
                      <w:lang w:val="en-US" w:eastAsia="zh-CN"/>
                    </w:rPr>
                  </w:pPr>
                  <w:r>
                    <w:rPr>
                      <w:rFonts w:hint="eastAsia"/>
                      <w:sz w:val="21"/>
                      <w:szCs w:val="21"/>
                      <w:lang w:val="en-US" w:eastAsia="zh-CN"/>
                    </w:rPr>
                    <w:t>0.01</w:t>
                  </w:r>
                </w:p>
              </w:tc>
              <w:tc>
                <w:tcPr>
                  <w:tcW w:w="800"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sz w:val="21"/>
                      <w:szCs w:val="21"/>
                      <w:lang w:val="en-US" w:eastAsia="zh-CN"/>
                    </w:rPr>
                  </w:pPr>
                  <w:r>
                    <w:rPr>
                      <w:rFonts w:hint="eastAsia"/>
                      <w:sz w:val="21"/>
                      <w:szCs w:val="21"/>
                      <w:lang w:val="en-US" w:eastAsia="zh-CN"/>
                    </w:rPr>
                    <w:t>0.0219</w:t>
                  </w:r>
                </w:p>
              </w:tc>
              <w:tc>
                <w:tcPr>
                  <w:tcW w:w="70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ascii="Times New Roman" w:hAnsi="Times New Roman" w:eastAsia="宋体"/>
                      <w:sz w:val="21"/>
                      <w:szCs w:val="21"/>
                    </w:rPr>
                  </w:pPr>
                </w:p>
              </w:tc>
              <w:tc>
                <w:tcPr>
                  <w:tcW w:w="790" w:type="dxa"/>
                  <w:vMerge w:val="continue"/>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ascii="Times New Roman" w:hAnsi="Times New Roman" w:eastAsia="宋体"/>
                      <w:sz w:val="21"/>
                      <w:szCs w:val="21"/>
                    </w:rPr>
                  </w:pPr>
                </w:p>
              </w:tc>
            </w:tr>
          </w:tbl>
          <w:p>
            <w:pPr>
              <w:adjustRightInd w:val="0"/>
              <w:snapToGrid w:val="0"/>
              <w:spacing w:line="360" w:lineRule="auto"/>
              <w:ind w:firstLine="442" w:firstLineChars="200"/>
              <w:rPr>
                <w:b/>
                <w:bCs/>
                <w:spacing w:val="-10"/>
                <w:sz w:val="24"/>
              </w:rPr>
            </w:pPr>
            <w:r>
              <w:rPr>
                <w:rFonts w:hint="eastAsia"/>
                <w:b/>
                <w:bCs/>
                <w:spacing w:val="-10"/>
                <w:sz w:val="24"/>
              </w:rPr>
              <w:t>2</w:t>
            </w:r>
            <w:r>
              <w:rPr>
                <w:b/>
                <w:bCs/>
                <w:spacing w:val="-10"/>
                <w:sz w:val="24"/>
              </w:rPr>
              <w:t>、排气口设置情况及监测计划</w:t>
            </w:r>
          </w:p>
          <w:p>
            <w:pPr>
              <w:adjustRightInd w:val="0"/>
              <w:snapToGrid w:val="0"/>
              <w:spacing w:line="360" w:lineRule="auto"/>
              <w:ind w:firstLine="480" w:firstLineChars="200"/>
              <w:rPr>
                <w:b/>
                <w:sz w:val="24"/>
              </w:rPr>
            </w:pPr>
            <w:r>
              <w:rPr>
                <w:bCs/>
                <w:sz w:val="24"/>
              </w:rPr>
              <w:t>根据《排污单位自行监测技术指南 总则》（HJ819-2017）</w:t>
            </w:r>
            <w:r>
              <w:rPr>
                <w:rFonts w:hint="eastAsia"/>
                <w:bCs/>
                <w:sz w:val="24"/>
              </w:rPr>
              <w:t>、</w:t>
            </w:r>
            <w:r>
              <w:rPr>
                <w:rFonts w:hint="default" w:ascii="Times New Roman" w:hAnsi="Times New Roman" w:eastAsia="宋体" w:cs="Times New Roman"/>
                <w:bCs/>
                <w:color w:val="auto"/>
                <w:sz w:val="24"/>
              </w:rPr>
              <w:t>《排污</w:t>
            </w:r>
            <w:r>
              <w:rPr>
                <w:rFonts w:hint="eastAsia" w:cs="Times New Roman"/>
                <w:bCs/>
                <w:color w:val="auto"/>
                <w:sz w:val="24"/>
                <w:lang w:eastAsia="zh-CN"/>
              </w:rPr>
              <w:t>许可证申请与核发技术规范</w:t>
            </w:r>
            <w:r>
              <w:rPr>
                <w:rFonts w:hint="default" w:ascii="Times New Roman" w:hAnsi="Times New Roman" w:eastAsia="宋体" w:cs="Times New Roman"/>
                <w:bCs/>
                <w:color w:val="auto"/>
                <w:sz w:val="24"/>
              </w:rPr>
              <w:t xml:space="preserve"> </w:t>
            </w:r>
            <w:r>
              <w:rPr>
                <w:rFonts w:hint="eastAsia" w:cs="Times New Roman"/>
                <w:bCs/>
                <w:color w:val="auto"/>
                <w:sz w:val="24"/>
                <w:lang w:val="en-US" w:eastAsia="zh-CN"/>
              </w:rPr>
              <w:t>汽车制造业</w:t>
            </w:r>
            <w:r>
              <w:rPr>
                <w:rFonts w:hint="default" w:ascii="Times New Roman" w:hAnsi="Times New Roman" w:eastAsia="宋体" w:cs="Times New Roman"/>
                <w:bCs/>
                <w:color w:val="auto"/>
                <w:sz w:val="24"/>
              </w:rPr>
              <w:t>》（HJ</w:t>
            </w:r>
            <w:r>
              <w:rPr>
                <w:rFonts w:hint="eastAsia" w:cs="Times New Roman"/>
                <w:bCs/>
                <w:color w:val="auto"/>
                <w:sz w:val="24"/>
                <w:lang w:val="en-US" w:eastAsia="zh-CN"/>
              </w:rPr>
              <w:t>971</w:t>
            </w:r>
            <w:r>
              <w:rPr>
                <w:rFonts w:hint="default" w:ascii="Times New Roman" w:hAnsi="Times New Roman" w:eastAsia="宋体" w:cs="Times New Roman"/>
                <w:bCs/>
                <w:color w:val="auto"/>
                <w:sz w:val="24"/>
              </w:rPr>
              <w:t>-201</w:t>
            </w:r>
            <w:r>
              <w:rPr>
                <w:rFonts w:hint="eastAsia" w:cs="Times New Roman"/>
                <w:bCs/>
                <w:color w:val="auto"/>
                <w:sz w:val="24"/>
                <w:lang w:val="en-US" w:eastAsia="zh-CN"/>
              </w:rPr>
              <w:t>8</w:t>
            </w:r>
            <w:r>
              <w:rPr>
                <w:rFonts w:hint="default" w:ascii="Times New Roman" w:hAnsi="Times New Roman" w:eastAsia="宋体" w:cs="Times New Roman"/>
                <w:bCs/>
                <w:color w:val="auto"/>
                <w:sz w:val="24"/>
              </w:rPr>
              <w:t>）</w:t>
            </w:r>
            <w:r>
              <w:rPr>
                <w:bCs/>
                <w:sz w:val="24"/>
              </w:rPr>
              <w:t>，制定本项目大气监测计划如下：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sz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sz w:val="24"/>
              </w:rPr>
            </w:pPr>
            <w:r>
              <w:rPr>
                <w:b/>
                <w:sz w:val="24"/>
              </w:rPr>
              <w:t>表4</w:t>
            </w:r>
            <w:r>
              <w:rPr>
                <w:rFonts w:hint="eastAsia"/>
                <w:b/>
                <w:sz w:val="24"/>
              </w:rPr>
              <w:t>-</w:t>
            </w:r>
            <w:r>
              <w:rPr>
                <w:rFonts w:hint="eastAsia"/>
                <w:b/>
                <w:sz w:val="24"/>
                <w:lang w:val="en-US" w:eastAsia="zh-CN"/>
              </w:rPr>
              <w:t>3</w:t>
            </w:r>
            <w:r>
              <w:rPr>
                <w:b/>
                <w:sz w:val="24"/>
              </w:rPr>
              <w:t xml:space="preserve">  本项目排气口设置及大气污染物监测计划</w:t>
            </w:r>
          </w:p>
          <w:tbl>
            <w:tblPr>
              <w:tblStyle w:val="37"/>
              <w:tblW w:w="13465" w:type="dxa"/>
              <w:jc w:val="center"/>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896"/>
              <w:gridCol w:w="1292"/>
              <w:gridCol w:w="922"/>
              <w:gridCol w:w="835"/>
              <w:gridCol w:w="972"/>
              <w:gridCol w:w="1334"/>
              <w:gridCol w:w="1338"/>
              <w:gridCol w:w="1641"/>
              <w:gridCol w:w="1582"/>
              <w:gridCol w:w="1587"/>
              <w:gridCol w:w="1066"/>
            </w:tblGrid>
            <w:tr>
              <w:tblPrEx>
                <w:tblLayout w:type="fixed"/>
              </w:tblPrEx>
              <w:trPr>
                <w:trHeight w:val="389" w:hRule="atLeast"/>
                <w:jc w:val="center"/>
              </w:trPr>
              <w:tc>
                <w:tcPr>
                  <w:tcW w:w="896" w:type="dxa"/>
                  <w:vMerge w:val="restart"/>
                  <w:tcBorders>
                    <w:top w:val="single" w:color="000000" w:sz="8" w:space="0"/>
                    <w:left w:val="single" w:color="000000" w:sz="8" w:space="0"/>
                    <w:bottom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污染源类别</w:t>
                  </w:r>
                </w:p>
              </w:tc>
              <w:tc>
                <w:tcPr>
                  <w:tcW w:w="1292" w:type="dxa"/>
                  <w:vMerge w:val="restart"/>
                  <w:tcBorders>
                    <w:top w:val="single" w:color="000000" w:sz="8" w:space="0"/>
                    <w:left w:val="single" w:color="000000" w:sz="8" w:space="0"/>
                    <w:bottom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排污口编号及名称</w:t>
                  </w:r>
                </w:p>
              </w:tc>
              <w:tc>
                <w:tcPr>
                  <w:tcW w:w="5401" w:type="dxa"/>
                  <w:gridSpan w:val="5"/>
                  <w:tcBorders>
                    <w:top w:val="single" w:color="000000" w:sz="8" w:space="0"/>
                    <w:left w:val="single" w:color="000000" w:sz="8" w:space="0"/>
                    <w:bottom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排放口基本情况</w:t>
                  </w:r>
                </w:p>
              </w:tc>
              <w:tc>
                <w:tcPr>
                  <w:tcW w:w="1641"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排放标准</w:t>
                  </w:r>
                </w:p>
              </w:tc>
              <w:tc>
                <w:tcPr>
                  <w:tcW w:w="4235" w:type="dxa"/>
                  <w:gridSpan w:val="3"/>
                  <w:tcBorders>
                    <w:top w:val="single" w:color="000000" w:sz="8" w:space="0"/>
                    <w:left w:val="single" w:color="000000" w:sz="8" w:space="0"/>
                    <w:bottom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监测要求</w:t>
                  </w:r>
                </w:p>
              </w:tc>
            </w:tr>
            <w:tr>
              <w:tblPrEx>
                <w:tblLayout w:type="fixed"/>
              </w:tblPrEx>
              <w:trPr>
                <w:trHeight w:val="388" w:hRule="atLeast"/>
                <w:jc w:val="center"/>
              </w:trPr>
              <w:tc>
                <w:tcPr>
                  <w:tcW w:w="896"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p>
              </w:tc>
              <w:tc>
                <w:tcPr>
                  <w:tcW w:w="129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p>
              </w:tc>
              <w:tc>
                <w:tcPr>
                  <w:tcW w:w="922"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高度m</w:t>
                  </w:r>
                </w:p>
              </w:tc>
              <w:tc>
                <w:tcPr>
                  <w:tcW w:w="835"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内径m</w:t>
                  </w:r>
                </w:p>
              </w:tc>
              <w:tc>
                <w:tcPr>
                  <w:tcW w:w="972"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温度℃</w:t>
                  </w:r>
                </w:p>
              </w:tc>
              <w:tc>
                <w:tcPr>
                  <w:tcW w:w="1334"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坐标</w:t>
                  </w:r>
                </w:p>
              </w:tc>
              <w:tc>
                <w:tcPr>
                  <w:tcW w:w="1338"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类型</w:t>
                  </w:r>
                </w:p>
              </w:tc>
              <w:tc>
                <w:tcPr>
                  <w:tcW w:w="1641"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浓度限</w:t>
                  </w:r>
                  <w:r>
                    <w:rPr>
                      <w:rFonts w:hint="eastAsia" w:ascii="Times New Roman" w:hAnsi="Times New Roman" w:eastAsia="宋体"/>
                      <w:sz w:val="21"/>
                      <w:szCs w:val="21"/>
                    </w:rPr>
                    <w:t>值</w:t>
                  </w:r>
                  <w:r>
                    <w:rPr>
                      <w:rFonts w:ascii="Times New Roman" w:hAnsi="Times New Roman" w:eastAsia="宋体"/>
                      <w:sz w:val="21"/>
                      <w:szCs w:val="21"/>
                    </w:rPr>
                    <w:t>mg/m</w:t>
                  </w:r>
                  <w:r>
                    <w:rPr>
                      <w:rFonts w:ascii="Times New Roman" w:hAnsi="Times New Roman" w:eastAsia="宋体"/>
                      <w:sz w:val="21"/>
                      <w:szCs w:val="21"/>
                      <w:vertAlign w:val="superscript"/>
                    </w:rPr>
                    <w:t>3</w:t>
                  </w:r>
                </w:p>
              </w:tc>
              <w:tc>
                <w:tcPr>
                  <w:tcW w:w="1582"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监测点位</w:t>
                  </w:r>
                </w:p>
              </w:tc>
              <w:tc>
                <w:tcPr>
                  <w:tcW w:w="1587"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监测因子</w:t>
                  </w:r>
                </w:p>
              </w:tc>
              <w:tc>
                <w:tcPr>
                  <w:tcW w:w="106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监测频次</w:t>
                  </w:r>
                </w:p>
              </w:tc>
            </w:tr>
            <w:tr>
              <w:tblPrEx>
                <w:tblLayout w:type="fixed"/>
              </w:tblPrEx>
              <w:trPr>
                <w:trHeight w:val="684" w:hRule="atLeast"/>
                <w:jc w:val="center"/>
              </w:trPr>
              <w:tc>
                <w:tcPr>
                  <w:tcW w:w="896" w:type="dxa"/>
                  <w:tcBorders>
                    <w:top w:val="single" w:color="000000" w:sz="8" w:space="0"/>
                    <w:left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有组织</w:t>
                  </w:r>
                </w:p>
              </w:tc>
              <w:tc>
                <w:tcPr>
                  <w:tcW w:w="1292" w:type="dxa"/>
                  <w:tcBorders>
                    <w:top w:val="single" w:color="000000" w:sz="8" w:space="0"/>
                    <w:left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DA00</w:t>
                  </w:r>
                  <w:r>
                    <w:rPr>
                      <w:rFonts w:hint="eastAsia" w:ascii="Times New Roman" w:hAnsi="Times New Roman" w:eastAsia="宋体"/>
                      <w:sz w:val="21"/>
                      <w:szCs w:val="21"/>
                    </w:rPr>
                    <w:t>1</w:t>
                  </w:r>
                </w:p>
              </w:tc>
              <w:tc>
                <w:tcPr>
                  <w:tcW w:w="922" w:type="dxa"/>
                  <w:tcBorders>
                    <w:top w:val="single" w:color="000000" w:sz="8" w:space="0"/>
                    <w:left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hint="eastAsia" w:ascii="Times New Roman" w:hAnsi="Times New Roman" w:eastAsia="宋体"/>
                      <w:sz w:val="21"/>
                      <w:szCs w:val="21"/>
                    </w:rPr>
                    <w:t>15</w:t>
                  </w:r>
                </w:p>
              </w:tc>
              <w:tc>
                <w:tcPr>
                  <w:tcW w:w="835" w:type="dxa"/>
                  <w:tcBorders>
                    <w:top w:val="single" w:color="000000" w:sz="8" w:space="0"/>
                    <w:left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sz w:val="21"/>
                      <w:szCs w:val="21"/>
                      <w:lang w:val="en-US" w:eastAsia="zh-CN"/>
                    </w:rPr>
                  </w:pPr>
                  <w:r>
                    <w:rPr>
                      <w:rFonts w:hint="eastAsia"/>
                      <w:sz w:val="21"/>
                      <w:szCs w:val="21"/>
                      <w:lang w:val="en-US" w:eastAsia="zh-CN"/>
                    </w:rPr>
                    <w:t>0.4</w:t>
                  </w:r>
                </w:p>
              </w:tc>
              <w:tc>
                <w:tcPr>
                  <w:tcW w:w="972" w:type="dxa"/>
                  <w:tcBorders>
                    <w:top w:val="single" w:color="000000" w:sz="8" w:space="0"/>
                    <w:left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hint="eastAsia" w:ascii="Times New Roman" w:hAnsi="Times New Roman" w:eastAsia="宋体"/>
                      <w:sz w:val="21"/>
                      <w:szCs w:val="21"/>
                    </w:rPr>
                    <w:t>25</w:t>
                  </w:r>
                </w:p>
              </w:tc>
              <w:tc>
                <w:tcPr>
                  <w:tcW w:w="1334" w:type="dxa"/>
                  <w:tcBorders>
                    <w:top w:val="single" w:color="000000" w:sz="8" w:space="0"/>
                    <w:left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olor w:val="auto"/>
                      <w:sz w:val="21"/>
                      <w:szCs w:val="21"/>
                      <w:lang w:val="en-US" w:eastAsia="zh-CN"/>
                    </w:rPr>
                  </w:pPr>
                  <w:r>
                    <w:rPr>
                      <w:rFonts w:hint="eastAsia" w:ascii="Times New Roman" w:hAnsi="Times New Roman" w:eastAsia="宋体"/>
                      <w:color w:val="auto"/>
                      <w:sz w:val="21"/>
                      <w:szCs w:val="21"/>
                    </w:rPr>
                    <w:t>E</w:t>
                  </w:r>
                  <w:r>
                    <w:rPr>
                      <w:rFonts w:hint="eastAsia"/>
                      <w:color w:val="auto"/>
                      <w:sz w:val="21"/>
                      <w:szCs w:val="21"/>
                      <w:lang w:val="en-US" w:eastAsia="zh-CN"/>
                    </w:rPr>
                    <w:t>117.331794</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olor w:val="FF0000"/>
                      <w:sz w:val="21"/>
                      <w:szCs w:val="21"/>
                      <w:lang w:val="en-US" w:eastAsia="zh-CN"/>
                    </w:rPr>
                  </w:pPr>
                  <w:r>
                    <w:rPr>
                      <w:rFonts w:hint="eastAsia" w:ascii="Times New Roman" w:hAnsi="Times New Roman" w:eastAsia="宋体"/>
                      <w:color w:val="auto"/>
                      <w:sz w:val="21"/>
                      <w:szCs w:val="21"/>
                    </w:rPr>
                    <w:t>N</w:t>
                  </w:r>
                  <w:r>
                    <w:rPr>
                      <w:rFonts w:hint="eastAsia"/>
                      <w:color w:val="auto"/>
                      <w:sz w:val="21"/>
                      <w:szCs w:val="21"/>
                      <w:lang w:val="en-US" w:eastAsia="zh-CN"/>
                    </w:rPr>
                    <w:t>33.365546</w:t>
                  </w:r>
                </w:p>
              </w:tc>
              <w:tc>
                <w:tcPr>
                  <w:tcW w:w="1338" w:type="dxa"/>
                  <w:tcBorders>
                    <w:top w:val="single" w:color="000000" w:sz="8" w:space="0"/>
                    <w:left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hint="eastAsia" w:ascii="Times New Roman" w:hAnsi="Times New Roman" w:eastAsia="宋体"/>
                      <w:sz w:val="21"/>
                      <w:szCs w:val="21"/>
                    </w:rPr>
                    <w:t>一般</w:t>
                  </w:r>
                  <w:r>
                    <w:rPr>
                      <w:rFonts w:ascii="Times New Roman" w:hAnsi="Times New Roman" w:eastAsia="宋体"/>
                      <w:sz w:val="21"/>
                      <w:szCs w:val="21"/>
                    </w:rPr>
                    <w:t>排放口</w:t>
                  </w:r>
                </w:p>
              </w:tc>
              <w:tc>
                <w:tcPr>
                  <w:tcW w:w="1641"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hint="eastAsia" w:ascii="Times New Roman" w:hAnsi="Times New Roman" w:eastAsia="宋体"/>
                      <w:sz w:val="21"/>
                      <w:szCs w:val="21"/>
                    </w:rPr>
                    <w:t>10</w:t>
                  </w:r>
                </w:p>
              </w:tc>
              <w:tc>
                <w:tcPr>
                  <w:tcW w:w="1582" w:type="dxa"/>
                  <w:tcBorders>
                    <w:top w:val="single" w:color="000000" w:sz="8" w:space="0"/>
                    <w:left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hint="eastAsia" w:ascii="Times New Roman" w:hAnsi="Times New Roman" w:eastAsia="宋体"/>
                      <w:sz w:val="21"/>
                      <w:szCs w:val="21"/>
                    </w:rPr>
                    <w:t>排气筒</w:t>
                  </w:r>
                  <w:r>
                    <w:rPr>
                      <w:rFonts w:ascii="Times New Roman" w:hAnsi="Times New Roman" w:eastAsia="宋体"/>
                      <w:sz w:val="21"/>
                      <w:szCs w:val="21"/>
                    </w:rPr>
                    <w:t>DA00</w:t>
                  </w:r>
                  <w:r>
                    <w:rPr>
                      <w:rFonts w:hint="eastAsia" w:ascii="Times New Roman" w:hAnsi="Times New Roman" w:eastAsia="宋体"/>
                      <w:sz w:val="21"/>
                      <w:szCs w:val="21"/>
                    </w:rPr>
                    <w:t>1</w:t>
                  </w:r>
                </w:p>
              </w:tc>
              <w:tc>
                <w:tcPr>
                  <w:tcW w:w="1587" w:type="dxa"/>
                  <w:tcBorders>
                    <w:top w:val="single" w:color="000000" w:sz="8" w:space="0"/>
                    <w:left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hint="eastAsia" w:ascii="Times New Roman" w:hAnsi="Times New Roman" w:eastAsia="宋体"/>
                      <w:sz w:val="21"/>
                      <w:szCs w:val="21"/>
                    </w:rPr>
                    <w:t>颗粒物</w:t>
                  </w:r>
                </w:p>
              </w:tc>
              <w:tc>
                <w:tcPr>
                  <w:tcW w:w="106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1次/年</w:t>
                  </w:r>
                </w:p>
              </w:tc>
            </w:tr>
            <w:tr>
              <w:tblPrEx>
                <w:tblLayout w:type="fixed"/>
              </w:tblPrEx>
              <w:trPr>
                <w:trHeight w:val="424" w:hRule="atLeast"/>
                <w:jc w:val="center"/>
              </w:trPr>
              <w:tc>
                <w:tcPr>
                  <w:tcW w:w="896" w:type="dxa"/>
                  <w:tcBorders>
                    <w:top w:val="single" w:color="000000" w:sz="8" w:space="0"/>
                    <w:left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hint="eastAsia" w:ascii="Times New Roman" w:hAnsi="Times New Roman" w:eastAsia="宋体"/>
                      <w:sz w:val="21"/>
                      <w:szCs w:val="21"/>
                    </w:rPr>
                    <w:t>无组织</w:t>
                  </w:r>
                </w:p>
              </w:tc>
              <w:tc>
                <w:tcPr>
                  <w:tcW w:w="1292" w:type="dxa"/>
                  <w:tcBorders>
                    <w:top w:val="single" w:color="000000" w:sz="8" w:space="0"/>
                    <w:left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hint="eastAsia" w:ascii="Times New Roman" w:hAnsi="Times New Roman" w:eastAsia="宋体"/>
                      <w:sz w:val="21"/>
                      <w:szCs w:val="21"/>
                    </w:rPr>
                    <w:t>厂界</w:t>
                  </w:r>
                </w:p>
              </w:tc>
              <w:tc>
                <w:tcPr>
                  <w:tcW w:w="922" w:type="dxa"/>
                  <w:tcBorders>
                    <w:top w:val="single" w:color="000000" w:sz="8" w:space="0"/>
                    <w:left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hint="eastAsia" w:ascii="Times New Roman" w:hAnsi="Times New Roman" w:eastAsia="宋体"/>
                      <w:sz w:val="21"/>
                      <w:szCs w:val="21"/>
                    </w:rPr>
                    <w:t>/</w:t>
                  </w:r>
                </w:p>
              </w:tc>
              <w:tc>
                <w:tcPr>
                  <w:tcW w:w="835" w:type="dxa"/>
                  <w:tcBorders>
                    <w:top w:val="single" w:color="000000" w:sz="8" w:space="0"/>
                    <w:left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hint="eastAsia" w:ascii="Times New Roman" w:hAnsi="Times New Roman" w:eastAsia="宋体"/>
                      <w:sz w:val="21"/>
                      <w:szCs w:val="21"/>
                    </w:rPr>
                    <w:t>/</w:t>
                  </w:r>
                </w:p>
              </w:tc>
              <w:tc>
                <w:tcPr>
                  <w:tcW w:w="972" w:type="dxa"/>
                  <w:tcBorders>
                    <w:top w:val="single" w:color="000000" w:sz="8" w:space="0"/>
                    <w:left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hint="eastAsia" w:ascii="Times New Roman" w:hAnsi="Times New Roman" w:eastAsia="宋体"/>
                      <w:sz w:val="21"/>
                      <w:szCs w:val="21"/>
                    </w:rPr>
                    <w:t>/</w:t>
                  </w:r>
                </w:p>
              </w:tc>
              <w:tc>
                <w:tcPr>
                  <w:tcW w:w="1334" w:type="dxa"/>
                  <w:tcBorders>
                    <w:top w:val="single" w:color="000000" w:sz="8" w:space="0"/>
                    <w:left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hint="eastAsia" w:ascii="Times New Roman" w:hAnsi="Times New Roman" w:eastAsia="宋体"/>
                      <w:sz w:val="21"/>
                      <w:szCs w:val="21"/>
                    </w:rPr>
                    <w:t>/</w:t>
                  </w:r>
                </w:p>
              </w:tc>
              <w:tc>
                <w:tcPr>
                  <w:tcW w:w="1338" w:type="dxa"/>
                  <w:tcBorders>
                    <w:top w:val="single" w:color="000000" w:sz="8" w:space="0"/>
                    <w:left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hint="eastAsia" w:ascii="Times New Roman" w:hAnsi="Times New Roman" w:eastAsia="宋体"/>
                      <w:sz w:val="21"/>
                      <w:szCs w:val="21"/>
                    </w:rPr>
                    <w:t>/</w:t>
                  </w:r>
                </w:p>
              </w:tc>
              <w:tc>
                <w:tcPr>
                  <w:tcW w:w="1641"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1.0</w:t>
                  </w:r>
                </w:p>
              </w:tc>
              <w:tc>
                <w:tcPr>
                  <w:tcW w:w="1582" w:type="dxa"/>
                  <w:tcBorders>
                    <w:top w:val="single" w:color="000000" w:sz="8" w:space="0"/>
                    <w:left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hint="eastAsia" w:ascii="Times New Roman" w:hAnsi="Times New Roman" w:eastAsia="宋体"/>
                      <w:sz w:val="21"/>
                      <w:szCs w:val="21"/>
                    </w:rPr>
                    <w:t>厂界四周</w:t>
                  </w:r>
                </w:p>
              </w:tc>
              <w:tc>
                <w:tcPr>
                  <w:tcW w:w="1587" w:type="dxa"/>
                  <w:tcBorders>
                    <w:left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hint="eastAsia" w:ascii="Times New Roman" w:hAnsi="Times New Roman" w:eastAsia="宋体"/>
                      <w:sz w:val="21"/>
                      <w:szCs w:val="21"/>
                    </w:rPr>
                    <w:t>颗粒物</w:t>
                  </w:r>
                </w:p>
              </w:tc>
              <w:tc>
                <w:tcPr>
                  <w:tcW w:w="1066"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Times New Roman" w:hAnsi="Times New Roman" w:eastAsia="宋体"/>
                      <w:sz w:val="21"/>
                      <w:szCs w:val="21"/>
                    </w:rPr>
                  </w:pPr>
                  <w:r>
                    <w:rPr>
                      <w:rFonts w:ascii="Times New Roman" w:hAnsi="Times New Roman" w:eastAsia="宋体"/>
                      <w:sz w:val="21"/>
                      <w:szCs w:val="21"/>
                    </w:rPr>
                    <w:t>1次/年</w:t>
                  </w:r>
                </w:p>
              </w:tc>
            </w:tr>
          </w:tbl>
          <w:p>
            <w:pPr>
              <w:adjustRightInd w:val="0"/>
              <w:snapToGrid w:val="0"/>
              <w:spacing w:line="360" w:lineRule="auto"/>
              <w:ind w:firstLine="442" w:firstLineChars="200"/>
              <w:rPr>
                <w:rFonts w:hint="default" w:ascii="Times New Roman" w:hAnsi="Times New Roman" w:cs="Times New Roman"/>
                <w:b/>
                <w:bCs/>
                <w:color w:val="000000" w:themeColor="text1"/>
                <w:spacing w:val="-10"/>
                <w:sz w:val="24"/>
                <w:highlight w:val="none"/>
                <w14:textFill>
                  <w14:solidFill>
                    <w14:schemeClr w14:val="tx1"/>
                  </w14:solidFill>
                </w14:textFill>
              </w:rPr>
            </w:pPr>
            <w:r>
              <w:rPr>
                <w:rFonts w:hint="eastAsia" w:cs="Times New Roman"/>
                <w:b/>
                <w:bCs/>
                <w:color w:val="000000" w:themeColor="text1"/>
                <w:spacing w:val="-10"/>
                <w:sz w:val="24"/>
                <w:highlight w:val="none"/>
                <w:lang w:val="en-US" w:eastAsia="zh-CN"/>
                <w14:textFill>
                  <w14:solidFill>
                    <w14:schemeClr w14:val="tx1"/>
                  </w14:solidFill>
                </w14:textFill>
              </w:rPr>
              <w:t>2</w:t>
            </w:r>
            <w:r>
              <w:rPr>
                <w:rFonts w:hint="default" w:ascii="Times New Roman" w:hAnsi="Times New Roman" w:cs="Times New Roman"/>
                <w:b/>
                <w:bCs/>
                <w:color w:val="000000" w:themeColor="text1"/>
                <w:spacing w:val="-10"/>
                <w:sz w:val="24"/>
                <w:highlight w:val="none"/>
                <w14:textFill>
                  <w14:solidFill>
                    <w14:schemeClr w14:val="tx1"/>
                  </w14:solidFill>
                </w14:textFill>
              </w:rPr>
              <w:t>、非正常工况</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非正常排放是指生产过程中设备检修、工艺设备运转异常等非正常工况下的污染物排放，以及污染物排放控制措施达不到应有效率等情况下的排放。</w:t>
            </w:r>
          </w:p>
          <w:p>
            <w:pPr>
              <w:pStyle w:val="1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b/>
                <w:color w:val="000000" w:themeColor="text1"/>
                <w:highlight w:val="none"/>
                <w:lang w:val="en-US"/>
                <w14:textFill>
                  <w14:solidFill>
                    <w14:schemeClr w14:val="tx1"/>
                  </w14:solidFill>
                </w14:textFill>
              </w:rPr>
            </w:pPr>
            <w:r>
              <w:rPr>
                <w:rFonts w:hint="default" w:ascii="Times New Roman" w:hAnsi="Times New Roman" w:cs="Times New Roman"/>
                <w:b/>
                <w:color w:val="000000" w:themeColor="text1"/>
                <w:highlight w:val="none"/>
                <w14:textFill>
                  <w14:solidFill>
                    <w14:schemeClr w14:val="tx1"/>
                  </w14:solidFill>
                </w14:textFill>
              </w:rPr>
              <w:t>表</w:t>
            </w:r>
            <w:r>
              <w:rPr>
                <w:rFonts w:hint="default" w:ascii="Times New Roman" w:hAnsi="Times New Roman" w:cs="Times New Roman"/>
                <w:b/>
                <w:color w:val="000000" w:themeColor="text1"/>
                <w:highlight w:val="none"/>
                <w:lang w:val="en-US" w:eastAsia="zh-CN"/>
                <w14:textFill>
                  <w14:solidFill>
                    <w14:schemeClr w14:val="tx1"/>
                  </w14:solidFill>
                </w14:textFill>
              </w:rPr>
              <w:t>4-</w:t>
            </w:r>
            <w:r>
              <w:rPr>
                <w:rFonts w:hint="eastAsia" w:cs="Times New Roman"/>
                <w:b/>
                <w:color w:val="000000" w:themeColor="text1"/>
                <w:highlight w:val="none"/>
                <w:lang w:val="en-US" w:eastAsia="zh-CN"/>
                <w14:textFill>
                  <w14:solidFill>
                    <w14:schemeClr w14:val="tx1"/>
                  </w14:solidFill>
                </w14:textFill>
              </w:rPr>
              <w:t>4</w:t>
            </w:r>
            <w:r>
              <w:rPr>
                <w:rFonts w:hint="default" w:ascii="Times New Roman" w:hAnsi="Times New Roman" w:cs="Times New Roman"/>
                <w:b/>
                <w:color w:val="000000" w:themeColor="text1"/>
                <w:highlight w:val="none"/>
                <w:lang w:val="en-US"/>
                <w14:textFill>
                  <w14:solidFill>
                    <w14:schemeClr w14:val="tx1"/>
                  </w14:solidFill>
                </w14:textFill>
              </w:rPr>
              <w:t xml:space="preserve"> </w:t>
            </w:r>
            <w:r>
              <w:rPr>
                <w:rFonts w:hint="default" w:ascii="Times New Roman" w:hAnsi="Times New Roman" w:cs="Times New Roman"/>
                <w:b/>
                <w:color w:val="000000" w:themeColor="text1"/>
                <w:highlight w:val="none"/>
                <w:lang w:val="en-US" w:eastAsia="zh-CN"/>
                <w14:textFill>
                  <w14:solidFill>
                    <w14:schemeClr w14:val="tx1"/>
                  </w14:solidFill>
                </w14:textFill>
              </w:rPr>
              <w:t xml:space="preserve"> </w:t>
            </w:r>
            <w:r>
              <w:rPr>
                <w:rFonts w:hint="default" w:ascii="Times New Roman" w:hAnsi="Times New Roman" w:cs="Times New Roman"/>
                <w:b/>
                <w:color w:val="000000" w:themeColor="text1"/>
                <w:highlight w:val="none"/>
                <w14:textFill>
                  <w14:solidFill>
                    <w14:schemeClr w14:val="tx1"/>
                  </w14:solidFill>
                </w14:textFill>
              </w:rPr>
              <w:t>污染源非正常排放量核算表</w:t>
            </w:r>
          </w:p>
          <w:tbl>
            <w:tblPr>
              <w:tblStyle w:val="37"/>
              <w:tblW w:w="4997"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33"/>
              <w:gridCol w:w="1040"/>
              <w:gridCol w:w="1682"/>
              <w:gridCol w:w="913"/>
              <w:gridCol w:w="2404"/>
              <w:gridCol w:w="2226"/>
              <w:gridCol w:w="1550"/>
              <w:gridCol w:w="1469"/>
              <w:gridCol w:w="1645"/>
            </w:tblGrid>
            <w:tr>
              <w:tblPrEx>
                <w:tblLayout w:type="fixed"/>
              </w:tblPrEx>
              <w:trPr>
                <w:cantSplit/>
                <w:trHeight w:val="397" w:hRule="atLeast"/>
                <w:jc w:val="center"/>
              </w:trPr>
              <w:tc>
                <w:tcPr>
                  <w:tcW w:w="533" w:type="dxa"/>
                  <w:vAlign w:val="center"/>
                </w:tcPr>
                <w:p>
                  <w:pPr>
                    <w:pStyle w:val="47"/>
                    <w:bidi w:val="0"/>
                    <w:rPr>
                      <w:rFonts w:hint="default"/>
                      <w:b/>
                      <w:bCs/>
                      <w:color w:val="000000" w:themeColor="text1"/>
                      <w:highlight w:val="none"/>
                      <w14:textFill>
                        <w14:solidFill>
                          <w14:schemeClr w14:val="tx1"/>
                        </w14:solidFill>
                      </w14:textFill>
                    </w:rPr>
                  </w:pPr>
                  <w:r>
                    <w:rPr>
                      <w:rFonts w:hint="default"/>
                      <w:b/>
                      <w:bCs/>
                      <w:color w:val="000000" w:themeColor="text1"/>
                      <w:highlight w:val="none"/>
                      <w14:textFill>
                        <w14:solidFill>
                          <w14:schemeClr w14:val="tx1"/>
                        </w14:solidFill>
                      </w14:textFill>
                    </w:rPr>
                    <w:t>序号</w:t>
                  </w:r>
                </w:p>
              </w:tc>
              <w:tc>
                <w:tcPr>
                  <w:tcW w:w="1040" w:type="dxa"/>
                  <w:vAlign w:val="center"/>
                </w:tcPr>
                <w:p>
                  <w:pPr>
                    <w:pStyle w:val="47"/>
                    <w:bidi w:val="0"/>
                    <w:rPr>
                      <w:rFonts w:hint="default"/>
                      <w:b/>
                      <w:bCs/>
                      <w:color w:val="000000" w:themeColor="text1"/>
                      <w:highlight w:val="none"/>
                      <w14:textFill>
                        <w14:solidFill>
                          <w14:schemeClr w14:val="tx1"/>
                        </w14:solidFill>
                      </w14:textFill>
                    </w:rPr>
                  </w:pPr>
                  <w:r>
                    <w:rPr>
                      <w:rFonts w:hint="default"/>
                      <w:b/>
                      <w:bCs/>
                      <w:color w:val="000000" w:themeColor="text1"/>
                      <w:highlight w:val="none"/>
                      <w14:textFill>
                        <w14:solidFill>
                          <w14:schemeClr w14:val="tx1"/>
                        </w14:solidFill>
                      </w14:textFill>
                    </w:rPr>
                    <w:t>污染源</w:t>
                  </w:r>
                </w:p>
              </w:tc>
              <w:tc>
                <w:tcPr>
                  <w:tcW w:w="1681" w:type="dxa"/>
                  <w:vAlign w:val="center"/>
                </w:tcPr>
                <w:p>
                  <w:pPr>
                    <w:pStyle w:val="47"/>
                    <w:bidi w:val="0"/>
                    <w:rPr>
                      <w:rFonts w:hint="default"/>
                      <w:b/>
                      <w:bCs/>
                      <w:color w:val="000000" w:themeColor="text1"/>
                      <w:highlight w:val="none"/>
                      <w14:textFill>
                        <w14:solidFill>
                          <w14:schemeClr w14:val="tx1"/>
                        </w14:solidFill>
                      </w14:textFill>
                    </w:rPr>
                  </w:pPr>
                  <w:r>
                    <w:rPr>
                      <w:rFonts w:hint="default"/>
                      <w:b/>
                      <w:bCs/>
                      <w:color w:val="000000" w:themeColor="text1"/>
                      <w:highlight w:val="none"/>
                      <w14:textFill>
                        <w14:solidFill>
                          <w14:schemeClr w14:val="tx1"/>
                        </w14:solidFill>
                      </w14:textFill>
                    </w:rPr>
                    <w:t>非正常排放原因</w:t>
                  </w:r>
                </w:p>
              </w:tc>
              <w:tc>
                <w:tcPr>
                  <w:tcW w:w="913" w:type="dxa"/>
                  <w:vAlign w:val="center"/>
                </w:tcPr>
                <w:p>
                  <w:pPr>
                    <w:pStyle w:val="47"/>
                    <w:bidi w:val="0"/>
                    <w:rPr>
                      <w:rFonts w:hint="default"/>
                      <w:b/>
                      <w:bCs/>
                      <w:color w:val="000000" w:themeColor="text1"/>
                      <w:highlight w:val="none"/>
                      <w14:textFill>
                        <w14:solidFill>
                          <w14:schemeClr w14:val="tx1"/>
                        </w14:solidFill>
                      </w14:textFill>
                    </w:rPr>
                  </w:pPr>
                  <w:r>
                    <w:rPr>
                      <w:rFonts w:hint="default"/>
                      <w:b/>
                      <w:bCs/>
                      <w:color w:val="000000" w:themeColor="text1"/>
                      <w:highlight w:val="none"/>
                      <w14:textFill>
                        <w14:solidFill>
                          <w14:schemeClr w14:val="tx1"/>
                        </w14:solidFill>
                      </w14:textFill>
                    </w:rPr>
                    <w:t>污染物</w:t>
                  </w:r>
                </w:p>
              </w:tc>
              <w:tc>
                <w:tcPr>
                  <w:tcW w:w="2403" w:type="dxa"/>
                  <w:vAlign w:val="center"/>
                </w:tcPr>
                <w:p>
                  <w:pPr>
                    <w:pStyle w:val="47"/>
                    <w:bidi w:val="0"/>
                    <w:rPr>
                      <w:rFonts w:hint="default"/>
                      <w:b/>
                      <w:bCs/>
                      <w:color w:val="000000" w:themeColor="text1"/>
                      <w:highlight w:val="none"/>
                      <w14:textFill>
                        <w14:solidFill>
                          <w14:schemeClr w14:val="tx1"/>
                        </w14:solidFill>
                      </w14:textFill>
                    </w:rPr>
                  </w:pPr>
                  <w:r>
                    <w:rPr>
                      <w:rFonts w:hint="default"/>
                      <w:b/>
                      <w:bCs/>
                      <w:color w:val="000000" w:themeColor="text1"/>
                      <w:highlight w:val="none"/>
                      <w14:textFill>
                        <w14:solidFill>
                          <w14:schemeClr w14:val="tx1"/>
                        </w14:solidFill>
                      </w14:textFill>
                    </w:rPr>
                    <w:t>非正常排放浓度/(mg/m</w:t>
                  </w:r>
                  <w:r>
                    <w:rPr>
                      <w:rFonts w:hint="default"/>
                      <w:b/>
                      <w:bCs/>
                      <w:color w:val="000000" w:themeColor="text1"/>
                      <w:highlight w:val="none"/>
                      <w:vertAlign w:val="superscript"/>
                      <w14:textFill>
                        <w14:solidFill>
                          <w14:schemeClr w14:val="tx1"/>
                        </w14:solidFill>
                      </w14:textFill>
                    </w:rPr>
                    <w:t>3</w:t>
                  </w:r>
                  <w:r>
                    <w:rPr>
                      <w:rFonts w:hint="default"/>
                      <w:b/>
                      <w:bCs/>
                      <w:color w:val="000000" w:themeColor="text1"/>
                      <w:highlight w:val="none"/>
                      <w14:textFill>
                        <w14:solidFill>
                          <w14:schemeClr w14:val="tx1"/>
                        </w14:solidFill>
                      </w14:textFill>
                    </w:rPr>
                    <w:t>)</w:t>
                  </w:r>
                </w:p>
              </w:tc>
              <w:tc>
                <w:tcPr>
                  <w:tcW w:w="2225" w:type="dxa"/>
                  <w:vAlign w:val="center"/>
                </w:tcPr>
                <w:p>
                  <w:pPr>
                    <w:pStyle w:val="47"/>
                    <w:bidi w:val="0"/>
                    <w:rPr>
                      <w:rFonts w:hint="default"/>
                      <w:b/>
                      <w:bCs/>
                      <w:color w:val="000000" w:themeColor="text1"/>
                      <w:highlight w:val="none"/>
                      <w14:textFill>
                        <w14:solidFill>
                          <w14:schemeClr w14:val="tx1"/>
                        </w14:solidFill>
                      </w14:textFill>
                    </w:rPr>
                  </w:pPr>
                  <w:r>
                    <w:rPr>
                      <w:rFonts w:hint="default"/>
                      <w:b/>
                      <w:bCs/>
                      <w:color w:val="000000" w:themeColor="text1"/>
                      <w:highlight w:val="none"/>
                      <w14:textFill>
                        <w14:solidFill>
                          <w14:schemeClr w14:val="tx1"/>
                        </w14:solidFill>
                      </w14:textFill>
                    </w:rPr>
                    <w:t>非正常排放速率/</w:t>
                  </w:r>
                  <w:r>
                    <w:rPr>
                      <w:rFonts w:hint="eastAsia"/>
                      <w:b/>
                      <w:bCs/>
                      <w:color w:val="000000" w:themeColor="text1"/>
                      <w:highlight w:val="none"/>
                      <w:lang w:eastAsia="zh-CN"/>
                      <w14:textFill>
                        <w14:solidFill>
                          <w14:schemeClr w14:val="tx1"/>
                        </w14:solidFill>
                      </w14:textFill>
                    </w:rPr>
                    <w:t>（</w:t>
                  </w:r>
                  <w:r>
                    <w:rPr>
                      <w:rFonts w:hint="default"/>
                      <w:b/>
                      <w:bCs/>
                      <w:color w:val="000000" w:themeColor="text1"/>
                      <w:highlight w:val="none"/>
                      <w14:textFill>
                        <w14:solidFill>
                          <w14:schemeClr w14:val="tx1"/>
                        </w14:solidFill>
                      </w14:textFill>
                    </w:rPr>
                    <w:t>kg/h）</w:t>
                  </w:r>
                </w:p>
              </w:tc>
              <w:tc>
                <w:tcPr>
                  <w:tcW w:w="1549" w:type="dxa"/>
                  <w:vAlign w:val="center"/>
                </w:tcPr>
                <w:p>
                  <w:pPr>
                    <w:pStyle w:val="47"/>
                    <w:bidi w:val="0"/>
                    <w:rPr>
                      <w:rFonts w:hint="default"/>
                      <w:b/>
                      <w:bCs/>
                      <w:color w:val="000000" w:themeColor="text1"/>
                      <w:highlight w:val="none"/>
                      <w14:textFill>
                        <w14:solidFill>
                          <w14:schemeClr w14:val="tx1"/>
                        </w14:solidFill>
                      </w14:textFill>
                    </w:rPr>
                  </w:pPr>
                  <w:r>
                    <w:rPr>
                      <w:rFonts w:hint="default"/>
                      <w:b/>
                      <w:bCs/>
                      <w:color w:val="000000" w:themeColor="text1"/>
                      <w:highlight w:val="none"/>
                      <w14:textFill>
                        <w14:solidFill>
                          <w14:schemeClr w14:val="tx1"/>
                        </w14:solidFill>
                      </w14:textFill>
                    </w:rPr>
                    <w:t>单次持续时间/h</w:t>
                  </w:r>
                </w:p>
              </w:tc>
              <w:tc>
                <w:tcPr>
                  <w:tcW w:w="1469" w:type="dxa"/>
                  <w:vAlign w:val="center"/>
                </w:tcPr>
                <w:p>
                  <w:pPr>
                    <w:pStyle w:val="47"/>
                    <w:bidi w:val="0"/>
                    <w:rPr>
                      <w:rFonts w:hint="default"/>
                      <w:b/>
                      <w:bCs/>
                      <w:color w:val="000000" w:themeColor="text1"/>
                      <w:highlight w:val="none"/>
                      <w14:textFill>
                        <w14:solidFill>
                          <w14:schemeClr w14:val="tx1"/>
                        </w14:solidFill>
                      </w14:textFill>
                    </w:rPr>
                  </w:pPr>
                  <w:r>
                    <w:rPr>
                      <w:rFonts w:hint="default"/>
                      <w:b/>
                      <w:bCs/>
                      <w:color w:val="000000" w:themeColor="text1"/>
                      <w:highlight w:val="none"/>
                      <w14:textFill>
                        <w14:solidFill>
                          <w14:schemeClr w14:val="tx1"/>
                        </w14:solidFill>
                      </w14:textFill>
                    </w:rPr>
                    <w:t>年发生频次/次</w:t>
                  </w:r>
                </w:p>
              </w:tc>
              <w:tc>
                <w:tcPr>
                  <w:tcW w:w="1644" w:type="dxa"/>
                  <w:vAlign w:val="center"/>
                </w:tcPr>
                <w:p>
                  <w:pPr>
                    <w:pStyle w:val="47"/>
                    <w:bidi w:val="0"/>
                    <w:rPr>
                      <w:rFonts w:hint="default"/>
                      <w:b/>
                      <w:bCs/>
                      <w:color w:val="000000" w:themeColor="text1"/>
                      <w:highlight w:val="none"/>
                      <w14:textFill>
                        <w14:solidFill>
                          <w14:schemeClr w14:val="tx1"/>
                        </w14:solidFill>
                      </w14:textFill>
                    </w:rPr>
                  </w:pPr>
                  <w:r>
                    <w:rPr>
                      <w:rFonts w:hint="default"/>
                      <w:b/>
                      <w:bCs/>
                      <w:color w:val="000000" w:themeColor="text1"/>
                      <w:highlight w:val="none"/>
                      <w14:textFill>
                        <w14:solidFill>
                          <w14:schemeClr w14:val="tx1"/>
                        </w14:solidFill>
                      </w14:textFill>
                    </w:rPr>
                    <w:t>应对措施</w:t>
                  </w:r>
                </w:p>
              </w:tc>
            </w:tr>
            <w:tr>
              <w:tblPrEx>
                <w:tblLayout w:type="fixed"/>
              </w:tblPrEx>
              <w:trPr>
                <w:cantSplit/>
                <w:trHeight w:val="397" w:hRule="atLeast"/>
                <w:jc w:val="center"/>
              </w:trPr>
              <w:tc>
                <w:tcPr>
                  <w:tcW w:w="533" w:type="dxa"/>
                  <w:vAlign w:val="center"/>
                </w:tcPr>
                <w:p>
                  <w:pPr>
                    <w:pStyle w:val="47"/>
                    <w:bidi w:val="0"/>
                    <w:rPr>
                      <w:rFonts w:hint="eastAsia" w:eastAsia="宋体"/>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1</w:t>
                  </w:r>
                </w:p>
              </w:tc>
              <w:tc>
                <w:tcPr>
                  <w:tcW w:w="1040" w:type="dxa"/>
                  <w:vAlign w:val="center"/>
                </w:tcPr>
                <w:p>
                  <w:pPr>
                    <w:pStyle w:val="47"/>
                    <w:bidi w:val="0"/>
                    <w:rPr>
                      <w:rFonts w:hint="default"/>
                      <w:b w:val="0"/>
                      <w:bCs w:val="0"/>
                      <w:color w:val="000000" w:themeColor="text1"/>
                      <w:highlight w:val="none"/>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DA001</w:t>
                  </w:r>
                </w:p>
              </w:tc>
              <w:tc>
                <w:tcPr>
                  <w:tcW w:w="1681" w:type="dxa"/>
                  <w:vAlign w:val="center"/>
                </w:tcPr>
                <w:p>
                  <w:pPr>
                    <w:pStyle w:val="47"/>
                    <w:bidi w:val="0"/>
                    <w:rPr>
                      <w:rFonts w:hint="default"/>
                      <w:b/>
                      <w:bCs/>
                      <w:color w:val="000000" w:themeColor="text1"/>
                      <w:highlight w:val="none"/>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布袋除尘器失效</w:t>
                  </w:r>
                </w:p>
              </w:tc>
              <w:tc>
                <w:tcPr>
                  <w:tcW w:w="913" w:type="dxa"/>
                  <w:vAlign w:val="center"/>
                </w:tcPr>
                <w:p>
                  <w:pPr>
                    <w:pStyle w:val="47"/>
                    <w:bidi w:val="0"/>
                    <w:rPr>
                      <w:rFonts w:hint="default"/>
                      <w:b/>
                      <w:bCs/>
                      <w:color w:val="000000" w:themeColor="text1"/>
                      <w:highlight w:val="none"/>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颗粒物</w:t>
                  </w:r>
                </w:p>
              </w:tc>
              <w:tc>
                <w:tcPr>
                  <w:tcW w:w="2403" w:type="dxa"/>
                  <w:vAlign w:val="center"/>
                </w:tcPr>
                <w:p>
                  <w:pPr>
                    <w:pStyle w:val="47"/>
                    <w:bidi w:val="0"/>
                    <w:rPr>
                      <w:rFonts w:hint="default" w:eastAsia="宋体"/>
                      <w:b w:val="0"/>
                      <w:bCs w:val="0"/>
                      <w:color w:val="000000" w:themeColor="text1"/>
                      <w:highlight w:val="none"/>
                      <w:lang w:val="en-US" w:eastAsia="zh-CN"/>
                      <w14:textFill>
                        <w14:solidFill>
                          <w14:schemeClr w14:val="tx1"/>
                        </w14:solidFill>
                      </w14:textFill>
                    </w:rPr>
                  </w:pPr>
                  <w:commentRangeStart w:id="44"/>
                  <w:r>
                    <w:rPr>
                      <w:rFonts w:hint="eastAsia"/>
                      <w:b w:val="0"/>
                      <w:bCs w:val="0"/>
                      <w:color w:val="000000" w:themeColor="text1"/>
                      <w:highlight w:val="none"/>
                      <w:lang w:val="en-US" w:eastAsia="zh-CN"/>
                      <w14:textFill>
                        <w14:solidFill>
                          <w14:schemeClr w14:val="tx1"/>
                        </w14:solidFill>
                      </w14:textFill>
                    </w:rPr>
                    <w:t>41.955</w:t>
                  </w:r>
                </w:p>
              </w:tc>
              <w:tc>
                <w:tcPr>
                  <w:tcW w:w="2225" w:type="dxa"/>
                  <w:vAlign w:val="center"/>
                </w:tcPr>
                <w:p>
                  <w:pPr>
                    <w:pStyle w:val="47"/>
                    <w:bidi w:val="0"/>
                    <w:rPr>
                      <w:rFonts w:hint="default" w:eastAsia="宋体"/>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0.923</w:t>
                  </w:r>
                  <w:commentRangeEnd w:id="44"/>
                  <w:r>
                    <w:commentReference w:id="44"/>
                  </w:r>
                </w:p>
              </w:tc>
              <w:tc>
                <w:tcPr>
                  <w:tcW w:w="1549" w:type="dxa"/>
                  <w:vAlign w:val="center"/>
                </w:tcPr>
                <w:p>
                  <w:pPr>
                    <w:pStyle w:val="47"/>
                    <w:bidi w:val="0"/>
                    <w:ind w:firstLine="0" w:firstLineChars="0"/>
                    <w:rPr>
                      <w:rFonts w:hint="default"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r>
                    <w:rPr>
                      <w:rFonts w:hint="default"/>
                      <w:color w:val="000000" w:themeColor="text1"/>
                      <w:highlight w:val="none"/>
                      <w:lang w:val="en-US" w:eastAsia="zh-CN"/>
                      <w14:textFill>
                        <w14:solidFill>
                          <w14:schemeClr w14:val="tx1"/>
                        </w14:solidFill>
                      </w14:textFill>
                    </w:rPr>
                    <w:t>0.5</w:t>
                  </w:r>
                </w:p>
              </w:tc>
              <w:tc>
                <w:tcPr>
                  <w:tcW w:w="1469" w:type="dxa"/>
                  <w:vAlign w:val="center"/>
                </w:tcPr>
                <w:p>
                  <w:pPr>
                    <w:pStyle w:val="47"/>
                    <w:bidi w:val="0"/>
                    <w:ind w:firstLine="0" w:firstLineChars="0"/>
                    <w:rPr>
                      <w:rFonts w:hint="default"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r>
                    <w:rPr>
                      <w:rFonts w:hint="default"/>
                      <w:color w:val="000000" w:themeColor="text1"/>
                      <w:highlight w:val="none"/>
                      <w:lang w:val="en-US" w:eastAsia="zh-CN"/>
                      <w14:textFill>
                        <w14:solidFill>
                          <w14:schemeClr w14:val="tx1"/>
                        </w14:solidFill>
                      </w14:textFill>
                    </w:rPr>
                    <w:t>1</w:t>
                  </w:r>
                </w:p>
              </w:tc>
              <w:tc>
                <w:tcPr>
                  <w:tcW w:w="1644" w:type="dxa"/>
                  <w:vAlign w:val="center"/>
                </w:tcPr>
                <w:p>
                  <w:pPr>
                    <w:pStyle w:val="47"/>
                    <w:bidi w:val="0"/>
                    <w:rPr>
                      <w:rFonts w:hint="default"/>
                      <w:b w:val="0"/>
                      <w:bCs w:val="0"/>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定期检修和维护</w:t>
                  </w:r>
                </w:p>
              </w:tc>
            </w:tr>
          </w:tbl>
          <w:p>
            <w:pPr>
              <w:pStyle w:val="39"/>
              <w:bidi w:val="0"/>
              <w:rPr>
                <w:rFonts w:hint="eastAsia"/>
                <w:color w:val="000000" w:themeColor="text1"/>
                <w:highlight w:val="none"/>
                <w:lang w:val="en-US" w:eastAsia="zh-CN"/>
                <w14:textFill>
                  <w14:solidFill>
                    <w14:schemeClr w14:val="tx1"/>
                  </w14:solidFill>
                </w14:textFill>
              </w:rPr>
            </w:pPr>
          </w:p>
          <w:p>
            <w:pPr>
              <w:pStyle w:val="39"/>
              <w:bidi w:val="0"/>
              <w:rPr>
                <w:rFonts w:hint="eastAsia"/>
                <w:color w:val="000000" w:themeColor="text1"/>
                <w:highlight w:val="none"/>
                <w:lang w:val="en-US" w:eastAsia="zh-CN"/>
                <w14:textFill>
                  <w14:solidFill>
                    <w14:schemeClr w14:val="tx1"/>
                  </w14:solidFill>
                </w14:textFill>
              </w:rPr>
            </w:pPr>
          </w:p>
          <w:p>
            <w:pPr>
              <w:pStyle w:val="39"/>
              <w:bidi w:val="0"/>
              <w:rPr>
                <w:rFonts w:hint="eastAsia"/>
                <w:color w:val="000000" w:themeColor="text1"/>
                <w:highlight w:val="none"/>
                <w:lang w:val="en-US" w:eastAsia="zh-CN"/>
                <w14:textFill>
                  <w14:solidFill>
                    <w14:schemeClr w14:val="tx1"/>
                  </w14:solidFill>
                </w14:textFill>
              </w:rPr>
            </w:pPr>
          </w:p>
          <w:p>
            <w:pPr>
              <w:pStyle w:val="39"/>
              <w:bidi w:val="0"/>
              <w:rPr>
                <w:rFonts w:hint="eastAsia"/>
                <w:color w:val="000000" w:themeColor="text1"/>
                <w:highlight w:val="none"/>
                <w:lang w:val="en-US" w:eastAsia="zh-CN"/>
                <w14:textFill>
                  <w14:solidFill>
                    <w14:schemeClr w14:val="tx1"/>
                  </w14:solidFill>
                </w14:textFill>
              </w:rPr>
            </w:pPr>
          </w:p>
          <w:p>
            <w:pPr>
              <w:pStyle w:val="39"/>
              <w:bidi w:val="0"/>
              <w:rPr>
                <w:rFonts w:hint="eastAsia"/>
                <w:color w:val="000000" w:themeColor="text1"/>
                <w:highlight w:val="none"/>
                <w:lang w:val="en-US" w:eastAsia="zh-CN"/>
                <w14:textFill>
                  <w14:solidFill>
                    <w14:schemeClr w14:val="tx1"/>
                  </w14:solidFill>
                </w14:textFill>
              </w:rPr>
            </w:pPr>
          </w:p>
          <w:p>
            <w:pPr>
              <w:pStyle w:val="39"/>
              <w:bidi w:val="0"/>
              <w:rPr>
                <w:rFonts w:hint="eastAsia"/>
                <w:color w:val="000000" w:themeColor="text1"/>
                <w:highlight w:val="none"/>
                <w:lang w:val="en-US" w:eastAsia="zh-CN"/>
                <w14:textFill>
                  <w14:solidFill>
                    <w14:schemeClr w14:val="tx1"/>
                  </w14:solidFill>
                </w14:textFill>
              </w:rPr>
            </w:pPr>
          </w:p>
          <w:p>
            <w:pPr>
              <w:pStyle w:val="39"/>
              <w:bidi w:val="0"/>
              <w:rPr>
                <w:rFonts w:hint="eastAsia"/>
                <w:color w:val="000000" w:themeColor="text1"/>
                <w:highlight w:val="none"/>
                <w:lang w:val="en-US" w:eastAsia="zh-CN"/>
                <w14:textFill>
                  <w14:solidFill>
                    <w14:schemeClr w14:val="tx1"/>
                  </w14:solidFill>
                </w14:textFill>
              </w:rPr>
            </w:pPr>
          </w:p>
          <w:p>
            <w:pPr>
              <w:pStyle w:val="39"/>
              <w:bidi w:val="0"/>
              <w:rPr>
                <w:rFonts w:hint="eastAsia"/>
                <w:color w:val="000000" w:themeColor="text1"/>
                <w:highlight w:val="none"/>
                <w:lang w:val="en-US" w:eastAsia="zh-CN"/>
                <w14:textFill>
                  <w14:solidFill>
                    <w14:schemeClr w14:val="tx1"/>
                  </w14:solidFill>
                </w14:textFill>
              </w:rPr>
            </w:pPr>
          </w:p>
          <w:p>
            <w:pPr>
              <w:ind w:left="0" w:leftChars="0" w:firstLine="0" w:firstLineChars="0"/>
              <w:rPr>
                <w:rFonts w:hint="default"/>
                <w:color w:val="000000" w:themeColor="text1"/>
                <w:highlight w:val="none"/>
                <w:lang w:val="en-US" w:eastAsia="zh-CN"/>
                <w14:textFill>
                  <w14:solidFill>
                    <w14:schemeClr w14:val="tx1"/>
                  </w14:solidFill>
                </w14:textFill>
              </w:rPr>
            </w:pPr>
          </w:p>
        </w:tc>
      </w:tr>
    </w:tbl>
    <w:p>
      <w:pPr>
        <w:pStyle w:val="22"/>
        <w:rPr>
          <w:rFonts w:hint="default"/>
          <w:color w:val="000000" w:themeColor="text1"/>
          <w:highlight w:val="none"/>
          <w:lang w:val="en-US" w:eastAsia="zh-CN"/>
          <w14:textFill>
            <w14:solidFill>
              <w14:schemeClr w14:val="tx1"/>
            </w14:solidFill>
          </w14:textFill>
        </w:rPr>
        <w:sectPr>
          <w:pgSz w:w="16838" w:h="11906" w:orient="landscape"/>
          <w:pgMar w:top="1800" w:right="1440" w:bottom="1800" w:left="1440" w:header="851" w:footer="992" w:gutter="0"/>
          <w:pgBorders>
            <w:top w:val="none" w:color="auto" w:sz="0" w:space="0"/>
            <w:left w:val="none" w:color="auto" w:sz="0" w:space="0"/>
            <w:bottom w:val="none" w:color="auto" w:sz="0" w:space="0"/>
            <w:right w:val="none" w:color="auto" w:sz="0" w:space="0"/>
          </w:pgBorders>
          <w:pgNumType w:fmt="decimal"/>
          <w:cols w:space="425" w:num="1"/>
          <w:docGrid w:type="lines" w:linePitch="312" w:charSpace="0"/>
        </w:sectPr>
      </w:pPr>
    </w:p>
    <w:tbl>
      <w:tblPr>
        <w:tblStyle w:val="38"/>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8853"/>
      </w:tblGrid>
      <w:tr>
        <w:tblPrEx>
          <w:tblLayout w:type="fixed"/>
        </w:tblPrEx>
        <w:trPr>
          <w:trHeight w:val="0" w:hRule="atLeast"/>
          <w:jc w:val="center"/>
        </w:trPr>
        <w:tc>
          <w:tcPr>
            <w:tcW w:w="435" w:type="dxa"/>
            <w:vAlign w:val="center"/>
          </w:tcPr>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color w:val="000000" w:themeColor="text1"/>
                <w:highlight w:val="none"/>
                <w:vertAlign w:val="baseline"/>
                <w:lang w:val="en-US" w:eastAsia="zh-CN"/>
                <w14:textFill>
                  <w14:solidFill>
                    <w14:schemeClr w14:val="tx1"/>
                  </w14:solidFill>
                </w14:textFill>
              </w:rPr>
            </w:pPr>
            <w:r>
              <w:rPr>
                <w:rFonts w:hint="default" w:ascii="Times New Roman" w:hAnsi="Times New Roman" w:cs="Times New Roman"/>
                <w:b/>
                <w:bCs/>
                <w:color w:val="000000" w:themeColor="text1"/>
                <w:sz w:val="24"/>
                <w:szCs w:val="32"/>
                <w:highlight w:val="none"/>
                <w14:textFill>
                  <w14:solidFill>
                    <w14:schemeClr w14:val="tx1"/>
                  </w14:solidFill>
                </w14:textFill>
              </w:rPr>
              <w:t>运营期环境影响和保护措施</w:t>
            </w:r>
          </w:p>
        </w:tc>
        <w:tc>
          <w:tcPr>
            <w:tcW w:w="8853" w:type="dxa"/>
          </w:tcPr>
          <w:p>
            <w:pPr>
              <w:pStyle w:val="7"/>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4、废气处理措施可行性分析及其影响分析</w:t>
            </w:r>
          </w:p>
          <w:p>
            <w:pPr>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w:t>
            </w:r>
            <w:r>
              <w:rPr>
                <w:rFonts w:hint="default"/>
                <w:color w:val="000000" w:themeColor="text1"/>
                <w:highlight w:val="none"/>
                <w14:textFill>
                  <w14:solidFill>
                    <w14:schemeClr w14:val="tx1"/>
                  </w14:solidFill>
                </w14:textFill>
              </w:rPr>
              <w:t>废气收集治理措施见下表：</w:t>
            </w:r>
          </w:p>
          <w:p>
            <w:pPr>
              <w:pStyle w:val="39"/>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r>
              <w:rPr>
                <w:rFonts w:hint="default"/>
                <w:color w:val="000000" w:themeColor="text1"/>
                <w:highlight w:val="none"/>
                <w14:textFill>
                  <w14:solidFill>
                    <w14:schemeClr w14:val="tx1"/>
                  </w14:solidFill>
                </w14:textFill>
              </w:rPr>
              <w:t>表</w:t>
            </w:r>
            <w:r>
              <w:rPr>
                <w:rFonts w:hint="default"/>
                <w:color w:val="000000" w:themeColor="text1"/>
                <w:highlight w:val="none"/>
                <w:lang w:val="en-US" w:eastAsia="zh-CN"/>
                <w14:textFill>
                  <w14:solidFill>
                    <w14:schemeClr w14:val="tx1"/>
                  </w14:solidFill>
                </w14:textFill>
              </w:rPr>
              <w:t>4-</w:t>
            </w:r>
            <w:r>
              <w:rPr>
                <w:rFonts w:hint="eastAsia"/>
                <w:color w:val="000000" w:themeColor="text1"/>
                <w:highlight w:val="none"/>
                <w:lang w:val="en-US" w:eastAsia="zh-CN"/>
                <w14:textFill>
                  <w14:solidFill>
                    <w14:schemeClr w14:val="tx1"/>
                  </w14:solidFill>
                </w14:textFill>
              </w:rPr>
              <w:t xml:space="preserve">5  </w:t>
            </w:r>
            <w:r>
              <w:rPr>
                <w:rFonts w:hint="default"/>
                <w:color w:val="000000" w:themeColor="text1"/>
                <w:highlight w:val="none"/>
                <w14:textFill>
                  <w14:solidFill>
                    <w14:schemeClr w14:val="tx1"/>
                  </w14:solidFill>
                </w14:textFill>
              </w:rPr>
              <w:t>废气治理措施一览表</w:t>
            </w:r>
          </w:p>
          <w:tbl>
            <w:tblPr>
              <w:tblStyle w:val="38"/>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7210"/>
            </w:tblGrid>
            <w:tr>
              <w:tblPrEx>
                <w:tblLayout w:type="fixed"/>
              </w:tblPrEx>
              <w:trPr>
                <w:jc w:val="center"/>
              </w:trPr>
              <w:tc>
                <w:tcPr>
                  <w:tcW w:w="1417" w:type="dxa"/>
                  <w:vAlign w:val="center"/>
                </w:tcPr>
                <w:p>
                  <w:pPr>
                    <w:pStyle w:val="47"/>
                    <w:keepNext w:val="0"/>
                    <w:keepLines w:val="0"/>
                    <w:pageBreakBefore w:val="0"/>
                    <w:widowControl w:val="0"/>
                    <w:kinsoku/>
                    <w:wordWrap/>
                    <w:overflowPunct/>
                    <w:topLinePunct w:val="0"/>
                    <w:autoSpaceDE/>
                    <w:autoSpaceDN/>
                    <w:bidi w:val="0"/>
                    <w:jc w:val="center"/>
                    <w:textAlignment w:val="auto"/>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污染源</w:t>
                  </w:r>
                </w:p>
              </w:tc>
              <w:tc>
                <w:tcPr>
                  <w:tcW w:w="7210" w:type="dxa"/>
                  <w:vAlign w:val="center"/>
                </w:tcPr>
                <w:p>
                  <w:pPr>
                    <w:pStyle w:val="47"/>
                    <w:keepNext w:val="0"/>
                    <w:keepLines w:val="0"/>
                    <w:pageBreakBefore w:val="0"/>
                    <w:widowControl w:val="0"/>
                    <w:kinsoku/>
                    <w:wordWrap/>
                    <w:overflowPunct/>
                    <w:topLinePunct w:val="0"/>
                    <w:autoSpaceDE/>
                    <w:autoSpaceDN/>
                    <w:bidi w:val="0"/>
                    <w:jc w:val="center"/>
                    <w:textAlignment w:val="auto"/>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治理措施</w:t>
                  </w:r>
                </w:p>
              </w:tc>
            </w:tr>
            <w:tr>
              <w:tblPrEx>
                <w:tblLayout w:type="fixed"/>
              </w:tblPrEx>
              <w:trPr>
                <w:trHeight w:val="133" w:hRule="atLeast"/>
                <w:jc w:val="center"/>
              </w:trPr>
              <w:tc>
                <w:tcPr>
                  <w:tcW w:w="1417" w:type="dxa"/>
                  <w:vAlign w:val="center"/>
                </w:tcPr>
                <w:p>
                  <w:pPr>
                    <w:pStyle w:val="47"/>
                    <w:keepNext w:val="0"/>
                    <w:keepLines w:val="0"/>
                    <w:pageBreakBefore w:val="0"/>
                    <w:widowControl w:val="0"/>
                    <w:kinsoku/>
                    <w:wordWrap/>
                    <w:overflowPunct/>
                    <w:topLinePunct w:val="0"/>
                    <w:autoSpaceDE/>
                    <w:autoSpaceDN/>
                    <w:bidi w:val="0"/>
                    <w:ind w:firstLine="0" w:firstLineChars="0"/>
                    <w:jc w:val="center"/>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切割、打磨</w:t>
                  </w:r>
                  <w:r>
                    <w:rPr>
                      <w:rFonts w:hint="eastAsia" w:ascii="Times New Roman" w:hAnsi="Times New Roman" w:eastAsia="宋体"/>
                      <w:color w:val="000000" w:themeColor="text1"/>
                      <w:highlight w:val="none"/>
                      <w:lang w:val="en-US" w:eastAsia="zh-CN"/>
                      <w14:textFill>
                        <w14:solidFill>
                          <w14:schemeClr w14:val="tx1"/>
                        </w14:solidFill>
                      </w14:textFill>
                    </w:rPr>
                    <w:t>工序</w:t>
                  </w:r>
                </w:p>
              </w:tc>
              <w:tc>
                <w:tcPr>
                  <w:tcW w:w="7210" w:type="dxa"/>
                  <w:vAlign w:val="center"/>
                </w:tcPr>
                <w:p>
                  <w:pPr>
                    <w:pStyle w:val="47"/>
                    <w:keepNext w:val="0"/>
                    <w:keepLines w:val="0"/>
                    <w:pageBreakBefore w:val="0"/>
                    <w:widowControl w:val="0"/>
                    <w:kinsoku/>
                    <w:wordWrap/>
                    <w:overflowPunct/>
                    <w:topLinePunct w:val="0"/>
                    <w:autoSpaceDE/>
                    <w:autoSpaceDN/>
                    <w:bidi w:val="0"/>
                    <w:ind w:firstLine="0" w:firstLineChars="0"/>
                    <w:jc w:val="center"/>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切割、打磨</w:t>
                  </w:r>
                  <w:r>
                    <w:rPr>
                      <w:rFonts w:hint="eastAsia" w:ascii="Times New Roman" w:hAnsi="Times New Roman" w:eastAsia="宋体"/>
                      <w:color w:val="000000" w:themeColor="text1"/>
                      <w:highlight w:val="none"/>
                      <w:lang w:val="en-US" w:eastAsia="zh-CN"/>
                      <w14:textFill>
                        <w14:solidFill>
                          <w14:schemeClr w14:val="tx1"/>
                        </w14:solidFill>
                      </w14:textFill>
                    </w:rPr>
                    <w:t>粉尘经集气罩收集后</w:t>
                  </w:r>
                  <w:r>
                    <w:rPr>
                      <w:rFonts w:hint="eastAsia"/>
                      <w:color w:val="000000" w:themeColor="text1"/>
                      <w:highlight w:val="none"/>
                      <w:lang w:val="en-US" w:eastAsia="zh-CN"/>
                      <w14:textFill>
                        <w14:solidFill>
                          <w14:schemeClr w14:val="tx1"/>
                        </w14:solidFill>
                      </w14:textFill>
                    </w:rPr>
                    <w:t>，</w:t>
                  </w:r>
                  <w:r>
                    <w:rPr>
                      <w:rFonts w:hint="eastAsia" w:ascii="Times New Roman" w:hAnsi="Times New Roman" w:eastAsia="宋体"/>
                      <w:color w:val="000000" w:themeColor="text1"/>
                      <w:highlight w:val="none"/>
                      <w:lang w:val="en-US" w:eastAsia="zh-CN"/>
                      <w14:textFill>
                        <w14:solidFill>
                          <w14:schemeClr w14:val="tx1"/>
                        </w14:solidFill>
                      </w14:textFill>
                    </w:rPr>
                    <w:t>经集气罩收集一起通过布袋除尘器处理后由1根15m高的排气筒（DA001）排放</w:t>
                  </w:r>
                </w:p>
              </w:tc>
            </w:tr>
            <w:tr>
              <w:tblPrEx>
                <w:tblLayout w:type="fixed"/>
              </w:tblPrEx>
              <w:trPr>
                <w:trHeight w:val="133" w:hRule="atLeast"/>
                <w:jc w:val="center"/>
              </w:trPr>
              <w:tc>
                <w:tcPr>
                  <w:tcW w:w="1417" w:type="dxa"/>
                  <w:vAlign w:val="center"/>
                </w:tcPr>
                <w:p>
                  <w:pPr>
                    <w:pStyle w:val="47"/>
                    <w:keepNext w:val="0"/>
                    <w:keepLines w:val="0"/>
                    <w:pageBreakBefore w:val="0"/>
                    <w:widowControl w:val="0"/>
                    <w:kinsoku/>
                    <w:wordWrap/>
                    <w:overflowPunct/>
                    <w:topLinePunct w:val="0"/>
                    <w:autoSpaceDE/>
                    <w:autoSpaceDN/>
                    <w:bidi w:val="0"/>
                    <w:ind w:firstLine="0" w:firstLineChars="0"/>
                    <w:jc w:val="center"/>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焊接工序</w:t>
                  </w:r>
                </w:p>
              </w:tc>
              <w:tc>
                <w:tcPr>
                  <w:tcW w:w="7210" w:type="dxa"/>
                  <w:vAlign w:val="center"/>
                </w:tcPr>
                <w:p>
                  <w:pPr>
                    <w:pStyle w:val="47"/>
                    <w:keepNext w:val="0"/>
                    <w:keepLines w:val="0"/>
                    <w:pageBreakBefore w:val="0"/>
                    <w:widowControl w:val="0"/>
                    <w:kinsoku/>
                    <w:wordWrap/>
                    <w:overflowPunct/>
                    <w:topLinePunct w:val="0"/>
                    <w:autoSpaceDE/>
                    <w:autoSpaceDN/>
                    <w:bidi w:val="0"/>
                    <w:ind w:firstLine="0" w:firstLineChars="0"/>
                    <w:jc w:val="center"/>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焊接粉尘经</w:t>
                  </w:r>
                  <w:r>
                    <w:rPr>
                      <w:rFonts w:hint="default" w:ascii="Times New Roman" w:hAnsi="Times New Roman" w:eastAsia="宋体" w:cs="Times New Roman"/>
                      <w:bCs/>
                      <w:color w:val="000000"/>
                      <w:kern w:val="2"/>
                      <w:sz w:val="21"/>
                      <w:szCs w:val="21"/>
                      <w:highlight w:val="none"/>
                      <w:lang w:val="en-US" w:eastAsia="zh-CN" w:bidi="ar-SA"/>
                    </w:rPr>
                    <w:t>移动式焊接烟尘净化器</w:t>
                  </w:r>
                  <w:r>
                    <w:rPr>
                      <w:rFonts w:hint="eastAsia" w:ascii="Times New Roman" w:hAnsi="Times New Roman" w:eastAsia="宋体" w:cs="Times New Roman"/>
                      <w:bCs/>
                      <w:color w:val="000000"/>
                      <w:kern w:val="2"/>
                      <w:sz w:val="21"/>
                      <w:szCs w:val="21"/>
                      <w:highlight w:val="none"/>
                      <w:lang w:val="en-US" w:eastAsia="zh-CN" w:bidi="ar-SA"/>
                    </w:rPr>
                    <w:t>收集处理后，厂区无组织排放</w:t>
                  </w:r>
                </w:p>
              </w:tc>
            </w:tr>
          </w:tbl>
          <w:p>
            <w:pPr>
              <w:keepNext w:val="0"/>
              <w:keepLines w:val="0"/>
              <w:pageBreakBefore w:val="0"/>
              <w:widowControl w:val="0"/>
              <w:kinsoku/>
              <w:wordWrap/>
              <w:overflowPunct/>
              <w:topLinePunct w:val="0"/>
              <w:autoSpaceDE/>
              <w:autoSpaceDN/>
              <w:bidi w:val="0"/>
              <w:textAlignment w:val="auto"/>
              <w:rPr>
                <w:rFonts w:hint="default"/>
                <w:b/>
                <w:bCs/>
                <w:color w:val="000000" w:themeColor="text1"/>
                <w:highlight w:val="none"/>
                <w:lang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废气治理</w:t>
            </w:r>
            <w:r>
              <w:rPr>
                <w:rFonts w:hint="default"/>
                <w:b/>
                <w:bCs/>
                <w:color w:val="000000" w:themeColor="text1"/>
                <w:highlight w:val="none"/>
                <w14:textFill>
                  <w14:solidFill>
                    <w14:schemeClr w14:val="tx1"/>
                  </w14:solidFill>
                </w14:textFill>
              </w:rPr>
              <w:t>措施可行性分析</w:t>
            </w:r>
          </w:p>
          <w:p>
            <w:pPr>
              <w:bidi w:val="0"/>
              <w:rPr>
                <w:rFonts w:hint="eastAsia" w:eastAsia="宋体"/>
                <w:b/>
                <w:bCs/>
                <w:color w:val="000000" w:themeColor="text1"/>
                <w:sz w:val="24"/>
                <w:szCs w:val="20"/>
                <w:highlight w:val="none"/>
                <w:lang w:eastAsia="zh-CN"/>
                <w14:textFill>
                  <w14:solidFill>
                    <w14:schemeClr w14:val="tx1"/>
                  </w14:solidFill>
                </w14:textFill>
              </w:rPr>
            </w:pPr>
            <w:r>
              <w:rPr>
                <w:rFonts w:hint="eastAsia"/>
                <w:b/>
                <w:bCs/>
                <w:sz w:val="24"/>
              </w:rPr>
              <w:t>袋式除尘器</w:t>
            </w:r>
          </w:p>
          <w:p>
            <w:pPr>
              <w:spacing w:line="360" w:lineRule="auto"/>
              <w:ind w:firstLine="480" w:firstLineChars="200"/>
              <w:jc w:val="left"/>
              <w:rPr>
                <w:rFonts w:ascii="宋体" w:hAnsi="宋体" w:cs="宋体"/>
                <w:kern w:val="0"/>
                <w:sz w:val="24"/>
              </w:rPr>
            </w:pPr>
            <w:r>
              <w:rPr>
                <w:rFonts w:hint="eastAsia" w:ascii="宋体" w:hAnsi="宋体" w:cs="宋体"/>
                <w:kern w:val="0"/>
                <w:sz w:val="24"/>
              </w:rPr>
              <w:t>袋式除尘器是利用棉、毛、人造纤维等编织物作为滤袋起过滤作用，对颗粒物进行捕集而达到除尘效果的。其主要工作原理是：含尘气流从下部进入圆筒形滤袋，在通过滤料的孔隙时，粉尘被捕集于滤料上，透过滤料的清洁气体由排出口排出。沉积在滤料上的粉尘，可在机械振动的作用下从滤料表面脱落，落入灰斗中。常用滤料由棉、毛、人造纤维等加工而成，新型滤料有玻璃纤维和微滤膜等，滤料本身网孔较小，一般为</w:t>
            </w:r>
            <w:r>
              <w:rPr>
                <w:kern w:val="0"/>
                <w:sz w:val="24"/>
              </w:rPr>
              <w:t>20-50μm</w:t>
            </w:r>
            <w:r>
              <w:rPr>
                <w:rFonts w:hint="eastAsia" w:ascii="宋体" w:hAnsi="宋体" w:cs="宋体"/>
                <w:kern w:val="0"/>
                <w:sz w:val="24"/>
              </w:rPr>
              <w:t>，表面起绒的滤料为</w:t>
            </w:r>
            <w:r>
              <w:rPr>
                <w:kern w:val="0"/>
                <w:sz w:val="24"/>
              </w:rPr>
              <w:t>5-10μm</w:t>
            </w:r>
            <w:r>
              <w:rPr>
                <w:rFonts w:hint="eastAsia" w:ascii="宋体" w:hAnsi="宋体" w:cs="宋体"/>
                <w:kern w:val="0"/>
                <w:sz w:val="24"/>
              </w:rPr>
              <w:t>，而新型滤料的孔径在</w:t>
            </w:r>
            <w:r>
              <w:rPr>
                <w:kern w:val="0"/>
                <w:sz w:val="24"/>
              </w:rPr>
              <w:t>5μm</w:t>
            </w:r>
            <w:r>
              <w:rPr>
                <w:rFonts w:hint="eastAsia" w:ascii="宋体" w:hAnsi="宋体" w:cs="宋体"/>
                <w:kern w:val="0"/>
                <w:sz w:val="24"/>
              </w:rPr>
              <w:t xml:space="preserve">以下。按不同粒径的粉尘在流体中运动的不同物理学特征，颗粒物通过惯性碰撞、截留、扩散、静电、筛滤等作用被捕集。此外，粉尘因截留、惯性碰撞、静电和扩散等作用，逐渐在滤袋表面形成粉尘层，常称为粉层初层。初层形成后，它成为袋式除尘器的主要过滤层，提高了除尘效率。滤布只不过起着形成粉尘初层和支撑它的骨架作用，但随着粉尘在滤袋上积聚，滤袋两侧的压力差增大，会把有些已附在滤料上的细小粉尘挤压过去，使除尘效率下降。另外，若除尘器阻力过高，还会使除尘系统的处理气体量显著下降，影响生产系统的排风效果。因此，除尘器阻力达到一定数值后，要及时清灰。     </w:t>
            </w:r>
          </w:p>
          <w:p>
            <w:pPr>
              <w:spacing w:line="360" w:lineRule="auto"/>
              <w:ind w:firstLine="480" w:firstLineChars="200"/>
              <w:jc w:val="left"/>
              <w:rPr>
                <w:rFonts w:ascii="宋体" w:hAnsi="宋体" w:cs="宋体"/>
                <w:kern w:val="0"/>
                <w:sz w:val="24"/>
              </w:rPr>
            </w:pPr>
            <w:r>
              <w:rPr>
                <w:rFonts w:hint="eastAsia" w:ascii="宋体" w:hAnsi="宋体" w:cs="宋体"/>
                <w:kern w:val="0"/>
                <w:sz w:val="24"/>
              </w:rPr>
              <w:t>袋式除尘器与其他除尘器相比，它具有独特的性能与特点：</w:t>
            </w:r>
          </w:p>
          <w:p>
            <w:pPr>
              <w:spacing w:line="360" w:lineRule="auto"/>
              <w:ind w:firstLine="480" w:firstLineChars="200"/>
              <w:jc w:val="left"/>
              <w:rPr>
                <w:rFonts w:ascii="宋体" w:hAnsi="宋体" w:cs="宋体"/>
                <w:kern w:val="0"/>
                <w:sz w:val="24"/>
              </w:rPr>
            </w:pPr>
            <w:r>
              <w:rPr>
                <w:kern w:val="0"/>
                <w:sz w:val="24"/>
              </w:rPr>
              <w:t>A</w:t>
            </w:r>
            <w:r>
              <w:rPr>
                <w:rFonts w:hint="eastAsia"/>
                <w:kern w:val="0"/>
                <w:sz w:val="24"/>
              </w:rPr>
              <w:t>.</w:t>
            </w:r>
            <w:r>
              <w:rPr>
                <w:rFonts w:hint="eastAsia" w:ascii="宋体" w:hAnsi="宋体" w:cs="宋体"/>
                <w:kern w:val="0"/>
                <w:sz w:val="24"/>
              </w:rPr>
              <w:t>袋式除尘器对净化含微米或亚微米数量级的粉尘粒子的气体效率较高。</w:t>
            </w:r>
          </w:p>
          <w:p>
            <w:pPr>
              <w:spacing w:line="360" w:lineRule="auto"/>
              <w:ind w:firstLine="480" w:firstLineChars="200"/>
              <w:jc w:val="left"/>
              <w:rPr>
                <w:rFonts w:ascii="宋体" w:hAnsi="宋体" w:cs="宋体"/>
                <w:kern w:val="0"/>
                <w:sz w:val="24"/>
              </w:rPr>
            </w:pPr>
            <w:r>
              <w:rPr>
                <w:kern w:val="0"/>
                <w:sz w:val="24"/>
              </w:rPr>
              <w:t>B</w:t>
            </w:r>
            <w:r>
              <w:rPr>
                <w:rFonts w:hint="eastAsia"/>
                <w:kern w:val="0"/>
                <w:sz w:val="24"/>
              </w:rPr>
              <w:t>.</w:t>
            </w:r>
            <w:r>
              <w:rPr>
                <w:rFonts w:hint="eastAsia" w:ascii="宋体" w:hAnsi="宋体" w:cs="宋体"/>
                <w:kern w:val="0"/>
                <w:sz w:val="24"/>
              </w:rPr>
              <w:t>可以捕集多种干式粉尘，特别是高比电阻粉尘，采用袋式除尘器净化要比用电除尘器的除尘效率高很多。</w:t>
            </w:r>
          </w:p>
          <w:p>
            <w:pPr>
              <w:spacing w:line="360" w:lineRule="auto"/>
              <w:ind w:firstLine="480" w:firstLineChars="200"/>
              <w:jc w:val="left"/>
              <w:rPr>
                <w:rFonts w:ascii="宋体" w:hAnsi="宋体" w:cs="宋体"/>
                <w:kern w:val="0"/>
                <w:sz w:val="24"/>
              </w:rPr>
            </w:pPr>
            <w:r>
              <w:rPr>
                <w:kern w:val="0"/>
                <w:sz w:val="24"/>
              </w:rPr>
              <w:t>C</w:t>
            </w:r>
            <w:r>
              <w:rPr>
                <w:rFonts w:hint="eastAsia"/>
                <w:kern w:val="0"/>
                <w:sz w:val="24"/>
              </w:rPr>
              <w:t>.</w:t>
            </w:r>
            <w:r>
              <w:rPr>
                <w:rFonts w:hint="eastAsia" w:ascii="宋体" w:hAnsi="宋体" w:cs="宋体"/>
                <w:kern w:val="0"/>
                <w:sz w:val="24"/>
              </w:rPr>
              <w:t>含尘气体浓度在相当大的范围内变化对袋式除尘器的除尘效率和阻力影响不大。</w:t>
            </w:r>
          </w:p>
          <w:p>
            <w:pPr>
              <w:spacing w:line="360" w:lineRule="auto"/>
              <w:ind w:firstLine="480" w:firstLineChars="200"/>
              <w:jc w:val="left"/>
              <w:rPr>
                <w:rFonts w:ascii="宋体" w:hAnsi="宋体" w:cs="宋体"/>
                <w:kern w:val="0"/>
                <w:sz w:val="24"/>
              </w:rPr>
            </w:pPr>
            <w:r>
              <w:rPr>
                <w:kern w:val="0"/>
                <w:sz w:val="24"/>
              </w:rPr>
              <w:t>D</w:t>
            </w:r>
            <w:r>
              <w:rPr>
                <w:rFonts w:hint="eastAsia"/>
                <w:kern w:val="0"/>
                <w:sz w:val="24"/>
              </w:rPr>
              <w:t>.</w:t>
            </w:r>
            <w:r>
              <w:rPr>
                <w:rFonts w:hint="eastAsia" w:ascii="宋体" w:hAnsi="宋体" w:cs="宋体"/>
                <w:kern w:val="0"/>
                <w:sz w:val="24"/>
              </w:rPr>
              <w:t>可根据不同气量和不同的含尘气体设计制造符合要求的袋式除尘器。除尘器的处理烟气量可从每小时几至几百万立方米。</w:t>
            </w:r>
          </w:p>
          <w:p>
            <w:pPr>
              <w:spacing w:line="360" w:lineRule="auto"/>
              <w:ind w:firstLine="480" w:firstLineChars="200"/>
              <w:jc w:val="left"/>
              <w:rPr>
                <w:rFonts w:ascii="宋体" w:hAnsi="宋体" w:cs="宋体"/>
                <w:kern w:val="0"/>
                <w:sz w:val="24"/>
              </w:rPr>
            </w:pPr>
            <w:r>
              <w:rPr>
                <w:kern w:val="0"/>
                <w:sz w:val="24"/>
              </w:rPr>
              <w:t>E</w:t>
            </w:r>
            <w:r>
              <w:rPr>
                <w:rFonts w:hint="eastAsia"/>
                <w:kern w:val="0"/>
                <w:sz w:val="24"/>
              </w:rPr>
              <w:t>.</w:t>
            </w:r>
            <w:r>
              <w:rPr>
                <w:rFonts w:hint="eastAsia" w:ascii="宋体" w:hAnsi="宋体" w:cs="宋体"/>
                <w:kern w:val="0"/>
                <w:sz w:val="24"/>
              </w:rPr>
              <w:t>袋式除尘器也可作成小型的，安装在散尘设备上或散尘设备附近，也可安装在车上作成移动式袋式过滤器，这种小巧、灵活的袋式除尘器特别用于分散尘源的除尘。</w:t>
            </w:r>
          </w:p>
          <w:p>
            <w:pPr>
              <w:spacing w:line="360" w:lineRule="auto"/>
              <w:ind w:firstLine="480" w:firstLineChars="200"/>
              <w:jc w:val="left"/>
              <w:rPr>
                <w:rFonts w:ascii="宋体" w:hAnsi="宋体" w:cs="宋体"/>
                <w:kern w:val="0"/>
                <w:sz w:val="24"/>
              </w:rPr>
            </w:pPr>
            <w:r>
              <w:rPr>
                <w:kern w:val="0"/>
                <w:sz w:val="24"/>
              </w:rPr>
              <w:t>F</w:t>
            </w:r>
            <w:r>
              <w:rPr>
                <w:rFonts w:hint="eastAsia"/>
                <w:kern w:val="0"/>
                <w:sz w:val="24"/>
              </w:rPr>
              <w:t>.</w:t>
            </w:r>
            <w:r>
              <w:rPr>
                <w:rFonts w:hint="eastAsia" w:ascii="宋体" w:hAnsi="宋体" w:cs="宋体"/>
                <w:kern w:val="0"/>
                <w:sz w:val="24"/>
              </w:rPr>
              <w:t xml:space="preserve">袋式除尘器运行性能稳定可靠，没有污泥处理等问题，操作维护简单。  </w:t>
            </w:r>
          </w:p>
          <w:p>
            <w:pPr>
              <w:bidi w:val="0"/>
              <w:rPr>
                <w:color w:val="000000" w:themeColor="text1"/>
                <w:highlight w:val="none"/>
                <w14:textFill>
                  <w14:solidFill>
                    <w14:schemeClr w14:val="tx1"/>
                  </w14:solidFill>
                </w14:textFill>
              </w:rPr>
            </w:pPr>
            <w:r>
              <w:rPr>
                <w:rFonts w:hint="eastAsia" w:ascii="宋体" w:hAnsi="宋体" w:cs="宋体"/>
                <w:kern w:val="0"/>
                <w:sz w:val="24"/>
              </w:rPr>
              <w:t>袋式除尘器已列入《当前国家鼓励发展的环保产业设备（产品）目录》（</w:t>
            </w:r>
            <w:r>
              <w:rPr>
                <w:kern w:val="0"/>
                <w:sz w:val="24"/>
              </w:rPr>
              <w:t>2010</w:t>
            </w:r>
            <w:r>
              <w:rPr>
                <w:rFonts w:hint="eastAsia" w:ascii="宋体" w:hAnsi="宋体" w:cs="宋体"/>
                <w:kern w:val="0"/>
                <w:sz w:val="24"/>
              </w:rPr>
              <w:t>年版）中，属于国家鼓励使用的环保技术。此外粉尘采取袋式除尘器处理属于</w:t>
            </w:r>
            <w:r>
              <w:rPr>
                <w:rFonts w:hint="default" w:ascii="Times New Roman" w:hAnsi="Times New Roman" w:eastAsia="宋体" w:cs="Times New Roman"/>
                <w:bCs/>
                <w:color w:val="auto"/>
                <w:sz w:val="24"/>
              </w:rPr>
              <w:t>《排污</w:t>
            </w:r>
            <w:r>
              <w:rPr>
                <w:rFonts w:hint="eastAsia" w:cs="Times New Roman"/>
                <w:bCs/>
                <w:color w:val="auto"/>
                <w:sz w:val="24"/>
                <w:lang w:eastAsia="zh-CN"/>
              </w:rPr>
              <w:t>许可证申请与核发技术规范</w:t>
            </w:r>
            <w:r>
              <w:rPr>
                <w:rFonts w:hint="default" w:ascii="Times New Roman" w:hAnsi="Times New Roman" w:eastAsia="宋体" w:cs="Times New Roman"/>
                <w:bCs/>
                <w:color w:val="auto"/>
                <w:sz w:val="24"/>
              </w:rPr>
              <w:t xml:space="preserve"> </w:t>
            </w:r>
            <w:r>
              <w:rPr>
                <w:rFonts w:hint="eastAsia" w:ascii="Times New Roman" w:hAnsi="Times New Roman" w:eastAsia="宋体" w:cs="Times New Roman"/>
                <w:bCs/>
                <w:color w:val="auto"/>
                <w:sz w:val="24"/>
                <w:lang w:eastAsia="zh-CN"/>
              </w:rPr>
              <w:t>陶瓷砖瓦工业</w:t>
            </w:r>
            <w:r>
              <w:rPr>
                <w:rFonts w:hint="default" w:ascii="Times New Roman" w:hAnsi="Times New Roman" w:eastAsia="宋体" w:cs="Times New Roman"/>
                <w:bCs/>
                <w:color w:val="auto"/>
                <w:sz w:val="24"/>
              </w:rPr>
              <w:t>》（HJ</w:t>
            </w:r>
            <w:r>
              <w:rPr>
                <w:rFonts w:hint="eastAsia" w:cs="Times New Roman"/>
                <w:bCs/>
                <w:color w:val="auto"/>
                <w:sz w:val="24"/>
                <w:lang w:val="en-US" w:eastAsia="zh-CN"/>
              </w:rPr>
              <w:t>954</w:t>
            </w:r>
            <w:r>
              <w:rPr>
                <w:rFonts w:hint="default" w:ascii="Times New Roman" w:hAnsi="Times New Roman" w:eastAsia="宋体" w:cs="Times New Roman"/>
                <w:bCs/>
                <w:color w:val="auto"/>
                <w:sz w:val="24"/>
              </w:rPr>
              <w:t>-201</w:t>
            </w:r>
            <w:r>
              <w:rPr>
                <w:rFonts w:hint="eastAsia" w:cs="Times New Roman"/>
                <w:bCs/>
                <w:color w:val="auto"/>
                <w:sz w:val="24"/>
                <w:lang w:val="en-US" w:eastAsia="zh-CN"/>
              </w:rPr>
              <w:t>8</w:t>
            </w:r>
            <w:r>
              <w:rPr>
                <w:rFonts w:hint="default" w:ascii="Times New Roman" w:hAnsi="Times New Roman" w:eastAsia="宋体" w:cs="Times New Roman"/>
                <w:bCs/>
                <w:color w:val="auto"/>
                <w:sz w:val="24"/>
              </w:rPr>
              <w:t>）</w:t>
            </w:r>
            <w:r>
              <w:rPr>
                <w:rFonts w:hint="eastAsia"/>
                <w:sz w:val="24"/>
              </w:rPr>
              <w:t>中废气处理可行性技术</w:t>
            </w:r>
            <w:r>
              <w:rPr>
                <w:color w:val="000000" w:themeColor="text1"/>
                <w:highlight w:val="none"/>
                <w14:textFill>
                  <w14:solidFill>
                    <w14:schemeClr w14:val="tx1"/>
                  </w14:solidFill>
                </w14:textFill>
              </w:rPr>
              <w:t>。</w:t>
            </w:r>
          </w:p>
          <w:p>
            <w:pPr>
              <w:spacing w:line="360" w:lineRule="auto"/>
              <w:ind w:firstLine="482" w:firstLineChars="200"/>
              <w:jc w:val="left"/>
              <w:rPr>
                <w:rFonts w:hint="default" w:ascii="宋体" w:hAnsi="宋体" w:eastAsia="宋体" w:cs="宋体"/>
                <w:b/>
                <w:bCs/>
                <w:kern w:val="0"/>
                <w:sz w:val="24"/>
                <w:lang w:val="en-US" w:eastAsia="zh-CN"/>
              </w:rPr>
            </w:pPr>
            <w:r>
              <w:rPr>
                <w:rFonts w:hint="eastAsia" w:ascii="宋体" w:hAnsi="宋体" w:eastAsia="宋体" w:cs="宋体"/>
                <w:b/>
                <w:bCs/>
                <w:kern w:val="0"/>
                <w:sz w:val="24"/>
                <w:lang w:val="en-US" w:eastAsia="zh-CN"/>
              </w:rPr>
              <w:t>焊接烟尘净化器</w:t>
            </w:r>
          </w:p>
          <w:p>
            <w:pPr>
              <w:spacing w:line="360" w:lineRule="auto"/>
              <w:ind w:firstLine="480" w:firstLineChars="200"/>
              <w:jc w:val="left"/>
            </w:pPr>
            <w:r>
              <w:rPr>
                <w:rFonts w:hint="default" w:ascii="宋体" w:hAnsi="宋体" w:eastAsia="宋体" w:cs="宋体"/>
                <w:kern w:val="0"/>
                <w:sz w:val="24"/>
                <w:lang w:val="en-US" w:eastAsia="zh-CN"/>
              </w:rPr>
              <w:t>通过风机引力作用，焊烟废气经万向吸尘罩吸入设备进风口，设备进风口处设有阻火器，火花经阻火器被阻留，烟尘气体进入沉降室，利用重力与上行气流，首先将粗粒尘直接降至灰斗，微粒烟尘被滤芯捕集在外表面，洁净气体经滤芯过滤净化后，由滤芯中心流入洁净室，洁净空气又经</w:t>
            </w:r>
            <w:r>
              <w:rPr>
                <w:rFonts w:hint="default" w:ascii="宋体" w:hAnsi="宋体" w:eastAsia="宋体" w:cs="宋体"/>
                <w:kern w:val="0"/>
                <w:sz w:val="24"/>
                <w:lang w:val="en-US" w:eastAsia="zh-CN"/>
              </w:rPr>
              <w:fldChar w:fldCharType="begin"/>
            </w:r>
            <w:r>
              <w:rPr>
                <w:rFonts w:hint="default" w:ascii="宋体" w:hAnsi="宋体" w:eastAsia="宋体" w:cs="宋体"/>
                <w:kern w:val="0"/>
                <w:sz w:val="24"/>
                <w:lang w:val="en-US" w:eastAsia="zh-CN"/>
              </w:rPr>
              <w:instrText xml:space="preserve"> HYPERLINK "https://baike.baidu.com/item/%E6%B4%BB%E6%80%A7%E7%A2%B3%E8%BF%87%E6%BB%A4%E5%99%A8/3127637?fromModule=lemma_inlink" \t "https://baike.baidu.com/item/%E7%84%8A%E6%8E%A5%E7%83%9F%E5%B0%98%E5%87%80%E5%8C%96%E5%99%A8/_blank" </w:instrText>
            </w:r>
            <w:r>
              <w:rPr>
                <w:rFonts w:hint="default" w:ascii="宋体" w:hAnsi="宋体" w:eastAsia="宋体" w:cs="宋体"/>
                <w:kern w:val="0"/>
                <w:sz w:val="24"/>
                <w:lang w:val="en-US" w:eastAsia="zh-CN"/>
              </w:rPr>
              <w:fldChar w:fldCharType="separate"/>
            </w:r>
            <w:r>
              <w:rPr>
                <w:rFonts w:hint="default" w:ascii="宋体" w:hAnsi="宋体" w:eastAsia="宋体" w:cs="宋体"/>
                <w:kern w:val="0"/>
                <w:sz w:val="24"/>
                <w:lang w:val="en-US" w:eastAsia="zh-CN"/>
              </w:rPr>
              <w:t>活性碳过滤器</w:t>
            </w:r>
            <w:r>
              <w:rPr>
                <w:rFonts w:hint="default" w:ascii="宋体" w:hAnsi="宋体" w:eastAsia="宋体" w:cs="宋体"/>
                <w:kern w:val="0"/>
                <w:sz w:val="24"/>
                <w:lang w:val="en-US" w:eastAsia="zh-CN"/>
              </w:rPr>
              <w:fldChar w:fldCharType="end"/>
            </w:r>
            <w:r>
              <w:rPr>
                <w:rFonts w:hint="default" w:ascii="宋体" w:hAnsi="宋体" w:eastAsia="宋体" w:cs="宋体"/>
                <w:kern w:val="0"/>
                <w:sz w:val="24"/>
                <w:lang w:val="en-US" w:eastAsia="zh-CN"/>
              </w:rPr>
              <w:t>吸附进一步净化后经出风口达标排出。</w:t>
            </w:r>
          </w:p>
          <w:p>
            <w:pPr>
              <w:bidi w:val="0"/>
              <w:rPr>
                <w:rFonts w:hint="eastAsia"/>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auto"/>
                <w:sz w:val="24"/>
                <w:szCs w:val="24"/>
                <w:lang w:eastAsia="zh-CN"/>
              </w:rPr>
              <w:t>综上所述，</w:t>
            </w:r>
            <w:r>
              <w:rPr>
                <w:rFonts w:hint="eastAsia" w:cs="Times New Roman"/>
                <w:color w:val="auto"/>
                <w:sz w:val="24"/>
                <w:szCs w:val="24"/>
                <w:lang w:eastAsia="zh-CN"/>
              </w:rPr>
              <w:t>废气治理措施是</w:t>
            </w:r>
            <w:r>
              <w:rPr>
                <w:rFonts w:hint="eastAsia" w:cs="Times New Roman"/>
                <w:color w:val="auto"/>
                <w:sz w:val="24"/>
                <w:lang w:eastAsia="zh-CN"/>
              </w:rPr>
              <w:t>可行的</w:t>
            </w:r>
            <w:r>
              <w:rPr>
                <w:rFonts w:ascii="Times New Roman" w:cs="Times New Roman"/>
                <w:color w:val="000000" w:themeColor="text1"/>
                <w:highlight w:val="none"/>
                <w14:textFill>
                  <w14:solidFill>
                    <w14:schemeClr w14:val="tx1"/>
                  </w14:solidFill>
                </w14:textFill>
              </w:rPr>
              <w:t>。</w:t>
            </w:r>
          </w:p>
          <w:p>
            <w:pPr>
              <w:pStyle w:val="6"/>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大气环境影响评价结论</w:t>
            </w:r>
          </w:p>
          <w:p>
            <w:pPr>
              <w:keepNext w:val="0"/>
              <w:keepLines w:val="0"/>
              <w:pageBreakBefore w:val="0"/>
              <w:widowControl w:val="0"/>
              <w:kinsoku/>
              <w:wordWrap/>
              <w:overflowPunct/>
              <w:topLinePunct w:val="0"/>
              <w:autoSpaceDE/>
              <w:autoSpaceDN/>
              <w:bidi w:val="0"/>
              <w:textAlignment w:val="auto"/>
              <w:rPr>
                <w:rFonts w:hint="eastAsia"/>
                <w:i w:val="0"/>
                <w:iCs w:val="0"/>
                <w:color w:val="000000" w:themeColor="text1"/>
                <w:highlight w:val="none"/>
                <w:lang w:eastAsia="zh-CN"/>
                <w14:textFill>
                  <w14:solidFill>
                    <w14:schemeClr w14:val="tx1"/>
                  </w14:solidFill>
                </w14:textFill>
              </w:rPr>
            </w:pPr>
            <w:r>
              <w:rPr>
                <w:i w:val="0"/>
                <w:iCs w:val="0"/>
                <w:color w:val="000000" w:themeColor="text1"/>
                <w:highlight w:val="none"/>
                <w14:textFill>
                  <w14:solidFill>
                    <w14:schemeClr w14:val="tx1"/>
                  </w14:solidFill>
                </w14:textFill>
              </w:rPr>
              <w:t>本项目营运期间产生的大气污染物主要为：颗粒物。项目排放的大气污染物</w:t>
            </w:r>
            <w:r>
              <w:rPr>
                <w:rFonts w:hint="eastAsia"/>
                <w:i w:val="0"/>
                <w:iCs w:val="0"/>
                <w:color w:val="000000" w:themeColor="text1"/>
                <w:highlight w:val="none"/>
                <w14:textFill>
                  <w14:solidFill>
                    <w14:schemeClr w14:val="tx1"/>
                  </w14:solidFill>
                </w14:textFill>
              </w:rPr>
              <w:t>经过收集后</w:t>
            </w:r>
            <w:r>
              <w:rPr>
                <w:rFonts w:hint="eastAsia"/>
                <w:i w:val="0"/>
                <w:iCs w:val="0"/>
                <w:color w:val="000000" w:themeColor="text1"/>
                <w:highlight w:val="none"/>
                <w:lang w:eastAsia="zh-CN"/>
                <w14:textFill>
                  <w14:solidFill>
                    <w14:schemeClr w14:val="tx1"/>
                  </w14:solidFill>
                </w14:textFill>
              </w:rPr>
              <w:t>，</w:t>
            </w:r>
            <w:r>
              <w:rPr>
                <w:rFonts w:hint="eastAsia"/>
                <w:i w:val="0"/>
                <w:iCs w:val="0"/>
                <w:color w:val="000000" w:themeColor="text1"/>
                <w:highlight w:val="none"/>
                <w:lang w:val="en-US" w:eastAsia="zh-CN"/>
                <w14:textFill>
                  <w14:solidFill>
                    <w14:schemeClr w14:val="tx1"/>
                  </w14:solidFill>
                </w14:textFill>
              </w:rPr>
              <w:t>由</w:t>
            </w:r>
            <w:r>
              <w:rPr>
                <w:rFonts w:hint="eastAsia"/>
                <w:color w:val="auto"/>
                <w:kern w:val="0"/>
                <w:sz w:val="24"/>
                <w:lang w:eastAsia="zh-CN"/>
              </w:rPr>
              <w:t>布袋除尘器处理、</w:t>
            </w:r>
            <w:r>
              <w:rPr>
                <w:rFonts w:hint="eastAsia"/>
                <w:color w:val="auto"/>
                <w:kern w:val="0"/>
                <w:sz w:val="24"/>
                <w:lang w:val="en-US" w:eastAsia="zh-CN"/>
              </w:rPr>
              <w:t>移动式焊接烟尘净化器排放</w:t>
            </w:r>
            <w:r>
              <w:rPr>
                <w:rFonts w:hint="eastAsia"/>
                <w:color w:val="auto"/>
                <w:kern w:val="0"/>
                <w:sz w:val="24"/>
                <w:lang w:eastAsia="zh-CN"/>
              </w:rPr>
              <w:t>，排放满足相应的排放标准要求</w:t>
            </w:r>
            <w:r>
              <w:rPr>
                <w:i w:val="0"/>
                <w:iCs w:val="0"/>
                <w:color w:val="000000" w:themeColor="text1"/>
                <w:highlight w:val="none"/>
                <w14:textFill>
                  <w14:solidFill>
                    <w14:schemeClr w14:val="tx1"/>
                  </w14:solidFill>
                </w14:textFill>
              </w:rPr>
              <w:t>，对周边环境影响较小。项目营运期大气环境影响可以接受</w:t>
            </w:r>
            <w:r>
              <w:rPr>
                <w:rFonts w:hint="eastAsia"/>
                <w:i w:val="0"/>
                <w:iCs w:val="0"/>
                <w:color w:val="000000" w:themeColor="text1"/>
                <w:highlight w:val="none"/>
                <w:lang w:eastAsia="zh-CN"/>
                <w14:textFill>
                  <w14:solidFill>
                    <w14:schemeClr w14:val="tx1"/>
                  </w14:solidFill>
                </w14:textFill>
              </w:rPr>
              <w:t>。</w:t>
            </w:r>
          </w:p>
          <w:p>
            <w:pPr>
              <w:pStyle w:val="6"/>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二、废水</w:t>
            </w:r>
          </w:p>
          <w:p>
            <w:pPr>
              <w:adjustRightInd w:val="0"/>
              <w:snapToGrid w:val="0"/>
              <w:spacing w:line="360" w:lineRule="auto"/>
              <w:ind w:firstLine="482" w:firstLineChars="200"/>
              <w:jc w:val="both"/>
              <w:rPr>
                <w:rFonts w:hint="default" w:cs="Times New Roman"/>
                <w:b/>
                <w:bCs w:val="0"/>
                <w:color w:val="auto"/>
                <w:sz w:val="24"/>
                <w:szCs w:val="24"/>
                <w:lang w:val="en-US" w:eastAsia="zh-CN"/>
              </w:rPr>
            </w:pPr>
            <w:r>
              <w:rPr>
                <w:rFonts w:hint="eastAsia" w:cs="Times New Roman"/>
                <w:b/>
                <w:bCs w:val="0"/>
                <w:color w:val="auto"/>
                <w:sz w:val="24"/>
                <w:szCs w:val="24"/>
                <w:lang w:val="en-US" w:eastAsia="zh-CN"/>
              </w:rPr>
              <w:t>1、废水种类及产生量</w:t>
            </w:r>
          </w:p>
          <w:p>
            <w:pPr>
              <w:adjustRightInd w:val="0"/>
              <w:snapToGrid w:val="0"/>
              <w:spacing w:line="360" w:lineRule="auto"/>
              <w:ind w:firstLine="480" w:firstLineChars="200"/>
              <w:jc w:val="both"/>
              <w:rPr>
                <w:rFonts w:hint="eastAsia" w:cs="Times New Roman"/>
                <w:b/>
                <w:bCs/>
                <w:color w:val="auto"/>
                <w:sz w:val="24"/>
                <w:lang w:eastAsia="zh-CN"/>
              </w:rPr>
            </w:pPr>
            <w:r>
              <w:rPr>
                <w:rFonts w:hint="eastAsia" w:cs="Times New Roman"/>
                <w:bCs/>
                <w:color w:val="auto"/>
                <w:sz w:val="24"/>
                <w:szCs w:val="24"/>
                <w:lang w:eastAsia="zh-CN"/>
              </w:rPr>
              <w:t>本项目用水主要为员工生活用水。</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firstLine="480"/>
              <w:textAlignment w:val="baseline"/>
              <w:rPr>
                <w:rFonts w:hint="eastAsia" w:ascii="Times New Roman" w:hAnsi="Times New Roman" w:cs="Times New Roman"/>
                <w:color w:val="auto"/>
                <w:sz w:val="24"/>
                <w:szCs w:val="24"/>
                <w:lang w:val="en-US" w:eastAsia="zh-CN"/>
              </w:rPr>
            </w:pPr>
            <w:r>
              <w:rPr>
                <w:rFonts w:hint="eastAsia" w:cs="Times New Roman"/>
                <w:b/>
                <w:bCs/>
                <w:color w:val="auto"/>
                <w:sz w:val="24"/>
                <w:lang w:eastAsia="zh-CN"/>
              </w:rPr>
              <w:t>职工生活用、排水：</w:t>
            </w:r>
            <w:r>
              <w:rPr>
                <w:rFonts w:hint="default" w:ascii="Times New Roman" w:hAnsi="Times New Roman" w:cs="Times New Roman"/>
                <w:color w:val="auto"/>
                <w:sz w:val="24"/>
                <w:lang w:eastAsia="zh-CN"/>
              </w:rPr>
              <w:t>项目</w:t>
            </w:r>
            <w:r>
              <w:rPr>
                <w:rFonts w:hint="default" w:ascii="Times New Roman" w:hAnsi="Times New Roman" w:cs="Times New Roman"/>
                <w:color w:val="auto"/>
                <w:sz w:val="24"/>
              </w:rPr>
              <w:t>劳动定员</w:t>
            </w:r>
            <w:r>
              <w:rPr>
                <w:rFonts w:hint="eastAsia" w:cs="Times New Roman"/>
                <w:color w:val="auto"/>
                <w:sz w:val="24"/>
                <w:lang w:val="en-US" w:eastAsia="zh-CN"/>
              </w:rPr>
              <w:t>20</w:t>
            </w:r>
            <w:r>
              <w:rPr>
                <w:rFonts w:hint="default" w:ascii="Times New Roman" w:hAnsi="Times New Roman" w:cs="Times New Roman"/>
                <w:color w:val="auto"/>
                <w:sz w:val="24"/>
              </w:rPr>
              <w:t>人，</w:t>
            </w:r>
            <w:r>
              <w:rPr>
                <w:color w:val="auto"/>
                <w:kern w:val="0"/>
                <w:sz w:val="24"/>
              </w:rPr>
              <w:t>年工作天数</w:t>
            </w:r>
            <w:r>
              <w:rPr>
                <w:rFonts w:hint="eastAsia"/>
                <w:color w:val="auto"/>
                <w:kern w:val="0"/>
                <w:sz w:val="24"/>
                <w:lang w:val="en-US" w:eastAsia="zh-CN"/>
              </w:rPr>
              <w:t>250</w:t>
            </w:r>
            <w:r>
              <w:rPr>
                <w:color w:val="auto"/>
                <w:kern w:val="0"/>
                <w:sz w:val="24"/>
              </w:rPr>
              <w:t>天</w:t>
            </w:r>
            <w:r>
              <w:rPr>
                <w:rFonts w:hint="default" w:ascii="Times New Roman" w:hAnsi="Times New Roman" w:cs="Times New Roman"/>
                <w:color w:val="auto"/>
                <w:sz w:val="24"/>
                <w:lang w:eastAsia="zh-CN"/>
              </w:rPr>
              <w:t>，</w:t>
            </w:r>
            <w:r>
              <w:rPr>
                <w:rFonts w:hint="default" w:ascii="Times New Roman" w:hAnsi="Times New Roman" w:cs="Times New Roman"/>
                <w:color w:val="auto"/>
                <w:sz w:val="24"/>
                <w:szCs w:val="24"/>
                <w:lang w:eastAsia="zh-CN"/>
              </w:rPr>
              <w:t>员工生活用水量按</w:t>
            </w:r>
            <w:r>
              <w:rPr>
                <w:rFonts w:hint="default" w:ascii="Times New Roman" w:hAnsi="Times New Roman" w:cs="Times New Roman"/>
                <w:color w:val="auto"/>
                <w:sz w:val="24"/>
                <w:szCs w:val="24"/>
                <w:lang w:val="en-US" w:eastAsia="zh-CN"/>
              </w:rPr>
              <w:t>50L</w:t>
            </w:r>
            <w:r>
              <w:rPr>
                <w:rFonts w:hint="default" w:ascii="Times New Roman" w:hAnsi="Times New Roman" w:cs="Times New Roman"/>
                <w:color w:val="auto"/>
                <w:sz w:val="24"/>
                <w:szCs w:val="24"/>
                <w:lang w:eastAsia="zh-CN"/>
              </w:rPr>
              <w:t>/人•d计，则</w:t>
            </w:r>
            <w:r>
              <w:rPr>
                <w:rFonts w:hint="eastAsia" w:ascii="Times New Roman" w:hAnsi="Times New Roman" w:cs="Times New Roman"/>
                <w:color w:val="auto"/>
                <w:sz w:val="24"/>
                <w:szCs w:val="24"/>
                <w:lang w:eastAsia="zh-CN"/>
              </w:rPr>
              <w:t>生活</w:t>
            </w:r>
            <w:r>
              <w:rPr>
                <w:rFonts w:hint="default" w:ascii="Times New Roman" w:hAnsi="Times New Roman" w:cs="Times New Roman"/>
                <w:color w:val="auto"/>
                <w:sz w:val="24"/>
                <w:szCs w:val="24"/>
                <w:lang w:eastAsia="zh-CN"/>
              </w:rPr>
              <w:t>用水总量为</w:t>
            </w:r>
            <w:r>
              <w:rPr>
                <w:rFonts w:hint="eastAsia" w:cs="Times New Roman"/>
                <w:color w:val="auto"/>
                <w:sz w:val="24"/>
                <w:szCs w:val="24"/>
                <w:lang w:val="en-US" w:eastAsia="zh-CN"/>
              </w:rPr>
              <w:t>1</w:t>
            </w:r>
            <w:r>
              <w:rPr>
                <w:rFonts w:hint="default" w:ascii="Times New Roman" w:hAnsi="Times New Roman" w:cs="Times New Roman"/>
                <w:color w:val="auto"/>
                <w:sz w:val="24"/>
                <w:szCs w:val="24"/>
                <w:lang w:eastAsia="zh-CN"/>
              </w:rPr>
              <w:t>t/d，即</w:t>
            </w:r>
            <w:r>
              <w:rPr>
                <w:rFonts w:hint="eastAsia" w:cs="Times New Roman"/>
                <w:color w:val="auto"/>
                <w:sz w:val="24"/>
                <w:szCs w:val="24"/>
                <w:lang w:val="en-US" w:eastAsia="zh-CN"/>
              </w:rPr>
              <w:t>250</w:t>
            </w:r>
            <w:r>
              <w:rPr>
                <w:rFonts w:hint="default" w:ascii="Times New Roman" w:hAnsi="Times New Roman" w:cs="Times New Roman"/>
                <w:color w:val="auto"/>
                <w:sz w:val="24"/>
                <w:szCs w:val="24"/>
                <w:lang w:eastAsia="zh-CN"/>
              </w:rPr>
              <w:t>t/a。排放系数按</w:t>
            </w:r>
            <w:r>
              <w:rPr>
                <w:rFonts w:hint="default" w:ascii="Times New Roman" w:hAnsi="Times New Roman" w:cs="Times New Roman"/>
                <w:color w:val="auto"/>
                <w:sz w:val="24"/>
                <w:szCs w:val="24"/>
                <w:lang w:val="en-US" w:eastAsia="zh-CN"/>
              </w:rPr>
              <w:t>0.8计，</w:t>
            </w:r>
            <w:r>
              <w:rPr>
                <w:rFonts w:hint="default" w:ascii="Times New Roman" w:hAnsi="Times New Roman" w:cs="Times New Roman"/>
                <w:color w:val="auto"/>
                <w:sz w:val="24"/>
                <w:szCs w:val="24"/>
                <w:lang w:eastAsia="zh-CN"/>
              </w:rPr>
              <w:t>则项目</w:t>
            </w:r>
            <w:r>
              <w:rPr>
                <w:rFonts w:hint="eastAsia" w:cs="Times New Roman"/>
                <w:color w:val="auto"/>
                <w:sz w:val="24"/>
                <w:szCs w:val="24"/>
                <w:lang w:eastAsia="zh-CN"/>
              </w:rPr>
              <w:t>生活污水</w:t>
            </w:r>
            <w:r>
              <w:rPr>
                <w:rFonts w:hint="default" w:ascii="Times New Roman" w:hAnsi="Times New Roman" w:cs="Times New Roman"/>
                <w:color w:val="auto"/>
                <w:sz w:val="24"/>
                <w:szCs w:val="24"/>
                <w:lang w:eastAsia="zh-CN"/>
              </w:rPr>
              <w:t>排水量为</w:t>
            </w:r>
            <w:r>
              <w:rPr>
                <w:rFonts w:hint="eastAsia" w:cs="Times New Roman"/>
                <w:color w:val="auto"/>
                <w:sz w:val="24"/>
                <w:szCs w:val="24"/>
                <w:lang w:val="en-US" w:eastAsia="zh-CN"/>
              </w:rPr>
              <w:t>0.8t</w:t>
            </w:r>
            <w:r>
              <w:rPr>
                <w:rFonts w:hint="default" w:ascii="Times New Roman" w:hAnsi="Times New Roman" w:cs="Times New Roman"/>
                <w:color w:val="auto"/>
                <w:sz w:val="24"/>
                <w:szCs w:val="24"/>
                <w:lang w:val="en-US" w:eastAsia="zh-CN"/>
              </w:rPr>
              <w:t>/d（</w:t>
            </w:r>
            <w:r>
              <w:rPr>
                <w:rFonts w:hint="eastAsia" w:cs="Times New Roman"/>
                <w:color w:val="auto"/>
                <w:sz w:val="24"/>
                <w:szCs w:val="24"/>
                <w:lang w:val="en-US" w:eastAsia="zh-CN"/>
              </w:rPr>
              <w:t>200</w:t>
            </w:r>
            <w:r>
              <w:rPr>
                <w:rFonts w:hint="default" w:ascii="Times New Roman" w:hAnsi="Times New Roman" w:cs="Times New Roman"/>
                <w:color w:val="auto"/>
                <w:sz w:val="24"/>
                <w:szCs w:val="24"/>
                <w:lang w:eastAsia="zh-CN"/>
              </w:rPr>
              <w:t>t</w:t>
            </w:r>
            <w:r>
              <w:rPr>
                <w:rFonts w:hint="default" w:ascii="Times New Roman" w:hAnsi="Times New Roman" w:cs="Times New Roman"/>
                <w:color w:val="auto"/>
                <w:sz w:val="24"/>
                <w:szCs w:val="24"/>
                <w:lang w:val="en-US" w:eastAsia="zh-CN"/>
              </w:rPr>
              <w:t>/a）</w:t>
            </w:r>
            <w:r>
              <w:rPr>
                <w:rFonts w:hint="eastAsia" w:ascii="Times New Roman" w:hAnsi="Times New Roman"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表</w:t>
            </w:r>
            <w:r>
              <w:rPr>
                <w:rFonts w:hint="default" w:ascii="Times New Roman" w:hAnsi="Times New Roman" w:eastAsia="宋体" w:cs="Times New Roman"/>
                <w:b/>
                <w:color w:val="000000" w:themeColor="text1"/>
                <w:sz w:val="24"/>
                <w:szCs w:val="24"/>
                <w:highlight w:val="none"/>
                <w:lang w:val="en-US" w:eastAsia="zh-CN"/>
                <w14:textFill>
                  <w14:solidFill>
                    <w14:schemeClr w14:val="tx1"/>
                  </w14:solidFill>
                </w14:textFill>
              </w:rPr>
              <w:t>4-</w:t>
            </w:r>
            <w:r>
              <w:rPr>
                <w:rFonts w:hint="eastAsia" w:cs="Times New Roman"/>
                <w:b/>
                <w:color w:val="000000" w:themeColor="text1"/>
                <w:sz w:val="24"/>
                <w:szCs w:val="24"/>
                <w:highlight w:val="none"/>
                <w:lang w:val="en-US" w:eastAsia="zh-CN"/>
                <w14:textFill>
                  <w14:solidFill>
                    <w14:schemeClr w14:val="tx1"/>
                  </w14:solidFill>
                </w14:textFill>
              </w:rPr>
              <w:t>6</w:t>
            </w:r>
            <w:r>
              <w:rPr>
                <w:rFonts w:hint="default" w:ascii="Times New Roman" w:hAnsi="Times New Roman" w:eastAsia="宋体" w:cs="Times New Roman"/>
                <w:b/>
                <w:color w:val="000000" w:themeColor="text1"/>
                <w:sz w:val="24"/>
                <w:szCs w:val="24"/>
                <w:highlight w:val="none"/>
                <w14:textFill>
                  <w14:solidFill>
                    <w14:schemeClr w14:val="tx1"/>
                  </w14:solidFill>
                </w14:textFill>
              </w:rPr>
              <w:t>建设项目废水污染物排放信息表</w:t>
            </w:r>
          </w:p>
          <w:tbl>
            <w:tblPr>
              <w:tblStyle w:val="37"/>
              <w:tblW w:w="4996" w:type="pct"/>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58"/>
              <w:gridCol w:w="423"/>
              <w:gridCol w:w="862"/>
              <w:gridCol w:w="437"/>
              <w:gridCol w:w="423"/>
              <w:gridCol w:w="862"/>
              <w:gridCol w:w="917"/>
              <w:gridCol w:w="962"/>
              <w:gridCol w:w="726"/>
              <w:gridCol w:w="917"/>
              <w:gridCol w:w="1743"/>
            </w:tblGrid>
            <w:tr>
              <w:tblPrEx>
                <w:tblLayout w:type="fixed"/>
              </w:tblPrEx>
              <w:trPr>
                <w:trHeight w:val="283" w:hRule="atLeast"/>
                <w:jc w:val="center"/>
              </w:trPr>
              <w:tc>
                <w:tcPr>
                  <w:tcW w:w="358" w:type="dxa"/>
                  <w:vMerge w:val="restart"/>
                  <w:tcBorders>
                    <w:left w:val="single" w:color="auto" w:sz="0"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序号</w:t>
                  </w:r>
                </w:p>
              </w:tc>
              <w:tc>
                <w:tcPr>
                  <w:tcW w:w="423" w:type="dxa"/>
                  <w:vMerge w:val="restart"/>
                  <w:vAlign w:val="center"/>
                </w:tcPr>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废水类别</w:t>
                  </w:r>
                </w:p>
              </w:tc>
              <w:tc>
                <w:tcPr>
                  <w:tcW w:w="862" w:type="dxa"/>
                  <w:vMerge w:val="restart"/>
                  <w:vAlign w:val="center"/>
                </w:tcPr>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污染物种类</w:t>
                  </w:r>
                </w:p>
              </w:tc>
              <w:tc>
                <w:tcPr>
                  <w:tcW w:w="437" w:type="dxa"/>
                  <w:vMerge w:val="restart"/>
                  <w:vAlign w:val="center"/>
                </w:tcPr>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排放去向</w:t>
                  </w:r>
                </w:p>
              </w:tc>
              <w:tc>
                <w:tcPr>
                  <w:tcW w:w="423" w:type="dxa"/>
                  <w:vMerge w:val="restart"/>
                  <w:vAlign w:val="center"/>
                </w:tcPr>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排放规律</w:t>
                  </w:r>
                </w:p>
              </w:tc>
              <w:tc>
                <w:tcPr>
                  <w:tcW w:w="2741" w:type="dxa"/>
                  <w:gridSpan w:val="3"/>
                  <w:vAlign w:val="center"/>
                </w:tcPr>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污染治理设施</w:t>
                  </w:r>
                </w:p>
              </w:tc>
              <w:tc>
                <w:tcPr>
                  <w:tcW w:w="726" w:type="dxa"/>
                  <w:vMerge w:val="restart"/>
                  <w:vAlign w:val="center"/>
                </w:tcPr>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排放口编号</w:t>
                  </w:r>
                </w:p>
              </w:tc>
              <w:tc>
                <w:tcPr>
                  <w:tcW w:w="917" w:type="dxa"/>
                  <w:vMerge w:val="restart"/>
                  <w:vAlign w:val="center"/>
                </w:tcPr>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排放口设置是否符合要求</w:t>
                  </w:r>
                </w:p>
              </w:tc>
              <w:tc>
                <w:tcPr>
                  <w:tcW w:w="1743" w:type="dxa"/>
                  <w:vMerge w:val="restart"/>
                  <w:tcBorders>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排放口类型</w:t>
                  </w:r>
                </w:p>
              </w:tc>
            </w:tr>
            <w:tr>
              <w:tblPrEx>
                <w:tblLayout w:type="fixed"/>
              </w:tblPrEx>
              <w:trPr>
                <w:trHeight w:val="283" w:hRule="atLeast"/>
                <w:jc w:val="center"/>
              </w:trPr>
              <w:tc>
                <w:tcPr>
                  <w:tcW w:w="358" w:type="dxa"/>
                  <w:vMerge w:val="continue"/>
                  <w:tcBorders>
                    <w:lef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423" w:type="dxa"/>
                  <w:vMerge w:val="continue"/>
                  <w:vAlign w:val="center"/>
                </w:tcPr>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862" w:type="dxa"/>
                  <w:vMerge w:val="continue"/>
                  <w:vAlign w:val="center"/>
                </w:tcPr>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437" w:type="dxa"/>
                  <w:vMerge w:val="continue"/>
                  <w:vAlign w:val="center"/>
                </w:tcPr>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423" w:type="dxa"/>
                  <w:vMerge w:val="continue"/>
                  <w:vAlign w:val="center"/>
                </w:tcPr>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862" w:type="dxa"/>
                  <w:vAlign w:val="center"/>
                </w:tcPr>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污染治理设施编号</w:t>
                  </w:r>
                </w:p>
              </w:tc>
              <w:tc>
                <w:tcPr>
                  <w:tcW w:w="917" w:type="dxa"/>
                  <w:vAlign w:val="center"/>
                </w:tcPr>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污染治理设施名称</w:t>
                  </w:r>
                </w:p>
              </w:tc>
              <w:tc>
                <w:tcPr>
                  <w:tcW w:w="962" w:type="dxa"/>
                  <w:vAlign w:val="center"/>
                </w:tcPr>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污染治理设施工艺</w:t>
                  </w:r>
                </w:p>
              </w:tc>
              <w:tc>
                <w:tcPr>
                  <w:tcW w:w="726" w:type="dxa"/>
                  <w:vMerge w:val="continue"/>
                  <w:vAlign w:val="center"/>
                </w:tcPr>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917" w:type="dxa"/>
                  <w:vMerge w:val="continue"/>
                  <w:vAlign w:val="center"/>
                </w:tcPr>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743" w:type="dxa"/>
                  <w:vMerge w:val="continue"/>
                  <w:tcBorders>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r>
            <w:tr>
              <w:tblPrEx>
                <w:tblLayout w:type="fixed"/>
              </w:tblPrEx>
              <w:trPr>
                <w:trHeight w:val="283" w:hRule="atLeast"/>
                <w:jc w:val="center"/>
              </w:trPr>
              <w:tc>
                <w:tcPr>
                  <w:tcW w:w="358" w:type="dxa"/>
                  <w:tcBorders>
                    <w:lef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423" w:type="dxa"/>
                  <w:vAlign w:val="center"/>
                </w:tcPr>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生活污水</w:t>
                  </w:r>
                </w:p>
              </w:tc>
              <w:tc>
                <w:tcPr>
                  <w:tcW w:w="862" w:type="dxa"/>
                  <w:vAlign w:val="center"/>
                </w:tcPr>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pH、</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COD、</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NH</w:t>
                  </w:r>
                  <w:r>
                    <w:rPr>
                      <w:rFonts w:hint="default" w:ascii="Times New Roman" w:hAnsi="Times New Roman" w:eastAsia="宋体" w:cs="Times New Roman"/>
                      <w:color w:val="000000" w:themeColor="text1"/>
                      <w:sz w:val="21"/>
                      <w:szCs w:val="21"/>
                      <w:highlight w:val="none"/>
                      <w:vertAlign w:val="subscript"/>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-N</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SS、</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BOD</w:t>
                  </w:r>
                  <w:r>
                    <w:rPr>
                      <w:rFonts w:hint="default" w:ascii="Times New Roman" w:hAnsi="Times New Roman" w:eastAsia="宋体" w:cs="Times New Roman"/>
                      <w:color w:val="000000" w:themeColor="text1"/>
                      <w:sz w:val="21"/>
                      <w:szCs w:val="21"/>
                      <w:highlight w:val="none"/>
                      <w:vertAlign w:val="subscript"/>
                      <w:lang w:val="en-US" w:eastAsia="zh-CN"/>
                      <w14:textFill>
                        <w14:solidFill>
                          <w14:schemeClr w14:val="tx1"/>
                        </w14:solidFill>
                      </w14:textFill>
                    </w:rPr>
                    <w:t>5</w:t>
                  </w:r>
                </w:p>
              </w:tc>
              <w:tc>
                <w:tcPr>
                  <w:tcW w:w="437" w:type="dxa"/>
                  <w:vAlign w:val="center"/>
                </w:tcPr>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污水处理站</w:t>
                  </w:r>
                </w:p>
              </w:tc>
              <w:tc>
                <w:tcPr>
                  <w:tcW w:w="423" w:type="dxa"/>
                  <w:vAlign w:val="center"/>
                </w:tcPr>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间隙排放</w:t>
                  </w:r>
                </w:p>
              </w:tc>
              <w:tc>
                <w:tcPr>
                  <w:tcW w:w="862" w:type="dxa"/>
                  <w:vAlign w:val="center"/>
                </w:tcPr>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TW001</w:t>
                  </w:r>
                </w:p>
              </w:tc>
              <w:tc>
                <w:tcPr>
                  <w:tcW w:w="917" w:type="dxa"/>
                  <w:vAlign w:val="center"/>
                </w:tcPr>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化粪池</w:t>
                  </w:r>
                </w:p>
              </w:tc>
              <w:tc>
                <w:tcPr>
                  <w:tcW w:w="962" w:type="dxa"/>
                  <w:vAlign w:val="center"/>
                </w:tcPr>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726" w:type="dxa"/>
                  <w:vAlign w:val="center"/>
                </w:tcPr>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DW001</w:t>
                  </w:r>
                </w:p>
              </w:tc>
              <w:tc>
                <w:tcPr>
                  <w:tcW w:w="917" w:type="dxa"/>
                  <w:vAlign w:val="center"/>
                </w:tcPr>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是</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口否</w:t>
                  </w:r>
                </w:p>
              </w:tc>
              <w:tc>
                <w:tcPr>
                  <w:tcW w:w="1743" w:type="dxa"/>
                  <w:tcBorders>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w:t>
                  </w:r>
                  <w:r>
                    <w:rPr>
                      <w:rFonts w:hint="default" w:ascii="Times New Roman" w:hAnsi="Times New Roman" w:eastAsia="宋体" w:cs="Times New Roman"/>
                      <w:color w:val="000000" w:themeColor="text1"/>
                      <w:sz w:val="21"/>
                      <w:szCs w:val="21"/>
                      <w:highlight w:val="none"/>
                      <w14:textFill>
                        <w14:solidFill>
                          <w14:schemeClr w14:val="tx1"/>
                        </w14:solidFill>
                      </w14:textFill>
                    </w:rPr>
                    <w:t>企业总排</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口雨水排放</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口清净下水排放</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口温排水排放</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口车间或车间处理设施排放量</w:t>
                  </w:r>
                </w:p>
              </w:tc>
            </w:tr>
          </w:tbl>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表</w:t>
            </w:r>
            <w:r>
              <w:rPr>
                <w:rFonts w:hint="default" w:ascii="Times New Roman" w:hAnsi="Times New Roman" w:eastAsia="宋体" w:cs="Times New Roman"/>
                <w:b/>
                <w:color w:val="000000" w:themeColor="text1"/>
                <w:sz w:val="24"/>
                <w:szCs w:val="24"/>
                <w:highlight w:val="none"/>
                <w:lang w:val="en-US" w:eastAsia="zh-CN"/>
                <w14:textFill>
                  <w14:solidFill>
                    <w14:schemeClr w14:val="tx1"/>
                  </w14:solidFill>
                </w14:textFill>
              </w:rPr>
              <w:t>4-</w:t>
            </w:r>
            <w:r>
              <w:rPr>
                <w:rFonts w:hint="eastAsia" w:cs="Times New Roman"/>
                <w:b/>
                <w:color w:val="000000" w:themeColor="text1"/>
                <w:sz w:val="24"/>
                <w:szCs w:val="24"/>
                <w:highlight w:val="none"/>
                <w:lang w:val="en-US" w:eastAsia="zh-CN"/>
                <w14:textFill>
                  <w14:solidFill>
                    <w14:schemeClr w14:val="tx1"/>
                  </w14:solidFill>
                </w14:textFill>
              </w:rPr>
              <w:t xml:space="preserve">7  </w:t>
            </w:r>
            <w:r>
              <w:rPr>
                <w:rFonts w:hint="default" w:ascii="Times New Roman" w:hAnsi="Times New Roman" w:eastAsia="宋体" w:cs="Times New Roman"/>
                <w:b/>
                <w:color w:val="000000" w:themeColor="text1"/>
                <w:sz w:val="24"/>
                <w:szCs w:val="24"/>
                <w:highlight w:val="none"/>
                <w14:textFill>
                  <w14:solidFill>
                    <w14:schemeClr w14:val="tx1"/>
                  </w14:solidFill>
                </w14:textFill>
              </w:rPr>
              <w:t>废水排放口（间接）基本情况表</w:t>
            </w:r>
          </w:p>
          <w:tbl>
            <w:tblPr>
              <w:tblStyle w:val="37"/>
              <w:tblW w:w="8577"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5"/>
              <w:gridCol w:w="642"/>
              <w:gridCol w:w="784"/>
              <w:gridCol w:w="704"/>
              <w:gridCol w:w="785"/>
              <w:gridCol w:w="1084"/>
              <w:gridCol w:w="739"/>
              <w:gridCol w:w="634"/>
              <w:gridCol w:w="876"/>
              <w:gridCol w:w="809"/>
              <w:gridCol w:w="1095"/>
            </w:tblGrid>
            <w:tr>
              <w:tblPrEx>
                <w:tblLayout w:type="fixed"/>
              </w:tblPrEx>
              <w:trPr>
                <w:trHeight w:val="283" w:hRule="atLeast"/>
                <w:jc w:val="center"/>
              </w:trPr>
              <w:tc>
                <w:tcPr>
                  <w:tcW w:w="425" w:type="dxa"/>
                  <w:vMerge w:val="restart"/>
                  <w:tcBorders>
                    <w:left w:val="single" w:color="auto" w:sz="0"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序号</w:t>
                  </w:r>
                </w:p>
              </w:tc>
              <w:tc>
                <w:tcPr>
                  <w:tcW w:w="642"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排放口编号</w:t>
                  </w:r>
                </w:p>
              </w:tc>
              <w:tc>
                <w:tcPr>
                  <w:tcW w:w="1488" w:type="dxa"/>
                  <w:gridSpan w:val="2"/>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排放口坐标</w:t>
                  </w:r>
                </w:p>
              </w:tc>
              <w:tc>
                <w:tcPr>
                  <w:tcW w:w="785"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废水排放量</w:t>
                  </w:r>
                </w:p>
              </w:tc>
              <w:tc>
                <w:tcPr>
                  <w:tcW w:w="1084"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排放去向</w:t>
                  </w:r>
                </w:p>
              </w:tc>
              <w:tc>
                <w:tcPr>
                  <w:tcW w:w="739"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排放规律</w:t>
                  </w:r>
                </w:p>
              </w:tc>
              <w:tc>
                <w:tcPr>
                  <w:tcW w:w="634"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间歇排放时段</w:t>
                  </w:r>
                </w:p>
              </w:tc>
              <w:tc>
                <w:tcPr>
                  <w:tcW w:w="2780" w:type="dxa"/>
                  <w:gridSpan w:val="3"/>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受纳污水处理厂信息</w:t>
                  </w:r>
                </w:p>
              </w:tc>
            </w:tr>
            <w:tr>
              <w:tblPrEx>
                <w:tblLayout w:type="fixed"/>
              </w:tblPrEx>
              <w:trPr>
                <w:trHeight w:val="283" w:hRule="atLeast"/>
                <w:jc w:val="center"/>
              </w:trPr>
              <w:tc>
                <w:tcPr>
                  <w:tcW w:w="425"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42"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8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经度</w:t>
                  </w:r>
                </w:p>
              </w:tc>
              <w:tc>
                <w:tcPr>
                  <w:tcW w:w="70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纬度</w:t>
                  </w:r>
                </w:p>
              </w:tc>
              <w:tc>
                <w:tcPr>
                  <w:tcW w:w="785"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084"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39"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34"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87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名称</w:t>
                  </w:r>
                </w:p>
              </w:tc>
              <w:tc>
                <w:tcPr>
                  <w:tcW w:w="80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污染物种类</w:t>
                  </w:r>
                </w:p>
              </w:tc>
              <w:tc>
                <w:tcPr>
                  <w:tcW w:w="10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国家或地方污染物排放标准浓度/（mg/L）</w:t>
                  </w:r>
                </w:p>
              </w:tc>
            </w:tr>
            <w:tr>
              <w:tblPrEx>
                <w:tblLayout w:type="fixed"/>
              </w:tblPrEx>
              <w:trPr>
                <w:trHeight w:val="283" w:hRule="atLeast"/>
                <w:jc w:val="center"/>
              </w:trPr>
              <w:tc>
                <w:tcPr>
                  <w:tcW w:w="425" w:type="dxa"/>
                  <w:vMerge w:val="restar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642"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DW001</w:t>
                  </w:r>
                </w:p>
              </w:tc>
              <w:tc>
                <w:tcPr>
                  <w:tcW w:w="784" w:type="dxa"/>
                  <w:vMerge w:val="restart"/>
                  <w:vAlign w:val="center"/>
                </w:tcPr>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东经</w:t>
                  </w:r>
                  <w:r>
                    <w:rPr>
                      <w:rFonts w:hint="eastAsia" w:ascii="Times New Roman" w:hAnsi="Times New Roman" w:eastAsia="宋体" w:cs="Times New Roman"/>
                      <w:color w:val="auto"/>
                      <w:kern w:val="2"/>
                      <w:sz w:val="21"/>
                      <w:szCs w:val="21"/>
                      <w:highlight w:val="none"/>
                      <w:lang w:val="en-US" w:eastAsia="zh-CN" w:bidi="ar-SA"/>
                    </w:rPr>
                    <w:t>117.331476</w:t>
                  </w:r>
                </w:p>
              </w:tc>
              <w:tc>
                <w:tcPr>
                  <w:tcW w:w="704" w:type="dxa"/>
                  <w:vMerge w:val="restart"/>
                  <w:vAlign w:val="center"/>
                </w:tcPr>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北纬</w:t>
                  </w:r>
                  <w:r>
                    <w:rPr>
                      <w:rFonts w:hint="eastAsia" w:ascii="Times New Roman" w:hAnsi="Times New Roman" w:eastAsia="宋体" w:cs="Times New Roman"/>
                      <w:color w:val="auto"/>
                      <w:kern w:val="2"/>
                      <w:sz w:val="21"/>
                      <w:szCs w:val="21"/>
                      <w:highlight w:val="none"/>
                      <w:lang w:val="en-US" w:eastAsia="zh-CN" w:bidi="ar-SA"/>
                    </w:rPr>
                    <w:t>33.364635</w:t>
                  </w:r>
                </w:p>
              </w:tc>
              <w:tc>
                <w:tcPr>
                  <w:tcW w:w="785"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0.</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02</w:t>
                  </w:r>
                  <w:r>
                    <w:rPr>
                      <w:rFonts w:hint="default" w:ascii="Times New Roman" w:hAnsi="Times New Roman" w:eastAsia="宋体" w:cs="Times New Roman"/>
                      <w:color w:val="000000" w:themeColor="text1"/>
                      <w:sz w:val="21"/>
                      <w:szCs w:val="21"/>
                      <w:highlight w:val="none"/>
                      <w14:textFill>
                        <w14:solidFill>
                          <w14:schemeClr w14:val="tx1"/>
                        </w14:solidFill>
                      </w14:textFill>
                    </w:rPr>
                    <w:t>（万t/a）</w:t>
                  </w:r>
                </w:p>
              </w:tc>
              <w:tc>
                <w:tcPr>
                  <w:tcW w:w="1084"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灵璧开发区北部新区污水处理厂→</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阎河</w:t>
                  </w:r>
                </w:p>
              </w:tc>
              <w:tc>
                <w:tcPr>
                  <w:tcW w:w="739"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间歇排放</w:t>
                  </w:r>
                </w:p>
              </w:tc>
              <w:tc>
                <w:tcPr>
                  <w:tcW w:w="634"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w:t>
                  </w:r>
                </w:p>
              </w:tc>
              <w:tc>
                <w:tcPr>
                  <w:tcW w:w="876" w:type="dxa"/>
                  <w:vMerge w:val="restart"/>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灵璧开发区北部新区污水处理厂</w:t>
                  </w:r>
                </w:p>
              </w:tc>
              <w:tc>
                <w:tcPr>
                  <w:tcW w:w="80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pH</w:t>
                  </w:r>
                </w:p>
              </w:tc>
              <w:tc>
                <w:tcPr>
                  <w:tcW w:w="10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6-9</w:t>
                  </w:r>
                </w:p>
              </w:tc>
            </w:tr>
            <w:tr>
              <w:tblPrEx>
                <w:tblLayout w:type="fixed"/>
              </w:tblPrEx>
              <w:trPr>
                <w:trHeight w:val="283" w:hRule="atLeast"/>
                <w:jc w:val="center"/>
              </w:trPr>
              <w:tc>
                <w:tcPr>
                  <w:tcW w:w="425"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42"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784" w:type="dxa"/>
                  <w:vMerge w:val="continue"/>
                  <w:vAlign w:val="center"/>
                </w:tcPr>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04" w:type="dxa"/>
                  <w:vMerge w:val="continue"/>
                  <w:vAlign w:val="center"/>
                </w:tcPr>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p>
              </w:tc>
              <w:tc>
                <w:tcPr>
                  <w:tcW w:w="785"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084"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739"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634"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876"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80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COD</w:t>
                  </w:r>
                </w:p>
              </w:tc>
              <w:tc>
                <w:tcPr>
                  <w:tcW w:w="10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50</w:t>
                  </w:r>
                </w:p>
              </w:tc>
            </w:tr>
            <w:tr>
              <w:tblPrEx>
                <w:tblLayout w:type="fixed"/>
              </w:tblPrEx>
              <w:trPr>
                <w:trHeight w:val="283" w:hRule="atLeast"/>
                <w:jc w:val="center"/>
              </w:trPr>
              <w:tc>
                <w:tcPr>
                  <w:tcW w:w="425"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42"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84"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85"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084"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39"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34"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876"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80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SS</w:t>
                  </w:r>
                </w:p>
              </w:tc>
              <w:tc>
                <w:tcPr>
                  <w:tcW w:w="10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w:t>
                  </w:r>
                </w:p>
              </w:tc>
            </w:tr>
            <w:tr>
              <w:tblPrEx>
                <w:tblLayout w:type="fixed"/>
              </w:tblPrEx>
              <w:trPr>
                <w:trHeight w:val="283" w:hRule="atLeast"/>
                <w:jc w:val="center"/>
              </w:trPr>
              <w:tc>
                <w:tcPr>
                  <w:tcW w:w="425"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42"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84"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85"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084"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39"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34"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876"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809" w:type="dxa"/>
                  <w:vAlign w:val="center"/>
                </w:tcPr>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BOD</w:t>
                  </w:r>
                  <w:r>
                    <w:rPr>
                      <w:rFonts w:hint="default" w:ascii="Times New Roman" w:hAnsi="Times New Roman" w:eastAsia="宋体" w:cs="Times New Roman"/>
                      <w:color w:val="000000" w:themeColor="text1"/>
                      <w:sz w:val="21"/>
                      <w:szCs w:val="21"/>
                      <w:highlight w:val="none"/>
                      <w:vertAlign w:val="subscript"/>
                      <w14:textFill>
                        <w14:solidFill>
                          <w14:schemeClr w14:val="tx1"/>
                        </w14:solidFill>
                      </w14:textFill>
                    </w:rPr>
                    <w:t>5</w:t>
                  </w:r>
                </w:p>
              </w:tc>
              <w:tc>
                <w:tcPr>
                  <w:tcW w:w="10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10</w:t>
                  </w:r>
                </w:p>
              </w:tc>
            </w:tr>
            <w:tr>
              <w:tblPrEx>
                <w:tblLayout w:type="fixed"/>
              </w:tblPrEx>
              <w:trPr>
                <w:trHeight w:val="283" w:hRule="atLeast"/>
                <w:jc w:val="center"/>
              </w:trPr>
              <w:tc>
                <w:tcPr>
                  <w:tcW w:w="425" w:type="dxa"/>
                  <w:vMerge w:val="continue"/>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42"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84"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04"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85"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084"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739"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634"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876" w:type="dxa"/>
                  <w:vMerge w:val="continue"/>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80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NH</w:t>
                  </w:r>
                  <w:r>
                    <w:rPr>
                      <w:rFonts w:hint="default" w:ascii="Times New Roman" w:hAnsi="Times New Roman" w:eastAsia="宋体" w:cs="Times New Roman"/>
                      <w:color w:val="000000" w:themeColor="text1"/>
                      <w:sz w:val="21"/>
                      <w:szCs w:val="21"/>
                      <w:highlight w:val="none"/>
                      <w:vertAlign w:val="subscript"/>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-N</w:t>
                  </w:r>
                </w:p>
              </w:tc>
              <w:tc>
                <w:tcPr>
                  <w:tcW w:w="1095"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default" w:ascii="Times New Roman" w:hAnsi="Times New Roman" w:eastAsia="宋体" w:cs="Times New Roman"/>
                <w:b/>
                <w:color w:val="000000" w:themeColor="text1"/>
                <w:sz w:val="24"/>
                <w:szCs w:val="24"/>
                <w:highlight w:val="none"/>
                <w14:textFill>
                  <w14:solidFill>
                    <w14:schemeClr w14:val="tx1"/>
                  </w14:solidFill>
                </w14:textFill>
              </w:rPr>
            </w:pPr>
            <w:r>
              <w:rPr>
                <w:rFonts w:hint="default" w:ascii="Times New Roman" w:hAnsi="Times New Roman" w:eastAsia="宋体" w:cs="Times New Roman"/>
                <w:b/>
                <w:color w:val="000000" w:themeColor="text1"/>
                <w:sz w:val="24"/>
                <w:szCs w:val="24"/>
                <w:highlight w:val="none"/>
                <w14:textFill>
                  <w14:solidFill>
                    <w14:schemeClr w14:val="tx1"/>
                  </w14:solidFill>
                </w14:textFill>
              </w:rPr>
              <w:t>表</w:t>
            </w:r>
            <w:r>
              <w:rPr>
                <w:rFonts w:hint="default" w:ascii="Times New Roman" w:hAnsi="Times New Roman" w:eastAsia="宋体" w:cs="Times New Roman"/>
                <w:b/>
                <w:color w:val="000000" w:themeColor="text1"/>
                <w:sz w:val="24"/>
                <w:szCs w:val="24"/>
                <w:highlight w:val="none"/>
                <w:lang w:val="en-US" w:eastAsia="zh-CN"/>
                <w14:textFill>
                  <w14:solidFill>
                    <w14:schemeClr w14:val="tx1"/>
                  </w14:solidFill>
                </w14:textFill>
              </w:rPr>
              <w:t>4-</w:t>
            </w:r>
            <w:r>
              <w:rPr>
                <w:rFonts w:hint="eastAsia" w:cs="Times New Roman"/>
                <w:b/>
                <w:color w:val="000000" w:themeColor="text1"/>
                <w:sz w:val="24"/>
                <w:szCs w:val="24"/>
                <w:highlight w:val="none"/>
                <w:lang w:val="en-US" w:eastAsia="zh-CN"/>
                <w14:textFill>
                  <w14:solidFill>
                    <w14:schemeClr w14:val="tx1"/>
                  </w14:solidFill>
                </w14:textFill>
              </w:rPr>
              <w:t xml:space="preserve">8  </w:t>
            </w:r>
            <w:r>
              <w:rPr>
                <w:rFonts w:hint="default" w:ascii="Times New Roman" w:hAnsi="Times New Roman" w:eastAsia="宋体" w:cs="Times New Roman"/>
                <w:b/>
                <w:color w:val="000000" w:themeColor="text1"/>
                <w:sz w:val="24"/>
                <w:szCs w:val="24"/>
                <w:highlight w:val="none"/>
                <w14:textFill>
                  <w14:solidFill>
                    <w14:schemeClr w14:val="tx1"/>
                  </w14:solidFill>
                </w14:textFill>
              </w:rPr>
              <w:t>废水污染物排放信息表</w:t>
            </w:r>
          </w:p>
          <w:tbl>
            <w:tblPr>
              <w:tblStyle w:val="37"/>
              <w:tblW w:w="5000" w:type="pct"/>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362"/>
              <w:gridCol w:w="1362"/>
              <w:gridCol w:w="1827"/>
              <w:gridCol w:w="3263"/>
            </w:tblGrid>
            <w:tr>
              <w:tblPrEx>
                <w:tblLayout w:type="fixed"/>
              </w:tblPrEx>
              <w:trPr>
                <w:trHeight w:val="283" w:hRule="exact"/>
                <w:jc w:val="center"/>
              </w:trPr>
              <w:tc>
                <w:tcPr>
                  <w:tcW w:w="824" w:type="dxa"/>
                  <w:tcBorders>
                    <w:left w:val="single" w:color="auto" w:sz="0" w:space="0"/>
                  </w:tcBorders>
                  <w:vAlign w:val="center"/>
                </w:tcPr>
                <w:p>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序号</w:t>
                  </w:r>
                </w:p>
              </w:tc>
              <w:tc>
                <w:tcPr>
                  <w:tcW w:w="1362" w:type="dxa"/>
                  <w:vAlign w:val="center"/>
                </w:tcPr>
                <w:p>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排放口编号</w:t>
                  </w:r>
                </w:p>
              </w:tc>
              <w:tc>
                <w:tcPr>
                  <w:tcW w:w="1362" w:type="dxa"/>
                  <w:vAlign w:val="center"/>
                </w:tcPr>
                <w:p>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污染物种类</w:t>
                  </w:r>
                </w:p>
              </w:tc>
              <w:tc>
                <w:tcPr>
                  <w:tcW w:w="1827" w:type="dxa"/>
                  <w:vAlign w:val="center"/>
                </w:tcPr>
                <w:p>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排放浓度（mg/L）</w:t>
                  </w:r>
                </w:p>
              </w:tc>
              <w:tc>
                <w:tcPr>
                  <w:tcW w:w="3263" w:type="dxa"/>
                  <w:tcBorders>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年排放量（t/a）</w:t>
                  </w:r>
                </w:p>
              </w:tc>
            </w:tr>
            <w:tr>
              <w:tblPrEx>
                <w:tblLayout w:type="fixed"/>
              </w:tblPrEx>
              <w:trPr>
                <w:trHeight w:val="283" w:hRule="exact"/>
                <w:jc w:val="center"/>
              </w:trPr>
              <w:tc>
                <w:tcPr>
                  <w:tcW w:w="824" w:type="dxa"/>
                  <w:vMerge w:val="restart"/>
                  <w:tcBorders>
                    <w:lef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firstLine="210" w:firstLineChars="10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1</w:t>
                  </w:r>
                </w:p>
              </w:tc>
              <w:tc>
                <w:tcPr>
                  <w:tcW w:w="1362" w:type="dxa"/>
                  <w:vMerge w:val="restart"/>
                  <w:vAlign w:val="center"/>
                </w:tcPr>
                <w:p>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firstLine="210" w:firstLineChars="100"/>
                    <w:jc w:val="both"/>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DW001</w:t>
                  </w:r>
                </w:p>
              </w:tc>
              <w:tc>
                <w:tcPr>
                  <w:tcW w:w="1362" w:type="dxa"/>
                  <w:vAlign w:val="center"/>
                </w:tcPr>
                <w:p>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pH</w:t>
                  </w:r>
                </w:p>
              </w:tc>
              <w:tc>
                <w:tcPr>
                  <w:tcW w:w="1827" w:type="dxa"/>
                  <w:vAlign w:val="center"/>
                </w:tcPr>
                <w:p>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6-9(无量纲)</w:t>
                  </w:r>
                </w:p>
              </w:tc>
              <w:tc>
                <w:tcPr>
                  <w:tcW w:w="3263" w:type="dxa"/>
                  <w:tcBorders>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w:t>
                  </w:r>
                </w:p>
              </w:tc>
            </w:tr>
            <w:tr>
              <w:tblPrEx>
                <w:tblLayout w:type="fixed"/>
              </w:tblPrEx>
              <w:trPr>
                <w:trHeight w:val="283" w:hRule="exact"/>
                <w:jc w:val="center"/>
              </w:trPr>
              <w:tc>
                <w:tcPr>
                  <w:tcW w:w="824" w:type="dxa"/>
                  <w:vMerge w:val="continue"/>
                  <w:tcBorders>
                    <w:lef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362" w:type="dxa"/>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p>
              </w:tc>
              <w:tc>
                <w:tcPr>
                  <w:tcW w:w="1362" w:type="dxa"/>
                  <w:vAlign w:val="center"/>
                </w:tcPr>
                <w:p>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COD</w:t>
                  </w:r>
                </w:p>
              </w:tc>
              <w:tc>
                <w:tcPr>
                  <w:tcW w:w="1827" w:type="dxa"/>
                  <w:vAlign w:val="center"/>
                </w:tcPr>
                <w:p>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250</w:t>
                  </w:r>
                </w:p>
              </w:tc>
              <w:tc>
                <w:tcPr>
                  <w:tcW w:w="3263" w:type="dxa"/>
                  <w:tcBorders>
                    <w:right w:val="single" w:color="auto" w:sz="4" w:space="0"/>
                  </w:tcBorders>
                  <w:vAlign w:val="center"/>
                </w:tcPr>
                <w:p>
                  <w:pPr>
                    <w:keepNext w:val="0"/>
                    <w:keepLines w:val="0"/>
                    <w:pageBreakBefore w:val="0"/>
                    <w:widowControl w:val="0"/>
                    <w:kinsoku/>
                    <w:wordWrap/>
                    <w:overflowPunct/>
                    <w:topLinePunct w:val="0"/>
                    <w:autoSpaceDE/>
                    <w:autoSpaceDN/>
                    <w:bidi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0.05</w:t>
                  </w:r>
                </w:p>
              </w:tc>
            </w:tr>
            <w:tr>
              <w:tblPrEx>
                <w:tblLayout w:type="fixed"/>
              </w:tblPrEx>
              <w:trPr>
                <w:trHeight w:val="283" w:hRule="exact"/>
                <w:jc w:val="center"/>
              </w:trPr>
              <w:tc>
                <w:tcPr>
                  <w:tcW w:w="824" w:type="dxa"/>
                  <w:vMerge w:val="continue"/>
                  <w:tcBorders>
                    <w:lef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362" w:type="dxa"/>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362" w:type="dxa"/>
                  <w:vAlign w:val="center"/>
                </w:tcPr>
                <w:p>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SS</w:t>
                  </w:r>
                </w:p>
              </w:tc>
              <w:tc>
                <w:tcPr>
                  <w:tcW w:w="1827" w:type="dxa"/>
                  <w:vAlign w:val="center"/>
                </w:tcPr>
                <w:p>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140</w:t>
                  </w:r>
                </w:p>
              </w:tc>
              <w:tc>
                <w:tcPr>
                  <w:tcW w:w="3263" w:type="dxa"/>
                  <w:tcBorders>
                    <w:right w:val="single" w:color="auto" w:sz="4" w:space="0"/>
                  </w:tcBorders>
                  <w:vAlign w:val="center"/>
                </w:tcPr>
                <w:p>
                  <w:pPr>
                    <w:keepNext w:val="0"/>
                    <w:keepLines w:val="0"/>
                    <w:pageBreakBefore w:val="0"/>
                    <w:widowControl w:val="0"/>
                    <w:kinsoku/>
                    <w:wordWrap/>
                    <w:overflowPunct/>
                    <w:topLinePunct w:val="0"/>
                    <w:autoSpaceDE/>
                    <w:autoSpaceDN/>
                    <w:bidi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0.028</w:t>
                  </w:r>
                </w:p>
              </w:tc>
            </w:tr>
            <w:tr>
              <w:tblPrEx>
                <w:tblLayout w:type="fixed"/>
              </w:tblPrEx>
              <w:trPr>
                <w:trHeight w:val="283" w:hRule="exact"/>
                <w:jc w:val="center"/>
              </w:trPr>
              <w:tc>
                <w:tcPr>
                  <w:tcW w:w="824" w:type="dxa"/>
                  <w:vMerge w:val="continue"/>
                  <w:tcBorders>
                    <w:lef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362" w:type="dxa"/>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362" w:type="dxa"/>
                  <w:vAlign w:val="center"/>
                </w:tcPr>
                <w:p>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BOD</w:t>
                  </w:r>
                  <w:r>
                    <w:rPr>
                      <w:rFonts w:hint="default" w:ascii="Times New Roman" w:hAnsi="Times New Roman" w:eastAsia="宋体" w:cs="Times New Roman"/>
                      <w:color w:val="000000" w:themeColor="text1"/>
                      <w:sz w:val="21"/>
                      <w:szCs w:val="21"/>
                      <w:highlight w:val="none"/>
                      <w:vertAlign w:val="subscript"/>
                      <w14:textFill>
                        <w14:solidFill>
                          <w14:schemeClr w14:val="tx1"/>
                        </w14:solidFill>
                      </w14:textFill>
                    </w:rPr>
                    <w:t>5</w:t>
                  </w:r>
                </w:p>
              </w:tc>
              <w:tc>
                <w:tcPr>
                  <w:tcW w:w="1827" w:type="dxa"/>
                  <w:vAlign w:val="center"/>
                </w:tcPr>
                <w:p>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135</w:t>
                  </w:r>
                </w:p>
              </w:tc>
              <w:tc>
                <w:tcPr>
                  <w:tcW w:w="3263" w:type="dxa"/>
                  <w:tcBorders>
                    <w:right w:val="single" w:color="auto" w:sz="4" w:space="0"/>
                  </w:tcBorders>
                  <w:vAlign w:val="center"/>
                </w:tcPr>
                <w:p>
                  <w:pPr>
                    <w:keepNext w:val="0"/>
                    <w:keepLines w:val="0"/>
                    <w:pageBreakBefore w:val="0"/>
                    <w:widowControl w:val="0"/>
                    <w:kinsoku/>
                    <w:wordWrap/>
                    <w:overflowPunct/>
                    <w:topLinePunct w:val="0"/>
                    <w:autoSpaceDE/>
                    <w:autoSpaceDN/>
                    <w:bidi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0.0</w:t>
                  </w:r>
                  <w:r>
                    <w:rPr>
                      <w:rFonts w:hint="eastAsia" w:ascii="Times New Roman" w:hAnsi="Times New Roman" w:cs="Times New Roman"/>
                      <w:b w:val="0"/>
                      <w:bCs/>
                      <w:color w:val="000000" w:themeColor="text1"/>
                      <w:sz w:val="21"/>
                      <w:szCs w:val="21"/>
                      <w:highlight w:val="none"/>
                      <w:lang w:val="en-US" w:eastAsia="zh-CN"/>
                      <w14:textFill>
                        <w14:solidFill>
                          <w14:schemeClr w14:val="tx1"/>
                        </w14:solidFill>
                      </w14:textFill>
                    </w:rPr>
                    <w:t>27</w:t>
                  </w:r>
                </w:p>
              </w:tc>
            </w:tr>
            <w:tr>
              <w:tblPrEx>
                <w:tblLayout w:type="fixed"/>
              </w:tblPrEx>
              <w:trPr>
                <w:trHeight w:val="283" w:hRule="exact"/>
                <w:jc w:val="center"/>
              </w:trPr>
              <w:tc>
                <w:tcPr>
                  <w:tcW w:w="824" w:type="dxa"/>
                  <w:vMerge w:val="continue"/>
                  <w:tcBorders>
                    <w:lef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362" w:type="dxa"/>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p>
              </w:tc>
              <w:tc>
                <w:tcPr>
                  <w:tcW w:w="136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NH</w:t>
                  </w:r>
                  <w:r>
                    <w:rPr>
                      <w:rFonts w:hint="default" w:ascii="Times New Roman" w:hAnsi="Times New Roman" w:eastAsia="宋体" w:cs="Times New Roman"/>
                      <w:color w:val="000000" w:themeColor="text1"/>
                      <w:sz w:val="21"/>
                      <w:szCs w:val="21"/>
                      <w:highlight w:val="none"/>
                      <w:vertAlign w:val="subscript"/>
                      <w14:textFill>
                        <w14:solidFill>
                          <w14:schemeClr w14:val="tx1"/>
                        </w14:solidFill>
                      </w14:textFill>
                    </w:rPr>
                    <w:t>3</w:t>
                  </w:r>
                  <w:r>
                    <w:rPr>
                      <w:rFonts w:hint="default" w:ascii="Times New Roman" w:hAnsi="Times New Roman" w:eastAsia="宋体" w:cs="Times New Roman"/>
                      <w:color w:val="000000" w:themeColor="text1"/>
                      <w:sz w:val="21"/>
                      <w:szCs w:val="21"/>
                      <w:highlight w:val="none"/>
                      <w14:textFill>
                        <w14:solidFill>
                          <w14:schemeClr w14:val="tx1"/>
                        </w14:solidFill>
                      </w14:textFill>
                    </w:rPr>
                    <w:t>-N</w:t>
                  </w:r>
                </w:p>
              </w:tc>
              <w:tc>
                <w:tcPr>
                  <w:tcW w:w="1827" w:type="dxa"/>
                  <w:vAlign w:val="center"/>
                </w:tcPr>
                <w:p>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25</w:t>
                  </w:r>
                </w:p>
              </w:tc>
              <w:tc>
                <w:tcPr>
                  <w:tcW w:w="3263" w:type="dxa"/>
                  <w:tcBorders>
                    <w:right w:val="single" w:color="auto" w:sz="4" w:space="0"/>
                  </w:tcBorders>
                  <w:vAlign w:val="center"/>
                </w:tcPr>
                <w:p>
                  <w:pPr>
                    <w:keepNext w:val="0"/>
                    <w:keepLines w:val="0"/>
                    <w:pageBreakBefore w:val="0"/>
                    <w:widowControl w:val="0"/>
                    <w:kinsoku/>
                    <w:wordWrap/>
                    <w:overflowPunct/>
                    <w:topLinePunct w:val="0"/>
                    <w:autoSpaceDE/>
                    <w:autoSpaceDN/>
                    <w:bidi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0.</w:t>
                  </w:r>
                  <w:r>
                    <w:rPr>
                      <w:rFonts w:hint="eastAsia" w:ascii="Times New Roman" w:hAnsi="Times New Roman" w:eastAsia="宋体" w:cs="Times New Roman"/>
                      <w:b w:val="0"/>
                      <w:bCs/>
                      <w:color w:val="000000" w:themeColor="text1"/>
                      <w:sz w:val="21"/>
                      <w:szCs w:val="21"/>
                      <w:highlight w:val="none"/>
                      <w:lang w:val="en-US" w:eastAsia="zh-CN"/>
                      <w14:textFill>
                        <w14:solidFill>
                          <w14:schemeClr w14:val="tx1"/>
                        </w14:solidFill>
                      </w14:textFill>
                    </w:rPr>
                    <w:t>005</w:t>
                  </w:r>
                </w:p>
              </w:tc>
            </w:tr>
          </w:tbl>
          <w:p>
            <w:pPr>
              <w:keepNext w:val="0"/>
              <w:keepLines w:val="0"/>
              <w:pageBreakBefore w:val="0"/>
              <w:widowControl w:val="0"/>
              <w:numPr>
                <w:ilvl w:val="0"/>
                <w:numId w:val="2"/>
              </w:numPr>
              <w:tabs>
                <w:tab w:val="left" w:pos="8577"/>
              </w:tabs>
              <w:kinsoku/>
              <w:wordWrap/>
              <w:overflowPunct/>
              <w:topLinePunct w:val="0"/>
              <w:autoSpaceDE/>
              <w:autoSpaceDN/>
              <w:bidi w:val="0"/>
              <w:adjustRightInd/>
              <w:spacing w:line="360" w:lineRule="auto"/>
              <w:ind w:left="0" w:leftChars="0" w:right="0" w:rightChars="0" w:firstLine="482" w:firstLineChars="200"/>
              <w:textAlignment w:val="auto"/>
              <w:rPr>
                <w:rFonts w:hint="default" w:ascii="Times New Roman" w:hAnsi="Times New Roman" w:eastAsia="宋体" w:cs="Times New Roman"/>
                <w:b/>
                <w:bCs/>
                <w:color w:val="000000"/>
                <w:sz w:val="24"/>
                <w:szCs w:val="24"/>
                <w:highlight w:val="none"/>
                <w:lang w:val="en-US" w:eastAsia="zh-CN"/>
              </w:rPr>
            </w:pPr>
            <w:r>
              <w:rPr>
                <w:rFonts w:hint="default" w:ascii="Times New Roman" w:hAnsi="Times New Roman" w:eastAsia="宋体" w:cs="Times New Roman"/>
                <w:b/>
                <w:bCs/>
                <w:color w:val="000000"/>
                <w:sz w:val="24"/>
                <w:szCs w:val="24"/>
                <w:highlight w:val="none"/>
                <w:lang w:val="en-US" w:eastAsia="zh-CN"/>
              </w:rPr>
              <w:t>排污口设置及监测计划</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rPr>
                <w:rFonts w:hint="default"/>
                <w:b w:val="0"/>
                <w:bCs w:val="0"/>
                <w:lang w:val="en-US" w:eastAsia="zh-CN"/>
              </w:rPr>
            </w:pPr>
            <w:r>
              <w:rPr>
                <w:rFonts w:hint="default" w:ascii="Times New Roman" w:hAnsi="Times New Roman" w:eastAsia="宋体" w:cs="Times New Roman"/>
                <w:b/>
                <w:color w:val="000000" w:themeColor="text1"/>
                <w:sz w:val="24"/>
                <w:szCs w:val="24"/>
                <w:highlight w:val="none"/>
                <w:lang w:eastAsia="zh-CN"/>
                <w14:textFill>
                  <w14:solidFill>
                    <w14:schemeClr w14:val="tx1"/>
                  </w14:solidFill>
                </w14:textFill>
              </w:rPr>
              <w:t>表4</w:t>
            </w:r>
            <w:r>
              <w:rPr>
                <w:rFonts w:hint="default" w:ascii="Times New Roman" w:hAnsi="Times New Roman" w:eastAsia="宋体" w:cs="Times New Roman"/>
                <w:b/>
                <w:color w:val="000000" w:themeColor="text1"/>
                <w:sz w:val="24"/>
                <w:szCs w:val="24"/>
                <w:highlight w:val="none"/>
                <w14:textFill>
                  <w14:solidFill>
                    <w14:schemeClr w14:val="tx1"/>
                  </w14:solidFill>
                </w14:textFill>
              </w:rPr>
              <w:t>-</w:t>
            </w:r>
            <w:r>
              <w:rPr>
                <w:rFonts w:hint="eastAsia" w:cs="Times New Roman"/>
                <w:b/>
                <w:color w:val="000000" w:themeColor="text1"/>
                <w:sz w:val="24"/>
                <w:szCs w:val="24"/>
                <w:highlight w:val="none"/>
                <w:lang w:val="en-US" w:eastAsia="zh-CN"/>
                <w14:textFill>
                  <w14:solidFill>
                    <w14:schemeClr w14:val="tx1"/>
                  </w14:solidFill>
                </w14:textFill>
              </w:rPr>
              <w:t xml:space="preserve">9  </w:t>
            </w:r>
            <w:r>
              <w:rPr>
                <w:rFonts w:hint="default" w:ascii="Times New Roman" w:hAnsi="Times New Roman" w:eastAsia="宋体" w:cs="Times New Roman"/>
                <w:b/>
                <w:color w:val="000000" w:themeColor="text1"/>
                <w:sz w:val="24"/>
                <w:szCs w:val="24"/>
                <w:highlight w:val="none"/>
                <w14:textFill>
                  <w14:solidFill>
                    <w14:schemeClr w14:val="tx1"/>
                  </w14:solidFill>
                </w14:textFill>
              </w:rPr>
              <w:t>环境监测计划及记录信息表</w:t>
            </w:r>
          </w:p>
          <w:tbl>
            <w:tblPr>
              <w:tblStyle w:val="37"/>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
              <w:gridCol w:w="633"/>
              <w:gridCol w:w="805"/>
              <w:gridCol w:w="509"/>
              <w:gridCol w:w="764"/>
              <w:gridCol w:w="961"/>
              <w:gridCol w:w="672"/>
              <w:gridCol w:w="728"/>
              <w:gridCol w:w="711"/>
              <w:gridCol w:w="509"/>
              <w:gridCol w:w="1997"/>
            </w:tblGrid>
            <w:tr>
              <w:tblPrEx>
                <w:tblLayout w:type="fixed"/>
              </w:tblPrEx>
              <w:trPr>
                <w:trHeight w:val="283" w:hRule="atLeast"/>
                <w:jc w:val="center"/>
              </w:trPr>
              <w:tc>
                <w:tcPr>
                  <w:tcW w:w="3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14:textFill>
                        <w14:solidFill>
                          <w14:schemeClr w14:val="tx1"/>
                        </w14:solidFill>
                      </w14:textFill>
                    </w:rPr>
                    <w:t>序号</w:t>
                  </w:r>
                </w:p>
              </w:tc>
              <w:tc>
                <w:tcPr>
                  <w:tcW w:w="63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14:textFill>
                        <w14:solidFill>
                          <w14:schemeClr w14:val="tx1"/>
                        </w14:solidFill>
                      </w14:textFill>
                    </w:rPr>
                    <w:t>排放口编号</w:t>
                  </w:r>
                </w:p>
              </w:tc>
              <w:tc>
                <w:tcPr>
                  <w:tcW w:w="8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14:textFill>
                        <w14:solidFill>
                          <w14:schemeClr w14:val="tx1"/>
                        </w14:solidFill>
                      </w14:textFill>
                    </w:rPr>
                    <w:t>污染物名称</w:t>
                  </w:r>
                </w:p>
              </w:tc>
              <w:tc>
                <w:tcPr>
                  <w:tcW w:w="5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14:textFill>
                        <w14:solidFill>
                          <w14:schemeClr w14:val="tx1"/>
                        </w14:solidFill>
                      </w14:textFill>
                    </w:rPr>
                    <w:t>监测设施</w:t>
                  </w:r>
                </w:p>
              </w:tc>
              <w:tc>
                <w:tcPr>
                  <w:tcW w:w="76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14:textFill>
                        <w14:solidFill>
                          <w14:schemeClr w14:val="tx1"/>
                        </w14:solidFill>
                      </w14:textFill>
                    </w:rPr>
                    <w:t>自动监测设施安装位置</w:t>
                  </w:r>
                </w:p>
              </w:tc>
              <w:tc>
                <w:tcPr>
                  <w:tcW w:w="96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14:textFill>
                        <w14:solidFill>
                          <w14:schemeClr w14:val="tx1"/>
                        </w14:solidFill>
                      </w14:textFill>
                    </w:rPr>
                    <w:t>自动监测设施的安装、运行、维护等相关管理要求</w:t>
                  </w:r>
                </w:p>
              </w:tc>
              <w:tc>
                <w:tcPr>
                  <w:tcW w:w="67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14:textFill>
                        <w14:solidFill>
                          <w14:schemeClr w14:val="tx1"/>
                        </w14:solidFill>
                      </w14:textFill>
                    </w:rPr>
                    <w:t>自动监测是否联网</w:t>
                  </w:r>
                </w:p>
              </w:tc>
              <w:tc>
                <w:tcPr>
                  <w:tcW w:w="72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14:textFill>
                        <w14:solidFill>
                          <w14:schemeClr w14:val="tx1"/>
                        </w14:solidFill>
                      </w14:textFill>
                    </w:rPr>
                    <w:t>自动监测仪器名称</w:t>
                  </w:r>
                </w:p>
              </w:tc>
              <w:tc>
                <w:tcPr>
                  <w:tcW w:w="7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14:textFill>
                        <w14:solidFill>
                          <w14:schemeClr w14:val="tx1"/>
                        </w14:solidFill>
                      </w14:textFill>
                    </w:rPr>
                    <w:t>手工监测采样方法及个数</w:t>
                  </w:r>
                </w:p>
              </w:tc>
              <w:tc>
                <w:tcPr>
                  <w:tcW w:w="5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14:textFill>
                        <w14:solidFill>
                          <w14:schemeClr w14:val="tx1"/>
                        </w14:solidFill>
                      </w14:textFill>
                    </w:rPr>
                    <w:t>手工监测频次</w:t>
                  </w:r>
                </w:p>
              </w:tc>
              <w:tc>
                <w:tcPr>
                  <w:tcW w:w="199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14:textFill>
                        <w14:solidFill>
                          <w14:schemeClr w14:val="tx1"/>
                        </w14:solidFill>
                      </w14:textFill>
                    </w:rPr>
                    <w:t>手工监测方法</w:t>
                  </w:r>
                </w:p>
              </w:tc>
            </w:tr>
            <w:tr>
              <w:tblPrEx>
                <w:tblLayout w:type="fixed"/>
              </w:tblPrEx>
              <w:trPr>
                <w:trHeight w:val="283" w:hRule="atLeast"/>
                <w:jc w:val="center"/>
              </w:trPr>
              <w:tc>
                <w:tcPr>
                  <w:tcW w:w="3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r>
                    <w:rPr>
                      <w:rFonts w:hint="default" w:ascii="Times New Roman" w:hAnsi="Times New Roman" w:cs="Times New Roman"/>
                      <w:color w:val="000000" w:themeColor="text1"/>
                      <w:kern w:val="2"/>
                      <w:sz w:val="21"/>
                      <w:szCs w:val="21"/>
                      <w:highlight w:val="none"/>
                      <w14:textFill>
                        <w14:solidFill>
                          <w14:schemeClr w14:val="tx1"/>
                        </w14:solidFill>
                      </w14:textFill>
                    </w:rPr>
                    <w:t>1</w:t>
                  </w:r>
                </w:p>
              </w:tc>
              <w:tc>
                <w:tcPr>
                  <w:tcW w:w="63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kern w:val="2"/>
                      <w:sz w:val="21"/>
                      <w:szCs w:val="21"/>
                      <w:highlight w:val="none"/>
                      <w:lang w:val="en-US" w:eastAsia="zh-CN"/>
                      <w14:textFill>
                        <w14:solidFill>
                          <w14:schemeClr w14:val="tx1"/>
                        </w14:solidFill>
                      </w14:textFill>
                    </w:rPr>
                    <w:t>DW001</w:t>
                  </w:r>
                </w:p>
              </w:tc>
              <w:tc>
                <w:tcPr>
                  <w:tcW w:w="8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kern w:val="2"/>
                      <w:sz w:val="21"/>
                      <w:szCs w:val="21"/>
                      <w:highlight w:val="none"/>
                      <w:lang w:val="en-US" w:eastAsia="zh-CN"/>
                      <w14:textFill>
                        <w14:solidFill>
                          <w14:schemeClr w14:val="tx1"/>
                        </w14:solidFill>
                      </w14:textFill>
                    </w:rPr>
                    <w:t>pH</w:t>
                  </w:r>
                </w:p>
              </w:tc>
              <w:tc>
                <w:tcPr>
                  <w:tcW w:w="509"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r>
                    <w:rPr>
                      <w:rFonts w:hint="default" w:ascii="Times New Roman" w:hAnsi="Times New Roman" w:cs="Times New Roman"/>
                      <w:color w:val="000000" w:themeColor="text1"/>
                      <w:kern w:val="2"/>
                      <w:sz w:val="21"/>
                      <w:szCs w:val="21"/>
                      <w:highlight w:val="none"/>
                      <w14:textFill>
                        <w14:solidFill>
                          <w14:schemeClr w14:val="tx1"/>
                        </w14:solidFill>
                      </w14:textFill>
                    </w:rPr>
                    <w:t>未设置</w:t>
                  </w:r>
                </w:p>
              </w:tc>
              <w:tc>
                <w:tcPr>
                  <w:tcW w:w="76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r>
                    <w:rPr>
                      <w:rFonts w:hint="default" w:ascii="Times New Roman" w:hAnsi="Times New Roman" w:cs="Times New Roman"/>
                      <w:color w:val="000000" w:themeColor="text1"/>
                      <w:kern w:val="2"/>
                      <w:sz w:val="21"/>
                      <w:szCs w:val="21"/>
                      <w:highlight w:val="none"/>
                      <w14:textFill>
                        <w14:solidFill>
                          <w14:schemeClr w14:val="tx1"/>
                        </w14:solidFill>
                      </w14:textFill>
                    </w:rPr>
                    <w:t>未设置</w:t>
                  </w:r>
                </w:p>
              </w:tc>
              <w:tc>
                <w:tcPr>
                  <w:tcW w:w="961"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r>
                    <w:rPr>
                      <w:rFonts w:hint="default" w:ascii="Times New Roman" w:hAnsi="Times New Roman" w:cs="Times New Roman"/>
                      <w:color w:val="000000" w:themeColor="text1"/>
                      <w:kern w:val="2"/>
                      <w:sz w:val="21"/>
                      <w:szCs w:val="21"/>
                      <w:highlight w:val="none"/>
                      <w14:textFill>
                        <w14:solidFill>
                          <w14:schemeClr w14:val="tx1"/>
                        </w14:solidFill>
                      </w14:textFill>
                    </w:rPr>
                    <w:t>未设置</w:t>
                  </w:r>
                </w:p>
              </w:tc>
              <w:tc>
                <w:tcPr>
                  <w:tcW w:w="67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highlight w:val="none"/>
                      <w:lang w:eastAsia="zh-CN"/>
                      <w14:textFill>
                        <w14:solidFill>
                          <w14:schemeClr w14:val="tx1"/>
                        </w14:solidFill>
                      </w14:textFill>
                    </w:rPr>
                  </w:pPr>
                  <w:r>
                    <w:rPr>
                      <w:rFonts w:hint="default" w:ascii="Times New Roman" w:hAnsi="Times New Roman" w:cs="Times New Roman"/>
                      <w:color w:val="000000" w:themeColor="text1"/>
                      <w:kern w:val="2"/>
                      <w:sz w:val="21"/>
                      <w:szCs w:val="21"/>
                      <w:highlight w:val="none"/>
                      <w:lang w:val="en-US" w:eastAsia="zh-CN"/>
                      <w14:textFill>
                        <w14:solidFill>
                          <w14:schemeClr w14:val="tx1"/>
                        </w14:solidFill>
                      </w14:textFill>
                    </w:rPr>
                    <w:t>/</w:t>
                  </w:r>
                </w:p>
              </w:tc>
              <w:tc>
                <w:tcPr>
                  <w:tcW w:w="72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r>
                    <w:rPr>
                      <w:rFonts w:hint="default" w:ascii="Times New Roman" w:hAnsi="Times New Roman" w:cs="Times New Roman"/>
                      <w:color w:val="000000" w:themeColor="text1"/>
                      <w:kern w:val="2"/>
                      <w:sz w:val="21"/>
                      <w:szCs w:val="21"/>
                      <w:highlight w:val="none"/>
                      <w14:textFill>
                        <w14:solidFill>
                          <w14:schemeClr w14:val="tx1"/>
                        </w14:solidFill>
                      </w14:textFill>
                    </w:rPr>
                    <w:t>未设置</w:t>
                  </w:r>
                </w:p>
              </w:tc>
              <w:tc>
                <w:tcPr>
                  <w:tcW w:w="711"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r>
                    <w:rPr>
                      <w:rFonts w:hint="default" w:ascii="Times New Roman" w:hAnsi="Times New Roman" w:cs="Times New Roman"/>
                      <w:color w:val="000000" w:themeColor="text1"/>
                      <w:kern w:val="2"/>
                      <w:sz w:val="21"/>
                      <w:szCs w:val="21"/>
                      <w:highlight w:val="none"/>
                      <w14:textFill>
                        <w14:solidFill>
                          <w14:schemeClr w14:val="tx1"/>
                        </w14:solidFill>
                      </w14:textFill>
                    </w:rPr>
                    <w:t>瞬时采样3个</w:t>
                  </w:r>
                </w:p>
              </w:tc>
              <w:tc>
                <w:tcPr>
                  <w:tcW w:w="509"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r>
                    <w:rPr>
                      <w:rFonts w:hint="default" w:ascii="Times New Roman" w:hAnsi="Times New Roman" w:cs="Times New Roman"/>
                      <w:color w:val="000000" w:themeColor="text1"/>
                      <w:kern w:val="2"/>
                      <w:sz w:val="21"/>
                      <w:szCs w:val="21"/>
                      <w:highlight w:val="none"/>
                      <w:lang w:val="en-US" w:eastAsia="zh-CN"/>
                      <w14:textFill>
                        <w14:solidFill>
                          <w14:schemeClr w14:val="tx1"/>
                        </w14:solidFill>
                      </w14:textFill>
                    </w:rPr>
                    <w:t>每季度1次，每次</w:t>
                  </w:r>
                  <w:r>
                    <w:rPr>
                      <w:rFonts w:hint="default" w:ascii="Times New Roman" w:hAnsi="Times New Roman" w:cs="Times New Roman"/>
                      <w:color w:val="000000" w:themeColor="text1"/>
                      <w:kern w:val="2"/>
                      <w:sz w:val="21"/>
                      <w:szCs w:val="21"/>
                      <w:highlight w:val="none"/>
                      <w14:textFill>
                        <w14:solidFill>
                          <w14:schemeClr w14:val="tx1"/>
                        </w14:solidFill>
                      </w14:textFill>
                    </w:rPr>
                    <w:t>连续2天，每天4次</w:t>
                  </w:r>
                </w:p>
              </w:tc>
              <w:tc>
                <w:tcPr>
                  <w:tcW w:w="199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eastAsia="宋体" w:cs="Times New Roman"/>
                      <w:color w:val="000000" w:themeColor="text1"/>
                      <w:kern w:val="2"/>
                      <w:sz w:val="21"/>
                      <w:szCs w:val="21"/>
                      <w:highlight w:val="none"/>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lang w:val="en-US" w:eastAsia="zh-CN"/>
                      <w14:textFill>
                        <w14:solidFill>
                          <w14:schemeClr w14:val="tx1"/>
                        </w14:solidFill>
                      </w14:textFill>
                    </w:rPr>
                    <w:t>《水质pH值的测定电极法》（HJ1147-2020）</w:t>
                  </w:r>
                </w:p>
              </w:tc>
            </w:tr>
            <w:tr>
              <w:tblPrEx>
                <w:tblLayout w:type="fixed"/>
              </w:tblPrEx>
              <w:trPr>
                <w:trHeight w:val="283" w:hRule="atLeast"/>
                <w:jc w:val="center"/>
              </w:trPr>
              <w:tc>
                <w:tcPr>
                  <w:tcW w:w="3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r>
                    <w:rPr>
                      <w:rFonts w:hint="default" w:ascii="Times New Roman" w:hAnsi="Times New Roman" w:cs="Times New Roman"/>
                      <w:color w:val="000000" w:themeColor="text1"/>
                      <w:kern w:val="2"/>
                      <w:sz w:val="21"/>
                      <w:szCs w:val="21"/>
                      <w:highlight w:val="none"/>
                      <w14:textFill>
                        <w14:solidFill>
                          <w14:schemeClr w14:val="tx1"/>
                        </w14:solidFill>
                      </w14:textFill>
                    </w:rPr>
                    <w:t>2</w:t>
                  </w:r>
                </w:p>
              </w:tc>
              <w:tc>
                <w:tcPr>
                  <w:tcW w:w="63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lang w:val="en-US" w:eastAsia="zh-CN"/>
                      <w14:textFill>
                        <w14:solidFill>
                          <w14:schemeClr w14:val="tx1"/>
                        </w14:solidFill>
                      </w14:textFill>
                    </w:rPr>
                  </w:pPr>
                </w:p>
              </w:tc>
              <w:tc>
                <w:tcPr>
                  <w:tcW w:w="8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cs="Times New Roman"/>
                      <w:color w:val="000000" w:themeColor="text1"/>
                      <w:kern w:val="2"/>
                      <w:sz w:val="21"/>
                      <w:szCs w:val="21"/>
                      <w:highlight w:val="none"/>
                      <w14:textFill>
                        <w14:solidFill>
                          <w14:schemeClr w14:val="tx1"/>
                        </w14:solidFill>
                      </w14:textFill>
                    </w:rPr>
                    <w:t>COD</w:t>
                  </w:r>
                </w:p>
              </w:tc>
              <w:tc>
                <w:tcPr>
                  <w:tcW w:w="5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p>
              </w:tc>
              <w:tc>
                <w:tcPr>
                  <w:tcW w:w="76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p>
              </w:tc>
              <w:tc>
                <w:tcPr>
                  <w:tcW w:w="96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p>
              </w:tc>
              <w:tc>
                <w:tcPr>
                  <w:tcW w:w="67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lang w:val="en-US" w:eastAsia="zh-CN"/>
                      <w14:textFill>
                        <w14:solidFill>
                          <w14:schemeClr w14:val="tx1"/>
                        </w14:solidFill>
                      </w14:textFill>
                    </w:rPr>
                  </w:pPr>
                </w:p>
              </w:tc>
              <w:tc>
                <w:tcPr>
                  <w:tcW w:w="72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p>
              </w:tc>
              <w:tc>
                <w:tcPr>
                  <w:tcW w:w="71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p>
              </w:tc>
              <w:tc>
                <w:tcPr>
                  <w:tcW w:w="5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lang w:val="en-US" w:eastAsia="zh-CN"/>
                      <w14:textFill>
                        <w14:solidFill>
                          <w14:schemeClr w14:val="tx1"/>
                        </w14:solidFill>
                      </w14:textFill>
                    </w:rPr>
                  </w:pPr>
                </w:p>
              </w:tc>
              <w:tc>
                <w:tcPr>
                  <w:tcW w:w="199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2"/>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highlight w:val="none"/>
                      <w14:textFill>
                        <w14:solidFill>
                          <w14:schemeClr w14:val="tx1"/>
                        </w14:solidFill>
                      </w14:textFill>
                    </w:rPr>
                    <w:t>《水质化学需氧量的测定重铬酸盐法》（HJ828-2017）</w:t>
                  </w:r>
                </w:p>
              </w:tc>
            </w:tr>
            <w:tr>
              <w:tblPrEx>
                <w:tblLayout w:type="fixed"/>
              </w:tblPrEx>
              <w:trPr>
                <w:trHeight w:val="283" w:hRule="atLeast"/>
                <w:jc w:val="center"/>
              </w:trPr>
              <w:tc>
                <w:tcPr>
                  <w:tcW w:w="3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r>
                    <w:rPr>
                      <w:rFonts w:hint="default" w:ascii="Times New Roman" w:hAnsi="Times New Roman" w:cs="Times New Roman"/>
                      <w:color w:val="000000" w:themeColor="text1"/>
                      <w:kern w:val="2"/>
                      <w:sz w:val="21"/>
                      <w:szCs w:val="21"/>
                      <w:highlight w:val="none"/>
                      <w14:textFill>
                        <w14:solidFill>
                          <w14:schemeClr w14:val="tx1"/>
                        </w14:solidFill>
                      </w14:textFill>
                    </w:rPr>
                    <w:t>3</w:t>
                  </w:r>
                </w:p>
              </w:tc>
              <w:tc>
                <w:tcPr>
                  <w:tcW w:w="63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p>
              </w:tc>
              <w:tc>
                <w:tcPr>
                  <w:tcW w:w="8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r>
                    <w:rPr>
                      <w:rFonts w:hint="default" w:ascii="Times New Roman" w:hAnsi="Times New Roman" w:cs="Times New Roman"/>
                      <w:color w:val="000000" w:themeColor="text1"/>
                      <w:kern w:val="2"/>
                      <w:sz w:val="21"/>
                      <w:szCs w:val="21"/>
                      <w:highlight w:val="none"/>
                      <w14:textFill>
                        <w14:solidFill>
                          <w14:schemeClr w14:val="tx1"/>
                        </w14:solidFill>
                      </w14:textFill>
                    </w:rPr>
                    <w:t>BOD</w:t>
                  </w:r>
                  <w:r>
                    <w:rPr>
                      <w:rFonts w:hint="default" w:ascii="Times New Roman" w:hAnsi="Times New Roman" w:cs="Times New Roman"/>
                      <w:color w:val="000000" w:themeColor="text1"/>
                      <w:kern w:val="2"/>
                      <w:sz w:val="21"/>
                      <w:szCs w:val="21"/>
                      <w:highlight w:val="none"/>
                      <w:vertAlign w:val="subscript"/>
                      <w14:textFill>
                        <w14:solidFill>
                          <w14:schemeClr w14:val="tx1"/>
                        </w14:solidFill>
                      </w14:textFill>
                    </w:rPr>
                    <w:t>5</w:t>
                  </w:r>
                </w:p>
              </w:tc>
              <w:tc>
                <w:tcPr>
                  <w:tcW w:w="5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p>
              </w:tc>
              <w:tc>
                <w:tcPr>
                  <w:tcW w:w="76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p>
              </w:tc>
              <w:tc>
                <w:tcPr>
                  <w:tcW w:w="96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p>
              </w:tc>
              <w:tc>
                <w:tcPr>
                  <w:tcW w:w="67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p>
              </w:tc>
              <w:tc>
                <w:tcPr>
                  <w:tcW w:w="72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p>
              </w:tc>
              <w:tc>
                <w:tcPr>
                  <w:tcW w:w="71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p>
              </w:tc>
              <w:tc>
                <w:tcPr>
                  <w:tcW w:w="5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p>
              </w:tc>
              <w:tc>
                <w:tcPr>
                  <w:tcW w:w="199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r>
                    <w:rPr>
                      <w:rFonts w:hint="default" w:ascii="Times New Roman" w:hAnsi="Times New Roman" w:cs="Times New Roman"/>
                      <w:color w:val="000000" w:themeColor="text1"/>
                      <w:kern w:val="2"/>
                      <w:sz w:val="21"/>
                      <w:szCs w:val="21"/>
                      <w:highlight w:val="none"/>
                      <w14:textFill>
                        <w14:solidFill>
                          <w14:schemeClr w14:val="tx1"/>
                        </w14:solidFill>
                      </w14:textFill>
                    </w:rPr>
                    <w:t>《水质五日生化需氧量（BOD</w:t>
                  </w:r>
                  <w:r>
                    <w:rPr>
                      <w:rFonts w:hint="default" w:ascii="Times New Roman" w:hAnsi="Times New Roman" w:cs="Times New Roman"/>
                      <w:color w:val="000000" w:themeColor="text1"/>
                      <w:kern w:val="2"/>
                      <w:sz w:val="21"/>
                      <w:szCs w:val="21"/>
                      <w:highlight w:val="none"/>
                      <w:vertAlign w:val="subscript"/>
                      <w14:textFill>
                        <w14:solidFill>
                          <w14:schemeClr w14:val="tx1"/>
                        </w14:solidFill>
                      </w14:textFill>
                    </w:rPr>
                    <w:t>5</w:t>
                  </w:r>
                  <w:r>
                    <w:rPr>
                      <w:rFonts w:hint="default" w:ascii="Times New Roman" w:hAnsi="Times New Roman" w:cs="Times New Roman"/>
                      <w:color w:val="000000" w:themeColor="text1"/>
                      <w:kern w:val="2"/>
                      <w:sz w:val="21"/>
                      <w:szCs w:val="21"/>
                      <w:highlight w:val="none"/>
                      <w14:textFill>
                        <w14:solidFill>
                          <w14:schemeClr w14:val="tx1"/>
                        </w14:solidFill>
                      </w14:textFill>
                    </w:rPr>
                    <w:t>）的测定稀释和接种法》（HJ505-2009）</w:t>
                  </w:r>
                </w:p>
              </w:tc>
            </w:tr>
            <w:tr>
              <w:tblPrEx>
                <w:tblLayout w:type="fixed"/>
              </w:tblPrEx>
              <w:trPr>
                <w:trHeight w:val="283" w:hRule="atLeast"/>
                <w:jc w:val="center"/>
              </w:trPr>
              <w:tc>
                <w:tcPr>
                  <w:tcW w:w="3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r>
                    <w:rPr>
                      <w:rFonts w:hint="default" w:ascii="Times New Roman" w:hAnsi="Times New Roman" w:cs="Times New Roman"/>
                      <w:color w:val="000000" w:themeColor="text1"/>
                      <w:kern w:val="2"/>
                      <w:sz w:val="21"/>
                      <w:szCs w:val="21"/>
                      <w:highlight w:val="none"/>
                      <w14:textFill>
                        <w14:solidFill>
                          <w14:schemeClr w14:val="tx1"/>
                        </w14:solidFill>
                      </w14:textFill>
                    </w:rPr>
                    <w:t>4</w:t>
                  </w:r>
                </w:p>
              </w:tc>
              <w:tc>
                <w:tcPr>
                  <w:tcW w:w="63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p>
              </w:tc>
              <w:tc>
                <w:tcPr>
                  <w:tcW w:w="8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r>
                    <w:rPr>
                      <w:rFonts w:hint="default" w:ascii="Times New Roman" w:hAnsi="Times New Roman" w:cs="Times New Roman"/>
                      <w:color w:val="000000" w:themeColor="text1"/>
                      <w:kern w:val="2"/>
                      <w:sz w:val="21"/>
                      <w:szCs w:val="21"/>
                      <w:highlight w:val="none"/>
                      <w14:textFill>
                        <w14:solidFill>
                          <w14:schemeClr w14:val="tx1"/>
                        </w14:solidFill>
                      </w14:textFill>
                    </w:rPr>
                    <w:t>NH</w:t>
                  </w:r>
                  <w:r>
                    <w:rPr>
                      <w:rFonts w:hint="default" w:ascii="Times New Roman" w:hAnsi="Times New Roman" w:cs="Times New Roman"/>
                      <w:color w:val="000000" w:themeColor="text1"/>
                      <w:kern w:val="2"/>
                      <w:sz w:val="21"/>
                      <w:szCs w:val="21"/>
                      <w:highlight w:val="none"/>
                      <w:vertAlign w:val="subscript"/>
                      <w14:textFill>
                        <w14:solidFill>
                          <w14:schemeClr w14:val="tx1"/>
                        </w14:solidFill>
                      </w14:textFill>
                    </w:rPr>
                    <w:t>3</w:t>
                  </w:r>
                  <w:r>
                    <w:rPr>
                      <w:rFonts w:hint="default" w:ascii="Times New Roman" w:hAnsi="Times New Roman" w:cs="Times New Roman"/>
                      <w:color w:val="000000" w:themeColor="text1"/>
                      <w:kern w:val="2"/>
                      <w:sz w:val="21"/>
                      <w:szCs w:val="21"/>
                      <w:highlight w:val="none"/>
                      <w14:textFill>
                        <w14:solidFill>
                          <w14:schemeClr w14:val="tx1"/>
                        </w14:solidFill>
                      </w14:textFill>
                    </w:rPr>
                    <w:t>-N</w:t>
                  </w:r>
                </w:p>
              </w:tc>
              <w:tc>
                <w:tcPr>
                  <w:tcW w:w="5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p>
              </w:tc>
              <w:tc>
                <w:tcPr>
                  <w:tcW w:w="76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p>
              </w:tc>
              <w:tc>
                <w:tcPr>
                  <w:tcW w:w="96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p>
              </w:tc>
              <w:tc>
                <w:tcPr>
                  <w:tcW w:w="67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p>
              </w:tc>
              <w:tc>
                <w:tcPr>
                  <w:tcW w:w="72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p>
              </w:tc>
              <w:tc>
                <w:tcPr>
                  <w:tcW w:w="71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p>
              </w:tc>
              <w:tc>
                <w:tcPr>
                  <w:tcW w:w="5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p>
              </w:tc>
              <w:tc>
                <w:tcPr>
                  <w:tcW w:w="199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r>
                    <w:rPr>
                      <w:rFonts w:hint="default" w:ascii="Times New Roman" w:hAnsi="Times New Roman" w:cs="Times New Roman"/>
                      <w:color w:val="000000" w:themeColor="text1"/>
                      <w:kern w:val="2"/>
                      <w:sz w:val="21"/>
                      <w:szCs w:val="21"/>
                      <w:highlight w:val="none"/>
                      <w14:textFill>
                        <w14:solidFill>
                          <w14:schemeClr w14:val="tx1"/>
                        </w14:solidFill>
                      </w14:textFill>
                    </w:rPr>
                    <w:t>《水质氨氮的测定纳氏试剂分光光度法》（HJ535-2009）</w:t>
                  </w:r>
                </w:p>
              </w:tc>
            </w:tr>
            <w:tr>
              <w:tblPrEx>
                <w:tblLayout w:type="fixed"/>
              </w:tblPrEx>
              <w:trPr>
                <w:trHeight w:val="283" w:hRule="atLeast"/>
                <w:jc w:val="center"/>
              </w:trPr>
              <w:tc>
                <w:tcPr>
                  <w:tcW w:w="33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21"/>
                      <w:szCs w:val="21"/>
                      <w:highlight w:val="none"/>
                      <w:lang w:eastAsia="zh-CN"/>
                      <w14:textFill>
                        <w14:solidFill>
                          <w14:schemeClr w14:val="tx1"/>
                        </w14:solidFill>
                      </w14:textFill>
                    </w:rPr>
                  </w:pPr>
                  <w:r>
                    <w:rPr>
                      <w:rFonts w:hint="eastAsia" w:ascii="Times New Roman" w:hAnsi="Times New Roman" w:cs="Times New Roman"/>
                      <w:color w:val="000000" w:themeColor="text1"/>
                      <w:kern w:val="2"/>
                      <w:sz w:val="21"/>
                      <w:szCs w:val="21"/>
                      <w:highlight w:val="none"/>
                      <w:lang w:val="en-US" w:eastAsia="zh-CN"/>
                      <w14:textFill>
                        <w14:solidFill>
                          <w14:schemeClr w14:val="tx1"/>
                        </w14:solidFill>
                      </w14:textFill>
                    </w:rPr>
                    <w:t>5</w:t>
                  </w:r>
                </w:p>
              </w:tc>
              <w:tc>
                <w:tcPr>
                  <w:tcW w:w="63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p>
              </w:tc>
              <w:tc>
                <w:tcPr>
                  <w:tcW w:w="80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r>
                    <w:rPr>
                      <w:rFonts w:hint="default" w:ascii="Times New Roman" w:hAnsi="Times New Roman" w:cs="Times New Roman"/>
                      <w:color w:val="000000" w:themeColor="text1"/>
                      <w:kern w:val="2"/>
                      <w:sz w:val="21"/>
                      <w:szCs w:val="21"/>
                      <w:highlight w:val="none"/>
                      <w14:textFill>
                        <w14:solidFill>
                          <w14:schemeClr w14:val="tx1"/>
                        </w14:solidFill>
                      </w14:textFill>
                    </w:rPr>
                    <w:t>SS</w:t>
                  </w:r>
                </w:p>
              </w:tc>
              <w:tc>
                <w:tcPr>
                  <w:tcW w:w="5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p>
              </w:tc>
              <w:tc>
                <w:tcPr>
                  <w:tcW w:w="76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p>
              </w:tc>
              <w:tc>
                <w:tcPr>
                  <w:tcW w:w="96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p>
              </w:tc>
              <w:tc>
                <w:tcPr>
                  <w:tcW w:w="67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p>
              </w:tc>
              <w:tc>
                <w:tcPr>
                  <w:tcW w:w="72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p>
              </w:tc>
              <w:tc>
                <w:tcPr>
                  <w:tcW w:w="71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p>
              </w:tc>
              <w:tc>
                <w:tcPr>
                  <w:tcW w:w="5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p>
              </w:tc>
              <w:tc>
                <w:tcPr>
                  <w:tcW w:w="199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2"/>
                      <w:sz w:val="21"/>
                      <w:szCs w:val="21"/>
                      <w:highlight w:val="none"/>
                      <w14:textFill>
                        <w14:solidFill>
                          <w14:schemeClr w14:val="tx1"/>
                        </w14:solidFill>
                      </w14:textFill>
                    </w:rPr>
                  </w:pPr>
                  <w:r>
                    <w:rPr>
                      <w:rFonts w:hint="default" w:ascii="Times New Roman" w:hAnsi="Times New Roman" w:cs="Times New Roman"/>
                      <w:color w:val="000000" w:themeColor="text1"/>
                      <w:kern w:val="2"/>
                      <w:sz w:val="21"/>
                      <w:szCs w:val="21"/>
                      <w:highlight w:val="none"/>
                      <w14:textFill>
                        <w14:solidFill>
                          <w14:schemeClr w14:val="tx1"/>
                        </w14:solidFill>
                      </w14:textFill>
                    </w:rPr>
                    <w:t>《水质悬浮物的测定重量法》（GB11901-1989）</w:t>
                  </w:r>
                </w:p>
              </w:tc>
            </w:tr>
          </w:tbl>
          <w:p>
            <w:pPr>
              <w:keepNext w:val="0"/>
              <w:keepLines w:val="0"/>
              <w:pageBreakBefore w:val="0"/>
              <w:widowControl w:val="0"/>
              <w:tabs>
                <w:tab w:val="left" w:pos="8577"/>
              </w:tabs>
              <w:kinsoku/>
              <w:wordWrap/>
              <w:overflowPunct/>
              <w:topLinePunct w:val="0"/>
              <w:autoSpaceDE/>
              <w:autoSpaceDN/>
              <w:bidi w:val="0"/>
              <w:adjustRightInd/>
              <w:spacing w:line="360" w:lineRule="auto"/>
              <w:ind w:right="0" w:rightChars="0" w:firstLine="482" w:firstLineChars="200"/>
              <w:textAlignment w:val="auto"/>
              <w:rPr>
                <w:rFonts w:hint="default" w:ascii="Times New Roman" w:hAnsi="Times New Roman" w:cs="Times New Roman"/>
                <w:b/>
                <w:color w:val="auto"/>
                <w:sz w:val="24"/>
                <w:highlight w:val="none"/>
              </w:rPr>
            </w:pPr>
            <w:r>
              <w:rPr>
                <w:rFonts w:hint="eastAsia" w:cs="Times New Roman"/>
                <w:b/>
                <w:color w:val="auto"/>
                <w:sz w:val="24"/>
                <w:highlight w:val="none"/>
                <w:lang w:val="en-US" w:eastAsia="zh-CN"/>
              </w:rPr>
              <w:t>3</w:t>
            </w:r>
            <w:r>
              <w:rPr>
                <w:rFonts w:hint="eastAsia" w:cs="Times New Roman"/>
                <w:b/>
                <w:color w:val="auto"/>
                <w:sz w:val="24"/>
                <w:highlight w:val="none"/>
                <w:lang w:eastAsia="zh-CN"/>
              </w:rPr>
              <w:t>、</w:t>
            </w:r>
            <w:r>
              <w:rPr>
                <w:rFonts w:hint="default" w:ascii="Times New Roman" w:hAnsi="Times New Roman" w:cs="Times New Roman"/>
                <w:b/>
                <w:color w:val="auto"/>
                <w:sz w:val="24"/>
                <w:highlight w:val="none"/>
              </w:rPr>
              <w:t>污水处理措施分析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left"/>
              <w:textAlignment w:val="auto"/>
              <w:rPr>
                <w:rFonts w:hint="eastAsia" w:eastAsia="宋体" w:cs="Times New Roman"/>
                <w:color w:val="000000"/>
                <w:kern w:val="0"/>
                <w:sz w:val="24"/>
                <w:highlight w:val="none"/>
                <w:lang w:eastAsia="zh-CN"/>
              </w:rPr>
            </w:pPr>
            <w:r>
              <w:rPr>
                <w:rFonts w:hint="default" w:ascii="Times New Roman" w:hAnsi="Times New Roman" w:cs="Times New Roman"/>
                <w:color w:val="000000"/>
                <w:kern w:val="0"/>
                <w:sz w:val="24"/>
                <w:szCs w:val="24"/>
                <w:highlight w:val="none"/>
              </w:rPr>
              <w:t>本项目生活污水来自厂区日常</w:t>
            </w:r>
            <w:r>
              <w:rPr>
                <w:rFonts w:hint="eastAsia" w:ascii="Times New Roman" w:hAnsi="Times New Roman" w:cs="Times New Roman"/>
                <w:color w:val="000000"/>
                <w:kern w:val="0"/>
                <w:sz w:val="24"/>
                <w:szCs w:val="24"/>
                <w:highlight w:val="none"/>
                <w:lang w:val="en-US" w:eastAsia="zh-CN"/>
              </w:rPr>
              <w:t>运营中人员办公生活</w:t>
            </w:r>
            <w:r>
              <w:rPr>
                <w:rFonts w:hint="default" w:ascii="Times New Roman" w:hAnsi="Times New Roman" w:cs="Times New Roman"/>
                <w:color w:val="000000"/>
                <w:kern w:val="0"/>
                <w:sz w:val="24"/>
                <w:szCs w:val="24"/>
                <w:highlight w:val="none"/>
              </w:rPr>
              <w:t>，属于典型的城市生活用水，主要污染物成分为COD、BOD</w:t>
            </w:r>
            <w:r>
              <w:rPr>
                <w:rFonts w:hint="default" w:ascii="Times New Roman" w:hAnsi="Times New Roman" w:cs="Times New Roman"/>
                <w:color w:val="000000"/>
                <w:kern w:val="0"/>
                <w:sz w:val="24"/>
                <w:szCs w:val="24"/>
                <w:highlight w:val="none"/>
                <w:vertAlign w:val="subscript"/>
              </w:rPr>
              <w:t>5</w:t>
            </w:r>
            <w:r>
              <w:rPr>
                <w:rFonts w:hint="default" w:ascii="Times New Roman" w:hAnsi="Times New Roman" w:cs="Times New Roman"/>
                <w:color w:val="000000"/>
                <w:kern w:val="0"/>
                <w:sz w:val="24"/>
                <w:szCs w:val="24"/>
                <w:highlight w:val="none"/>
              </w:rPr>
              <w:t>、SS、NH</w:t>
            </w:r>
            <w:r>
              <w:rPr>
                <w:rFonts w:hint="default" w:ascii="Times New Roman" w:hAnsi="Times New Roman" w:cs="Times New Roman"/>
                <w:color w:val="000000"/>
                <w:kern w:val="0"/>
                <w:sz w:val="24"/>
                <w:szCs w:val="24"/>
                <w:highlight w:val="none"/>
                <w:vertAlign w:val="subscript"/>
              </w:rPr>
              <w:t>3</w:t>
            </w:r>
            <w:r>
              <w:rPr>
                <w:rFonts w:hint="default" w:ascii="Times New Roman" w:hAnsi="Times New Roman" w:cs="Times New Roman"/>
                <w:color w:val="000000"/>
                <w:kern w:val="0"/>
                <w:sz w:val="24"/>
                <w:szCs w:val="24"/>
                <w:highlight w:val="none"/>
              </w:rPr>
              <w:t>-N等，</w:t>
            </w:r>
            <w:r>
              <w:rPr>
                <w:rFonts w:hint="default" w:ascii="Times New Roman" w:hAnsi="Times New Roman" w:eastAsia="宋体" w:cs="Times New Roman"/>
                <w:color w:val="auto"/>
                <w:sz w:val="24"/>
                <w:lang w:val="en-US" w:eastAsia="zh-CN"/>
              </w:rPr>
              <w:t>依托安徽飞松机械股份有限公司</w:t>
            </w:r>
            <w:r>
              <w:rPr>
                <w:rFonts w:hint="default" w:ascii="Times New Roman" w:hAnsi="Times New Roman" w:eastAsia="宋体" w:cs="Times New Roman"/>
                <w:color w:val="auto"/>
                <w:sz w:val="24"/>
                <w:lang w:eastAsia="zh-CN"/>
              </w:rPr>
              <w:t>化粪池处理后</w:t>
            </w:r>
            <w:r>
              <w:rPr>
                <w:rFonts w:hint="default" w:ascii="Times New Roman" w:hAnsi="Times New Roman" w:cs="Times New Roman"/>
                <w:color w:val="000000"/>
                <w:kern w:val="0"/>
                <w:sz w:val="24"/>
                <w:szCs w:val="24"/>
                <w:highlight w:val="none"/>
              </w:rPr>
              <w:t>，可以达到</w:t>
            </w:r>
            <w:r>
              <w:rPr>
                <w:rFonts w:hint="default" w:ascii="Times New Roman" w:hAnsi="Times New Roman" w:eastAsia="宋体" w:cs="Times New Roman"/>
                <w:color w:val="auto"/>
                <w:sz w:val="24"/>
                <w:lang w:eastAsia="zh-CN"/>
              </w:rPr>
              <w:t>灵璧开发区北部新区污水处理厂</w:t>
            </w:r>
            <w:r>
              <w:rPr>
                <w:rFonts w:hint="default" w:ascii="Times New Roman" w:hAnsi="Times New Roman" w:cs="Times New Roman"/>
                <w:color w:val="000000"/>
                <w:kern w:val="0"/>
                <w:sz w:val="24"/>
                <w:szCs w:val="24"/>
                <w:highlight w:val="none"/>
                <w:lang w:val="en-US" w:eastAsia="zh-CN"/>
              </w:rPr>
              <w:t>接管标准</w:t>
            </w:r>
            <w:r>
              <w:rPr>
                <w:rFonts w:hint="default" w:ascii="Times New Roman" w:hAnsi="Times New Roman" w:cs="Times New Roman"/>
                <w:color w:val="000000"/>
                <w:kern w:val="0"/>
                <w:sz w:val="24"/>
                <w:szCs w:val="24"/>
                <w:highlight w:val="none"/>
              </w:rPr>
              <w:t>，满足</w:t>
            </w:r>
            <w:r>
              <w:rPr>
                <w:rFonts w:hint="default" w:ascii="Times New Roman" w:hAnsi="Times New Roman" w:eastAsia="宋体" w:cs="Times New Roman"/>
                <w:color w:val="auto"/>
                <w:sz w:val="24"/>
                <w:lang w:eastAsia="zh-CN"/>
              </w:rPr>
              <w:t>灵璧开发区北部新区污水处理厂</w:t>
            </w:r>
            <w:r>
              <w:rPr>
                <w:rFonts w:hint="default" w:ascii="Times New Roman" w:hAnsi="Times New Roman" w:cs="Times New Roman"/>
                <w:color w:val="000000"/>
                <w:kern w:val="0"/>
                <w:sz w:val="24"/>
                <w:szCs w:val="24"/>
                <w:highlight w:val="none"/>
              </w:rPr>
              <w:t>的进水水质要求</w:t>
            </w:r>
            <w:r>
              <w:rPr>
                <w:rFonts w:hint="eastAsia" w:ascii="Times New Roman" w:hAnsi="Times New Roman" w:cs="Times New Roman"/>
                <w:color w:val="000000"/>
                <w:sz w:val="24"/>
                <w:szCs w:val="24"/>
                <w:highlight w:val="none"/>
                <w:lang w:val="en-US" w:eastAsia="zh-CN"/>
              </w:rPr>
              <w:t>。</w:t>
            </w:r>
          </w:p>
          <w:p>
            <w:pPr>
              <w:keepNext w:val="0"/>
              <w:keepLines w:val="0"/>
              <w:pageBreakBefore w:val="0"/>
              <w:widowControl w:val="0"/>
              <w:tabs>
                <w:tab w:val="left" w:pos="8577"/>
              </w:tabs>
              <w:kinsoku/>
              <w:wordWrap/>
              <w:overflowPunct/>
              <w:topLinePunct w:val="0"/>
              <w:autoSpaceDE/>
              <w:autoSpaceDN/>
              <w:bidi w:val="0"/>
              <w:adjustRightInd/>
              <w:snapToGrid/>
              <w:spacing w:line="360" w:lineRule="auto"/>
              <w:ind w:right="0" w:rightChars="0" w:firstLine="482" w:firstLineChars="200"/>
              <w:textAlignment w:val="auto"/>
              <w:rPr>
                <w:rFonts w:hint="default" w:ascii="Times New Roman" w:hAnsi="Times New Roman" w:eastAsia="宋体" w:cs="Times New Roman"/>
                <w:b/>
                <w:color w:val="auto"/>
                <w:sz w:val="24"/>
                <w:highlight w:val="none"/>
                <w:lang w:val="en-US" w:eastAsia="zh-CN"/>
              </w:rPr>
            </w:pPr>
            <w:r>
              <w:rPr>
                <w:rFonts w:hint="eastAsia" w:ascii="Times New Roman" w:hAnsi="Times New Roman" w:eastAsia="宋体" w:cs="Times New Roman"/>
                <w:b/>
                <w:color w:val="auto"/>
                <w:sz w:val="24"/>
                <w:highlight w:val="none"/>
                <w:lang w:val="en-US" w:eastAsia="zh-CN"/>
              </w:rPr>
              <w:t>4、</w:t>
            </w:r>
            <w:r>
              <w:rPr>
                <w:rFonts w:hint="default" w:ascii="Times New Roman" w:hAnsi="Times New Roman" w:eastAsia="宋体" w:cs="Times New Roman"/>
                <w:b/>
                <w:color w:val="auto"/>
                <w:sz w:val="24"/>
                <w:highlight w:val="none"/>
                <w:lang w:val="en-US" w:eastAsia="zh-CN"/>
              </w:rPr>
              <w:t>污水接管可行性分析</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firstLine="480"/>
              <w:textAlignment w:val="baseline"/>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本项目所在区域属于灵璧县北部开发区污水处理厂收水范围。目前，项目区域污水管网已配套建设，废水接入市政污水管网，最终进入灵璧县北部开发区污水处理厂。灵璧县经济开发区北部污水处理厂位于北部新区内五台山路和唐河路交叉口西南，主要服务范围为整个北部新区服务区规划范围，面积为1906.55ha ，服务人口约27.3万人。一期工程设计污水处理能力2万m</w:t>
            </w:r>
            <w:r>
              <w:rPr>
                <w:rFonts w:hint="default" w:ascii="Times New Roman" w:hAnsi="Times New Roman" w:eastAsia="宋体" w:cs="Times New Roman"/>
                <w:color w:val="auto"/>
                <w:sz w:val="24"/>
                <w:vertAlign w:val="superscript"/>
                <w:lang w:eastAsia="zh-CN"/>
              </w:rPr>
              <w:t>3</w:t>
            </w:r>
            <w:r>
              <w:rPr>
                <w:rFonts w:hint="default" w:ascii="Times New Roman" w:hAnsi="Times New Roman" w:eastAsia="宋体" w:cs="Times New Roman"/>
                <w:color w:val="auto"/>
                <w:sz w:val="24"/>
                <w:lang w:eastAsia="zh-CN"/>
              </w:rPr>
              <w:t>/d，于2017年8月工建设，2018年10月全面完工，工艺采用预处理+深度处理+消毒工艺，污泥采用板框压滤机深度脱水工艺，出水执行《城镇污水处理厂污染物排放标准》（GB18918-2002）一级A标准，尾水排放至</w:t>
            </w:r>
            <w:r>
              <w:rPr>
                <w:rFonts w:hint="eastAsia" w:ascii="Times New Roman" w:hAnsi="Times New Roman" w:eastAsia="宋体" w:cs="Times New Roman"/>
                <w:color w:val="auto"/>
                <w:sz w:val="24"/>
                <w:lang w:eastAsia="zh-CN"/>
              </w:rPr>
              <w:t>阎河</w:t>
            </w:r>
            <w:r>
              <w:rPr>
                <w:rFonts w:hint="default" w:ascii="Times New Roman" w:hAnsi="Times New Roman" w:eastAsia="宋体" w:cs="Times New Roman"/>
                <w:color w:val="auto"/>
                <w:sz w:val="24"/>
                <w:lang w:eastAsia="zh-CN"/>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firstLine="480"/>
              <w:textAlignment w:val="baseline"/>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本项目运营期排放的主要为办公生活污水，主要污染物为CODcr、BOD5、SS、氨氮和动植物油等，食堂废水经隔油池处理，生活污水经化粪池处理，处理后的综合污水接入市政污水管网。处理后的综合污水满足灵璧开发区北部新区污水处理厂接管标准后。废水经市政污水管网进入灵璧县北部开发区污水处理厂，处理达到《城镇污水处理厂污染物排放标准》（GB18918-2002）中一级A标准后排入</w:t>
            </w:r>
            <w:r>
              <w:rPr>
                <w:rFonts w:hint="eastAsia" w:ascii="Times New Roman" w:hAnsi="Times New Roman" w:eastAsia="宋体" w:cs="Times New Roman"/>
                <w:color w:val="auto"/>
                <w:sz w:val="24"/>
                <w:lang w:eastAsia="zh-CN"/>
              </w:rPr>
              <w:t>阎河</w:t>
            </w:r>
            <w:r>
              <w:rPr>
                <w:rFonts w:hint="default" w:ascii="Times New Roman" w:hAnsi="Times New Roman" w:eastAsia="宋体" w:cs="Times New Roman"/>
                <w:color w:val="auto"/>
                <w:sz w:val="24"/>
                <w:lang w:eastAsia="zh-CN"/>
              </w:rPr>
              <w:t>，不会对</w:t>
            </w:r>
            <w:r>
              <w:rPr>
                <w:rFonts w:hint="eastAsia" w:ascii="Times New Roman" w:hAnsi="Times New Roman" w:eastAsia="宋体" w:cs="Times New Roman"/>
                <w:color w:val="auto"/>
                <w:sz w:val="24"/>
                <w:lang w:eastAsia="zh-CN"/>
              </w:rPr>
              <w:t>阎河</w:t>
            </w:r>
            <w:r>
              <w:rPr>
                <w:rFonts w:hint="default" w:ascii="Times New Roman" w:hAnsi="Times New Roman" w:eastAsia="宋体" w:cs="Times New Roman"/>
                <w:color w:val="auto"/>
                <w:sz w:val="24"/>
                <w:lang w:eastAsia="zh-CN"/>
              </w:rPr>
              <w:t>的水质造成影响。</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firstLine="480"/>
              <w:textAlignment w:val="baseline"/>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目前污水处理厂总规模2万m</w:t>
            </w:r>
            <w:r>
              <w:rPr>
                <w:rFonts w:hint="default" w:ascii="Times New Roman" w:hAnsi="Times New Roman" w:eastAsia="宋体" w:cs="Times New Roman"/>
                <w:color w:val="auto"/>
                <w:sz w:val="24"/>
                <w:vertAlign w:val="superscript"/>
                <w:lang w:eastAsia="zh-CN"/>
              </w:rPr>
              <w:t>3</w:t>
            </w:r>
            <w:r>
              <w:rPr>
                <w:rFonts w:hint="default" w:ascii="Times New Roman" w:hAnsi="Times New Roman" w:eastAsia="宋体" w:cs="Times New Roman"/>
                <w:color w:val="auto"/>
                <w:sz w:val="24"/>
                <w:lang w:eastAsia="zh-CN"/>
              </w:rPr>
              <w:t>/d，目前实际处理量为5000m</w:t>
            </w:r>
            <w:r>
              <w:rPr>
                <w:rFonts w:hint="default" w:ascii="Times New Roman" w:hAnsi="Times New Roman" w:eastAsia="宋体" w:cs="Times New Roman"/>
                <w:color w:val="auto"/>
                <w:sz w:val="24"/>
                <w:vertAlign w:val="superscript"/>
                <w:lang w:eastAsia="zh-CN"/>
              </w:rPr>
              <w:t>3</w:t>
            </w:r>
            <w:r>
              <w:rPr>
                <w:rFonts w:hint="default" w:ascii="Times New Roman" w:hAnsi="Times New Roman" w:eastAsia="宋体" w:cs="Times New Roman"/>
                <w:color w:val="auto"/>
                <w:sz w:val="24"/>
                <w:lang w:eastAsia="zh-CN"/>
              </w:rPr>
              <w:t>/d，尚留有15000m</w:t>
            </w:r>
            <w:r>
              <w:rPr>
                <w:rFonts w:hint="default" w:ascii="Times New Roman" w:hAnsi="Times New Roman" w:eastAsia="宋体" w:cs="Times New Roman"/>
                <w:color w:val="auto"/>
                <w:sz w:val="24"/>
                <w:vertAlign w:val="superscript"/>
                <w:lang w:eastAsia="zh-CN"/>
              </w:rPr>
              <w:t>3</w:t>
            </w:r>
            <w:r>
              <w:rPr>
                <w:rFonts w:hint="default" w:ascii="Times New Roman" w:hAnsi="Times New Roman" w:eastAsia="宋体" w:cs="Times New Roman"/>
                <w:color w:val="auto"/>
                <w:sz w:val="24"/>
                <w:lang w:eastAsia="zh-CN"/>
              </w:rPr>
              <w:t>/d的处理余量。本项目废水排放量为</w:t>
            </w:r>
            <w:r>
              <w:rPr>
                <w:rFonts w:hint="eastAsia" w:ascii="Times New Roman" w:hAnsi="Times New Roman" w:eastAsia="宋体" w:cs="Times New Roman"/>
                <w:color w:val="auto"/>
                <w:sz w:val="24"/>
                <w:lang w:val="en-US" w:eastAsia="zh-CN"/>
              </w:rPr>
              <w:t>0.8</w:t>
            </w:r>
            <w:r>
              <w:rPr>
                <w:rFonts w:hint="default" w:ascii="Times New Roman" w:hAnsi="Times New Roman" w:eastAsia="宋体" w:cs="Times New Roman"/>
                <w:color w:val="auto"/>
                <w:sz w:val="24"/>
                <w:lang w:eastAsia="zh-CN"/>
              </w:rPr>
              <w:t>m</w:t>
            </w:r>
            <w:r>
              <w:rPr>
                <w:rFonts w:hint="default" w:ascii="Times New Roman" w:hAnsi="Times New Roman" w:eastAsia="宋体" w:cs="Times New Roman"/>
                <w:color w:val="auto"/>
                <w:sz w:val="24"/>
                <w:vertAlign w:val="superscript"/>
                <w:lang w:eastAsia="zh-CN"/>
              </w:rPr>
              <w:t>3</w:t>
            </w:r>
            <w:r>
              <w:rPr>
                <w:rFonts w:hint="default" w:ascii="Times New Roman" w:hAnsi="Times New Roman" w:eastAsia="宋体" w:cs="Times New Roman"/>
                <w:color w:val="auto"/>
                <w:sz w:val="24"/>
                <w:lang w:eastAsia="zh-CN"/>
              </w:rPr>
              <w:t>/d，仅占余量的0.00</w:t>
            </w:r>
            <w:r>
              <w:rPr>
                <w:rFonts w:hint="eastAsia" w:ascii="Times New Roman" w:hAnsi="Times New Roman" w:eastAsia="宋体" w:cs="Times New Roman"/>
                <w:color w:val="auto"/>
                <w:sz w:val="24"/>
                <w:lang w:val="en-US" w:eastAsia="zh-CN"/>
              </w:rPr>
              <w:t>5</w:t>
            </w:r>
            <w:r>
              <w:rPr>
                <w:rFonts w:hint="default" w:ascii="Times New Roman" w:hAnsi="Times New Roman" w:eastAsia="宋体" w:cs="Times New Roman"/>
                <w:color w:val="auto"/>
                <w:sz w:val="24"/>
                <w:lang w:eastAsia="zh-CN"/>
              </w:rPr>
              <w:t>%，不会对污水处理厂的正常运行造成冲击。</w:t>
            </w:r>
          </w:p>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firstLine="480"/>
              <w:textAlignment w:val="baseline"/>
              <w:rPr>
                <w:rFonts w:hint="default"/>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综上，本项目废水接管排入</w:t>
            </w:r>
            <w:r>
              <w:rPr>
                <w:rFonts w:hint="default" w:ascii="Times New Roman" w:hAnsi="Times New Roman" w:eastAsia="宋体" w:cs="Times New Roman"/>
                <w:color w:val="auto"/>
                <w:sz w:val="24"/>
                <w:lang w:eastAsia="zh-CN"/>
              </w:rPr>
              <w:t>灵璧县经济开发区北部污水处理厂</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是可行的</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w:t>
            </w:r>
          </w:p>
        </w:tc>
      </w:tr>
    </w:tbl>
    <w:p>
      <w:pPr>
        <w:pStyle w:val="5"/>
        <w:bidi w:val="0"/>
        <w:rPr>
          <w:rFonts w:hint="default"/>
          <w:color w:val="000000" w:themeColor="text1"/>
          <w:highlight w:val="none"/>
          <w14:textFill>
            <w14:solidFill>
              <w14:schemeClr w14:val="tx1"/>
            </w14:solidFill>
          </w14:textFill>
        </w:rPr>
        <w:sectPr>
          <w:pgSz w:w="11906" w:h="16838"/>
          <w:pgMar w:top="1417" w:right="1417" w:bottom="1417" w:left="1417" w:header="851" w:footer="992" w:gutter="0"/>
          <w:pgBorders>
            <w:top w:val="none" w:color="auto" w:sz="0" w:space="0"/>
            <w:left w:val="none" w:color="auto" w:sz="0" w:space="0"/>
            <w:bottom w:val="none" w:color="auto" w:sz="0" w:space="0"/>
            <w:right w:val="none" w:color="auto" w:sz="0" w:space="0"/>
          </w:pgBorders>
          <w:pgNumType w:fmt="decimal"/>
          <w:cols w:space="425" w:num="1"/>
          <w:docGrid w:type="lines" w:linePitch="312" w:charSpace="0"/>
        </w:sect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3528"/>
      </w:tblGrid>
      <w:tr>
        <w:tblPrEx>
          <w:tblLayout w:type="fixed"/>
        </w:tblPrEx>
        <w:tc>
          <w:tcPr>
            <w:tcW w:w="646" w:type="dxa"/>
            <w:vAlign w:val="center"/>
          </w:tcPr>
          <w:p>
            <w:pPr>
              <w:ind w:left="0" w:leftChars="0" w:firstLine="0" w:firstLineChars="0"/>
              <w:jc w:val="center"/>
              <w:rPr>
                <w:rFonts w:hint="default"/>
                <w:color w:val="000000" w:themeColor="text1"/>
                <w:highlight w:val="none"/>
                <w:vertAlign w:val="baseline"/>
                <w14:textFill>
                  <w14:solidFill>
                    <w14:schemeClr w14:val="tx1"/>
                  </w14:solidFill>
                </w14:textFill>
              </w:rPr>
            </w:pPr>
            <w:r>
              <w:rPr>
                <w:rFonts w:hint="default" w:ascii="Times New Roman" w:hAnsi="Times New Roman" w:cs="Times New Roman"/>
                <w:b/>
                <w:bCs/>
                <w:color w:val="000000" w:themeColor="text1"/>
                <w:sz w:val="24"/>
                <w:szCs w:val="32"/>
                <w:highlight w:val="none"/>
                <w14:textFill>
                  <w14:solidFill>
                    <w14:schemeClr w14:val="tx1"/>
                  </w14:solidFill>
                </w14:textFill>
              </w:rPr>
              <w:t>运营期环境影响和保护措施</w:t>
            </w:r>
          </w:p>
        </w:tc>
        <w:tc>
          <w:tcPr>
            <w:tcW w:w="13528" w:type="dxa"/>
          </w:tcPr>
          <w:p>
            <w:pPr>
              <w:pStyle w:val="6"/>
              <w:keepNext w:val="0"/>
              <w:keepLines w:val="0"/>
              <w:pageBreakBefore w:val="0"/>
              <w:widowControl w:val="0"/>
              <w:kinsoku/>
              <w:wordWrap/>
              <w:overflowPunct/>
              <w:topLinePunct w:val="0"/>
              <w:autoSpaceDE/>
              <w:autoSpaceDN/>
              <w:bidi w:val="0"/>
              <w:textAlignment w:val="auto"/>
              <w:rPr>
                <w:rFonts w:hint="default"/>
                <w:b/>
                <w:bCs w:val="0"/>
                <w:color w:val="000000" w:themeColor="text1"/>
                <w:highlight w:val="none"/>
                <w14:textFill>
                  <w14:solidFill>
                    <w14:schemeClr w14:val="tx1"/>
                  </w14:solidFill>
                </w14:textFill>
              </w:rPr>
            </w:pPr>
            <w:r>
              <w:rPr>
                <w:rFonts w:hint="default"/>
                <w:b/>
                <w:bCs w:val="0"/>
                <w:color w:val="000000" w:themeColor="text1"/>
                <w:highlight w:val="none"/>
                <w14:textFill>
                  <w14:solidFill>
                    <w14:schemeClr w14:val="tx1"/>
                  </w14:solidFill>
                </w14:textFill>
              </w:rPr>
              <w:t>三、噪声</w:t>
            </w:r>
          </w:p>
          <w:p>
            <w:pPr>
              <w:pStyle w:val="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default"/>
                <w:color w:val="000000" w:themeColor="text1"/>
                <w:highlight w:val="none"/>
                <w14:textFill>
                  <w14:solidFill>
                    <w14:schemeClr w14:val="tx1"/>
                  </w14:solidFill>
                </w14:textFill>
              </w:rPr>
              <w:t>噪声源强</w:t>
            </w:r>
          </w:p>
          <w:p>
            <w:pPr>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本项目的噪声源主要为切割机、打磨机、风机等，噪声源强在70~95</w:t>
            </w:r>
            <w:r>
              <w:rPr>
                <w:rFonts w:hint="default"/>
                <w:color w:val="000000" w:themeColor="text1"/>
                <w:highlight w:val="none"/>
                <w14:textFill>
                  <w14:solidFill>
                    <w14:schemeClr w14:val="tx1"/>
                  </w14:solidFill>
                </w14:textFill>
              </w:rPr>
              <w:t>dB（A），</w:t>
            </w:r>
            <w:r>
              <w:rPr>
                <w:rFonts w:hint="eastAsia"/>
                <w:color w:val="000000" w:themeColor="text1"/>
                <w:highlight w:val="none"/>
                <w:lang w:val="en-US" w:eastAsia="zh-CN"/>
                <w14:textFill>
                  <w14:solidFill>
                    <w14:schemeClr w14:val="tx1"/>
                  </w14:solidFill>
                </w14:textFill>
              </w:rPr>
              <w:t>本项目主要设备噪声源强见下表。</w:t>
            </w:r>
          </w:p>
          <w:p>
            <w:pPr>
              <w:pStyle w:val="3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val="0"/>
                <w:color w:val="000000" w:themeColor="text1"/>
                <w:highlight w:val="none"/>
                <w:lang w:val="en-US" w:eastAsia="zh-CN"/>
                <w14:textFill>
                  <w14:solidFill>
                    <w14:schemeClr w14:val="tx1"/>
                  </w14:solidFill>
                </w14:textFill>
              </w:rPr>
            </w:pPr>
            <w:r>
              <w:rPr>
                <w:rFonts w:hint="eastAsia"/>
                <w:b/>
                <w:bCs w:val="0"/>
                <w:color w:val="000000" w:themeColor="text1"/>
                <w:highlight w:val="none"/>
                <w:lang w:val="en-US" w:eastAsia="zh-CN"/>
                <w14:textFill>
                  <w14:solidFill>
                    <w14:schemeClr w14:val="tx1"/>
                  </w14:solidFill>
                </w14:textFill>
              </w:rPr>
              <w:t>表4-10  噪声污染源强核算表（室内）</w:t>
            </w:r>
          </w:p>
          <w:tbl>
            <w:tblPr>
              <w:tblStyle w:val="37"/>
              <w:tblW w:w="4972" w:type="pct"/>
              <w:jc w:val="center"/>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562"/>
              <w:gridCol w:w="932"/>
              <w:gridCol w:w="1104"/>
              <w:gridCol w:w="1170"/>
              <w:gridCol w:w="1137"/>
              <w:gridCol w:w="1232"/>
              <w:gridCol w:w="811"/>
              <w:gridCol w:w="845"/>
              <w:gridCol w:w="625"/>
              <w:gridCol w:w="1049"/>
              <w:gridCol w:w="681"/>
              <w:gridCol w:w="1078"/>
              <w:gridCol w:w="949"/>
              <w:gridCol w:w="1060"/>
            </w:tblGrid>
            <w:tr>
              <w:tblPrEx>
                <w:tblLayout w:type="fixed"/>
              </w:tblPrEx>
              <w:trPr>
                <w:trHeight w:val="227" w:hRule="atLeast"/>
                <w:jc w:val="center"/>
              </w:trPr>
              <w:tc>
                <w:tcPr>
                  <w:tcW w:w="562" w:type="dxa"/>
                  <w:vMerge w:val="restart"/>
                  <w:vAlign w:val="center"/>
                </w:tcPr>
                <w:p>
                  <w:pPr>
                    <w:pStyle w:val="47"/>
                    <w:keepNext w:val="0"/>
                    <w:keepLines w:val="0"/>
                    <w:pageBreakBefore w:val="0"/>
                    <w:widowControl w:val="0"/>
                    <w:kinsoku/>
                    <w:wordWrap/>
                    <w:overflowPunct/>
                    <w:topLinePunct w:val="0"/>
                    <w:autoSpaceDE/>
                    <w:autoSpaceDN/>
                    <w:bidi w:val="0"/>
                    <w:textAlignment w:val="auto"/>
                    <w:rPr>
                      <w:rFonts w:hint="default"/>
                      <w:b/>
                      <w:bCs/>
                      <w:color w:val="000000" w:themeColor="text1"/>
                      <w:highlight w:val="none"/>
                      <w14:textFill>
                        <w14:solidFill>
                          <w14:schemeClr w14:val="tx1"/>
                        </w14:solidFill>
                      </w14:textFill>
                    </w:rPr>
                  </w:pPr>
                  <w:r>
                    <w:rPr>
                      <w:rFonts w:hint="default"/>
                      <w:b/>
                      <w:bCs/>
                      <w:color w:val="000000" w:themeColor="text1"/>
                      <w:highlight w:val="none"/>
                      <w14:textFill>
                        <w14:solidFill>
                          <w14:schemeClr w14:val="tx1"/>
                        </w14:solidFill>
                      </w14:textFill>
                    </w:rPr>
                    <w:t>序号</w:t>
                  </w:r>
                </w:p>
              </w:tc>
              <w:tc>
                <w:tcPr>
                  <w:tcW w:w="932" w:type="dxa"/>
                  <w:vMerge w:val="restart"/>
                  <w:vAlign w:val="center"/>
                </w:tcPr>
                <w:p>
                  <w:pPr>
                    <w:pStyle w:val="47"/>
                    <w:keepNext w:val="0"/>
                    <w:keepLines w:val="0"/>
                    <w:pageBreakBefore w:val="0"/>
                    <w:widowControl w:val="0"/>
                    <w:kinsoku/>
                    <w:wordWrap/>
                    <w:overflowPunct/>
                    <w:topLinePunct w:val="0"/>
                    <w:autoSpaceDE/>
                    <w:autoSpaceDN/>
                    <w:bidi w:val="0"/>
                    <w:textAlignment w:val="auto"/>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建筑物名称</w:t>
                  </w:r>
                </w:p>
              </w:tc>
              <w:tc>
                <w:tcPr>
                  <w:tcW w:w="1104" w:type="dxa"/>
                  <w:vMerge w:val="restart"/>
                  <w:vAlign w:val="center"/>
                </w:tcPr>
                <w:p>
                  <w:pPr>
                    <w:pStyle w:val="47"/>
                    <w:keepNext w:val="0"/>
                    <w:keepLines w:val="0"/>
                    <w:pageBreakBefore w:val="0"/>
                    <w:widowControl w:val="0"/>
                    <w:kinsoku/>
                    <w:wordWrap/>
                    <w:overflowPunct/>
                    <w:topLinePunct w:val="0"/>
                    <w:autoSpaceDE/>
                    <w:autoSpaceDN/>
                    <w:bidi w:val="0"/>
                    <w:textAlignment w:val="auto"/>
                    <w:rPr>
                      <w:rFonts w:hint="default"/>
                      <w:b/>
                      <w:bCs/>
                      <w:color w:val="000000" w:themeColor="text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声源</w:t>
                  </w:r>
                  <w:r>
                    <w:rPr>
                      <w:rFonts w:hint="default"/>
                      <w:b/>
                      <w:bCs/>
                      <w:color w:val="000000" w:themeColor="text1"/>
                      <w:highlight w:val="none"/>
                      <w14:textFill>
                        <w14:solidFill>
                          <w14:schemeClr w14:val="tx1"/>
                        </w14:solidFill>
                      </w14:textFill>
                    </w:rPr>
                    <w:t>名称</w:t>
                  </w:r>
                </w:p>
              </w:tc>
              <w:tc>
                <w:tcPr>
                  <w:tcW w:w="1170" w:type="dxa"/>
                  <w:vMerge w:val="restart"/>
                  <w:vAlign w:val="center"/>
                </w:tcPr>
                <w:p>
                  <w:pPr>
                    <w:pStyle w:val="47"/>
                    <w:keepNext w:val="0"/>
                    <w:keepLines w:val="0"/>
                    <w:pageBreakBefore w:val="0"/>
                    <w:widowControl w:val="0"/>
                    <w:kinsoku/>
                    <w:wordWrap/>
                    <w:overflowPunct/>
                    <w:topLinePunct w:val="0"/>
                    <w:autoSpaceDE/>
                    <w:autoSpaceDN/>
                    <w:bidi w:val="0"/>
                    <w:textAlignment w:val="auto"/>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型号</w:t>
                  </w:r>
                </w:p>
              </w:tc>
              <w:tc>
                <w:tcPr>
                  <w:tcW w:w="1137" w:type="dxa"/>
                  <w:vMerge w:val="restart"/>
                  <w:vAlign w:val="center"/>
                </w:tcPr>
                <w:p>
                  <w:pPr>
                    <w:pStyle w:val="47"/>
                    <w:keepNext w:val="0"/>
                    <w:keepLines w:val="0"/>
                    <w:pageBreakBefore w:val="0"/>
                    <w:widowControl w:val="0"/>
                    <w:kinsoku/>
                    <w:wordWrap/>
                    <w:overflowPunct/>
                    <w:topLinePunct w:val="0"/>
                    <w:autoSpaceDE/>
                    <w:autoSpaceDN/>
                    <w:bidi w:val="0"/>
                    <w:textAlignment w:val="auto"/>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声功率级</w:t>
                  </w:r>
                  <w:r>
                    <w:rPr>
                      <w:rFonts w:hint="default"/>
                      <w:b/>
                      <w:bCs/>
                      <w:color w:val="000000" w:themeColor="text1"/>
                      <w:highlight w:val="none"/>
                      <w:lang w:val="en-US" w:eastAsia="zh-CN"/>
                      <w14:textFill>
                        <w14:solidFill>
                          <w14:schemeClr w14:val="tx1"/>
                        </w14:solidFill>
                      </w14:textFill>
                    </w:rPr>
                    <w:t>/dB(A)</w:t>
                  </w:r>
                </w:p>
              </w:tc>
              <w:tc>
                <w:tcPr>
                  <w:tcW w:w="1232" w:type="dxa"/>
                  <w:vMerge w:val="restart"/>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b/>
                      <w:bCs/>
                      <w:color w:val="000000" w:themeColor="text1"/>
                      <w:highlight w:val="none"/>
                      <w:lang w:val="en-US" w:eastAsia="zh-CN"/>
                      <w14:textFill>
                        <w14:solidFill>
                          <w14:schemeClr w14:val="tx1"/>
                        </w14:solidFill>
                      </w14:textFill>
                    </w:rPr>
                  </w:pPr>
                  <w:r>
                    <w:rPr>
                      <w:rFonts w:hint="default"/>
                      <w:b/>
                      <w:bCs/>
                      <w:color w:val="000000" w:themeColor="text1"/>
                      <w:highlight w:val="none"/>
                      <w:lang w:val="en-US" w:eastAsia="zh-CN"/>
                      <w14:textFill>
                        <w14:solidFill>
                          <w14:schemeClr w14:val="tx1"/>
                        </w14:solidFill>
                      </w14:textFill>
                    </w:rPr>
                    <w:t>治理措施</w:t>
                  </w:r>
                </w:p>
              </w:tc>
              <w:tc>
                <w:tcPr>
                  <w:tcW w:w="2281" w:type="dxa"/>
                  <w:gridSpan w:val="3"/>
                  <w:vAlign w:val="center"/>
                </w:tcPr>
                <w:p>
                  <w:pPr>
                    <w:pStyle w:val="47"/>
                    <w:keepNext w:val="0"/>
                    <w:keepLines w:val="0"/>
                    <w:pageBreakBefore w:val="0"/>
                    <w:widowControl w:val="0"/>
                    <w:kinsoku/>
                    <w:wordWrap/>
                    <w:overflowPunct/>
                    <w:topLinePunct w:val="0"/>
                    <w:autoSpaceDE/>
                    <w:autoSpaceDN/>
                    <w:bidi w:val="0"/>
                    <w:textAlignment w:val="auto"/>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空间相对位置/m</w:t>
                  </w:r>
                </w:p>
              </w:tc>
              <w:tc>
                <w:tcPr>
                  <w:tcW w:w="1049" w:type="dxa"/>
                  <w:vMerge w:val="restart"/>
                  <w:vAlign w:val="center"/>
                </w:tcPr>
                <w:p>
                  <w:pPr>
                    <w:pStyle w:val="47"/>
                    <w:keepNext w:val="0"/>
                    <w:keepLines w:val="0"/>
                    <w:pageBreakBefore w:val="0"/>
                    <w:widowControl w:val="0"/>
                    <w:kinsoku/>
                    <w:wordWrap/>
                    <w:overflowPunct/>
                    <w:topLinePunct w:val="0"/>
                    <w:autoSpaceDE/>
                    <w:autoSpaceDN/>
                    <w:bidi w:val="0"/>
                    <w:textAlignment w:val="auto"/>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室内边界声级</w:t>
                  </w:r>
                </w:p>
                <w:p>
                  <w:pPr>
                    <w:pStyle w:val="47"/>
                    <w:keepNext w:val="0"/>
                    <w:keepLines w:val="0"/>
                    <w:pageBreakBefore w:val="0"/>
                    <w:widowControl w:val="0"/>
                    <w:kinsoku/>
                    <w:wordWrap/>
                    <w:overflowPunct/>
                    <w:topLinePunct w:val="0"/>
                    <w:autoSpaceDE/>
                    <w:autoSpaceDN/>
                    <w:bidi w:val="0"/>
                    <w:textAlignment w:val="auto"/>
                    <w:rPr>
                      <w:rFonts w:hint="default"/>
                      <w:b/>
                      <w:bCs/>
                      <w:color w:val="000000" w:themeColor="text1"/>
                      <w:highlight w:val="none"/>
                      <w:lang w:val="en-US" w:eastAsia="zh-CN"/>
                      <w14:textFill>
                        <w14:solidFill>
                          <w14:schemeClr w14:val="tx1"/>
                        </w14:solidFill>
                      </w14:textFill>
                    </w:rPr>
                  </w:pPr>
                  <w:r>
                    <w:rPr>
                      <w:rFonts w:hint="default"/>
                      <w:b/>
                      <w:bCs/>
                      <w:color w:val="000000" w:themeColor="text1"/>
                      <w:highlight w:val="none"/>
                      <w:lang w:val="en-US" w:eastAsia="zh-CN"/>
                      <w14:textFill>
                        <w14:solidFill>
                          <w14:schemeClr w14:val="tx1"/>
                        </w14:solidFill>
                      </w14:textFill>
                    </w:rPr>
                    <w:t>/dB(A)</w:t>
                  </w:r>
                </w:p>
              </w:tc>
              <w:tc>
                <w:tcPr>
                  <w:tcW w:w="681" w:type="dxa"/>
                  <w:vMerge w:val="restart"/>
                  <w:vAlign w:val="center"/>
                </w:tcPr>
                <w:p>
                  <w:pPr>
                    <w:pStyle w:val="47"/>
                    <w:keepNext w:val="0"/>
                    <w:keepLines w:val="0"/>
                    <w:pageBreakBefore w:val="0"/>
                    <w:widowControl w:val="0"/>
                    <w:kinsoku/>
                    <w:wordWrap/>
                    <w:overflowPunct/>
                    <w:topLinePunct w:val="0"/>
                    <w:autoSpaceDE/>
                    <w:autoSpaceDN/>
                    <w:bidi w:val="0"/>
                    <w:textAlignment w:val="auto"/>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运行时段</w:t>
                  </w:r>
                </w:p>
              </w:tc>
              <w:tc>
                <w:tcPr>
                  <w:tcW w:w="1078" w:type="dxa"/>
                  <w:vMerge w:val="restart"/>
                  <w:vAlign w:val="center"/>
                </w:tcPr>
                <w:p>
                  <w:pPr>
                    <w:pStyle w:val="47"/>
                    <w:keepNext w:val="0"/>
                    <w:keepLines w:val="0"/>
                    <w:pageBreakBefore w:val="0"/>
                    <w:widowControl w:val="0"/>
                    <w:kinsoku/>
                    <w:wordWrap/>
                    <w:overflowPunct/>
                    <w:topLinePunct w:val="0"/>
                    <w:autoSpaceDE/>
                    <w:autoSpaceDN/>
                    <w:bidi w:val="0"/>
                    <w:textAlignment w:val="auto"/>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建筑物插入损失</w:t>
                  </w:r>
                  <w:r>
                    <w:rPr>
                      <w:rFonts w:hint="default"/>
                      <w:b/>
                      <w:bCs/>
                      <w:color w:val="000000" w:themeColor="text1"/>
                      <w:highlight w:val="none"/>
                      <w:lang w:val="en-US" w:eastAsia="zh-CN"/>
                      <w14:textFill>
                        <w14:solidFill>
                          <w14:schemeClr w14:val="tx1"/>
                        </w14:solidFill>
                      </w14:textFill>
                    </w:rPr>
                    <w:t>/ dB(A)</w:t>
                  </w:r>
                </w:p>
              </w:tc>
              <w:tc>
                <w:tcPr>
                  <w:tcW w:w="2009" w:type="dxa"/>
                  <w:gridSpan w:val="2"/>
                  <w:vAlign w:val="center"/>
                </w:tcPr>
                <w:p>
                  <w:pPr>
                    <w:pStyle w:val="47"/>
                    <w:keepNext w:val="0"/>
                    <w:keepLines w:val="0"/>
                    <w:pageBreakBefore w:val="0"/>
                    <w:widowControl w:val="0"/>
                    <w:kinsoku/>
                    <w:wordWrap/>
                    <w:overflowPunct/>
                    <w:topLinePunct w:val="0"/>
                    <w:autoSpaceDE/>
                    <w:autoSpaceDN/>
                    <w:bidi w:val="0"/>
                    <w:textAlignment w:val="auto"/>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建筑物外噪声</w:t>
                  </w:r>
                </w:p>
              </w:tc>
            </w:tr>
            <w:tr>
              <w:tblPrEx>
                <w:tblLayout w:type="fixed"/>
              </w:tblPrEx>
              <w:trPr>
                <w:trHeight w:val="457" w:hRule="atLeast"/>
                <w:jc w:val="center"/>
              </w:trPr>
              <w:tc>
                <w:tcPr>
                  <w:tcW w:w="562" w:type="dxa"/>
                  <w:vMerge w:val="continue"/>
                  <w:vAlign w:val="center"/>
                </w:tcPr>
                <w:p>
                  <w:pPr>
                    <w:pStyle w:val="47"/>
                    <w:keepNext w:val="0"/>
                    <w:keepLines w:val="0"/>
                    <w:pageBreakBefore w:val="0"/>
                    <w:widowControl w:val="0"/>
                    <w:kinsoku/>
                    <w:wordWrap/>
                    <w:overflowPunct/>
                    <w:topLinePunct w:val="0"/>
                    <w:autoSpaceDE/>
                    <w:autoSpaceDN/>
                    <w:bidi w:val="0"/>
                    <w:textAlignment w:val="auto"/>
                    <w:rPr>
                      <w:b/>
                      <w:bCs/>
                      <w:color w:val="000000" w:themeColor="text1"/>
                      <w:highlight w:val="none"/>
                      <w14:textFill>
                        <w14:solidFill>
                          <w14:schemeClr w14:val="tx1"/>
                        </w14:solidFill>
                      </w14:textFill>
                    </w:rPr>
                  </w:pPr>
                </w:p>
              </w:tc>
              <w:tc>
                <w:tcPr>
                  <w:tcW w:w="932" w:type="dxa"/>
                  <w:vMerge w:val="continue"/>
                  <w:vAlign w:val="center"/>
                </w:tcPr>
                <w:p>
                  <w:pPr>
                    <w:pStyle w:val="47"/>
                    <w:keepNext w:val="0"/>
                    <w:keepLines w:val="0"/>
                    <w:pageBreakBefore w:val="0"/>
                    <w:widowControl w:val="0"/>
                    <w:kinsoku/>
                    <w:wordWrap/>
                    <w:overflowPunct/>
                    <w:topLinePunct w:val="0"/>
                    <w:autoSpaceDE/>
                    <w:autoSpaceDN/>
                    <w:bidi w:val="0"/>
                    <w:textAlignment w:val="auto"/>
                    <w:rPr>
                      <w:b/>
                      <w:bCs/>
                      <w:color w:val="000000" w:themeColor="text1"/>
                      <w:highlight w:val="none"/>
                      <w14:textFill>
                        <w14:solidFill>
                          <w14:schemeClr w14:val="tx1"/>
                        </w14:solidFill>
                      </w14:textFill>
                    </w:rPr>
                  </w:pPr>
                </w:p>
              </w:tc>
              <w:tc>
                <w:tcPr>
                  <w:tcW w:w="1104" w:type="dxa"/>
                  <w:vMerge w:val="continue"/>
                  <w:vAlign w:val="center"/>
                </w:tcPr>
                <w:p>
                  <w:pPr>
                    <w:pStyle w:val="47"/>
                    <w:keepNext w:val="0"/>
                    <w:keepLines w:val="0"/>
                    <w:pageBreakBefore w:val="0"/>
                    <w:widowControl w:val="0"/>
                    <w:kinsoku/>
                    <w:wordWrap/>
                    <w:overflowPunct/>
                    <w:topLinePunct w:val="0"/>
                    <w:autoSpaceDE/>
                    <w:autoSpaceDN/>
                    <w:bidi w:val="0"/>
                    <w:textAlignment w:val="auto"/>
                    <w:rPr>
                      <w:b/>
                      <w:bCs/>
                      <w:color w:val="000000" w:themeColor="text1"/>
                      <w:highlight w:val="none"/>
                      <w14:textFill>
                        <w14:solidFill>
                          <w14:schemeClr w14:val="tx1"/>
                        </w14:solidFill>
                      </w14:textFill>
                    </w:rPr>
                  </w:pPr>
                </w:p>
              </w:tc>
              <w:tc>
                <w:tcPr>
                  <w:tcW w:w="1170" w:type="dxa"/>
                  <w:vMerge w:val="continue"/>
                  <w:vAlign w:val="center"/>
                </w:tcPr>
                <w:p>
                  <w:pPr>
                    <w:pStyle w:val="47"/>
                    <w:keepNext w:val="0"/>
                    <w:keepLines w:val="0"/>
                    <w:pageBreakBefore w:val="0"/>
                    <w:widowControl w:val="0"/>
                    <w:kinsoku/>
                    <w:wordWrap/>
                    <w:overflowPunct/>
                    <w:topLinePunct w:val="0"/>
                    <w:autoSpaceDE/>
                    <w:autoSpaceDN/>
                    <w:bidi w:val="0"/>
                    <w:textAlignment w:val="auto"/>
                    <w:rPr>
                      <w:b/>
                      <w:bCs/>
                      <w:color w:val="000000" w:themeColor="text1"/>
                      <w:highlight w:val="none"/>
                      <w14:textFill>
                        <w14:solidFill>
                          <w14:schemeClr w14:val="tx1"/>
                        </w14:solidFill>
                      </w14:textFill>
                    </w:rPr>
                  </w:pPr>
                </w:p>
              </w:tc>
              <w:tc>
                <w:tcPr>
                  <w:tcW w:w="1137" w:type="dxa"/>
                  <w:vMerge w:val="continue"/>
                  <w:vAlign w:val="center"/>
                </w:tcPr>
                <w:p>
                  <w:pPr>
                    <w:pStyle w:val="47"/>
                    <w:keepNext w:val="0"/>
                    <w:keepLines w:val="0"/>
                    <w:pageBreakBefore w:val="0"/>
                    <w:widowControl w:val="0"/>
                    <w:kinsoku/>
                    <w:wordWrap/>
                    <w:overflowPunct/>
                    <w:topLinePunct w:val="0"/>
                    <w:autoSpaceDE/>
                    <w:autoSpaceDN/>
                    <w:bidi w:val="0"/>
                    <w:textAlignment w:val="auto"/>
                    <w:rPr>
                      <w:b/>
                      <w:bCs/>
                      <w:color w:val="000000" w:themeColor="text1"/>
                      <w:highlight w:val="none"/>
                      <w14:textFill>
                        <w14:solidFill>
                          <w14:schemeClr w14:val="tx1"/>
                        </w14:solidFill>
                      </w14:textFill>
                    </w:rPr>
                  </w:pPr>
                </w:p>
              </w:tc>
              <w:tc>
                <w:tcPr>
                  <w:tcW w:w="1232" w:type="dxa"/>
                  <w:vMerge w:val="continue"/>
                  <w:vAlign w:val="center"/>
                </w:tcPr>
                <w:p>
                  <w:pPr>
                    <w:pStyle w:val="47"/>
                    <w:keepNext w:val="0"/>
                    <w:keepLines w:val="0"/>
                    <w:pageBreakBefore w:val="0"/>
                    <w:widowControl w:val="0"/>
                    <w:kinsoku/>
                    <w:wordWrap/>
                    <w:overflowPunct/>
                    <w:topLinePunct w:val="0"/>
                    <w:autoSpaceDE/>
                    <w:autoSpaceDN/>
                    <w:bidi w:val="0"/>
                    <w:textAlignment w:val="auto"/>
                    <w:rPr>
                      <w:b/>
                      <w:bCs/>
                      <w:color w:val="000000" w:themeColor="text1"/>
                      <w:highlight w:val="none"/>
                      <w14:textFill>
                        <w14:solidFill>
                          <w14:schemeClr w14:val="tx1"/>
                        </w14:solidFill>
                      </w14:textFill>
                    </w:rPr>
                  </w:pPr>
                </w:p>
              </w:tc>
              <w:tc>
                <w:tcPr>
                  <w:tcW w:w="811" w:type="dxa"/>
                  <w:vAlign w:val="center"/>
                </w:tcPr>
                <w:p>
                  <w:pPr>
                    <w:pStyle w:val="47"/>
                    <w:keepNext w:val="0"/>
                    <w:keepLines w:val="0"/>
                    <w:pageBreakBefore w:val="0"/>
                    <w:widowControl w:val="0"/>
                    <w:kinsoku/>
                    <w:wordWrap/>
                    <w:overflowPunct/>
                    <w:topLinePunct w:val="0"/>
                    <w:autoSpaceDE/>
                    <w:autoSpaceDN/>
                    <w:bidi w:val="0"/>
                    <w:textAlignment w:val="auto"/>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X</w:t>
                  </w:r>
                </w:p>
              </w:tc>
              <w:tc>
                <w:tcPr>
                  <w:tcW w:w="845" w:type="dxa"/>
                  <w:vAlign w:val="center"/>
                </w:tcPr>
                <w:p>
                  <w:pPr>
                    <w:pStyle w:val="47"/>
                    <w:keepNext w:val="0"/>
                    <w:keepLines w:val="0"/>
                    <w:pageBreakBefore w:val="0"/>
                    <w:widowControl w:val="0"/>
                    <w:kinsoku/>
                    <w:wordWrap/>
                    <w:overflowPunct/>
                    <w:topLinePunct w:val="0"/>
                    <w:autoSpaceDE/>
                    <w:autoSpaceDN/>
                    <w:bidi w:val="0"/>
                    <w:textAlignment w:val="auto"/>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Y</w:t>
                  </w:r>
                </w:p>
              </w:tc>
              <w:tc>
                <w:tcPr>
                  <w:tcW w:w="625" w:type="dxa"/>
                  <w:vAlign w:val="center"/>
                </w:tcPr>
                <w:p>
                  <w:pPr>
                    <w:pStyle w:val="47"/>
                    <w:keepNext w:val="0"/>
                    <w:keepLines w:val="0"/>
                    <w:pageBreakBefore w:val="0"/>
                    <w:widowControl w:val="0"/>
                    <w:kinsoku/>
                    <w:wordWrap/>
                    <w:overflowPunct/>
                    <w:topLinePunct w:val="0"/>
                    <w:autoSpaceDE/>
                    <w:autoSpaceDN/>
                    <w:bidi w:val="0"/>
                    <w:textAlignment w:val="auto"/>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Z</w:t>
                  </w:r>
                </w:p>
              </w:tc>
              <w:tc>
                <w:tcPr>
                  <w:tcW w:w="1049" w:type="dxa"/>
                  <w:vMerge w:val="continue"/>
                  <w:vAlign w:val="center"/>
                </w:tcPr>
                <w:p>
                  <w:pPr>
                    <w:pStyle w:val="47"/>
                    <w:keepNext w:val="0"/>
                    <w:keepLines w:val="0"/>
                    <w:pageBreakBefore w:val="0"/>
                    <w:widowControl w:val="0"/>
                    <w:kinsoku/>
                    <w:wordWrap/>
                    <w:overflowPunct/>
                    <w:topLinePunct w:val="0"/>
                    <w:autoSpaceDE/>
                    <w:autoSpaceDN/>
                    <w:bidi w:val="0"/>
                    <w:textAlignment w:val="auto"/>
                    <w:rPr>
                      <w:rFonts w:hint="eastAsia"/>
                      <w:b/>
                      <w:bCs/>
                      <w:color w:val="000000" w:themeColor="text1"/>
                      <w:highlight w:val="none"/>
                      <w:lang w:val="en-US" w:eastAsia="zh-CN"/>
                      <w14:textFill>
                        <w14:solidFill>
                          <w14:schemeClr w14:val="tx1"/>
                        </w14:solidFill>
                      </w14:textFill>
                    </w:rPr>
                  </w:pPr>
                </w:p>
              </w:tc>
              <w:tc>
                <w:tcPr>
                  <w:tcW w:w="681" w:type="dxa"/>
                  <w:vMerge w:val="continue"/>
                  <w:vAlign w:val="center"/>
                </w:tcPr>
                <w:p>
                  <w:pPr>
                    <w:pStyle w:val="47"/>
                    <w:keepNext w:val="0"/>
                    <w:keepLines w:val="0"/>
                    <w:pageBreakBefore w:val="0"/>
                    <w:widowControl w:val="0"/>
                    <w:kinsoku/>
                    <w:wordWrap/>
                    <w:overflowPunct/>
                    <w:topLinePunct w:val="0"/>
                    <w:autoSpaceDE/>
                    <w:autoSpaceDN/>
                    <w:bidi w:val="0"/>
                    <w:textAlignment w:val="auto"/>
                    <w:rPr>
                      <w:rFonts w:hint="eastAsia"/>
                      <w:b/>
                      <w:bCs/>
                      <w:color w:val="000000" w:themeColor="text1"/>
                      <w:highlight w:val="none"/>
                      <w:lang w:val="en-US" w:eastAsia="zh-CN"/>
                      <w14:textFill>
                        <w14:solidFill>
                          <w14:schemeClr w14:val="tx1"/>
                        </w14:solidFill>
                      </w14:textFill>
                    </w:rPr>
                  </w:pPr>
                </w:p>
              </w:tc>
              <w:tc>
                <w:tcPr>
                  <w:tcW w:w="1078" w:type="dxa"/>
                  <w:vMerge w:val="continue"/>
                  <w:vAlign w:val="center"/>
                </w:tcPr>
                <w:p>
                  <w:pPr>
                    <w:pStyle w:val="47"/>
                    <w:keepNext w:val="0"/>
                    <w:keepLines w:val="0"/>
                    <w:pageBreakBefore w:val="0"/>
                    <w:widowControl w:val="0"/>
                    <w:kinsoku/>
                    <w:wordWrap/>
                    <w:overflowPunct/>
                    <w:topLinePunct w:val="0"/>
                    <w:autoSpaceDE/>
                    <w:autoSpaceDN/>
                    <w:bidi w:val="0"/>
                    <w:textAlignment w:val="auto"/>
                    <w:rPr>
                      <w:rFonts w:hint="eastAsia"/>
                      <w:b/>
                      <w:bCs/>
                      <w:color w:val="000000" w:themeColor="text1"/>
                      <w:highlight w:val="none"/>
                      <w:lang w:val="en-US" w:eastAsia="zh-CN"/>
                      <w14:textFill>
                        <w14:solidFill>
                          <w14:schemeClr w14:val="tx1"/>
                        </w14:solidFill>
                      </w14:textFill>
                    </w:rPr>
                  </w:pPr>
                </w:p>
              </w:tc>
              <w:tc>
                <w:tcPr>
                  <w:tcW w:w="949" w:type="dxa"/>
                  <w:vAlign w:val="center"/>
                </w:tcPr>
                <w:p>
                  <w:pPr>
                    <w:pStyle w:val="47"/>
                    <w:keepNext w:val="0"/>
                    <w:keepLines w:val="0"/>
                    <w:pageBreakBefore w:val="0"/>
                    <w:widowControl w:val="0"/>
                    <w:kinsoku/>
                    <w:wordWrap/>
                    <w:overflowPunct/>
                    <w:topLinePunct w:val="0"/>
                    <w:autoSpaceDE/>
                    <w:autoSpaceDN/>
                    <w:bidi w:val="0"/>
                    <w:textAlignment w:val="auto"/>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声压级</w:t>
                  </w:r>
                </w:p>
                <w:p>
                  <w:pPr>
                    <w:pStyle w:val="47"/>
                    <w:keepNext w:val="0"/>
                    <w:keepLines w:val="0"/>
                    <w:pageBreakBefore w:val="0"/>
                    <w:widowControl w:val="0"/>
                    <w:kinsoku/>
                    <w:wordWrap/>
                    <w:overflowPunct/>
                    <w:topLinePunct w:val="0"/>
                    <w:autoSpaceDE/>
                    <w:autoSpaceDN/>
                    <w:bidi w:val="0"/>
                    <w:textAlignment w:val="auto"/>
                    <w:rPr>
                      <w:rFonts w:hint="eastAsia"/>
                      <w:b/>
                      <w:bCs/>
                      <w:color w:val="000000" w:themeColor="text1"/>
                      <w:highlight w:val="none"/>
                      <w:lang w:val="en-US" w:eastAsia="zh-CN"/>
                      <w14:textFill>
                        <w14:solidFill>
                          <w14:schemeClr w14:val="tx1"/>
                        </w14:solidFill>
                      </w14:textFill>
                    </w:rPr>
                  </w:pPr>
                  <w:r>
                    <w:rPr>
                      <w:rFonts w:hint="default"/>
                      <w:b/>
                      <w:bCs/>
                      <w:color w:val="000000" w:themeColor="text1"/>
                      <w:highlight w:val="none"/>
                      <w:lang w:val="en-US" w:eastAsia="zh-CN"/>
                      <w14:textFill>
                        <w14:solidFill>
                          <w14:schemeClr w14:val="tx1"/>
                        </w14:solidFill>
                      </w14:textFill>
                    </w:rPr>
                    <w:t>/dB(A)</w:t>
                  </w:r>
                </w:p>
              </w:tc>
              <w:tc>
                <w:tcPr>
                  <w:tcW w:w="1060" w:type="dxa"/>
                  <w:vAlign w:val="center"/>
                </w:tcPr>
                <w:p>
                  <w:pPr>
                    <w:pStyle w:val="47"/>
                    <w:keepNext w:val="0"/>
                    <w:keepLines w:val="0"/>
                    <w:pageBreakBefore w:val="0"/>
                    <w:widowControl w:val="0"/>
                    <w:kinsoku/>
                    <w:wordWrap/>
                    <w:overflowPunct/>
                    <w:topLinePunct w:val="0"/>
                    <w:autoSpaceDE/>
                    <w:autoSpaceDN/>
                    <w:bidi w:val="0"/>
                    <w:textAlignment w:val="auto"/>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建筑物外距离m</w:t>
                  </w:r>
                </w:p>
              </w:tc>
            </w:tr>
            <w:tr>
              <w:tblPrEx>
                <w:tblLayout w:type="fixed"/>
              </w:tblPrEx>
              <w:trPr>
                <w:trHeight w:val="264" w:hRule="atLeast"/>
                <w:jc w:val="center"/>
              </w:trPr>
              <w:tc>
                <w:tcPr>
                  <w:tcW w:w="562" w:type="dxa"/>
                  <w:vAlign w:val="center"/>
                </w:tcPr>
                <w:p>
                  <w:pPr>
                    <w:pStyle w:val="47"/>
                    <w:keepNext w:val="0"/>
                    <w:keepLines w:val="0"/>
                    <w:pageBreakBefore w:val="0"/>
                    <w:widowControl w:val="0"/>
                    <w:kinsoku/>
                    <w:wordWrap/>
                    <w:overflowPunct/>
                    <w:topLinePunct w:val="0"/>
                    <w:autoSpaceDE/>
                    <w:autoSpaceDN/>
                    <w:bidi w:val="0"/>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c>
                <w:tcPr>
                  <w:tcW w:w="932" w:type="dxa"/>
                  <w:vMerge w:val="restart"/>
                  <w:vAlign w:val="center"/>
                </w:tcPr>
                <w:p>
                  <w:pPr>
                    <w:pStyle w:val="47"/>
                    <w:keepNext w:val="0"/>
                    <w:keepLines w:val="0"/>
                    <w:pageBreakBefore w:val="0"/>
                    <w:widowControl w:val="0"/>
                    <w:kinsoku/>
                    <w:wordWrap/>
                    <w:overflowPunct/>
                    <w:topLinePunct w:val="0"/>
                    <w:autoSpaceDE/>
                    <w:autoSpaceDN/>
                    <w:bidi w:val="0"/>
                    <w:textAlignment w:val="auto"/>
                    <w:rPr>
                      <w:rFonts w:hint="eastAsia"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生产车间</w:t>
                  </w:r>
                </w:p>
              </w:tc>
              <w:tc>
                <w:tcPr>
                  <w:tcW w:w="1104" w:type="dxa"/>
                  <w:vAlign w:val="center"/>
                </w:tcPr>
                <w:p>
                  <w:pPr>
                    <w:pStyle w:val="47"/>
                    <w:bidi w:val="0"/>
                    <w:ind w:firstLine="0" w:firstLineChars="0"/>
                    <w:jc w:val="center"/>
                    <w:rPr>
                      <w:rFonts w:hint="default"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r>
                    <w:rPr>
                      <w:rFonts w:hint="eastAsia" w:cstheme="minorBidi"/>
                      <w:color w:val="000000" w:themeColor="text1"/>
                      <w:kern w:val="2"/>
                      <w:sz w:val="21"/>
                      <w:szCs w:val="24"/>
                      <w:highlight w:val="none"/>
                      <w:lang w:val="en-US" w:eastAsia="zh-CN" w:bidi="ar-SA"/>
                      <w14:textFill>
                        <w14:solidFill>
                          <w14:schemeClr w14:val="tx1"/>
                        </w14:solidFill>
                      </w14:textFill>
                    </w:rPr>
                    <w:t>切割机</w:t>
                  </w:r>
                </w:p>
              </w:tc>
              <w:tc>
                <w:tcPr>
                  <w:tcW w:w="1170" w:type="dxa"/>
                  <w:vAlign w:val="center"/>
                </w:tcPr>
                <w:p>
                  <w:pPr>
                    <w:pStyle w:val="47"/>
                    <w:bidi w:val="0"/>
                    <w:ind w:firstLine="0" w:firstLineChars="0"/>
                    <w:jc w:val="cente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350型</w:t>
                  </w:r>
                </w:p>
              </w:tc>
              <w:tc>
                <w:tcPr>
                  <w:tcW w:w="1137" w:type="dxa"/>
                  <w:vAlign w:val="center"/>
                </w:tcPr>
                <w:p>
                  <w:pPr>
                    <w:pStyle w:val="47"/>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80~90</w:t>
                  </w:r>
                </w:p>
              </w:tc>
              <w:tc>
                <w:tcPr>
                  <w:tcW w:w="1232" w:type="dxa"/>
                  <w:vMerge w:val="restart"/>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r>
                    <w:rPr>
                      <w:rFonts w:hint="default" w:ascii="Times New Roman" w:hAnsi="Times New Roman" w:cs="Times New Roman"/>
                      <w:color w:val="auto"/>
                      <w:sz w:val="21"/>
                      <w:szCs w:val="21"/>
                      <w:highlight w:val="none"/>
                    </w:rPr>
                    <w:t>设备基础减振、厂房隔声</w:t>
                  </w:r>
                </w:p>
              </w:tc>
              <w:tc>
                <w:tcPr>
                  <w:tcW w:w="811"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80~90</w:t>
                  </w:r>
                </w:p>
              </w:tc>
              <w:tc>
                <w:tcPr>
                  <w:tcW w:w="845"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70~75</w:t>
                  </w:r>
                </w:p>
              </w:tc>
              <w:tc>
                <w:tcPr>
                  <w:tcW w:w="625"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0~2</w:t>
                  </w:r>
                </w:p>
              </w:tc>
              <w:tc>
                <w:tcPr>
                  <w:tcW w:w="1049"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75</w:t>
                  </w:r>
                </w:p>
              </w:tc>
              <w:tc>
                <w:tcPr>
                  <w:tcW w:w="681" w:type="dxa"/>
                  <w:vMerge w:val="restart"/>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昼间</w:t>
                  </w:r>
                </w:p>
              </w:tc>
              <w:tc>
                <w:tcPr>
                  <w:tcW w:w="1078" w:type="dxa"/>
                  <w:vAlign w:val="center"/>
                </w:tcPr>
                <w:p>
                  <w:pPr>
                    <w:pStyle w:val="47"/>
                    <w:keepNext w:val="0"/>
                    <w:keepLines w:val="0"/>
                    <w:pageBreakBefore w:val="0"/>
                    <w:widowControl w:val="0"/>
                    <w:kinsoku/>
                    <w:wordWrap/>
                    <w:overflowPunct/>
                    <w:topLinePunct w:val="0"/>
                    <w:autoSpaceDE/>
                    <w:autoSpaceDN/>
                    <w:bidi w:val="0"/>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15</w:t>
                  </w:r>
                </w:p>
              </w:tc>
              <w:tc>
                <w:tcPr>
                  <w:tcW w:w="949"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60</w:t>
                  </w:r>
                </w:p>
              </w:tc>
              <w:tc>
                <w:tcPr>
                  <w:tcW w:w="1060"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r>
            <w:tr>
              <w:tblPrEx>
                <w:tblLayout w:type="fixed"/>
              </w:tblPrEx>
              <w:trPr>
                <w:trHeight w:val="264" w:hRule="atLeast"/>
                <w:jc w:val="center"/>
              </w:trPr>
              <w:tc>
                <w:tcPr>
                  <w:tcW w:w="562"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932" w:type="dxa"/>
                  <w:vMerge w:val="continue"/>
                  <w:vAlign w:val="center"/>
                </w:tcPr>
                <w:p>
                  <w:pPr>
                    <w:pStyle w:val="47"/>
                    <w:keepNext w:val="0"/>
                    <w:keepLines w:val="0"/>
                    <w:pageBreakBefore w:val="0"/>
                    <w:widowControl w:val="0"/>
                    <w:kinsoku/>
                    <w:wordWrap/>
                    <w:overflowPunct/>
                    <w:topLinePunct w:val="0"/>
                    <w:autoSpaceDE/>
                    <w:autoSpaceDN/>
                    <w:bidi w:val="0"/>
                    <w:textAlignment w:val="auto"/>
                    <w:rPr>
                      <w:rFonts w:hint="eastAsia"/>
                      <w:color w:val="000000" w:themeColor="text1"/>
                      <w:highlight w:val="none"/>
                      <w:lang w:val="en-US" w:eastAsia="zh-CN"/>
                      <w14:textFill>
                        <w14:solidFill>
                          <w14:schemeClr w14:val="tx1"/>
                        </w14:solidFill>
                      </w14:textFill>
                    </w:rPr>
                  </w:pPr>
                </w:p>
              </w:tc>
              <w:tc>
                <w:tcPr>
                  <w:tcW w:w="1104"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打磨机</w:t>
                  </w:r>
                </w:p>
              </w:tc>
              <w:tc>
                <w:tcPr>
                  <w:tcW w:w="1170" w:type="dxa"/>
                  <w:vAlign w:val="center"/>
                </w:tcPr>
                <w:p>
                  <w:pPr>
                    <w:pStyle w:val="47"/>
                    <w:bidi w:val="0"/>
                    <w:ind w:firstLine="0" w:firstLineChars="0"/>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kern w:val="2"/>
                      <w:sz w:val="21"/>
                      <w:szCs w:val="24"/>
                      <w:highlight w:val="none"/>
                      <w:lang w:val="en-US" w:eastAsia="zh-CN" w:bidi="ar-SA"/>
                      <w14:textFill>
                        <w14:solidFill>
                          <w14:schemeClr w14:val="tx1"/>
                        </w14:solidFill>
                      </w14:textFill>
                    </w:rPr>
                    <w:t>/</w:t>
                  </w:r>
                </w:p>
              </w:tc>
              <w:tc>
                <w:tcPr>
                  <w:tcW w:w="1137" w:type="dxa"/>
                  <w:vAlign w:val="center"/>
                </w:tcPr>
                <w:p>
                  <w:pPr>
                    <w:pStyle w:val="47"/>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75~90</w:t>
                  </w:r>
                </w:p>
              </w:tc>
              <w:tc>
                <w:tcPr>
                  <w:tcW w:w="1232" w:type="dxa"/>
                  <w:vMerge w:val="continue"/>
                  <w:vAlign w:val="center"/>
                </w:tcPr>
                <w:p>
                  <w:pPr>
                    <w:pStyle w:val="47"/>
                    <w:keepNext w:val="0"/>
                    <w:keepLines w:val="0"/>
                    <w:pageBreakBefore w:val="0"/>
                    <w:widowControl w:val="0"/>
                    <w:kinsoku/>
                    <w:wordWrap/>
                    <w:overflowPunct/>
                    <w:topLinePunct w:val="0"/>
                    <w:autoSpaceDE/>
                    <w:autoSpaceDN/>
                    <w:bidi w:val="0"/>
                    <w:textAlignment w:val="auto"/>
                    <w:rPr>
                      <w:rFonts w:hint="eastAsia"/>
                      <w:color w:val="000000" w:themeColor="text1"/>
                      <w:highlight w:val="none"/>
                      <w:lang w:val="en-US" w:eastAsia="zh-CN"/>
                      <w14:textFill>
                        <w14:solidFill>
                          <w14:schemeClr w14:val="tx1"/>
                        </w14:solidFill>
                      </w14:textFill>
                    </w:rPr>
                  </w:pPr>
                </w:p>
              </w:tc>
              <w:tc>
                <w:tcPr>
                  <w:tcW w:w="811"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80~90</w:t>
                  </w:r>
                </w:p>
              </w:tc>
              <w:tc>
                <w:tcPr>
                  <w:tcW w:w="845"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w:t>
                  </w:r>
                  <w:r>
                    <w:rPr>
                      <w:rFonts w:hint="eastAsia" w:cstheme="minorBidi"/>
                      <w:color w:val="000000" w:themeColor="text1"/>
                      <w:kern w:val="2"/>
                      <w:sz w:val="21"/>
                      <w:szCs w:val="24"/>
                      <w:highlight w:val="none"/>
                      <w:lang w:val="en-US" w:eastAsia="zh-CN" w:bidi="ar-SA"/>
                      <w14:textFill>
                        <w14:solidFill>
                          <w14:schemeClr w14:val="tx1"/>
                        </w14:solidFill>
                      </w14:textFill>
                    </w:rPr>
                    <w:t>~25</w:t>
                  </w:r>
                </w:p>
              </w:tc>
              <w:tc>
                <w:tcPr>
                  <w:tcW w:w="625"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0~1</w:t>
                  </w:r>
                </w:p>
              </w:tc>
              <w:tc>
                <w:tcPr>
                  <w:tcW w:w="1049"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70</w:t>
                  </w:r>
                </w:p>
              </w:tc>
              <w:tc>
                <w:tcPr>
                  <w:tcW w:w="681" w:type="dxa"/>
                  <w:vMerge w:val="continue"/>
                  <w:vAlign w:val="center"/>
                </w:tcPr>
                <w:p>
                  <w:pPr>
                    <w:pStyle w:val="47"/>
                    <w:keepNext w:val="0"/>
                    <w:keepLines w:val="0"/>
                    <w:pageBreakBefore w:val="0"/>
                    <w:widowControl w:val="0"/>
                    <w:kinsoku/>
                    <w:wordWrap/>
                    <w:overflowPunct/>
                    <w:topLinePunct w:val="0"/>
                    <w:autoSpaceDE/>
                    <w:autoSpaceDN/>
                    <w:bidi w:val="0"/>
                    <w:textAlignment w:val="auto"/>
                    <w:rPr>
                      <w:rFonts w:hint="eastAsia"/>
                      <w:color w:val="000000" w:themeColor="text1"/>
                      <w:highlight w:val="none"/>
                      <w:lang w:val="en-US" w:eastAsia="zh-CN"/>
                      <w14:textFill>
                        <w14:solidFill>
                          <w14:schemeClr w14:val="tx1"/>
                        </w14:solidFill>
                      </w14:textFill>
                    </w:rPr>
                  </w:pPr>
                </w:p>
              </w:tc>
              <w:tc>
                <w:tcPr>
                  <w:tcW w:w="1078" w:type="dxa"/>
                  <w:vAlign w:val="center"/>
                </w:tcPr>
                <w:p>
                  <w:pPr>
                    <w:pStyle w:val="47"/>
                    <w:keepNext w:val="0"/>
                    <w:keepLines w:val="0"/>
                    <w:pageBreakBefore w:val="0"/>
                    <w:widowControl w:val="0"/>
                    <w:kinsoku/>
                    <w:wordWrap/>
                    <w:overflowPunct/>
                    <w:topLinePunct w:val="0"/>
                    <w:autoSpaceDE/>
                    <w:autoSpaceDN/>
                    <w:bidi w:val="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15</w:t>
                  </w:r>
                </w:p>
              </w:tc>
              <w:tc>
                <w:tcPr>
                  <w:tcW w:w="949"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55</w:t>
                  </w:r>
                </w:p>
              </w:tc>
              <w:tc>
                <w:tcPr>
                  <w:tcW w:w="1060"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r>
            <w:tr>
              <w:tblPrEx>
                <w:tblLayout w:type="fixed"/>
              </w:tblPrEx>
              <w:trPr>
                <w:trHeight w:val="227" w:hRule="atLeast"/>
                <w:jc w:val="center"/>
              </w:trPr>
              <w:tc>
                <w:tcPr>
                  <w:tcW w:w="562"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932" w:type="dxa"/>
                  <w:vMerge w:val="continue"/>
                  <w:vAlign w:val="center"/>
                </w:tcPr>
                <w:p>
                  <w:pPr>
                    <w:pStyle w:val="47"/>
                    <w:keepNext w:val="0"/>
                    <w:keepLines w:val="0"/>
                    <w:pageBreakBefore w:val="0"/>
                    <w:widowControl w:val="0"/>
                    <w:kinsoku/>
                    <w:wordWrap/>
                    <w:overflowPunct/>
                    <w:topLinePunct w:val="0"/>
                    <w:autoSpaceDE/>
                    <w:autoSpaceDN/>
                    <w:bidi w:val="0"/>
                    <w:textAlignment w:val="auto"/>
                    <w:rPr>
                      <w:rFonts w:hint="eastAsia"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p>
              </w:tc>
              <w:tc>
                <w:tcPr>
                  <w:tcW w:w="1104" w:type="dxa"/>
                  <w:vAlign w:val="center"/>
                </w:tcPr>
                <w:p>
                  <w:pPr>
                    <w:pStyle w:val="47"/>
                    <w:bidi w:val="0"/>
                    <w:ind w:firstLine="0" w:firstLineChars="0"/>
                    <w:jc w:val="center"/>
                    <w:rPr>
                      <w:rFonts w:hint="default"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r>
                    <w:rPr>
                      <w:rFonts w:hint="eastAsia" w:cstheme="minorBidi"/>
                      <w:color w:val="000000" w:themeColor="text1"/>
                      <w:kern w:val="2"/>
                      <w:sz w:val="21"/>
                      <w:szCs w:val="24"/>
                      <w:highlight w:val="none"/>
                      <w:lang w:val="en-US" w:eastAsia="zh-CN" w:bidi="ar-SA"/>
                      <w14:textFill>
                        <w14:solidFill>
                          <w14:schemeClr w14:val="tx1"/>
                        </w14:solidFill>
                      </w14:textFill>
                    </w:rPr>
                    <w:t>旋边机</w:t>
                  </w:r>
                </w:p>
              </w:tc>
              <w:tc>
                <w:tcPr>
                  <w:tcW w:w="1170" w:type="dxa"/>
                  <w:vAlign w:val="center"/>
                </w:tcPr>
                <w:p>
                  <w:pPr>
                    <w:pStyle w:val="47"/>
                    <w:bidi w:val="0"/>
                    <w:ind w:firstLine="0" w:firstLineChars="0"/>
                    <w:jc w:val="center"/>
                    <w:rPr>
                      <w:rFonts w:hint="default"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lang w:val="en-US" w:eastAsia="zh-CN"/>
                    </w:rPr>
                    <w:t>XB-3000-V</w:t>
                  </w:r>
                </w:p>
              </w:tc>
              <w:tc>
                <w:tcPr>
                  <w:tcW w:w="1137"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70~80</w:t>
                  </w:r>
                </w:p>
              </w:tc>
              <w:tc>
                <w:tcPr>
                  <w:tcW w:w="1232" w:type="dxa"/>
                  <w:vMerge w:val="continue"/>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p>
              </w:tc>
              <w:tc>
                <w:tcPr>
                  <w:tcW w:w="811"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80~90</w:t>
                  </w:r>
                </w:p>
              </w:tc>
              <w:tc>
                <w:tcPr>
                  <w:tcW w:w="845"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r>
                    <w:rPr>
                      <w:rFonts w:hint="eastAsia" w:cstheme="minorBidi"/>
                      <w:color w:val="000000" w:themeColor="text1"/>
                      <w:kern w:val="2"/>
                      <w:sz w:val="21"/>
                      <w:szCs w:val="24"/>
                      <w:highlight w:val="none"/>
                      <w:lang w:val="en-US" w:eastAsia="zh-CN" w:bidi="ar-SA"/>
                      <w14:textFill>
                        <w14:solidFill>
                          <w14:schemeClr w14:val="tx1"/>
                        </w14:solidFill>
                      </w14:textFill>
                    </w:rPr>
                    <w:t>50~55</w:t>
                  </w:r>
                </w:p>
              </w:tc>
              <w:tc>
                <w:tcPr>
                  <w:tcW w:w="625"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0~1</w:t>
                  </w:r>
                </w:p>
              </w:tc>
              <w:tc>
                <w:tcPr>
                  <w:tcW w:w="1049"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65</w:t>
                  </w:r>
                </w:p>
              </w:tc>
              <w:tc>
                <w:tcPr>
                  <w:tcW w:w="681" w:type="dxa"/>
                  <w:vMerge w:val="continue"/>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p>
              </w:tc>
              <w:tc>
                <w:tcPr>
                  <w:tcW w:w="1078" w:type="dxa"/>
                  <w:vAlign w:val="center"/>
                </w:tcPr>
                <w:p>
                  <w:pPr>
                    <w:pStyle w:val="47"/>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15</w:t>
                  </w:r>
                </w:p>
              </w:tc>
              <w:tc>
                <w:tcPr>
                  <w:tcW w:w="949"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50</w:t>
                  </w:r>
                </w:p>
              </w:tc>
              <w:tc>
                <w:tcPr>
                  <w:tcW w:w="1060"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r>
            <w:tr>
              <w:tblPrEx>
                <w:tblLayout w:type="fixed"/>
              </w:tblPrEx>
              <w:trPr>
                <w:trHeight w:val="241" w:hRule="atLeast"/>
                <w:jc w:val="center"/>
              </w:trPr>
              <w:tc>
                <w:tcPr>
                  <w:tcW w:w="562"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932" w:type="dxa"/>
                  <w:vMerge w:val="continue"/>
                  <w:vAlign w:val="center"/>
                </w:tcPr>
                <w:p>
                  <w:pPr>
                    <w:pStyle w:val="47"/>
                    <w:keepNext w:val="0"/>
                    <w:keepLines w:val="0"/>
                    <w:pageBreakBefore w:val="0"/>
                    <w:widowControl w:val="0"/>
                    <w:kinsoku/>
                    <w:wordWrap/>
                    <w:overflowPunct/>
                    <w:topLinePunct w:val="0"/>
                    <w:autoSpaceDE/>
                    <w:autoSpaceDN/>
                    <w:bidi w:val="0"/>
                    <w:textAlignment w:val="auto"/>
                    <w:rPr>
                      <w:rFonts w:hint="eastAsia"/>
                      <w:color w:val="000000" w:themeColor="text1"/>
                      <w:highlight w:val="none"/>
                      <w:lang w:val="en-US" w:eastAsia="zh-CN"/>
                      <w14:textFill>
                        <w14:solidFill>
                          <w14:schemeClr w14:val="tx1"/>
                        </w14:solidFill>
                      </w14:textFill>
                    </w:rPr>
                  </w:pPr>
                </w:p>
              </w:tc>
              <w:tc>
                <w:tcPr>
                  <w:tcW w:w="1104" w:type="dxa"/>
                  <w:vAlign w:val="center"/>
                </w:tcPr>
                <w:p>
                  <w:pPr>
                    <w:pStyle w:val="47"/>
                    <w:bidi w:val="0"/>
                    <w:ind w:firstLine="0" w:firstLineChars="0"/>
                    <w:jc w:val="center"/>
                    <w:rPr>
                      <w:rFonts w:hint="eastAsia"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r>
                    <w:rPr>
                      <w:rFonts w:hint="eastAsia" w:cstheme="minorBidi"/>
                      <w:color w:val="000000" w:themeColor="text1"/>
                      <w:kern w:val="2"/>
                      <w:sz w:val="21"/>
                      <w:szCs w:val="24"/>
                      <w:highlight w:val="none"/>
                      <w:lang w:val="en-US" w:eastAsia="zh-CN" w:bidi="ar-SA"/>
                      <w14:textFill>
                        <w14:solidFill>
                          <w14:schemeClr w14:val="tx1"/>
                        </w14:solidFill>
                      </w14:textFill>
                    </w:rPr>
                    <w:t>空压机</w:t>
                  </w:r>
                </w:p>
              </w:tc>
              <w:tc>
                <w:tcPr>
                  <w:tcW w:w="1170" w:type="dxa"/>
                  <w:vAlign w:val="center"/>
                </w:tcPr>
                <w:p>
                  <w:pPr>
                    <w:pStyle w:val="47"/>
                    <w:bidi w:val="0"/>
                    <w:ind w:firstLine="0" w:firstLineChars="0"/>
                    <w:jc w:val="center"/>
                    <w:rPr>
                      <w:rFonts w:hint="eastAsia"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r>
                    <w:rPr>
                      <w:rFonts w:hint="eastAsia" w:cstheme="minorBidi"/>
                      <w:color w:val="000000" w:themeColor="text1"/>
                      <w:kern w:val="2"/>
                      <w:sz w:val="21"/>
                      <w:szCs w:val="24"/>
                      <w:highlight w:val="none"/>
                      <w:lang w:val="en-US" w:eastAsia="zh-CN" w:bidi="ar-SA"/>
                      <w14:textFill>
                        <w14:solidFill>
                          <w14:schemeClr w14:val="tx1"/>
                        </w14:solidFill>
                      </w14:textFill>
                    </w:rPr>
                    <w:t>J2-1200型</w:t>
                  </w:r>
                </w:p>
              </w:tc>
              <w:tc>
                <w:tcPr>
                  <w:tcW w:w="1137"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70~80</w:t>
                  </w:r>
                </w:p>
              </w:tc>
              <w:tc>
                <w:tcPr>
                  <w:tcW w:w="1232" w:type="dxa"/>
                  <w:vMerge w:val="continue"/>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p>
              </w:tc>
              <w:tc>
                <w:tcPr>
                  <w:tcW w:w="811"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r>
                    <w:rPr>
                      <w:rFonts w:hint="eastAsia" w:cstheme="minorBidi"/>
                      <w:color w:val="000000" w:themeColor="text1"/>
                      <w:kern w:val="2"/>
                      <w:sz w:val="21"/>
                      <w:szCs w:val="24"/>
                      <w:highlight w:val="none"/>
                      <w:lang w:val="en-US" w:eastAsia="zh-CN" w:bidi="ar-SA"/>
                      <w14:textFill>
                        <w14:solidFill>
                          <w14:schemeClr w14:val="tx1"/>
                        </w14:solidFill>
                      </w14:textFill>
                    </w:rPr>
                    <w:t>20</w:t>
                  </w:r>
                  <w:r>
                    <w:rPr>
                      <w:rFonts w:hint="eastAsia"/>
                      <w:color w:val="000000" w:themeColor="text1"/>
                      <w:highlight w:val="none"/>
                      <w:lang w:val="en-US" w:eastAsia="zh-CN"/>
                      <w14:textFill>
                        <w14:solidFill>
                          <w14:schemeClr w14:val="tx1"/>
                        </w14:solidFill>
                      </w14:textFill>
                    </w:rPr>
                    <w:t>~30</w:t>
                  </w:r>
                </w:p>
              </w:tc>
              <w:tc>
                <w:tcPr>
                  <w:tcW w:w="845"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r>
                    <w:rPr>
                      <w:rFonts w:hint="eastAsia" w:cstheme="minorBidi"/>
                      <w:color w:val="000000" w:themeColor="text1"/>
                      <w:kern w:val="2"/>
                      <w:sz w:val="21"/>
                      <w:szCs w:val="24"/>
                      <w:highlight w:val="none"/>
                      <w:lang w:val="en-US" w:eastAsia="zh-CN" w:bidi="ar-SA"/>
                      <w14:textFill>
                        <w14:solidFill>
                          <w14:schemeClr w14:val="tx1"/>
                        </w14:solidFill>
                      </w14:textFill>
                    </w:rPr>
                    <w:t>9~13</w:t>
                  </w:r>
                </w:p>
              </w:tc>
              <w:tc>
                <w:tcPr>
                  <w:tcW w:w="625" w:type="dxa"/>
                  <w:vAlign w:val="center"/>
                </w:tcPr>
                <w:p>
                  <w:pPr>
                    <w:pStyle w:val="47"/>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0~1</w:t>
                  </w:r>
                </w:p>
              </w:tc>
              <w:tc>
                <w:tcPr>
                  <w:tcW w:w="1049"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65</w:t>
                  </w:r>
                </w:p>
              </w:tc>
              <w:tc>
                <w:tcPr>
                  <w:tcW w:w="681" w:type="dxa"/>
                  <w:vMerge w:val="continue"/>
                  <w:vAlign w:val="center"/>
                </w:tcPr>
                <w:p>
                  <w:pPr>
                    <w:pStyle w:val="47"/>
                    <w:keepNext w:val="0"/>
                    <w:keepLines w:val="0"/>
                    <w:pageBreakBefore w:val="0"/>
                    <w:widowControl w:val="0"/>
                    <w:kinsoku/>
                    <w:wordWrap/>
                    <w:overflowPunct/>
                    <w:topLinePunct w:val="0"/>
                    <w:autoSpaceDE/>
                    <w:autoSpaceDN/>
                    <w:bidi w:val="0"/>
                    <w:textAlignment w:val="auto"/>
                    <w:rPr>
                      <w:rFonts w:hint="eastAsia"/>
                      <w:color w:val="000000" w:themeColor="text1"/>
                      <w:highlight w:val="none"/>
                      <w:lang w:val="en-US" w:eastAsia="zh-CN"/>
                      <w14:textFill>
                        <w14:solidFill>
                          <w14:schemeClr w14:val="tx1"/>
                        </w14:solidFill>
                      </w14:textFill>
                    </w:rPr>
                  </w:pPr>
                </w:p>
              </w:tc>
              <w:tc>
                <w:tcPr>
                  <w:tcW w:w="1078" w:type="dxa"/>
                  <w:vAlign w:val="center"/>
                </w:tcPr>
                <w:p>
                  <w:pPr>
                    <w:pStyle w:val="47"/>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15</w:t>
                  </w:r>
                </w:p>
              </w:tc>
              <w:tc>
                <w:tcPr>
                  <w:tcW w:w="949"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50</w:t>
                  </w:r>
                </w:p>
              </w:tc>
              <w:tc>
                <w:tcPr>
                  <w:tcW w:w="1060" w:type="dxa"/>
                  <w:vAlign w:val="center"/>
                </w:tcPr>
                <w:p>
                  <w:pPr>
                    <w:pStyle w:val="47"/>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r>
            <w:tr>
              <w:tblPrEx>
                <w:tblLayout w:type="fixed"/>
              </w:tblPrEx>
              <w:trPr>
                <w:trHeight w:val="241" w:hRule="atLeast"/>
                <w:jc w:val="center"/>
              </w:trPr>
              <w:tc>
                <w:tcPr>
                  <w:tcW w:w="562"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932" w:type="dxa"/>
                  <w:vMerge w:val="continue"/>
                  <w:vAlign w:val="center"/>
                </w:tcPr>
                <w:p>
                  <w:pPr>
                    <w:pStyle w:val="47"/>
                    <w:keepNext w:val="0"/>
                    <w:keepLines w:val="0"/>
                    <w:pageBreakBefore w:val="0"/>
                    <w:widowControl w:val="0"/>
                    <w:kinsoku/>
                    <w:wordWrap/>
                    <w:overflowPunct/>
                    <w:topLinePunct w:val="0"/>
                    <w:autoSpaceDE/>
                    <w:autoSpaceDN/>
                    <w:bidi w:val="0"/>
                    <w:textAlignment w:val="auto"/>
                    <w:rPr>
                      <w:rFonts w:hint="eastAsia"/>
                      <w:color w:val="000000" w:themeColor="text1"/>
                      <w:highlight w:val="none"/>
                      <w:lang w:val="en-US" w:eastAsia="zh-CN"/>
                      <w14:textFill>
                        <w14:solidFill>
                          <w14:schemeClr w14:val="tx1"/>
                        </w14:solidFill>
                      </w14:textFill>
                    </w:rPr>
                  </w:pPr>
                </w:p>
              </w:tc>
              <w:tc>
                <w:tcPr>
                  <w:tcW w:w="1104" w:type="dxa"/>
                  <w:vAlign w:val="center"/>
                </w:tcPr>
                <w:p>
                  <w:pPr>
                    <w:pStyle w:val="47"/>
                    <w:bidi w:val="0"/>
                    <w:ind w:firstLine="0" w:firstLineChars="0"/>
                    <w:jc w:val="center"/>
                    <w:rPr>
                      <w:rFonts w:hint="default" w:cstheme="minorBidi"/>
                      <w:color w:val="000000" w:themeColor="text1"/>
                      <w:kern w:val="2"/>
                      <w:sz w:val="21"/>
                      <w:szCs w:val="24"/>
                      <w:highlight w:val="none"/>
                      <w:lang w:val="en-US" w:eastAsia="zh-CN" w:bidi="ar-SA"/>
                      <w14:textFill>
                        <w14:solidFill>
                          <w14:schemeClr w14:val="tx1"/>
                        </w14:solidFill>
                      </w14:textFill>
                    </w:rPr>
                  </w:pPr>
                  <w:r>
                    <w:rPr>
                      <w:rFonts w:hint="eastAsia" w:cstheme="minorBidi"/>
                      <w:color w:val="000000" w:themeColor="text1"/>
                      <w:kern w:val="2"/>
                      <w:sz w:val="21"/>
                      <w:szCs w:val="24"/>
                      <w:highlight w:val="none"/>
                      <w:lang w:val="en-US" w:eastAsia="zh-CN" w:bidi="ar-SA"/>
                      <w14:textFill>
                        <w14:solidFill>
                          <w14:schemeClr w14:val="tx1"/>
                        </w14:solidFill>
                      </w14:textFill>
                    </w:rPr>
                    <w:t>钻床</w:t>
                  </w:r>
                </w:p>
              </w:tc>
              <w:tc>
                <w:tcPr>
                  <w:tcW w:w="1170" w:type="dxa"/>
                  <w:vAlign w:val="center"/>
                </w:tcPr>
                <w:p>
                  <w:pPr>
                    <w:pStyle w:val="47"/>
                    <w:bidi w:val="0"/>
                    <w:ind w:firstLine="0" w:firstLineChars="0"/>
                    <w:jc w:val="center"/>
                    <w:rPr>
                      <w:rFonts w:hint="eastAsia" w:cstheme="minorBidi"/>
                      <w:color w:val="000000" w:themeColor="text1"/>
                      <w:kern w:val="2"/>
                      <w:sz w:val="21"/>
                      <w:szCs w:val="24"/>
                      <w:highlight w:val="none"/>
                      <w:lang w:val="en-US" w:eastAsia="zh-CN" w:bidi="ar-SA"/>
                      <w14:textFill>
                        <w14:solidFill>
                          <w14:schemeClr w14:val="tx1"/>
                        </w14:solidFill>
                      </w14:textFill>
                    </w:rPr>
                  </w:pPr>
                  <w:r>
                    <w:rPr>
                      <w:rFonts w:ascii="Times New Roman" w:hAnsi="Times New Roman" w:eastAsia="Times New Roman" w:cs="Times New Roman"/>
                      <w:spacing w:val="-1"/>
                      <w:sz w:val="21"/>
                      <w:szCs w:val="21"/>
                    </w:rPr>
                    <w:t>Z3050</w:t>
                  </w:r>
                </w:p>
              </w:tc>
              <w:tc>
                <w:tcPr>
                  <w:tcW w:w="1137" w:type="dxa"/>
                  <w:vAlign w:val="center"/>
                </w:tcPr>
                <w:p>
                  <w:pPr>
                    <w:pStyle w:val="47"/>
                    <w:keepNext w:val="0"/>
                    <w:keepLines w:val="0"/>
                    <w:pageBreakBefore w:val="0"/>
                    <w:widowControl w:val="0"/>
                    <w:kinsoku/>
                    <w:wordWrap/>
                    <w:overflowPunct/>
                    <w:topLinePunct w:val="0"/>
                    <w:autoSpaceDE/>
                    <w:autoSpaceDN/>
                    <w:bidi w:val="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70~80</w:t>
                  </w:r>
                </w:p>
              </w:tc>
              <w:tc>
                <w:tcPr>
                  <w:tcW w:w="1232" w:type="dxa"/>
                  <w:vMerge w:val="continue"/>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p>
              </w:tc>
              <w:tc>
                <w:tcPr>
                  <w:tcW w:w="811"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cstheme="minorBidi"/>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80~90</w:t>
                  </w:r>
                </w:p>
              </w:tc>
              <w:tc>
                <w:tcPr>
                  <w:tcW w:w="845"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cstheme="minorBidi"/>
                      <w:color w:val="000000" w:themeColor="text1"/>
                      <w:kern w:val="2"/>
                      <w:sz w:val="21"/>
                      <w:szCs w:val="24"/>
                      <w:highlight w:val="none"/>
                      <w:lang w:val="en-US" w:eastAsia="zh-CN" w:bidi="ar-SA"/>
                      <w14:textFill>
                        <w14:solidFill>
                          <w14:schemeClr w14:val="tx1"/>
                        </w14:solidFill>
                      </w14:textFill>
                    </w:rPr>
                  </w:pPr>
                  <w:r>
                    <w:rPr>
                      <w:rFonts w:hint="eastAsia" w:cstheme="minorBidi"/>
                      <w:color w:val="000000" w:themeColor="text1"/>
                      <w:kern w:val="2"/>
                      <w:sz w:val="21"/>
                      <w:szCs w:val="24"/>
                      <w:highlight w:val="none"/>
                      <w:lang w:val="en-US" w:eastAsia="zh-CN" w:bidi="ar-SA"/>
                      <w14:textFill>
                        <w14:solidFill>
                          <w14:schemeClr w14:val="tx1"/>
                        </w14:solidFill>
                      </w14:textFill>
                    </w:rPr>
                    <w:t>33~36</w:t>
                  </w:r>
                </w:p>
              </w:tc>
              <w:tc>
                <w:tcPr>
                  <w:tcW w:w="625" w:type="dxa"/>
                  <w:vAlign w:val="center"/>
                </w:tcPr>
                <w:p>
                  <w:pPr>
                    <w:pStyle w:val="47"/>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0~1</w:t>
                  </w:r>
                </w:p>
              </w:tc>
              <w:tc>
                <w:tcPr>
                  <w:tcW w:w="1049"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65</w:t>
                  </w:r>
                </w:p>
              </w:tc>
              <w:tc>
                <w:tcPr>
                  <w:tcW w:w="681" w:type="dxa"/>
                  <w:vMerge w:val="continue"/>
                  <w:vAlign w:val="center"/>
                </w:tcPr>
                <w:p>
                  <w:pPr>
                    <w:pStyle w:val="47"/>
                    <w:keepNext w:val="0"/>
                    <w:keepLines w:val="0"/>
                    <w:pageBreakBefore w:val="0"/>
                    <w:widowControl w:val="0"/>
                    <w:kinsoku/>
                    <w:wordWrap/>
                    <w:overflowPunct/>
                    <w:topLinePunct w:val="0"/>
                    <w:autoSpaceDE/>
                    <w:autoSpaceDN/>
                    <w:bidi w:val="0"/>
                    <w:textAlignment w:val="auto"/>
                    <w:rPr>
                      <w:rFonts w:hint="eastAsia"/>
                      <w:color w:val="000000" w:themeColor="text1"/>
                      <w:highlight w:val="none"/>
                      <w:lang w:val="en-US" w:eastAsia="zh-CN"/>
                      <w14:textFill>
                        <w14:solidFill>
                          <w14:schemeClr w14:val="tx1"/>
                        </w14:solidFill>
                      </w14:textFill>
                    </w:rPr>
                  </w:pPr>
                </w:p>
              </w:tc>
              <w:tc>
                <w:tcPr>
                  <w:tcW w:w="1078" w:type="dxa"/>
                  <w:vAlign w:val="center"/>
                </w:tcPr>
                <w:p>
                  <w:pPr>
                    <w:pStyle w:val="47"/>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15</w:t>
                  </w:r>
                </w:p>
              </w:tc>
              <w:tc>
                <w:tcPr>
                  <w:tcW w:w="949"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50</w:t>
                  </w:r>
                </w:p>
              </w:tc>
              <w:tc>
                <w:tcPr>
                  <w:tcW w:w="1060" w:type="dxa"/>
                  <w:vAlign w:val="center"/>
                </w:tcPr>
                <w:p>
                  <w:pPr>
                    <w:pStyle w:val="47"/>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p>
              </w:tc>
            </w:tr>
          </w:tbl>
          <w:p>
            <w:pPr>
              <w:pStyle w:val="39"/>
              <w:keepNext w:val="0"/>
              <w:keepLines w:val="0"/>
              <w:pageBreakBefore w:val="0"/>
              <w:widowControl w:val="0"/>
              <w:kinsoku/>
              <w:wordWrap/>
              <w:overflowPunct/>
              <w:topLinePunct w:val="0"/>
              <w:autoSpaceDE/>
              <w:autoSpaceDN/>
              <w:bidi w:val="0"/>
              <w:jc w:val="both"/>
              <w:textAlignment w:val="auto"/>
              <w:rPr>
                <w:rFonts w:hint="eastAsia"/>
                <w:b/>
                <w:bCs w:val="0"/>
                <w:color w:val="000000" w:themeColor="text1"/>
                <w:highlight w:val="none"/>
                <w:lang w:val="en-US" w:eastAsia="zh-CN"/>
                <w14:textFill>
                  <w14:solidFill>
                    <w14:schemeClr w14:val="tx1"/>
                  </w14:solidFill>
                </w14:textFill>
              </w:rPr>
            </w:pPr>
            <w:r>
              <w:rPr>
                <w:rFonts w:hint="eastAsia" w:cs="Times New Roman"/>
                <w:b/>
                <w:bCs/>
                <w:color w:val="000000" w:themeColor="text1"/>
                <w:kern w:val="0"/>
                <w:sz w:val="21"/>
                <w:szCs w:val="21"/>
                <w:highlight w:val="none"/>
                <w:lang w:val="en-US" w:eastAsia="zh-CN"/>
                <w14:textFill>
                  <w14:solidFill>
                    <w14:schemeClr w14:val="tx1"/>
                  </w14:solidFill>
                </w14:textFill>
              </w:rPr>
              <w:t>*注：分别以生产车间西南角为坐标原点，以东为X轴正坐标、北为Y轴正坐标，上为Z轴正坐标。</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hint="eastAsia" w:eastAsia="宋体" w:cs="Times New Roman"/>
                <w:b/>
                <w:bCs/>
                <w:color w:val="auto"/>
                <w:kern w:val="0"/>
                <w:sz w:val="21"/>
                <w:szCs w:val="21"/>
                <w:lang w:val="en-US" w:eastAsia="zh-CN"/>
              </w:rPr>
            </w:pPr>
            <w:r>
              <w:rPr>
                <w:rFonts w:hint="default" w:ascii="Times New Roman" w:hAnsi="Times New Roman" w:cs="Times New Roman"/>
                <w:b/>
                <w:color w:val="auto"/>
                <w:kern w:val="0"/>
                <w:sz w:val="24"/>
              </w:rPr>
              <w:t>表4</w:t>
            </w:r>
            <w:r>
              <w:rPr>
                <w:rFonts w:hint="eastAsia" w:cs="Times New Roman"/>
                <w:b/>
                <w:color w:val="auto"/>
                <w:kern w:val="0"/>
                <w:sz w:val="24"/>
                <w:lang w:val="en-US" w:eastAsia="zh-CN"/>
              </w:rPr>
              <w:t>-11</w:t>
            </w:r>
            <w:r>
              <w:rPr>
                <w:rFonts w:hint="default" w:ascii="Times New Roman" w:hAnsi="Times New Roman" w:cs="Times New Roman"/>
                <w:b/>
                <w:color w:val="auto"/>
                <w:kern w:val="0"/>
                <w:sz w:val="24"/>
              </w:rPr>
              <w:t xml:space="preserve"> </w:t>
            </w:r>
            <w:r>
              <w:rPr>
                <w:rFonts w:hint="default" w:ascii="Times New Roman" w:hAnsi="Times New Roman" w:cs="Times New Roman"/>
                <w:b/>
                <w:color w:val="auto"/>
                <w:kern w:val="0"/>
                <w:sz w:val="24"/>
                <w:lang w:val="en-US" w:eastAsia="zh-CN"/>
              </w:rPr>
              <w:t xml:space="preserve"> </w:t>
            </w:r>
            <w:r>
              <w:rPr>
                <w:rFonts w:hint="default" w:ascii="Times New Roman" w:hAnsi="Times New Roman" w:cs="Times New Roman"/>
                <w:b/>
                <w:color w:val="auto"/>
                <w:kern w:val="0"/>
                <w:sz w:val="24"/>
              </w:rPr>
              <w:t>噪声污染源强核算表</w:t>
            </w:r>
            <w:r>
              <w:rPr>
                <w:rFonts w:hint="eastAsia" w:cs="Times New Roman"/>
                <w:b/>
                <w:color w:val="auto"/>
                <w:kern w:val="0"/>
                <w:sz w:val="24"/>
                <w:lang w:eastAsia="zh-CN"/>
              </w:rPr>
              <w:t>（</w:t>
            </w:r>
            <w:r>
              <w:rPr>
                <w:rFonts w:hint="eastAsia" w:cs="Times New Roman"/>
                <w:b/>
                <w:color w:val="auto"/>
                <w:kern w:val="0"/>
                <w:sz w:val="24"/>
                <w:lang w:val="en-US" w:eastAsia="zh-CN"/>
              </w:rPr>
              <w:t>室外</w:t>
            </w:r>
            <w:r>
              <w:rPr>
                <w:rFonts w:hint="eastAsia" w:cs="Times New Roman"/>
                <w:b/>
                <w:color w:val="auto"/>
                <w:kern w:val="0"/>
                <w:sz w:val="24"/>
                <w:lang w:eastAsia="zh-CN"/>
              </w:rPr>
              <w:t>）</w:t>
            </w:r>
          </w:p>
          <w:tbl>
            <w:tblPr>
              <w:tblStyle w:val="37"/>
              <w:tblW w:w="4995" w:type="pct"/>
              <w:jc w:val="center"/>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62"/>
              <w:gridCol w:w="1942"/>
              <w:gridCol w:w="1110"/>
              <w:gridCol w:w="1177"/>
              <w:gridCol w:w="1480"/>
              <w:gridCol w:w="1012"/>
              <w:gridCol w:w="1789"/>
              <w:gridCol w:w="2107"/>
              <w:gridCol w:w="1717"/>
            </w:tblGrid>
            <w:tr>
              <w:tblPrEx>
                <w:tblLayout w:type="fixed"/>
              </w:tblPrEx>
              <w:trPr>
                <w:trHeight w:val="0" w:hRule="atLeast"/>
                <w:jc w:val="center"/>
              </w:trPr>
              <w:tc>
                <w:tcPr>
                  <w:tcW w:w="96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序号</w:t>
                  </w:r>
                </w:p>
              </w:tc>
              <w:tc>
                <w:tcPr>
                  <w:tcW w:w="194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声源</w:t>
                  </w:r>
                  <w:r>
                    <w:rPr>
                      <w:rFonts w:hint="default" w:ascii="Times New Roman" w:hAnsi="Times New Roman" w:eastAsia="宋体" w:cs="Times New Roman"/>
                      <w:color w:val="auto"/>
                      <w:sz w:val="21"/>
                      <w:szCs w:val="21"/>
                      <w:highlight w:val="none"/>
                      <w:lang w:val="en-US" w:eastAsia="zh-CN"/>
                    </w:rPr>
                    <w:t>名称</w:t>
                  </w:r>
                </w:p>
              </w:tc>
              <w:tc>
                <w:tcPr>
                  <w:tcW w:w="111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型号</w:t>
                  </w:r>
                </w:p>
              </w:tc>
              <w:tc>
                <w:tcPr>
                  <w:tcW w:w="3669"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空间相对位置/m</w:t>
                  </w:r>
                </w:p>
              </w:tc>
              <w:tc>
                <w:tcPr>
                  <w:tcW w:w="17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声源源强</w:t>
                  </w:r>
                </w:p>
              </w:tc>
              <w:tc>
                <w:tcPr>
                  <w:tcW w:w="210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声源控制措施</w:t>
                  </w:r>
                </w:p>
              </w:tc>
              <w:tc>
                <w:tcPr>
                  <w:tcW w:w="171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运行时段</w:t>
                  </w:r>
                </w:p>
              </w:tc>
            </w:tr>
            <w:tr>
              <w:tblPrEx>
                <w:tblLayout w:type="fixed"/>
              </w:tblPrEx>
              <w:trPr>
                <w:trHeight w:val="0" w:hRule="atLeast"/>
                <w:jc w:val="center"/>
              </w:trPr>
              <w:tc>
                <w:tcPr>
                  <w:tcW w:w="96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194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X</w:t>
                  </w:r>
                </w:p>
              </w:tc>
              <w:tc>
                <w:tcPr>
                  <w:tcW w:w="14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Y</w:t>
                  </w:r>
                </w:p>
              </w:tc>
              <w:tc>
                <w:tcPr>
                  <w:tcW w:w="10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Z</w:t>
                  </w:r>
                </w:p>
              </w:tc>
              <w:tc>
                <w:tcPr>
                  <w:tcW w:w="17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声功率级</w:t>
                  </w:r>
                  <w:r>
                    <w:rPr>
                      <w:rFonts w:hint="default" w:ascii="Times New Roman" w:hAnsi="Times New Roman" w:eastAsia="宋体" w:cs="Times New Roman"/>
                      <w:color w:val="auto"/>
                      <w:sz w:val="21"/>
                      <w:szCs w:val="21"/>
                      <w:highlight w:val="none"/>
                      <w:lang w:val="en-US" w:eastAsia="zh-CN"/>
                    </w:rPr>
                    <w:t xml:space="preserve">/dB(A) </w:t>
                  </w:r>
                </w:p>
              </w:tc>
              <w:tc>
                <w:tcPr>
                  <w:tcW w:w="210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c>
                <w:tcPr>
                  <w:tcW w:w="171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p>
              </w:tc>
            </w:tr>
            <w:tr>
              <w:tblPrEx>
                <w:tblLayout w:type="fixed"/>
              </w:tblPrEx>
              <w:trPr>
                <w:trHeight w:val="0" w:hRule="atLeast"/>
                <w:jc w:val="center"/>
              </w:trPr>
              <w:tc>
                <w:tcPr>
                  <w:tcW w:w="96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w:t>
                  </w:r>
                </w:p>
              </w:tc>
              <w:tc>
                <w:tcPr>
                  <w:tcW w:w="194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风机</w:t>
                  </w: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14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10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c>
                <w:tcPr>
                  <w:tcW w:w="178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80~9</w:t>
                  </w:r>
                  <w:r>
                    <w:rPr>
                      <w:rFonts w:hint="eastAsia" w:cs="Times New Roman"/>
                      <w:color w:val="auto"/>
                      <w:sz w:val="21"/>
                      <w:szCs w:val="21"/>
                      <w:highlight w:val="none"/>
                      <w:lang w:val="en-US" w:eastAsia="zh-CN"/>
                    </w:rPr>
                    <w:t>5</w:t>
                  </w:r>
                </w:p>
              </w:tc>
              <w:tc>
                <w:tcPr>
                  <w:tcW w:w="210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减振、隔声</w:t>
                  </w:r>
                </w:p>
              </w:tc>
              <w:tc>
                <w:tcPr>
                  <w:tcW w:w="171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昼间</w:t>
                  </w:r>
                </w:p>
              </w:tc>
            </w:tr>
          </w:tbl>
          <w:p>
            <w:pPr>
              <w:pStyle w:val="39"/>
              <w:keepNext w:val="0"/>
              <w:keepLines w:val="0"/>
              <w:pageBreakBefore w:val="0"/>
              <w:widowControl w:val="0"/>
              <w:kinsoku/>
              <w:wordWrap/>
              <w:overflowPunct/>
              <w:topLinePunct w:val="0"/>
              <w:autoSpaceDE/>
              <w:autoSpaceDN/>
              <w:bidi w:val="0"/>
              <w:textAlignment w:val="auto"/>
              <w:rPr>
                <w:rFonts w:hint="eastAsia"/>
                <w:b/>
                <w:bCs w:val="0"/>
                <w:color w:val="000000" w:themeColor="text1"/>
                <w:highlight w:val="none"/>
                <w:lang w:val="en-US" w:eastAsia="zh-CN"/>
                <w14:textFill>
                  <w14:solidFill>
                    <w14:schemeClr w14:val="tx1"/>
                  </w14:solidFill>
                </w14:textFill>
              </w:rPr>
            </w:pPr>
          </w:p>
          <w:p>
            <w:pPr>
              <w:pStyle w:val="39"/>
              <w:keepNext w:val="0"/>
              <w:keepLines w:val="0"/>
              <w:pageBreakBefore w:val="0"/>
              <w:widowControl w:val="0"/>
              <w:kinsoku/>
              <w:wordWrap/>
              <w:overflowPunct/>
              <w:topLinePunct w:val="0"/>
              <w:autoSpaceDE/>
              <w:autoSpaceDN/>
              <w:bidi w:val="0"/>
              <w:textAlignment w:val="auto"/>
              <w:rPr>
                <w:rFonts w:hint="eastAsia"/>
                <w:b/>
                <w:bCs w:val="0"/>
                <w:color w:val="000000" w:themeColor="text1"/>
                <w:highlight w:val="none"/>
                <w:lang w:val="en-US" w:eastAsia="zh-CN"/>
                <w14:textFill>
                  <w14:solidFill>
                    <w14:schemeClr w14:val="tx1"/>
                  </w14:solidFill>
                </w14:textFill>
              </w:rPr>
            </w:pPr>
          </w:p>
          <w:p>
            <w:pPr>
              <w:pStyle w:val="39"/>
              <w:keepNext w:val="0"/>
              <w:keepLines w:val="0"/>
              <w:pageBreakBefore w:val="0"/>
              <w:widowControl w:val="0"/>
              <w:kinsoku/>
              <w:wordWrap/>
              <w:overflowPunct/>
              <w:topLinePunct w:val="0"/>
              <w:autoSpaceDE/>
              <w:autoSpaceDN/>
              <w:bidi w:val="0"/>
              <w:textAlignment w:val="auto"/>
              <w:rPr>
                <w:rFonts w:hint="eastAsia"/>
                <w:b/>
                <w:bCs w:val="0"/>
                <w:color w:val="000000" w:themeColor="text1"/>
                <w:highlight w:val="none"/>
                <w:lang w:val="en-US" w:eastAsia="zh-CN"/>
                <w14:textFill>
                  <w14:solidFill>
                    <w14:schemeClr w14:val="tx1"/>
                  </w14:solidFill>
                </w14:textFill>
              </w:rPr>
            </w:pPr>
          </w:p>
          <w:p>
            <w:pPr>
              <w:pStyle w:val="39"/>
              <w:keepNext w:val="0"/>
              <w:keepLines w:val="0"/>
              <w:pageBreakBefore w:val="0"/>
              <w:widowControl w:val="0"/>
              <w:kinsoku/>
              <w:wordWrap/>
              <w:overflowPunct/>
              <w:topLinePunct w:val="0"/>
              <w:autoSpaceDE/>
              <w:autoSpaceDN/>
              <w:bidi w:val="0"/>
              <w:textAlignment w:val="auto"/>
              <w:rPr>
                <w:rFonts w:hint="eastAsia"/>
                <w:b/>
                <w:bCs w:val="0"/>
                <w:color w:val="000000" w:themeColor="text1"/>
                <w:highlight w:val="none"/>
                <w:lang w:val="en-US" w:eastAsia="zh-CN"/>
                <w14:textFill>
                  <w14:solidFill>
                    <w14:schemeClr w14:val="tx1"/>
                  </w14:solidFill>
                </w14:textFill>
              </w:rPr>
            </w:pPr>
          </w:p>
          <w:p>
            <w:pPr>
              <w:pStyle w:val="39"/>
              <w:keepNext w:val="0"/>
              <w:keepLines w:val="0"/>
              <w:pageBreakBefore w:val="0"/>
              <w:widowControl w:val="0"/>
              <w:kinsoku/>
              <w:wordWrap/>
              <w:overflowPunct/>
              <w:topLinePunct w:val="0"/>
              <w:autoSpaceDE/>
              <w:autoSpaceDN/>
              <w:bidi w:val="0"/>
              <w:textAlignment w:val="auto"/>
              <w:rPr>
                <w:rFonts w:hint="eastAsia"/>
                <w:b/>
                <w:bCs w:val="0"/>
                <w:color w:val="000000" w:themeColor="text1"/>
                <w:highlight w:val="none"/>
                <w:lang w:val="en-US" w:eastAsia="zh-CN"/>
                <w14:textFill>
                  <w14:solidFill>
                    <w14:schemeClr w14:val="tx1"/>
                  </w14:solidFill>
                </w14:textFill>
              </w:rPr>
            </w:pPr>
          </w:p>
          <w:p>
            <w:pPr>
              <w:pStyle w:val="39"/>
              <w:keepNext w:val="0"/>
              <w:keepLines w:val="0"/>
              <w:pageBreakBefore w:val="0"/>
              <w:widowControl w:val="0"/>
              <w:kinsoku/>
              <w:wordWrap/>
              <w:overflowPunct/>
              <w:topLinePunct w:val="0"/>
              <w:autoSpaceDE/>
              <w:autoSpaceDN/>
              <w:bidi w:val="0"/>
              <w:jc w:val="both"/>
              <w:textAlignment w:val="auto"/>
              <w:rPr>
                <w:rFonts w:hint="eastAsia"/>
                <w:b/>
                <w:bCs w:val="0"/>
                <w:color w:val="000000" w:themeColor="text1"/>
                <w:highlight w:val="none"/>
                <w:lang w:val="en-US" w:eastAsia="zh-CN"/>
                <w14:textFill>
                  <w14:solidFill>
                    <w14:schemeClr w14:val="tx1"/>
                  </w14:solidFill>
                </w14:textFill>
              </w:rPr>
            </w:pPr>
          </w:p>
          <w:p>
            <w:pPr>
              <w:ind w:left="0" w:leftChars="0" w:firstLine="0" w:firstLineChars="0"/>
              <w:rPr>
                <w:rFonts w:hint="default"/>
                <w:color w:val="000000" w:themeColor="text1"/>
                <w:highlight w:val="none"/>
                <w14:textFill>
                  <w14:solidFill>
                    <w14:schemeClr w14:val="tx1"/>
                  </w14:solidFill>
                </w14:textFill>
              </w:rPr>
            </w:pPr>
          </w:p>
        </w:tc>
      </w:tr>
    </w:tbl>
    <w:p>
      <w:pPr>
        <w:rPr>
          <w:rFonts w:hint="default"/>
          <w:color w:val="000000" w:themeColor="text1"/>
          <w:highlight w:val="none"/>
          <w14:textFill>
            <w14:solidFill>
              <w14:schemeClr w14:val="tx1"/>
            </w14:solidFill>
          </w14:textFill>
        </w:rPr>
        <w:sectPr>
          <w:pgSz w:w="16838" w:h="11906" w:orient="landscape"/>
          <w:pgMar w:top="1800" w:right="1440" w:bottom="1800" w:left="1440" w:header="851" w:footer="992" w:gutter="0"/>
          <w:pgBorders>
            <w:top w:val="none" w:color="auto" w:sz="0" w:space="0"/>
            <w:left w:val="none" w:color="auto" w:sz="0" w:space="0"/>
            <w:bottom w:val="none" w:color="auto" w:sz="0" w:space="0"/>
            <w:right w:val="none" w:color="auto" w:sz="0" w:space="0"/>
          </w:pgBorders>
          <w:pgNumType w:fmt="decimal"/>
          <w:cols w:space="425" w:num="1"/>
          <w:docGrid w:type="lines" w:linePitch="312" w:charSpace="0"/>
        </w:sectPr>
      </w:pPr>
    </w:p>
    <w:tbl>
      <w:tblPr>
        <w:tblStyle w:val="3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8623"/>
      </w:tblGrid>
      <w:tr>
        <w:tblPrEx>
          <w:tblLayout w:type="fixed"/>
        </w:tblPrEx>
        <w:tc>
          <w:tcPr>
            <w:tcW w:w="663" w:type="dxa"/>
            <w:vAlign w:val="center"/>
          </w:tcPr>
          <w:p>
            <w:pPr>
              <w:ind w:left="0" w:leftChars="0" w:firstLine="0" w:firstLineChars="0"/>
              <w:jc w:val="center"/>
              <w:rPr>
                <w:rFonts w:hint="default"/>
                <w:color w:val="000000" w:themeColor="text1"/>
                <w:highlight w:val="none"/>
                <w:vertAlign w:val="baseline"/>
                <w14:textFill>
                  <w14:solidFill>
                    <w14:schemeClr w14:val="tx1"/>
                  </w14:solidFill>
                </w14:textFill>
              </w:rPr>
            </w:pPr>
            <w:r>
              <w:rPr>
                <w:rFonts w:hint="default" w:ascii="Times New Roman" w:hAnsi="Times New Roman" w:cs="Times New Roman"/>
                <w:b/>
                <w:bCs/>
                <w:color w:val="000000" w:themeColor="text1"/>
                <w:sz w:val="24"/>
                <w:szCs w:val="32"/>
                <w:highlight w:val="none"/>
                <w14:textFill>
                  <w14:solidFill>
                    <w14:schemeClr w14:val="tx1"/>
                  </w14:solidFill>
                </w14:textFill>
              </w:rPr>
              <w:t>运营期环境影响和保护措施</w:t>
            </w:r>
          </w:p>
        </w:tc>
        <w:tc>
          <w:tcPr>
            <w:tcW w:w="8623" w:type="dxa"/>
          </w:tcPr>
          <w:p>
            <w:pPr>
              <w:pStyle w:val="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default"/>
                <w:color w:val="000000" w:themeColor="text1"/>
                <w:highlight w:val="none"/>
                <w14:textFill>
                  <w14:solidFill>
                    <w14:schemeClr w14:val="tx1"/>
                  </w14:solidFill>
                </w14:textFill>
              </w:rPr>
              <w:t>预测模式和结果</w:t>
            </w:r>
          </w:p>
          <w:p>
            <w:pPr>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选择《环境影响评价技术导则－声环境》</w:t>
            </w:r>
            <w:r>
              <w:rPr>
                <w:rFonts w:hint="eastAsia"/>
                <w:color w:val="000000" w:themeColor="text1"/>
                <w:highlight w:val="none"/>
                <w:lang w:eastAsia="zh-CN"/>
                <w14:textFill>
                  <w14:solidFill>
                    <w14:schemeClr w14:val="tx1"/>
                  </w14:solidFill>
                </w14:textFill>
              </w:rPr>
              <w:t>（</w:t>
            </w:r>
            <w:r>
              <w:rPr>
                <w:rFonts w:hint="default"/>
                <w:color w:val="000000" w:themeColor="text1"/>
                <w:highlight w:val="none"/>
                <w14:textFill>
                  <w14:solidFill>
                    <w14:schemeClr w14:val="tx1"/>
                  </w14:solidFill>
                </w14:textFill>
              </w:rPr>
              <w:t>HJ2.4－20</w:t>
            </w:r>
            <w:r>
              <w:rPr>
                <w:rFonts w:hint="eastAsia"/>
                <w:color w:val="000000" w:themeColor="text1"/>
                <w:highlight w:val="none"/>
                <w:lang w:val="en-US" w:eastAsia="zh-CN"/>
                <w14:textFill>
                  <w14:solidFill>
                    <w14:schemeClr w14:val="tx1"/>
                  </w14:solidFill>
                </w14:textFill>
              </w:rPr>
              <w:t>21</w:t>
            </w:r>
            <w:r>
              <w:rPr>
                <w:rFonts w:hint="eastAsia"/>
                <w:color w:val="000000" w:themeColor="text1"/>
                <w:highlight w:val="none"/>
                <w:lang w:eastAsia="zh-CN"/>
                <w14:textFill>
                  <w14:solidFill>
                    <w14:schemeClr w14:val="tx1"/>
                  </w14:solidFill>
                </w14:textFill>
              </w:rPr>
              <w:t>）</w:t>
            </w:r>
            <w:r>
              <w:rPr>
                <w:rFonts w:hint="default"/>
                <w:color w:val="000000" w:themeColor="text1"/>
                <w:highlight w:val="none"/>
                <w14:textFill>
                  <w14:solidFill>
                    <w14:schemeClr w14:val="tx1"/>
                  </w14:solidFill>
                </w14:textFill>
              </w:rPr>
              <w:t>中推荐的工业噪声预测模式，具体模式如下：</w:t>
            </w:r>
          </w:p>
          <w:p>
            <w:pPr>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w:t>
            </w:r>
            <w:r>
              <w:rPr>
                <w:rFonts w:hint="default"/>
                <w:color w:val="000000" w:themeColor="text1"/>
                <w:highlight w:val="none"/>
                <w14:textFill>
                  <w14:solidFill>
                    <w14:schemeClr w14:val="tx1"/>
                  </w14:solidFill>
                </w14:textFill>
              </w:rPr>
              <w:t>室内声源，在只取得A声级时，采用下式计算：</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LA(r) = LA(r0)-A</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A可选择对A声级影响最大的倍频带计算，一般可选中心频率为500Hz的倍频带作估算。</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A = Adiv+Aatm+Agr+Abar+Amisc</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几何发散衰减：</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center"/>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(Adiv)</w:t>
            </w:r>
            <w:r>
              <w:rPr>
                <w:rFonts w:hint="default"/>
                <w:color w:val="000000" w:themeColor="text1"/>
                <w:highlight w:val="none"/>
                <w14:textFill>
                  <w14:solidFill>
                    <w14:schemeClr w14:val="tx1"/>
                  </w14:solidFill>
                </w14:textFill>
              </w:rPr>
              <w:tab/>
            </w:r>
            <w:r>
              <w:rPr>
                <w:rFonts w:hint="default"/>
                <w:color w:val="000000" w:themeColor="text1"/>
                <w:highlight w:val="none"/>
                <w14:textFill>
                  <w14:solidFill>
                    <w14:schemeClr w14:val="tx1"/>
                  </w14:solidFill>
                </w14:textFill>
              </w:rPr>
              <w:t>Adiv = 20Lg(r/r0)</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空气吸收引起的衰减</w:t>
            </w:r>
            <w:r>
              <w:rPr>
                <w:rFonts w:hint="eastAsia"/>
                <w:color w:val="000000" w:themeColor="text1"/>
                <w:highlight w:val="none"/>
                <w:lang w:eastAsia="zh-CN"/>
                <w14:textFill>
                  <w14:solidFill>
                    <w14:schemeClr w14:val="tx1"/>
                  </w14:solidFill>
                </w14:textFill>
              </w:rPr>
              <w:t>（</w:t>
            </w:r>
            <w:r>
              <w:rPr>
                <w:rFonts w:hint="default"/>
                <w:color w:val="000000" w:themeColor="text1"/>
                <w:highlight w:val="none"/>
                <w14:textFill>
                  <w14:solidFill>
                    <w14:schemeClr w14:val="tx1"/>
                  </w14:solidFill>
                </w14:textFill>
              </w:rPr>
              <w:t>Aatm)</w:t>
            </w:r>
            <w:r>
              <w:rPr>
                <w:rFonts w:hint="default"/>
                <w:color w:val="000000" w:themeColor="text1"/>
                <w:highlight w:val="none"/>
                <w14:textFill>
                  <w14:solidFill>
                    <w14:schemeClr w14:val="tx1"/>
                  </w14:solidFill>
                </w14:textFill>
              </w:rPr>
              <w:tab/>
            </w:r>
            <w:r>
              <w:rPr>
                <w:rFonts w:hint="default"/>
                <w:color w:val="000000" w:themeColor="text1"/>
                <w:highlight w:val="none"/>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center"/>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drawing>
                <wp:inline distT="0" distB="0" distL="114300" distR="114300">
                  <wp:extent cx="1162050" cy="438150"/>
                  <wp:effectExtent l="0" t="0" r="0" b="0"/>
                  <wp:docPr id="3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1"/>
                          <pic:cNvPicPr>
                            <a:picLocks noChangeAspect="1"/>
                          </pic:cNvPicPr>
                        </pic:nvPicPr>
                        <pic:blipFill>
                          <a:blip r:embed="rId11"/>
                          <a:stretch>
                            <a:fillRect/>
                          </a:stretch>
                        </pic:blipFill>
                        <pic:spPr>
                          <a:xfrm>
                            <a:off x="0" y="0"/>
                            <a:ext cx="1162050" cy="438150"/>
                          </a:xfrm>
                          <a:prstGeom prst="rect">
                            <a:avLst/>
                          </a:prstGeom>
                          <a:noFill/>
                          <a:ln>
                            <a:noFill/>
                          </a:ln>
                        </pic:spPr>
                      </pic:pic>
                    </a:graphicData>
                  </a:graphic>
                </wp:inline>
              </w:drawing>
            </w:r>
          </w:p>
          <w:p>
            <w:pPr>
              <w:pStyle w:val="39"/>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表</w:t>
            </w:r>
            <w:r>
              <w:rPr>
                <w:rFonts w:hint="default"/>
                <w:color w:val="000000" w:themeColor="text1"/>
                <w:highlight w:val="none"/>
                <w:lang w:val="en-US" w:eastAsia="zh-CN"/>
                <w14:textFill>
                  <w14:solidFill>
                    <w14:schemeClr w14:val="tx1"/>
                  </w14:solidFill>
                </w14:textFill>
              </w:rPr>
              <w:t>4-</w:t>
            </w:r>
            <w:r>
              <w:rPr>
                <w:rFonts w:hint="eastAsia"/>
                <w:color w:val="000000" w:themeColor="text1"/>
                <w:highlight w:val="none"/>
                <w:lang w:val="en-US" w:eastAsia="zh-CN"/>
                <w14:textFill>
                  <w14:solidFill>
                    <w14:schemeClr w14:val="tx1"/>
                  </w14:solidFill>
                </w14:textFill>
              </w:rPr>
              <w:t xml:space="preserve">12  </w:t>
            </w:r>
            <w:r>
              <w:rPr>
                <w:rFonts w:hint="default"/>
                <w:color w:val="000000" w:themeColor="text1"/>
                <w:highlight w:val="none"/>
                <w14:textFill>
                  <w14:solidFill>
                    <w14:schemeClr w14:val="tx1"/>
                  </w14:solidFill>
                </w14:textFill>
              </w:rPr>
              <w:t>倍频带噪声的大气吸收衰减系数</w:t>
            </w:r>
          </w:p>
          <w:tbl>
            <w:tblPr>
              <w:tblStyle w:val="37"/>
              <w:tblW w:w="4998" w:type="pct"/>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971"/>
              <w:gridCol w:w="830"/>
              <w:gridCol w:w="833"/>
              <w:gridCol w:w="833"/>
              <w:gridCol w:w="833"/>
              <w:gridCol w:w="838"/>
              <w:gridCol w:w="838"/>
              <w:gridCol w:w="840"/>
              <w:gridCol w:w="734"/>
            </w:tblGrid>
            <w:tr>
              <w:tblPrEx>
                <w:tblLayout w:type="fixed"/>
              </w:tblPrEx>
              <w:trPr>
                <w:trHeight w:val="95" w:hRule="atLeast"/>
                <w:jc w:val="center"/>
              </w:trPr>
              <w:tc>
                <w:tcPr>
                  <w:tcW w:w="844" w:type="dxa"/>
                  <w:vMerge w:val="restart"/>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温度℃</w:t>
                  </w:r>
                </w:p>
              </w:tc>
              <w:tc>
                <w:tcPr>
                  <w:tcW w:w="971" w:type="dxa"/>
                  <w:vMerge w:val="restart"/>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相对湿度%</w:t>
                  </w:r>
                </w:p>
              </w:tc>
              <w:tc>
                <w:tcPr>
                  <w:tcW w:w="6579" w:type="dxa"/>
                  <w:gridSpan w:val="8"/>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大气吸收衰减系数，dB/km</w:t>
                  </w:r>
                </w:p>
              </w:tc>
            </w:tr>
            <w:tr>
              <w:tblPrEx>
                <w:tblLayout w:type="fixed"/>
              </w:tblPrEx>
              <w:trPr>
                <w:trHeight w:val="90" w:hRule="atLeast"/>
                <w:jc w:val="center"/>
              </w:trPr>
              <w:tc>
                <w:tcPr>
                  <w:tcW w:w="844" w:type="dxa"/>
                  <w:vMerge w:val="continue"/>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p>
              </w:tc>
              <w:tc>
                <w:tcPr>
                  <w:tcW w:w="971" w:type="dxa"/>
                  <w:vMerge w:val="continue"/>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p>
              </w:tc>
              <w:tc>
                <w:tcPr>
                  <w:tcW w:w="6579" w:type="dxa"/>
                  <w:gridSpan w:val="8"/>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倍频带中心频率 Hz</w:t>
                  </w:r>
                </w:p>
              </w:tc>
            </w:tr>
            <w:tr>
              <w:tblPrEx>
                <w:tblLayout w:type="fixed"/>
              </w:tblPrEx>
              <w:trPr>
                <w:trHeight w:val="100" w:hRule="atLeast"/>
                <w:jc w:val="center"/>
              </w:trPr>
              <w:tc>
                <w:tcPr>
                  <w:tcW w:w="844" w:type="dxa"/>
                  <w:vMerge w:val="continue"/>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p>
              </w:tc>
              <w:tc>
                <w:tcPr>
                  <w:tcW w:w="971" w:type="dxa"/>
                  <w:vMerge w:val="continue"/>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p>
              </w:tc>
              <w:tc>
                <w:tcPr>
                  <w:tcW w:w="830"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63</w:t>
                  </w:r>
                </w:p>
              </w:tc>
              <w:tc>
                <w:tcPr>
                  <w:tcW w:w="833"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125</w:t>
                  </w:r>
                </w:p>
              </w:tc>
              <w:tc>
                <w:tcPr>
                  <w:tcW w:w="833"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250</w:t>
                  </w:r>
                </w:p>
              </w:tc>
              <w:tc>
                <w:tcPr>
                  <w:tcW w:w="833"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500</w:t>
                  </w:r>
                </w:p>
              </w:tc>
              <w:tc>
                <w:tcPr>
                  <w:tcW w:w="838"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1000</w:t>
                  </w:r>
                </w:p>
              </w:tc>
              <w:tc>
                <w:tcPr>
                  <w:tcW w:w="838"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2000</w:t>
                  </w:r>
                </w:p>
              </w:tc>
              <w:tc>
                <w:tcPr>
                  <w:tcW w:w="840"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4000</w:t>
                  </w:r>
                </w:p>
              </w:tc>
              <w:tc>
                <w:tcPr>
                  <w:tcW w:w="734"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8000</w:t>
                  </w:r>
                </w:p>
              </w:tc>
            </w:tr>
            <w:tr>
              <w:tblPrEx>
                <w:tblLayout w:type="fixed"/>
              </w:tblPrEx>
              <w:trPr>
                <w:trHeight w:val="210" w:hRule="atLeast"/>
                <w:jc w:val="center"/>
              </w:trPr>
              <w:tc>
                <w:tcPr>
                  <w:tcW w:w="844"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10</w:t>
                  </w:r>
                </w:p>
              </w:tc>
              <w:tc>
                <w:tcPr>
                  <w:tcW w:w="971"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70</w:t>
                  </w:r>
                </w:p>
              </w:tc>
              <w:tc>
                <w:tcPr>
                  <w:tcW w:w="830"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0.1</w:t>
                  </w:r>
                </w:p>
              </w:tc>
              <w:tc>
                <w:tcPr>
                  <w:tcW w:w="833"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0.4</w:t>
                  </w:r>
                </w:p>
              </w:tc>
              <w:tc>
                <w:tcPr>
                  <w:tcW w:w="833"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1.0</w:t>
                  </w:r>
                </w:p>
              </w:tc>
              <w:tc>
                <w:tcPr>
                  <w:tcW w:w="833"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1.9</w:t>
                  </w:r>
                </w:p>
              </w:tc>
              <w:tc>
                <w:tcPr>
                  <w:tcW w:w="838"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3.7</w:t>
                  </w:r>
                </w:p>
              </w:tc>
              <w:tc>
                <w:tcPr>
                  <w:tcW w:w="838"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9.7</w:t>
                  </w:r>
                </w:p>
              </w:tc>
              <w:tc>
                <w:tcPr>
                  <w:tcW w:w="840"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32.8</w:t>
                  </w:r>
                </w:p>
              </w:tc>
              <w:tc>
                <w:tcPr>
                  <w:tcW w:w="734"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117.0</w:t>
                  </w:r>
                </w:p>
              </w:tc>
            </w:tr>
            <w:tr>
              <w:tblPrEx>
                <w:tblLayout w:type="fixed"/>
              </w:tblPrEx>
              <w:trPr>
                <w:trHeight w:val="155" w:hRule="atLeast"/>
                <w:jc w:val="center"/>
              </w:trPr>
              <w:tc>
                <w:tcPr>
                  <w:tcW w:w="844"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20</w:t>
                  </w:r>
                </w:p>
              </w:tc>
              <w:tc>
                <w:tcPr>
                  <w:tcW w:w="971"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70</w:t>
                  </w:r>
                </w:p>
              </w:tc>
              <w:tc>
                <w:tcPr>
                  <w:tcW w:w="830"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0.1</w:t>
                  </w:r>
                </w:p>
              </w:tc>
              <w:tc>
                <w:tcPr>
                  <w:tcW w:w="833"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0.3</w:t>
                  </w:r>
                </w:p>
              </w:tc>
              <w:tc>
                <w:tcPr>
                  <w:tcW w:w="833"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1.1</w:t>
                  </w:r>
                </w:p>
              </w:tc>
              <w:tc>
                <w:tcPr>
                  <w:tcW w:w="833"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2.8</w:t>
                  </w:r>
                </w:p>
              </w:tc>
              <w:tc>
                <w:tcPr>
                  <w:tcW w:w="838"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5.0</w:t>
                  </w:r>
                </w:p>
              </w:tc>
              <w:tc>
                <w:tcPr>
                  <w:tcW w:w="838"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9.0</w:t>
                  </w:r>
                </w:p>
              </w:tc>
              <w:tc>
                <w:tcPr>
                  <w:tcW w:w="840"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22.9</w:t>
                  </w:r>
                </w:p>
              </w:tc>
              <w:tc>
                <w:tcPr>
                  <w:tcW w:w="734"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76.6</w:t>
                  </w:r>
                </w:p>
              </w:tc>
            </w:tr>
            <w:tr>
              <w:tblPrEx>
                <w:tblLayout w:type="fixed"/>
              </w:tblPrEx>
              <w:trPr>
                <w:trHeight w:val="183" w:hRule="atLeast"/>
                <w:jc w:val="center"/>
              </w:trPr>
              <w:tc>
                <w:tcPr>
                  <w:tcW w:w="844"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30</w:t>
                  </w:r>
                </w:p>
              </w:tc>
              <w:tc>
                <w:tcPr>
                  <w:tcW w:w="971"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70</w:t>
                  </w:r>
                </w:p>
              </w:tc>
              <w:tc>
                <w:tcPr>
                  <w:tcW w:w="830"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0.1</w:t>
                  </w:r>
                </w:p>
              </w:tc>
              <w:tc>
                <w:tcPr>
                  <w:tcW w:w="833"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0.3</w:t>
                  </w:r>
                </w:p>
              </w:tc>
              <w:tc>
                <w:tcPr>
                  <w:tcW w:w="833"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1.0</w:t>
                  </w:r>
                </w:p>
              </w:tc>
              <w:tc>
                <w:tcPr>
                  <w:tcW w:w="833"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3.1</w:t>
                  </w:r>
                </w:p>
              </w:tc>
              <w:tc>
                <w:tcPr>
                  <w:tcW w:w="838"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7.4</w:t>
                  </w:r>
                </w:p>
              </w:tc>
              <w:tc>
                <w:tcPr>
                  <w:tcW w:w="838"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12.7</w:t>
                  </w:r>
                </w:p>
              </w:tc>
              <w:tc>
                <w:tcPr>
                  <w:tcW w:w="840"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23.1</w:t>
                  </w:r>
                </w:p>
              </w:tc>
              <w:tc>
                <w:tcPr>
                  <w:tcW w:w="734"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59.3</w:t>
                  </w:r>
                </w:p>
              </w:tc>
            </w:tr>
            <w:tr>
              <w:tblPrEx>
                <w:tblLayout w:type="fixed"/>
              </w:tblPrEx>
              <w:trPr>
                <w:trHeight w:val="101" w:hRule="atLeast"/>
                <w:jc w:val="center"/>
              </w:trPr>
              <w:tc>
                <w:tcPr>
                  <w:tcW w:w="844"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15</w:t>
                  </w:r>
                </w:p>
              </w:tc>
              <w:tc>
                <w:tcPr>
                  <w:tcW w:w="971"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20</w:t>
                  </w:r>
                </w:p>
              </w:tc>
              <w:tc>
                <w:tcPr>
                  <w:tcW w:w="830"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0.3</w:t>
                  </w:r>
                </w:p>
              </w:tc>
              <w:tc>
                <w:tcPr>
                  <w:tcW w:w="833"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0.6</w:t>
                  </w:r>
                </w:p>
              </w:tc>
              <w:tc>
                <w:tcPr>
                  <w:tcW w:w="833"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1.2</w:t>
                  </w:r>
                </w:p>
              </w:tc>
              <w:tc>
                <w:tcPr>
                  <w:tcW w:w="833"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2.7</w:t>
                  </w:r>
                </w:p>
              </w:tc>
              <w:tc>
                <w:tcPr>
                  <w:tcW w:w="838"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8.2</w:t>
                  </w:r>
                </w:p>
              </w:tc>
              <w:tc>
                <w:tcPr>
                  <w:tcW w:w="838"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28.2</w:t>
                  </w:r>
                </w:p>
              </w:tc>
              <w:tc>
                <w:tcPr>
                  <w:tcW w:w="840"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28.8</w:t>
                  </w:r>
                </w:p>
              </w:tc>
              <w:tc>
                <w:tcPr>
                  <w:tcW w:w="734"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202.0</w:t>
                  </w:r>
                </w:p>
              </w:tc>
            </w:tr>
            <w:tr>
              <w:tblPrEx>
                <w:tblLayout w:type="fixed"/>
              </w:tblPrEx>
              <w:trPr>
                <w:trHeight w:val="90" w:hRule="atLeast"/>
                <w:jc w:val="center"/>
              </w:trPr>
              <w:tc>
                <w:tcPr>
                  <w:tcW w:w="844"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15</w:t>
                  </w:r>
                </w:p>
              </w:tc>
              <w:tc>
                <w:tcPr>
                  <w:tcW w:w="971"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50</w:t>
                  </w:r>
                </w:p>
              </w:tc>
              <w:tc>
                <w:tcPr>
                  <w:tcW w:w="830"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0.1</w:t>
                  </w:r>
                </w:p>
              </w:tc>
              <w:tc>
                <w:tcPr>
                  <w:tcW w:w="833"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0.5</w:t>
                  </w:r>
                </w:p>
              </w:tc>
              <w:tc>
                <w:tcPr>
                  <w:tcW w:w="833"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1.2</w:t>
                  </w:r>
                </w:p>
              </w:tc>
              <w:tc>
                <w:tcPr>
                  <w:tcW w:w="833"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2.2</w:t>
                  </w:r>
                </w:p>
              </w:tc>
              <w:tc>
                <w:tcPr>
                  <w:tcW w:w="838"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4.2</w:t>
                  </w:r>
                </w:p>
              </w:tc>
              <w:tc>
                <w:tcPr>
                  <w:tcW w:w="838"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10.8</w:t>
                  </w:r>
                </w:p>
              </w:tc>
              <w:tc>
                <w:tcPr>
                  <w:tcW w:w="840"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36.2</w:t>
                  </w:r>
                </w:p>
              </w:tc>
              <w:tc>
                <w:tcPr>
                  <w:tcW w:w="734"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129.0</w:t>
                  </w:r>
                </w:p>
              </w:tc>
            </w:tr>
            <w:tr>
              <w:tblPrEx>
                <w:tblLayout w:type="fixed"/>
              </w:tblPrEx>
              <w:trPr>
                <w:trHeight w:val="90" w:hRule="atLeast"/>
                <w:jc w:val="center"/>
              </w:trPr>
              <w:tc>
                <w:tcPr>
                  <w:tcW w:w="844"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15</w:t>
                  </w:r>
                </w:p>
              </w:tc>
              <w:tc>
                <w:tcPr>
                  <w:tcW w:w="971"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80</w:t>
                  </w:r>
                </w:p>
              </w:tc>
              <w:tc>
                <w:tcPr>
                  <w:tcW w:w="830"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0.1</w:t>
                  </w:r>
                </w:p>
              </w:tc>
              <w:tc>
                <w:tcPr>
                  <w:tcW w:w="833"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0.3</w:t>
                  </w:r>
                </w:p>
              </w:tc>
              <w:tc>
                <w:tcPr>
                  <w:tcW w:w="833"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1.1</w:t>
                  </w:r>
                </w:p>
              </w:tc>
              <w:tc>
                <w:tcPr>
                  <w:tcW w:w="833"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2.4</w:t>
                  </w:r>
                </w:p>
              </w:tc>
              <w:tc>
                <w:tcPr>
                  <w:tcW w:w="838"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4.1</w:t>
                  </w:r>
                </w:p>
              </w:tc>
              <w:tc>
                <w:tcPr>
                  <w:tcW w:w="838"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8.3</w:t>
                  </w:r>
                </w:p>
              </w:tc>
              <w:tc>
                <w:tcPr>
                  <w:tcW w:w="840"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23.7</w:t>
                  </w:r>
                </w:p>
              </w:tc>
              <w:tc>
                <w:tcPr>
                  <w:tcW w:w="734"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82.8</w:t>
                  </w:r>
                </w:p>
              </w:tc>
            </w:tr>
          </w:tbl>
          <w:p>
            <w:pPr>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取倍频带500Hz的值。</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地面效应衰减</w:t>
            </w:r>
            <w:r>
              <w:rPr>
                <w:rFonts w:hint="eastAsia"/>
                <w:color w:val="000000" w:themeColor="text1"/>
                <w:highlight w:val="none"/>
                <w:lang w:eastAsia="zh-CN"/>
                <w14:textFill>
                  <w14:solidFill>
                    <w14:schemeClr w14:val="tx1"/>
                  </w14:solidFill>
                </w14:textFill>
              </w:rPr>
              <w:t>（</w:t>
            </w:r>
            <w:r>
              <w:rPr>
                <w:rFonts w:hint="default"/>
                <w:color w:val="000000" w:themeColor="text1"/>
                <w:highlight w:val="none"/>
                <w14:textFill>
                  <w14:solidFill>
                    <w14:schemeClr w14:val="tx1"/>
                  </w14:solidFill>
                </w14:textFill>
              </w:rPr>
              <w:t xml:space="preserve">Agr)：     </w:t>
            </w:r>
            <w:r>
              <w:rPr>
                <w:rFonts w:hint="default"/>
                <w:color w:val="000000" w:themeColor="text1"/>
                <w:highlight w:val="none"/>
                <w14:textFill>
                  <w14:solidFill>
                    <w14:schemeClr w14:val="tx1"/>
                  </w14:solidFill>
                </w14:textFill>
              </w:rPr>
              <w:drawing>
                <wp:inline distT="0" distB="0" distL="114300" distR="114300">
                  <wp:extent cx="1847850" cy="533400"/>
                  <wp:effectExtent l="0" t="0" r="0" b="0"/>
                  <wp:docPr id="3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2"/>
                          <pic:cNvPicPr>
                            <a:picLocks noChangeAspect="1"/>
                          </pic:cNvPicPr>
                        </pic:nvPicPr>
                        <pic:blipFill>
                          <a:blip r:embed="rId12"/>
                          <a:stretch>
                            <a:fillRect/>
                          </a:stretch>
                        </pic:blipFill>
                        <pic:spPr>
                          <a:xfrm>
                            <a:off x="0" y="0"/>
                            <a:ext cx="1847850" cy="533400"/>
                          </a:xfrm>
                          <a:prstGeom prst="rect">
                            <a:avLst/>
                          </a:prstGeom>
                          <a:noFill/>
                          <a:ln>
                            <a:noFill/>
                          </a:ln>
                        </pic:spPr>
                      </pic:pic>
                    </a:graphicData>
                  </a:graphic>
                </wp:inline>
              </w:drawing>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式中：r—声源到预测点的距离，m；hm—传播路径的平均离地高度，m；hm =F/r；F：面积，m</w:t>
            </w:r>
            <w:r>
              <w:rPr>
                <w:rFonts w:hint="default"/>
                <w:color w:val="000000" w:themeColor="text1"/>
                <w:highlight w:val="none"/>
                <w:vertAlign w:val="superscript"/>
                <w14:textFill>
                  <w14:solidFill>
                    <w14:schemeClr w14:val="tx1"/>
                  </w14:solidFill>
                </w14:textFill>
              </w:rPr>
              <w:t>2</w:t>
            </w:r>
            <w:r>
              <w:rPr>
                <w:rFonts w:hint="default"/>
                <w:color w:val="000000" w:themeColor="text1"/>
                <w:highlight w:val="none"/>
                <w14:textFill>
                  <w14:solidFill>
                    <w14:schemeClr w14:val="tx1"/>
                  </w14:solidFill>
                </w14:textFill>
              </w:rPr>
              <w:t>r，m；</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若Agr计算出负值，则 Agr 可用“0”代替。</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其他情况可参照 GB/T17247.2 进行计算。</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屏障引起的衰减</w:t>
            </w:r>
            <w:r>
              <w:rPr>
                <w:rFonts w:hint="eastAsia"/>
                <w:color w:val="000000" w:themeColor="text1"/>
                <w:highlight w:val="none"/>
                <w:lang w:eastAsia="zh-CN"/>
                <w14:textFill>
                  <w14:solidFill>
                    <w14:schemeClr w14:val="tx1"/>
                  </w14:solidFill>
                </w14:textFill>
              </w:rPr>
              <w:t>（</w:t>
            </w:r>
            <w:r>
              <w:rPr>
                <w:rFonts w:hint="default"/>
                <w:color w:val="000000" w:themeColor="text1"/>
                <w:highlight w:val="none"/>
                <w14:textFill>
                  <w14:solidFill>
                    <w14:schemeClr w14:val="tx1"/>
                  </w14:solidFill>
                </w14:textFill>
              </w:rPr>
              <w:t>Abar)：本项目没有声屏障，取值为0；</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其他多方面原因引起的衰减</w:t>
            </w:r>
            <w:r>
              <w:rPr>
                <w:rFonts w:hint="eastAsia"/>
                <w:color w:val="000000" w:themeColor="text1"/>
                <w:highlight w:val="none"/>
                <w:lang w:eastAsia="zh-CN"/>
                <w14:textFill>
                  <w14:solidFill>
                    <w14:schemeClr w14:val="tx1"/>
                  </w14:solidFill>
                </w14:textFill>
              </w:rPr>
              <w:t>（</w:t>
            </w:r>
            <w:r>
              <w:rPr>
                <w:rFonts w:hint="default"/>
                <w:color w:val="000000" w:themeColor="text1"/>
                <w:highlight w:val="none"/>
                <w14:textFill>
                  <w14:solidFill>
                    <w14:schemeClr w14:val="tx1"/>
                  </w14:solidFill>
                </w14:textFill>
              </w:rPr>
              <w:t>Amisc)：本项目取值为0。</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w:t>
            </w:r>
            <w:r>
              <w:rPr>
                <w:rFonts w:hint="default"/>
                <w:color w:val="000000" w:themeColor="text1"/>
                <w:highlight w:val="none"/>
                <w14:textFill>
                  <w14:solidFill>
                    <w14:schemeClr w14:val="tx1"/>
                  </w14:solidFill>
                </w14:textFill>
              </w:rPr>
              <w:t>室内声源等效室外声源声功率级计算方法</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设靠近开口处（或窗户）室内、室外某倍频带的声压级分别为Lp1和Lp2。若声源所在室内声场为近似扩散声场，则室外的倍频带声压级可按下式近似求出：</w:t>
            </w:r>
          </w:p>
          <w:p>
            <w:pPr>
              <w:keepNext w:val="0"/>
              <w:keepLines w:val="0"/>
              <w:pageBreakBefore w:val="0"/>
              <w:widowControl w:val="0"/>
              <w:suppressLineNumbers w:val="0"/>
              <w:tabs>
                <w:tab w:val="left" w:pos="0"/>
              </w:tabs>
              <w:kinsoku/>
              <w:wordWrap/>
              <w:overflowPunct/>
              <w:topLinePunct w:val="0"/>
              <w:autoSpaceDE/>
              <w:autoSpaceDN/>
              <w:bidi w:val="0"/>
              <w:spacing w:before="0" w:beforeAutospacing="0" w:after="0" w:afterAutospacing="0"/>
              <w:ind w:left="0" w:right="-28"/>
              <w:jc w:val="center"/>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drawing>
                <wp:inline distT="0" distB="0" distL="114300" distR="114300">
                  <wp:extent cx="1181100" cy="257175"/>
                  <wp:effectExtent l="0" t="0" r="0" b="8255"/>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
                          <pic:cNvPicPr>
                            <a:picLocks noChangeAspect="1"/>
                          </pic:cNvPicPr>
                        </pic:nvPicPr>
                        <pic:blipFill>
                          <a:blip r:embed="rId13"/>
                          <a:stretch>
                            <a:fillRect/>
                          </a:stretch>
                        </pic:blipFill>
                        <pic:spPr>
                          <a:xfrm>
                            <a:off x="0" y="0"/>
                            <a:ext cx="1181100" cy="2571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r>
              <w:rPr>
                <w:rFonts w:hint="default"/>
                <w:color w:val="000000" w:themeColor="text1"/>
                <w:highlight w:val="none"/>
                <w14:textFill>
                  <w14:solidFill>
                    <w14:schemeClr w14:val="tx1"/>
                  </w14:solidFill>
                </w14:textFill>
              </w:rPr>
              <w:t>式中：TL——隔墙（或窗户）倍频带的隔声量，dB(A)</w:t>
            </w:r>
            <w:r>
              <w:rPr>
                <w:rFonts w:hint="eastAsia"/>
                <w:color w:val="000000" w:themeColor="text1"/>
                <w:highlight w:val="none"/>
                <w:lang w:eastAsia="zh-CN"/>
                <w14:textFill>
                  <w14:solidFill>
                    <w14:schemeClr w14:val="tx1"/>
                  </w14:solidFill>
                </w14:textFill>
              </w:rPr>
              <w:t>。</w:t>
            </w:r>
            <w:r>
              <w:rPr>
                <w:rFonts w:hint="default"/>
                <w:color w:val="000000" w:themeColor="text1"/>
                <w:highlight w:val="none"/>
                <w14:textFill>
                  <w14:solidFill>
                    <w14:schemeClr w14:val="tx1"/>
                  </w14:solidFill>
                </w14:textFill>
              </w:rPr>
              <w:t xml:space="preserve"> </w:t>
            </w:r>
          </w:p>
          <w:p>
            <w:pPr>
              <w:pStyle w:val="39"/>
              <w:keepNext w:val="0"/>
              <w:keepLines w:val="0"/>
              <w:pageBreakBefore w:val="0"/>
              <w:widowControl w:val="0"/>
              <w:kinsoku/>
              <w:wordWrap/>
              <w:overflowPunct/>
              <w:topLinePunct w:val="0"/>
              <w:autoSpaceDE/>
              <w:autoSpaceDN/>
              <w:bidi w:val="0"/>
              <w:jc w:val="center"/>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drawing>
                <wp:inline distT="0" distB="0" distL="114935" distR="114935">
                  <wp:extent cx="4407535" cy="1334135"/>
                  <wp:effectExtent l="0" t="0" r="12065" b="18415"/>
                  <wp:docPr id="6" name="图片 6" descr="16233810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23381096(1)"/>
                          <pic:cNvPicPr>
                            <a:picLocks noChangeAspect="1"/>
                          </pic:cNvPicPr>
                        </pic:nvPicPr>
                        <pic:blipFill>
                          <a:blip r:embed="rId14"/>
                          <a:stretch>
                            <a:fillRect/>
                          </a:stretch>
                        </pic:blipFill>
                        <pic:spPr>
                          <a:xfrm>
                            <a:off x="0" y="0"/>
                            <a:ext cx="4407535" cy="1334135"/>
                          </a:xfrm>
                          <a:prstGeom prst="rect">
                            <a:avLst/>
                          </a:prstGeom>
                          <a:noFill/>
                          <a:ln>
                            <a:noFill/>
                          </a:ln>
                        </pic:spPr>
                      </pic:pic>
                    </a:graphicData>
                  </a:graphic>
                </wp:inline>
              </w:drawing>
            </w:r>
          </w:p>
          <w:p>
            <w:pPr>
              <w:pStyle w:val="39"/>
              <w:keepNext w:val="0"/>
              <w:keepLines w:val="0"/>
              <w:pageBreakBefore w:val="0"/>
              <w:widowControl w:val="0"/>
              <w:kinsoku/>
              <w:wordWrap/>
              <w:overflowPunct/>
              <w:topLinePunct w:val="0"/>
              <w:autoSpaceDE/>
              <w:autoSpaceDN/>
              <w:bidi w:val="0"/>
              <w:jc w:val="center"/>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图</w:t>
            </w:r>
            <w:r>
              <w:rPr>
                <w:rFonts w:hint="default"/>
                <w:color w:val="000000" w:themeColor="text1"/>
                <w:highlight w:val="none"/>
                <w:lang w:val="en-US" w:eastAsia="zh-CN"/>
                <w14:textFill>
                  <w14:solidFill>
                    <w14:schemeClr w14:val="tx1"/>
                  </w14:solidFill>
                </w14:textFill>
              </w:rPr>
              <w:t>4-</w:t>
            </w:r>
            <w:r>
              <w:rPr>
                <w:rFonts w:hint="eastAsia"/>
                <w:color w:val="000000" w:themeColor="text1"/>
                <w:highlight w:val="none"/>
                <w:lang w:val="en-US" w:eastAsia="zh-CN"/>
                <w14:textFill>
                  <w14:solidFill>
                    <w14:schemeClr w14:val="tx1"/>
                  </w14:solidFill>
                </w14:textFill>
              </w:rPr>
              <w:t>2</w:t>
            </w:r>
            <w:r>
              <w:rPr>
                <w:rFonts w:hint="default"/>
                <w:color w:val="000000" w:themeColor="text1"/>
                <w:highlight w:val="none"/>
                <w14:textFill>
                  <w14:solidFill>
                    <w14:schemeClr w14:val="tx1"/>
                  </w14:solidFill>
                </w14:textFill>
              </w:rPr>
              <w:t xml:space="preserve">  室内声源等效为室外声源图例</w:t>
            </w:r>
          </w:p>
          <w:p>
            <w:pPr>
              <w:keepNext w:val="0"/>
              <w:keepLines w:val="0"/>
              <w:pageBreakBefore w:val="0"/>
              <w:widowControl w:val="0"/>
              <w:suppressLineNumbers w:val="0"/>
              <w:tabs>
                <w:tab w:val="left" w:pos="0"/>
              </w:tabs>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也可按下式计算某一室内声源靠近围护结构处产生的倍频带声压级：</w:t>
            </w:r>
          </w:p>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jc w:val="center"/>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drawing>
                <wp:inline distT="0" distB="0" distL="114300" distR="114300">
                  <wp:extent cx="1734185" cy="438150"/>
                  <wp:effectExtent l="0" t="0" r="18415" b="0"/>
                  <wp:docPr id="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
                          <pic:cNvPicPr>
                            <a:picLocks noChangeAspect="1"/>
                          </pic:cNvPicPr>
                        </pic:nvPicPr>
                        <pic:blipFill>
                          <a:blip r:embed="rId15"/>
                          <a:stretch>
                            <a:fillRect/>
                          </a:stretch>
                        </pic:blipFill>
                        <pic:spPr>
                          <a:xfrm>
                            <a:off x="0" y="0"/>
                            <a:ext cx="1734185" cy="438150"/>
                          </a:xfrm>
                          <a:prstGeom prst="rect">
                            <a:avLst/>
                          </a:prstGeom>
                          <a:noFill/>
                          <a:ln>
                            <a:noFill/>
                          </a:ln>
                        </pic:spPr>
                      </pic:pic>
                    </a:graphicData>
                  </a:graphic>
                </wp:inline>
              </w:drawing>
            </w:r>
          </w:p>
          <w:p>
            <w:pPr>
              <w:keepNext w:val="0"/>
              <w:keepLines w:val="0"/>
              <w:pageBreakBefore w:val="0"/>
              <w:widowControl w:val="0"/>
              <w:suppressLineNumbers w:val="0"/>
              <w:tabs>
                <w:tab w:val="left" w:pos="0"/>
              </w:tabs>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式中：Q——指向性因数，通常对无指向性声源，当声源放在房间中心时，Q=1；当放在一面墙的中心时，Q=2；当放在两面墙夹角处时，Q=4；当放在三面墙夹角处时，Q=8；</w:t>
            </w:r>
          </w:p>
          <w:p>
            <w:pPr>
              <w:keepNext w:val="0"/>
              <w:keepLines w:val="0"/>
              <w:pageBreakBefore w:val="0"/>
              <w:widowControl w:val="0"/>
              <w:suppressLineNumbers w:val="0"/>
              <w:tabs>
                <w:tab w:val="left" w:pos="0"/>
              </w:tabs>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R——房间常数，R=Sα/（1-α），S为房间内表面面积，m2，α为平均吸声系数；</w:t>
            </w:r>
          </w:p>
          <w:p>
            <w:pPr>
              <w:keepNext w:val="0"/>
              <w:keepLines w:val="0"/>
              <w:pageBreakBefore w:val="0"/>
              <w:widowControl w:val="0"/>
              <w:suppressLineNumbers w:val="0"/>
              <w:tabs>
                <w:tab w:val="left" w:pos="0"/>
              </w:tabs>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r——声源到靠近围护结构某点处的距离，m。</w:t>
            </w:r>
          </w:p>
          <w:p>
            <w:pPr>
              <w:keepNext w:val="0"/>
              <w:keepLines w:val="0"/>
              <w:pageBreakBefore w:val="0"/>
              <w:widowControl w:val="0"/>
              <w:suppressLineNumbers w:val="0"/>
              <w:tabs>
                <w:tab w:val="left" w:pos="0"/>
              </w:tabs>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然后按下式计算出所有室内声源在围护结构处产生的i倍频带叠加声压级：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drawing>
                <wp:inline distT="0" distB="0" distL="114300" distR="114300">
                  <wp:extent cx="1209675" cy="346710"/>
                  <wp:effectExtent l="0" t="0" r="9525" b="15240"/>
                  <wp:docPr id="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
                          <pic:cNvPicPr>
                            <a:picLocks noChangeAspect="1"/>
                          </pic:cNvPicPr>
                        </pic:nvPicPr>
                        <pic:blipFill>
                          <a:blip r:embed="rId16"/>
                          <a:stretch>
                            <a:fillRect/>
                          </a:stretch>
                        </pic:blipFill>
                        <pic:spPr>
                          <a:xfrm>
                            <a:off x="0" y="0"/>
                            <a:ext cx="1209675" cy="34671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式中：</w:t>
            </w:r>
          </w:p>
          <w:p>
            <w:pPr>
              <w:keepNext w:val="0"/>
              <w:keepLines w:val="0"/>
              <w:pageBreakBefore w:val="0"/>
              <w:widowControl w:val="0"/>
              <w:suppressLineNumbers w:val="0"/>
              <w:tabs>
                <w:tab w:val="left" w:pos="0"/>
              </w:tabs>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Lp1i(T)——靠近围护结构处室内N个声源i倍频带的叠加声压级，dB；</w:t>
            </w:r>
          </w:p>
          <w:p>
            <w:pPr>
              <w:keepNext w:val="0"/>
              <w:keepLines w:val="0"/>
              <w:pageBreakBefore w:val="0"/>
              <w:widowControl w:val="0"/>
              <w:suppressLineNumbers w:val="0"/>
              <w:tabs>
                <w:tab w:val="left" w:pos="0"/>
              </w:tabs>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Lp1ij——室内j声源i倍频带的声压级，dB；</w:t>
            </w:r>
          </w:p>
          <w:p>
            <w:pPr>
              <w:keepNext w:val="0"/>
              <w:keepLines w:val="0"/>
              <w:pageBreakBefore w:val="0"/>
              <w:widowControl w:val="0"/>
              <w:suppressLineNumbers w:val="0"/>
              <w:tabs>
                <w:tab w:val="left" w:pos="0"/>
              </w:tabs>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N——室内声源总数。</w:t>
            </w:r>
          </w:p>
          <w:p>
            <w:pPr>
              <w:keepNext w:val="0"/>
              <w:keepLines w:val="0"/>
              <w:pageBreakBefore w:val="0"/>
              <w:widowControl w:val="0"/>
              <w:suppressLineNumbers w:val="0"/>
              <w:tabs>
                <w:tab w:val="left" w:pos="0"/>
              </w:tabs>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在室内近似为扩散声场时，按下式计算出靠近室外围护结构处的声压级：</w:t>
            </w:r>
          </w:p>
          <w:p>
            <w:pPr>
              <w:keepNext w:val="0"/>
              <w:keepLines w:val="0"/>
              <w:pageBreakBefore w:val="0"/>
              <w:widowControl w:val="0"/>
              <w:suppressLineNumbers w:val="0"/>
              <w:tabs>
                <w:tab w:val="left" w:pos="0"/>
              </w:tabs>
              <w:kinsoku/>
              <w:wordWrap/>
              <w:overflowPunct/>
              <w:topLinePunct w:val="0"/>
              <w:autoSpaceDE/>
              <w:autoSpaceDN/>
              <w:bidi w:val="0"/>
              <w:spacing w:before="0" w:beforeAutospacing="0" w:after="0" w:afterAutospacing="0" w:line="520" w:lineRule="exact"/>
              <w:ind w:left="0" w:right="-30"/>
              <w:jc w:val="center"/>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drawing>
                <wp:inline distT="0" distB="0" distL="114300" distR="114300">
                  <wp:extent cx="1562100" cy="231775"/>
                  <wp:effectExtent l="0" t="0" r="0" b="16510"/>
                  <wp:docPr id="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5"/>
                          <pic:cNvPicPr>
                            <a:picLocks noChangeAspect="1"/>
                          </pic:cNvPicPr>
                        </pic:nvPicPr>
                        <pic:blipFill>
                          <a:blip r:embed="rId17"/>
                          <a:stretch>
                            <a:fillRect/>
                          </a:stretch>
                        </pic:blipFill>
                        <pic:spPr>
                          <a:xfrm>
                            <a:off x="0" y="0"/>
                            <a:ext cx="1562100" cy="231775"/>
                          </a:xfrm>
                          <a:prstGeom prst="rect">
                            <a:avLst/>
                          </a:prstGeom>
                          <a:noFill/>
                          <a:ln>
                            <a:noFill/>
                          </a:ln>
                        </pic:spPr>
                      </pic:pic>
                    </a:graphicData>
                  </a:graphic>
                </wp:inline>
              </w:drawing>
            </w:r>
          </w:p>
          <w:p>
            <w:pPr>
              <w:keepNext w:val="0"/>
              <w:keepLines w:val="0"/>
              <w:pageBreakBefore w:val="0"/>
              <w:widowControl w:val="0"/>
              <w:suppressLineNumbers w:val="0"/>
              <w:tabs>
                <w:tab w:val="left" w:pos="0"/>
              </w:tabs>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式中：</w:t>
            </w:r>
          </w:p>
          <w:p>
            <w:pPr>
              <w:keepNext w:val="0"/>
              <w:keepLines w:val="0"/>
              <w:pageBreakBefore w:val="0"/>
              <w:widowControl w:val="0"/>
              <w:suppressLineNumbers w:val="0"/>
              <w:tabs>
                <w:tab w:val="left" w:pos="0"/>
              </w:tabs>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Lp2i(T)——靠近围护结构处室外N个声源i倍频带的叠加声压级，dB；</w:t>
            </w:r>
          </w:p>
          <w:p>
            <w:pPr>
              <w:keepNext w:val="0"/>
              <w:keepLines w:val="0"/>
              <w:pageBreakBefore w:val="0"/>
              <w:widowControl w:val="0"/>
              <w:suppressLineNumbers w:val="0"/>
              <w:tabs>
                <w:tab w:val="left" w:pos="0"/>
              </w:tabs>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TLi——围护结构i倍频带的隔声量，dB。</w:t>
            </w:r>
          </w:p>
          <w:p>
            <w:pPr>
              <w:keepNext w:val="0"/>
              <w:keepLines w:val="0"/>
              <w:pageBreakBefore w:val="0"/>
              <w:widowControl w:val="0"/>
              <w:suppressLineNumbers w:val="0"/>
              <w:tabs>
                <w:tab w:val="left" w:pos="0"/>
              </w:tabs>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然后按下式将室外声源的声压级和透过面积换算成等效的室外声源，计算出中心位置位于透声面积（S）处的等效声源的倍频带声功率级。</w:t>
            </w:r>
          </w:p>
          <w:p>
            <w:pPr>
              <w:keepNext w:val="0"/>
              <w:keepLines w:val="0"/>
              <w:pageBreakBefore w:val="0"/>
              <w:widowControl w:val="0"/>
              <w:suppressLineNumbers w:val="0"/>
              <w:tabs>
                <w:tab w:val="left" w:pos="0"/>
              </w:tabs>
              <w:kinsoku/>
              <w:wordWrap/>
              <w:overflowPunct/>
              <w:topLinePunct w:val="0"/>
              <w:autoSpaceDE/>
              <w:autoSpaceDN/>
              <w:bidi w:val="0"/>
              <w:spacing w:before="0" w:beforeAutospacing="0" w:after="0" w:afterAutospacing="0" w:line="520" w:lineRule="exact"/>
              <w:ind w:left="0" w:right="-30"/>
              <w:jc w:val="center"/>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drawing>
                <wp:inline distT="0" distB="0" distL="114300" distR="114300">
                  <wp:extent cx="1105535" cy="210185"/>
                  <wp:effectExtent l="0" t="0" r="18415" b="18415"/>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pic:cNvPicPr>
                            <a:picLocks noChangeAspect="1"/>
                          </pic:cNvPicPr>
                        </pic:nvPicPr>
                        <pic:blipFill>
                          <a:blip r:embed="rId18"/>
                          <a:stretch>
                            <a:fillRect/>
                          </a:stretch>
                        </pic:blipFill>
                        <pic:spPr>
                          <a:xfrm>
                            <a:off x="0" y="0"/>
                            <a:ext cx="1105535" cy="210185"/>
                          </a:xfrm>
                          <a:prstGeom prst="rect">
                            <a:avLst/>
                          </a:prstGeom>
                          <a:noFill/>
                          <a:ln>
                            <a:noFill/>
                          </a:ln>
                        </pic:spPr>
                      </pic:pic>
                    </a:graphicData>
                  </a:graphic>
                </wp:inline>
              </w:drawing>
            </w:r>
          </w:p>
          <w:p>
            <w:pPr>
              <w:keepNext w:val="0"/>
              <w:keepLines w:val="0"/>
              <w:pageBreakBefore w:val="0"/>
              <w:widowControl w:val="0"/>
              <w:suppressLineNumbers w:val="0"/>
              <w:tabs>
                <w:tab w:val="left" w:pos="0"/>
              </w:tabs>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然后按室外声源预测方法计算预测点处的A声级。</w:t>
            </w:r>
          </w:p>
          <w:p>
            <w:pPr>
              <w:keepNext w:val="0"/>
              <w:keepLines w:val="0"/>
              <w:pageBreakBefore w:val="0"/>
              <w:widowControl w:val="0"/>
              <w:suppressLineNumbers w:val="0"/>
              <w:tabs>
                <w:tab w:val="left" w:pos="0"/>
              </w:tabs>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w:t>
            </w:r>
            <w:r>
              <w:rPr>
                <w:rFonts w:hint="default"/>
                <w:color w:val="000000" w:themeColor="text1"/>
                <w:highlight w:val="none"/>
                <w14:textFill>
                  <w14:solidFill>
                    <w14:schemeClr w14:val="tx1"/>
                  </w14:solidFill>
                </w14:textFill>
              </w:rPr>
              <w:t>设第i个室外声源在预测点产生的A声级为LAi，在T时间内该声源工作时间为ti；第j个等效室外声源在预测点产生的A声级为LAj，在T时间内该声源工作时间为tj，则拟建工程声源对预测点产生的贡献值（Leqg）为：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center"/>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drawing>
                <wp:inline distT="0" distB="0" distL="114300" distR="114300">
                  <wp:extent cx="2085340" cy="408940"/>
                  <wp:effectExtent l="0" t="0" r="10160" b="10795"/>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7"/>
                          <pic:cNvPicPr>
                            <a:picLocks noChangeAspect="1"/>
                          </pic:cNvPicPr>
                        </pic:nvPicPr>
                        <pic:blipFill>
                          <a:blip r:embed="rId19"/>
                          <a:stretch>
                            <a:fillRect/>
                          </a:stretch>
                        </pic:blipFill>
                        <pic:spPr>
                          <a:xfrm>
                            <a:off x="0" y="0"/>
                            <a:ext cx="2085340" cy="408940"/>
                          </a:xfrm>
                          <a:prstGeom prst="rect">
                            <a:avLst/>
                          </a:prstGeom>
                          <a:noFill/>
                          <a:ln>
                            <a:noFill/>
                          </a:ln>
                        </pic:spPr>
                      </pic:pic>
                    </a:graphicData>
                  </a:graphic>
                </wp:inline>
              </w:drawing>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center"/>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drawing>
                <wp:inline distT="0" distB="0" distL="114300" distR="114300">
                  <wp:extent cx="1732280" cy="257175"/>
                  <wp:effectExtent l="0" t="0" r="1270" b="762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8"/>
                          <pic:cNvPicPr>
                            <a:picLocks noChangeAspect="1"/>
                          </pic:cNvPicPr>
                        </pic:nvPicPr>
                        <pic:blipFill>
                          <a:blip r:embed="rId20"/>
                          <a:stretch>
                            <a:fillRect/>
                          </a:stretch>
                        </pic:blipFill>
                        <pic:spPr>
                          <a:xfrm>
                            <a:off x="0" y="0"/>
                            <a:ext cx="1732280" cy="257175"/>
                          </a:xfrm>
                          <a:prstGeom prst="rect">
                            <a:avLst/>
                          </a:prstGeom>
                          <a:noFill/>
                          <a:ln>
                            <a:noFill/>
                          </a:ln>
                        </pic:spPr>
                      </pic:pic>
                    </a:graphicData>
                  </a:graphic>
                </wp:inline>
              </w:drawing>
            </w:r>
          </w:p>
          <w:p>
            <w:pPr>
              <w:keepNext w:val="0"/>
              <w:keepLines w:val="0"/>
              <w:pageBreakBefore w:val="0"/>
              <w:widowControl w:val="0"/>
              <w:suppressLineNumbers w:val="0"/>
              <w:tabs>
                <w:tab w:val="left" w:pos="0"/>
              </w:tabs>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式中：Leqg——建设项目声源在预测点的等效声级贡献值，dB(A)；</w:t>
            </w:r>
          </w:p>
          <w:p>
            <w:pPr>
              <w:keepNext w:val="0"/>
              <w:keepLines w:val="0"/>
              <w:pageBreakBefore w:val="0"/>
              <w:widowControl w:val="0"/>
              <w:suppressLineNumbers w:val="0"/>
              <w:tabs>
                <w:tab w:val="left" w:pos="0"/>
              </w:tabs>
              <w:kinsoku/>
              <w:wordWrap/>
              <w:overflowPunct/>
              <w:topLinePunct w:val="0"/>
              <w:autoSpaceDE/>
              <w:autoSpaceDN/>
              <w:bidi w:val="0"/>
              <w:spacing w:before="0" w:beforeAutospacing="0" w:after="0" w:afterAutospacing="0" w:line="360" w:lineRule="auto"/>
              <w:ind w:left="0" w:right="0" w:firstLine="1200" w:firstLineChars="50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Leqb——预测点的背景值，dB(A)。</w:t>
            </w:r>
          </w:p>
          <w:p>
            <w:pPr>
              <w:keepNext w:val="0"/>
              <w:keepLines w:val="0"/>
              <w:pageBreakBefore w:val="0"/>
              <w:widowControl w:val="0"/>
              <w:suppressLineNumbers w:val="0"/>
              <w:tabs>
                <w:tab w:val="left" w:pos="0"/>
              </w:tabs>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将设备噪声源在厂区平面图上进行定位，利用上述的预测数字模型，将有关参数代入公式计算，预测拟建工程噪声源对各向厂界的影响。</w:t>
            </w:r>
          </w:p>
          <w:p>
            <w:pPr>
              <w:keepNext w:val="0"/>
              <w:keepLines w:val="0"/>
              <w:pageBreakBefore w:val="0"/>
              <w:widowControl w:val="0"/>
              <w:suppressLineNumbers w:val="0"/>
              <w:tabs>
                <w:tab w:val="left" w:pos="0"/>
              </w:tabs>
              <w:kinsoku/>
              <w:wordWrap/>
              <w:overflowPunct/>
              <w:topLinePunct w:val="0"/>
              <w:autoSpaceDE/>
              <w:autoSpaceDN/>
              <w:bidi w:val="0"/>
              <w:spacing w:before="0" w:beforeAutospacing="0" w:after="0" w:afterAutospacing="0" w:line="360" w:lineRule="auto"/>
              <w:ind w:left="0" w:right="0" w:firstLine="480" w:firstLineChars="20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将设备噪声源在厂区平面图上进行定位，利用上述预测模型，将有关参数代入公式计算，预测拟建项目噪声源对厂界外的影响，经计算，项目昼间噪声影响预测结果见下表</w:t>
            </w:r>
            <w:r>
              <w:rPr>
                <w:rFonts w:hint="eastAsia"/>
                <w:color w:val="000000" w:themeColor="text1"/>
                <w:highlight w:val="none"/>
                <w:lang w:eastAsia="zh-CN"/>
                <w14:textFill>
                  <w14:solidFill>
                    <w14:schemeClr w14:val="tx1"/>
                  </w14:solidFill>
                </w14:textFill>
              </w:rPr>
              <w:t>：</w:t>
            </w:r>
          </w:p>
          <w:p>
            <w:pPr>
              <w:pStyle w:val="39"/>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表4-</w:t>
            </w:r>
            <w:r>
              <w:rPr>
                <w:rFonts w:hint="eastAsia"/>
                <w:color w:val="000000" w:themeColor="text1"/>
                <w:highlight w:val="none"/>
                <w:lang w:val="en-US" w:eastAsia="zh-CN"/>
                <w14:textFill>
                  <w14:solidFill>
                    <w14:schemeClr w14:val="tx1"/>
                  </w14:solidFill>
                </w14:textFill>
              </w:rPr>
              <w:t xml:space="preserve">13  </w:t>
            </w:r>
            <w:r>
              <w:rPr>
                <w:rFonts w:hint="default"/>
                <w:color w:val="000000" w:themeColor="text1"/>
                <w:highlight w:val="none"/>
                <w14:textFill>
                  <w14:solidFill>
                    <w14:schemeClr w14:val="tx1"/>
                  </w14:solidFill>
                </w14:textFill>
              </w:rPr>
              <w:t>厂房边界噪声值预测一览表</w:t>
            </w:r>
          </w:p>
          <w:tbl>
            <w:tblPr>
              <w:tblStyle w:val="38"/>
              <w:tblW w:w="4998"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1997"/>
              <w:gridCol w:w="2090"/>
              <w:gridCol w:w="2251"/>
              <w:gridCol w:w="850"/>
            </w:tblGrid>
            <w:tr>
              <w:tblPrEx>
                <w:tblLayout w:type="fixed"/>
              </w:tblPrEx>
              <w:trPr>
                <w:trHeight w:val="0" w:hRule="atLeast"/>
                <w:jc w:val="center"/>
              </w:trPr>
              <w:tc>
                <w:tcPr>
                  <w:tcW w:w="1206" w:type="dxa"/>
                  <w:vMerge w:val="restart"/>
                  <w:vAlign w:val="center"/>
                </w:tcPr>
                <w:p>
                  <w:pPr>
                    <w:pStyle w:val="47"/>
                    <w:keepNext w:val="0"/>
                    <w:keepLines w:val="0"/>
                    <w:pageBreakBefore w:val="0"/>
                    <w:widowControl w:val="0"/>
                    <w:kinsoku/>
                    <w:wordWrap/>
                    <w:overflowPunct/>
                    <w:topLinePunct w:val="0"/>
                    <w:autoSpaceDE/>
                    <w:autoSpaceDN/>
                    <w:bidi w:val="0"/>
                    <w:textAlignment w:val="auto"/>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关心点</w:t>
                  </w:r>
                </w:p>
              </w:tc>
              <w:tc>
                <w:tcPr>
                  <w:tcW w:w="4087" w:type="dxa"/>
                  <w:gridSpan w:val="2"/>
                  <w:vAlign w:val="center"/>
                </w:tcPr>
                <w:p>
                  <w:pPr>
                    <w:pStyle w:val="47"/>
                    <w:keepNext w:val="0"/>
                    <w:keepLines w:val="0"/>
                    <w:pageBreakBefore w:val="0"/>
                    <w:widowControl w:val="0"/>
                    <w:kinsoku/>
                    <w:wordWrap/>
                    <w:overflowPunct/>
                    <w:topLinePunct w:val="0"/>
                    <w:autoSpaceDE/>
                    <w:autoSpaceDN/>
                    <w:bidi w:val="0"/>
                    <w:textAlignment w:val="auto"/>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贡献值（dB(A)）</w:t>
                  </w:r>
                </w:p>
              </w:tc>
              <w:tc>
                <w:tcPr>
                  <w:tcW w:w="2251" w:type="dxa"/>
                  <w:vMerge w:val="restart"/>
                  <w:vAlign w:val="center"/>
                </w:tcPr>
                <w:p>
                  <w:pPr>
                    <w:pStyle w:val="47"/>
                    <w:keepNext w:val="0"/>
                    <w:keepLines w:val="0"/>
                    <w:pageBreakBefore w:val="0"/>
                    <w:widowControl w:val="0"/>
                    <w:kinsoku/>
                    <w:wordWrap/>
                    <w:overflowPunct/>
                    <w:topLinePunct w:val="0"/>
                    <w:autoSpaceDE/>
                    <w:autoSpaceDN/>
                    <w:bidi w:val="0"/>
                    <w:textAlignment w:val="auto"/>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执行标准</w:t>
                  </w:r>
                </w:p>
              </w:tc>
              <w:tc>
                <w:tcPr>
                  <w:tcW w:w="850" w:type="dxa"/>
                  <w:vMerge w:val="restart"/>
                  <w:vAlign w:val="center"/>
                </w:tcPr>
                <w:p>
                  <w:pPr>
                    <w:pStyle w:val="47"/>
                    <w:keepNext w:val="0"/>
                    <w:keepLines w:val="0"/>
                    <w:pageBreakBefore w:val="0"/>
                    <w:widowControl w:val="0"/>
                    <w:kinsoku/>
                    <w:wordWrap/>
                    <w:overflowPunct/>
                    <w:topLinePunct w:val="0"/>
                    <w:autoSpaceDE/>
                    <w:autoSpaceDN/>
                    <w:bidi w:val="0"/>
                    <w:textAlignment w:val="auto"/>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达标情况</w:t>
                  </w:r>
                </w:p>
              </w:tc>
            </w:tr>
            <w:tr>
              <w:tblPrEx>
                <w:tblLayout w:type="fixed"/>
              </w:tblPrEx>
              <w:trPr>
                <w:trHeight w:val="0" w:hRule="atLeast"/>
                <w:jc w:val="center"/>
              </w:trPr>
              <w:tc>
                <w:tcPr>
                  <w:tcW w:w="1206" w:type="dxa"/>
                  <w:vMerge w:val="continue"/>
                  <w:vAlign w:val="center"/>
                </w:tcPr>
                <w:p>
                  <w:pPr>
                    <w:pStyle w:val="47"/>
                    <w:keepNext w:val="0"/>
                    <w:keepLines w:val="0"/>
                    <w:pageBreakBefore w:val="0"/>
                    <w:widowControl w:val="0"/>
                    <w:kinsoku/>
                    <w:wordWrap/>
                    <w:overflowPunct/>
                    <w:topLinePunct w:val="0"/>
                    <w:autoSpaceDE/>
                    <w:autoSpaceDN/>
                    <w:bidi w:val="0"/>
                    <w:textAlignment w:val="auto"/>
                    <w:rPr>
                      <w:rFonts w:hint="eastAsia"/>
                      <w:b/>
                      <w:bCs/>
                      <w:color w:val="000000" w:themeColor="text1"/>
                      <w:highlight w:val="none"/>
                      <w:lang w:val="en-US" w:eastAsia="zh-CN"/>
                      <w14:textFill>
                        <w14:solidFill>
                          <w14:schemeClr w14:val="tx1"/>
                        </w14:solidFill>
                      </w14:textFill>
                    </w:rPr>
                  </w:pPr>
                </w:p>
              </w:tc>
              <w:tc>
                <w:tcPr>
                  <w:tcW w:w="1997" w:type="dxa"/>
                  <w:vAlign w:val="center"/>
                </w:tcPr>
                <w:p>
                  <w:pPr>
                    <w:pStyle w:val="47"/>
                    <w:keepNext w:val="0"/>
                    <w:keepLines w:val="0"/>
                    <w:pageBreakBefore w:val="0"/>
                    <w:widowControl w:val="0"/>
                    <w:kinsoku/>
                    <w:wordWrap/>
                    <w:overflowPunct/>
                    <w:topLinePunct w:val="0"/>
                    <w:autoSpaceDE/>
                    <w:autoSpaceDN/>
                    <w:bidi w:val="0"/>
                    <w:textAlignment w:val="auto"/>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昼间</w:t>
                  </w:r>
                  <w:r>
                    <w:rPr>
                      <w:rFonts w:hint="default" w:ascii="Times New Roman" w:hAnsi="Times New Roman" w:eastAsia="宋体" w:cs="Times New Roman"/>
                      <w:b/>
                      <w:bCs/>
                      <w:i w:val="0"/>
                      <w:iCs w:val="0"/>
                      <w:color w:val="000000"/>
                      <w:sz w:val="21"/>
                      <w:szCs w:val="21"/>
                      <w:highlight w:val="none"/>
                    </w:rPr>
                    <w:t>dB(A)</w:t>
                  </w:r>
                </w:p>
              </w:tc>
              <w:tc>
                <w:tcPr>
                  <w:tcW w:w="2090"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夜间</w:t>
                  </w:r>
                  <w:r>
                    <w:rPr>
                      <w:rFonts w:hint="default" w:ascii="Times New Roman" w:hAnsi="Times New Roman" w:eastAsia="宋体" w:cs="Times New Roman"/>
                      <w:b/>
                      <w:bCs/>
                      <w:i w:val="0"/>
                      <w:iCs w:val="0"/>
                      <w:color w:val="000000"/>
                      <w:sz w:val="21"/>
                      <w:szCs w:val="21"/>
                      <w:highlight w:val="none"/>
                    </w:rPr>
                    <w:t>dB(A)</w:t>
                  </w:r>
                </w:p>
              </w:tc>
              <w:tc>
                <w:tcPr>
                  <w:tcW w:w="2251" w:type="dxa"/>
                  <w:vMerge w:val="continue"/>
                  <w:vAlign w:val="center"/>
                </w:tcPr>
                <w:p>
                  <w:pPr>
                    <w:pStyle w:val="47"/>
                    <w:keepNext w:val="0"/>
                    <w:keepLines w:val="0"/>
                    <w:pageBreakBefore w:val="0"/>
                    <w:widowControl w:val="0"/>
                    <w:kinsoku/>
                    <w:wordWrap/>
                    <w:overflowPunct/>
                    <w:topLinePunct w:val="0"/>
                    <w:autoSpaceDE/>
                    <w:autoSpaceDN/>
                    <w:bidi w:val="0"/>
                    <w:textAlignment w:val="auto"/>
                    <w:rPr>
                      <w:rFonts w:hint="eastAsia"/>
                      <w:color w:val="000000" w:themeColor="text1"/>
                      <w:highlight w:val="none"/>
                      <w:lang w:val="en-US" w:eastAsia="zh-CN"/>
                      <w14:textFill>
                        <w14:solidFill>
                          <w14:schemeClr w14:val="tx1"/>
                        </w14:solidFill>
                      </w14:textFill>
                    </w:rPr>
                  </w:pPr>
                </w:p>
              </w:tc>
              <w:tc>
                <w:tcPr>
                  <w:tcW w:w="850" w:type="dxa"/>
                  <w:vMerge w:val="continue"/>
                  <w:vAlign w:val="center"/>
                </w:tcPr>
                <w:p>
                  <w:pPr>
                    <w:pStyle w:val="47"/>
                    <w:keepNext w:val="0"/>
                    <w:keepLines w:val="0"/>
                    <w:pageBreakBefore w:val="0"/>
                    <w:widowControl w:val="0"/>
                    <w:kinsoku/>
                    <w:wordWrap/>
                    <w:overflowPunct/>
                    <w:topLinePunct w:val="0"/>
                    <w:autoSpaceDE/>
                    <w:autoSpaceDN/>
                    <w:bidi w:val="0"/>
                    <w:textAlignment w:val="auto"/>
                    <w:rPr>
                      <w:rFonts w:hint="eastAsia"/>
                      <w:color w:val="000000" w:themeColor="text1"/>
                      <w:highlight w:val="none"/>
                      <w:lang w:val="en-US" w:eastAsia="zh-CN"/>
                      <w14:textFill>
                        <w14:solidFill>
                          <w14:schemeClr w14:val="tx1"/>
                        </w14:solidFill>
                      </w14:textFill>
                    </w:rPr>
                  </w:pPr>
                </w:p>
              </w:tc>
            </w:tr>
            <w:tr>
              <w:tblPrEx>
                <w:tblLayout w:type="fixed"/>
              </w:tblPrEx>
              <w:trPr>
                <w:trHeight w:val="0" w:hRule="atLeast"/>
                <w:jc w:val="center"/>
              </w:trPr>
              <w:tc>
                <w:tcPr>
                  <w:tcW w:w="1206"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r>
                    <w:rPr>
                      <w:rFonts w:hint="default"/>
                      <w:color w:val="000000" w:themeColor="text1"/>
                      <w:highlight w:val="none"/>
                      <w14:textFill>
                        <w14:solidFill>
                          <w14:schemeClr w14:val="tx1"/>
                        </w14:solidFill>
                      </w14:textFill>
                    </w:rPr>
                    <w:t>厂界</w:t>
                  </w:r>
                  <w:r>
                    <w:rPr>
                      <w:rFonts w:hint="eastAsia"/>
                      <w:color w:val="000000" w:themeColor="text1"/>
                      <w:highlight w:val="none"/>
                      <w:lang w:val="en-US" w:eastAsia="zh-CN"/>
                      <w14:textFill>
                        <w14:solidFill>
                          <w14:schemeClr w14:val="tx1"/>
                        </w14:solidFill>
                      </w14:textFill>
                    </w:rPr>
                    <w:t>东侧</w:t>
                  </w:r>
                </w:p>
              </w:tc>
              <w:tc>
                <w:tcPr>
                  <w:tcW w:w="1997"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auto"/>
                      <w:highlight w:val="none"/>
                      <w:lang w:val="en-US" w:eastAsia="zh-CN"/>
                    </w:rPr>
                  </w:pPr>
                  <w:r>
                    <w:rPr>
                      <w:rFonts w:hint="eastAsia"/>
                      <w:color w:val="auto"/>
                      <w:highlight w:val="none"/>
                      <w:lang w:val="en-US" w:eastAsia="zh-CN"/>
                    </w:rPr>
                    <w:t>57.7</w:t>
                  </w:r>
                </w:p>
              </w:tc>
              <w:tc>
                <w:tcPr>
                  <w:tcW w:w="2090" w:type="dxa"/>
                  <w:vMerge w:val="restart"/>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不生产</w:t>
                  </w:r>
                </w:p>
              </w:tc>
              <w:tc>
                <w:tcPr>
                  <w:tcW w:w="2251" w:type="dxa"/>
                  <w:vMerge w:val="restart"/>
                  <w:vAlign w:val="center"/>
                </w:tcPr>
                <w:p>
                  <w:pPr>
                    <w:pStyle w:val="47"/>
                    <w:keepNext w:val="0"/>
                    <w:keepLines w:val="0"/>
                    <w:pageBreakBefore w:val="0"/>
                    <w:widowControl w:val="0"/>
                    <w:kinsoku/>
                    <w:wordWrap/>
                    <w:overflowPunct/>
                    <w:topLinePunct w:val="0"/>
                    <w:autoSpaceDE/>
                    <w:autoSpaceDN/>
                    <w:bidi w:val="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r>
                    <w:rPr>
                      <w:rFonts w:hint="default"/>
                      <w:color w:val="000000" w:themeColor="text1"/>
                      <w:highlight w:val="none"/>
                      <w:lang w:val="en-US" w:eastAsia="zh-CN"/>
                      <w14:textFill>
                        <w14:solidFill>
                          <w14:schemeClr w14:val="tx1"/>
                        </w14:solidFill>
                      </w14:textFill>
                    </w:rPr>
                    <w:t>工业企业厂界环境噪声排放标准》（GB12348-2008）中</w:t>
                  </w:r>
                  <w:r>
                    <w:rPr>
                      <w:rFonts w:hint="eastAsia"/>
                      <w:color w:val="000000" w:themeColor="text1"/>
                      <w:highlight w:val="none"/>
                      <w:lang w:val="en-US" w:eastAsia="zh-CN"/>
                      <w14:textFill>
                        <w14:solidFill>
                          <w14:schemeClr w14:val="tx1"/>
                        </w14:solidFill>
                      </w14:textFill>
                    </w:rPr>
                    <w:t>3</w:t>
                  </w:r>
                  <w:r>
                    <w:rPr>
                      <w:rFonts w:hint="default"/>
                      <w:color w:val="000000" w:themeColor="text1"/>
                      <w:highlight w:val="none"/>
                      <w:lang w:val="en-US" w:eastAsia="zh-CN"/>
                      <w14:textFill>
                        <w14:solidFill>
                          <w14:schemeClr w14:val="tx1"/>
                        </w14:solidFill>
                      </w14:textFill>
                    </w:rPr>
                    <w:t>类标准要求</w:t>
                  </w:r>
                </w:p>
              </w:tc>
              <w:tc>
                <w:tcPr>
                  <w:tcW w:w="850" w:type="dxa"/>
                  <w:vAlign w:val="center"/>
                </w:tcPr>
                <w:p>
                  <w:pPr>
                    <w:keepNext w:val="0"/>
                    <w:keepLines w:val="0"/>
                    <w:pageBreakBefore w:val="0"/>
                    <w:suppressLineNumbers w:val="0"/>
                    <w:kinsoku/>
                    <w:wordWrap/>
                    <w:overflowPunct/>
                    <w:bidi w:val="0"/>
                    <w:spacing w:before="0" w:beforeAutospacing="0" w:afterAutospacing="0"/>
                    <w:ind w:left="0" w:leftChars="0" w:right="0" w:rightChars="0" w:firstLine="0" w:firstLineChars="0"/>
                    <w:jc w:val="center"/>
                    <w:rPr>
                      <w:rFonts w:hint="eastAsia" w:ascii="Times New Roman" w:hAnsi="Times New Roman" w:eastAsia="宋体" w:cs="Times New Roman"/>
                      <w:i w:val="0"/>
                      <w:iCs w:val="0"/>
                      <w:color w:val="auto"/>
                      <w:sz w:val="21"/>
                      <w:szCs w:val="21"/>
                      <w:lang w:val="en-US" w:eastAsia="zh-CN"/>
                    </w:rPr>
                  </w:pPr>
                  <w:r>
                    <w:rPr>
                      <w:rFonts w:hint="default" w:ascii="Times New Roman" w:hAnsi="Times New Roman" w:eastAsia="宋体" w:cs="Times New Roman"/>
                      <w:i w:val="0"/>
                      <w:iCs w:val="0"/>
                      <w:color w:val="auto"/>
                      <w:sz w:val="21"/>
                      <w:szCs w:val="21"/>
                    </w:rPr>
                    <w:t>达标</w:t>
                  </w:r>
                </w:p>
              </w:tc>
            </w:tr>
            <w:tr>
              <w:tblPrEx>
                <w:tblLayout w:type="fixed"/>
              </w:tblPrEx>
              <w:trPr>
                <w:trHeight w:val="0" w:hRule="atLeast"/>
                <w:jc w:val="center"/>
              </w:trPr>
              <w:tc>
                <w:tcPr>
                  <w:tcW w:w="1206"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r>
                    <w:rPr>
                      <w:rFonts w:hint="default"/>
                      <w:color w:val="000000" w:themeColor="text1"/>
                      <w:highlight w:val="none"/>
                      <w14:textFill>
                        <w14:solidFill>
                          <w14:schemeClr w14:val="tx1"/>
                        </w14:solidFill>
                      </w14:textFill>
                    </w:rPr>
                    <w:t>厂界</w:t>
                  </w:r>
                  <w:r>
                    <w:rPr>
                      <w:rFonts w:hint="eastAsia"/>
                      <w:color w:val="000000" w:themeColor="text1"/>
                      <w:highlight w:val="none"/>
                      <w:lang w:val="en-US" w:eastAsia="zh-CN"/>
                      <w14:textFill>
                        <w14:solidFill>
                          <w14:schemeClr w14:val="tx1"/>
                        </w14:solidFill>
                      </w14:textFill>
                    </w:rPr>
                    <w:t>西侧</w:t>
                  </w:r>
                </w:p>
              </w:tc>
              <w:tc>
                <w:tcPr>
                  <w:tcW w:w="1997"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auto"/>
                      <w:highlight w:val="none"/>
                      <w:lang w:val="en-US" w:eastAsia="zh-CN"/>
                    </w:rPr>
                  </w:pPr>
                  <w:r>
                    <w:rPr>
                      <w:rFonts w:hint="eastAsia"/>
                      <w:color w:val="auto"/>
                      <w:highlight w:val="none"/>
                      <w:lang w:val="en-US" w:eastAsia="zh-CN"/>
                    </w:rPr>
                    <w:t>49.8</w:t>
                  </w:r>
                </w:p>
              </w:tc>
              <w:tc>
                <w:tcPr>
                  <w:tcW w:w="2090" w:type="dxa"/>
                  <w:vMerge w:val="continue"/>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p>
              </w:tc>
              <w:tc>
                <w:tcPr>
                  <w:tcW w:w="2251" w:type="dxa"/>
                  <w:vMerge w:val="continue"/>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p>
              </w:tc>
              <w:tc>
                <w:tcPr>
                  <w:tcW w:w="850" w:type="dxa"/>
                  <w:vAlign w:val="center"/>
                </w:tcPr>
                <w:p>
                  <w:pPr>
                    <w:keepNext w:val="0"/>
                    <w:keepLines w:val="0"/>
                    <w:pageBreakBefore w:val="0"/>
                    <w:suppressLineNumbers w:val="0"/>
                    <w:kinsoku/>
                    <w:wordWrap/>
                    <w:overflowPunct/>
                    <w:bidi w:val="0"/>
                    <w:spacing w:before="0" w:beforeAutospacing="0" w:afterAutospacing="0"/>
                    <w:ind w:left="0" w:leftChars="0" w:right="0" w:rightChars="0" w:firstLine="0" w:firstLineChars="0"/>
                    <w:jc w:val="center"/>
                    <w:rPr>
                      <w:rFonts w:hint="eastAsia" w:ascii="Times New Roman" w:hAnsi="Times New Roman" w:eastAsia="宋体" w:cs="Times New Roman"/>
                      <w:i w:val="0"/>
                      <w:iCs w:val="0"/>
                      <w:color w:val="auto"/>
                      <w:sz w:val="21"/>
                      <w:szCs w:val="21"/>
                      <w:lang w:val="en-US" w:eastAsia="zh-CN"/>
                    </w:rPr>
                  </w:pPr>
                  <w:r>
                    <w:rPr>
                      <w:rFonts w:hint="default" w:ascii="Times New Roman" w:hAnsi="Times New Roman" w:eastAsia="宋体" w:cs="Times New Roman"/>
                      <w:i w:val="0"/>
                      <w:iCs w:val="0"/>
                      <w:color w:val="auto"/>
                      <w:sz w:val="21"/>
                      <w:szCs w:val="21"/>
                    </w:rPr>
                    <w:t>达标</w:t>
                  </w:r>
                </w:p>
              </w:tc>
            </w:tr>
            <w:tr>
              <w:tblPrEx>
                <w:tblLayout w:type="fixed"/>
              </w:tblPrEx>
              <w:trPr>
                <w:trHeight w:val="0" w:hRule="atLeast"/>
                <w:jc w:val="center"/>
              </w:trPr>
              <w:tc>
                <w:tcPr>
                  <w:tcW w:w="1206" w:type="dxa"/>
                  <w:vAlign w:val="center"/>
                </w:tcPr>
                <w:p>
                  <w:pPr>
                    <w:pStyle w:val="47"/>
                    <w:keepNext w:val="0"/>
                    <w:keepLines w:val="0"/>
                    <w:pageBreakBefore w:val="0"/>
                    <w:widowControl w:val="0"/>
                    <w:kinsoku/>
                    <w:wordWrap/>
                    <w:overflowPunct/>
                    <w:topLinePunct w:val="0"/>
                    <w:autoSpaceDE/>
                    <w:autoSpaceDN/>
                    <w:bidi w:val="0"/>
                    <w:textAlignment w:val="auto"/>
                    <w:rPr>
                      <w:rFonts w:hint="eastAsia"/>
                      <w:color w:val="000000" w:themeColor="text1"/>
                      <w:highlight w:val="none"/>
                      <w:lang w:val="en-US" w:eastAsia="zh-CN"/>
                      <w14:textFill>
                        <w14:solidFill>
                          <w14:schemeClr w14:val="tx1"/>
                        </w14:solidFill>
                      </w14:textFill>
                    </w:rPr>
                  </w:pPr>
                  <w:r>
                    <w:rPr>
                      <w:rFonts w:hint="default"/>
                      <w:color w:val="000000" w:themeColor="text1"/>
                      <w:highlight w:val="none"/>
                      <w14:textFill>
                        <w14:solidFill>
                          <w14:schemeClr w14:val="tx1"/>
                        </w14:solidFill>
                      </w14:textFill>
                    </w:rPr>
                    <w:t>厂界</w:t>
                  </w:r>
                  <w:r>
                    <w:rPr>
                      <w:rFonts w:hint="eastAsia"/>
                      <w:color w:val="000000" w:themeColor="text1"/>
                      <w:highlight w:val="none"/>
                      <w:lang w:val="en-US" w:eastAsia="zh-CN"/>
                      <w14:textFill>
                        <w14:solidFill>
                          <w14:schemeClr w14:val="tx1"/>
                        </w14:solidFill>
                      </w14:textFill>
                    </w:rPr>
                    <w:t>南侧</w:t>
                  </w:r>
                </w:p>
              </w:tc>
              <w:tc>
                <w:tcPr>
                  <w:tcW w:w="1997"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auto"/>
                      <w:highlight w:val="none"/>
                      <w:lang w:val="en-US" w:eastAsia="zh-CN"/>
                    </w:rPr>
                  </w:pPr>
                  <w:r>
                    <w:rPr>
                      <w:rFonts w:hint="eastAsia"/>
                      <w:color w:val="auto"/>
                      <w:highlight w:val="none"/>
                      <w:lang w:val="en-US" w:eastAsia="zh-CN"/>
                    </w:rPr>
                    <w:t>55.6</w:t>
                  </w:r>
                </w:p>
              </w:tc>
              <w:tc>
                <w:tcPr>
                  <w:tcW w:w="2090" w:type="dxa"/>
                  <w:vMerge w:val="continue"/>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p>
              </w:tc>
              <w:tc>
                <w:tcPr>
                  <w:tcW w:w="2251" w:type="dxa"/>
                  <w:vMerge w:val="continue"/>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p>
              </w:tc>
              <w:tc>
                <w:tcPr>
                  <w:tcW w:w="850" w:type="dxa"/>
                  <w:vAlign w:val="center"/>
                </w:tcPr>
                <w:p>
                  <w:pPr>
                    <w:keepNext w:val="0"/>
                    <w:keepLines w:val="0"/>
                    <w:pageBreakBefore w:val="0"/>
                    <w:suppressLineNumbers w:val="0"/>
                    <w:kinsoku/>
                    <w:wordWrap/>
                    <w:overflowPunct/>
                    <w:bidi w:val="0"/>
                    <w:spacing w:before="0" w:beforeAutospacing="0" w:afterAutospacing="0"/>
                    <w:ind w:left="0" w:leftChars="0" w:right="0" w:rightChars="0" w:firstLine="0" w:firstLineChars="0"/>
                    <w:jc w:val="center"/>
                    <w:rPr>
                      <w:rFonts w:hint="eastAsia" w:ascii="Times New Roman" w:hAnsi="Times New Roman" w:eastAsia="宋体" w:cs="Times New Roman"/>
                      <w:i w:val="0"/>
                      <w:iCs w:val="0"/>
                      <w:color w:val="auto"/>
                      <w:sz w:val="21"/>
                      <w:szCs w:val="21"/>
                      <w:lang w:val="en-US" w:eastAsia="zh-CN"/>
                    </w:rPr>
                  </w:pPr>
                  <w:r>
                    <w:rPr>
                      <w:rFonts w:hint="default" w:ascii="Times New Roman" w:hAnsi="Times New Roman" w:eastAsia="宋体" w:cs="Times New Roman"/>
                      <w:i w:val="0"/>
                      <w:iCs w:val="0"/>
                      <w:color w:val="auto"/>
                      <w:sz w:val="21"/>
                      <w:szCs w:val="21"/>
                    </w:rPr>
                    <w:t>达标</w:t>
                  </w:r>
                </w:p>
              </w:tc>
            </w:tr>
            <w:tr>
              <w:tblPrEx>
                <w:tblLayout w:type="fixed"/>
              </w:tblPrEx>
              <w:trPr>
                <w:trHeight w:val="0" w:hRule="atLeast"/>
                <w:jc w:val="center"/>
              </w:trPr>
              <w:tc>
                <w:tcPr>
                  <w:tcW w:w="1206" w:type="dxa"/>
                  <w:vAlign w:val="center"/>
                </w:tcPr>
                <w:p>
                  <w:pPr>
                    <w:pStyle w:val="47"/>
                    <w:keepNext w:val="0"/>
                    <w:keepLines w:val="0"/>
                    <w:pageBreakBefore w:val="0"/>
                    <w:widowControl w:val="0"/>
                    <w:kinsoku/>
                    <w:wordWrap/>
                    <w:overflowPunct/>
                    <w:topLinePunct w:val="0"/>
                    <w:autoSpaceDE/>
                    <w:autoSpaceDN/>
                    <w:bidi w:val="0"/>
                    <w:textAlignment w:val="auto"/>
                    <w:rPr>
                      <w:rFonts w:hint="eastAsia"/>
                      <w:color w:val="000000" w:themeColor="text1"/>
                      <w:highlight w:val="none"/>
                      <w:lang w:val="en-US" w:eastAsia="zh-CN"/>
                      <w14:textFill>
                        <w14:solidFill>
                          <w14:schemeClr w14:val="tx1"/>
                        </w14:solidFill>
                      </w14:textFill>
                    </w:rPr>
                  </w:pPr>
                  <w:r>
                    <w:rPr>
                      <w:rFonts w:hint="default"/>
                      <w:color w:val="000000" w:themeColor="text1"/>
                      <w:highlight w:val="none"/>
                      <w14:textFill>
                        <w14:solidFill>
                          <w14:schemeClr w14:val="tx1"/>
                        </w14:solidFill>
                      </w14:textFill>
                    </w:rPr>
                    <w:t>厂界</w:t>
                  </w:r>
                  <w:r>
                    <w:rPr>
                      <w:rFonts w:hint="eastAsia"/>
                      <w:color w:val="000000" w:themeColor="text1"/>
                      <w:highlight w:val="none"/>
                      <w:lang w:val="en-US" w:eastAsia="zh-CN"/>
                      <w14:textFill>
                        <w14:solidFill>
                          <w14:schemeClr w14:val="tx1"/>
                        </w14:solidFill>
                      </w14:textFill>
                    </w:rPr>
                    <w:t>北侧</w:t>
                  </w:r>
                </w:p>
              </w:tc>
              <w:tc>
                <w:tcPr>
                  <w:tcW w:w="1997"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auto"/>
                      <w:highlight w:val="none"/>
                      <w:lang w:val="en-US" w:eastAsia="zh-CN"/>
                    </w:rPr>
                  </w:pPr>
                  <w:r>
                    <w:rPr>
                      <w:rFonts w:hint="eastAsia"/>
                      <w:color w:val="auto"/>
                      <w:highlight w:val="none"/>
                      <w:lang w:val="en-US" w:eastAsia="zh-CN"/>
                    </w:rPr>
                    <w:t>51.5</w:t>
                  </w:r>
                </w:p>
              </w:tc>
              <w:tc>
                <w:tcPr>
                  <w:tcW w:w="2090" w:type="dxa"/>
                  <w:vMerge w:val="continue"/>
                  <w:vAlign w:val="center"/>
                </w:tcPr>
                <w:p>
                  <w:pPr>
                    <w:pStyle w:val="47"/>
                    <w:keepNext w:val="0"/>
                    <w:keepLines w:val="0"/>
                    <w:pageBreakBefore w:val="0"/>
                    <w:widowControl w:val="0"/>
                    <w:kinsoku/>
                    <w:wordWrap/>
                    <w:overflowPunct/>
                    <w:topLinePunct w:val="0"/>
                    <w:autoSpaceDE/>
                    <w:autoSpaceDN/>
                    <w:bidi w:val="0"/>
                    <w:textAlignment w:val="auto"/>
                    <w:rPr>
                      <w:rFonts w:hint="eastAsia"/>
                      <w:color w:val="000000" w:themeColor="text1"/>
                      <w:highlight w:val="none"/>
                      <w:lang w:val="en-US" w:eastAsia="zh-CN"/>
                      <w14:textFill>
                        <w14:solidFill>
                          <w14:schemeClr w14:val="tx1"/>
                        </w14:solidFill>
                      </w14:textFill>
                    </w:rPr>
                  </w:pPr>
                </w:p>
              </w:tc>
              <w:tc>
                <w:tcPr>
                  <w:tcW w:w="2251" w:type="dxa"/>
                  <w:vMerge w:val="continue"/>
                  <w:vAlign w:val="center"/>
                </w:tcPr>
                <w:p>
                  <w:pPr>
                    <w:pStyle w:val="47"/>
                    <w:keepNext w:val="0"/>
                    <w:keepLines w:val="0"/>
                    <w:pageBreakBefore w:val="0"/>
                    <w:widowControl w:val="0"/>
                    <w:kinsoku/>
                    <w:wordWrap/>
                    <w:overflowPunct/>
                    <w:topLinePunct w:val="0"/>
                    <w:autoSpaceDE/>
                    <w:autoSpaceDN/>
                    <w:bidi w:val="0"/>
                    <w:textAlignment w:val="auto"/>
                    <w:rPr>
                      <w:rFonts w:hint="eastAsia"/>
                      <w:color w:val="000000" w:themeColor="text1"/>
                      <w:highlight w:val="none"/>
                      <w:lang w:val="en-US" w:eastAsia="zh-CN"/>
                      <w14:textFill>
                        <w14:solidFill>
                          <w14:schemeClr w14:val="tx1"/>
                        </w14:solidFill>
                      </w14:textFill>
                    </w:rPr>
                  </w:pPr>
                </w:p>
              </w:tc>
              <w:tc>
                <w:tcPr>
                  <w:tcW w:w="850" w:type="dxa"/>
                  <w:vAlign w:val="center"/>
                </w:tcPr>
                <w:p>
                  <w:pPr>
                    <w:keepNext w:val="0"/>
                    <w:keepLines w:val="0"/>
                    <w:pageBreakBefore w:val="0"/>
                    <w:suppressLineNumbers w:val="0"/>
                    <w:kinsoku/>
                    <w:wordWrap/>
                    <w:overflowPunct/>
                    <w:bidi w:val="0"/>
                    <w:spacing w:before="0" w:beforeAutospacing="0" w:afterAutospacing="0"/>
                    <w:ind w:left="0" w:leftChars="0" w:right="0" w:rightChars="0" w:firstLine="0" w:firstLineChars="0"/>
                    <w:jc w:val="center"/>
                    <w:rPr>
                      <w:rFonts w:hint="eastAsia" w:ascii="Times New Roman" w:hAnsi="Times New Roman" w:eastAsia="宋体" w:cs="Times New Roman"/>
                      <w:i w:val="0"/>
                      <w:iCs w:val="0"/>
                      <w:color w:val="auto"/>
                      <w:sz w:val="21"/>
                      <w:szCs w:val="21"/>
                      <w:lang w:val="en-US" w:eastAsia="zh-CN"/>
                    </w:rPr>
                  </w:pPr>
                  <w:r>
                    <w:rPr>
                      <w:rFonts w:hint="default" w:ascii="Times New Roman" w:hAnsi="Times New Roman" w:eastAsia="宋体" w:cs="Times New Roman"/>
                      <w:i w:val="0"/>
                      <w:iCs w:val="0"/>
                      <w:color w:val="auto"/>
                      <w:sz w:val="21"/>
                      <w:szCs w:val="21"/>
                    </w:rPr>
                    <w:t>达标</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根据上述预测结果，</w:t>
            </w:r>
            <w:r>
              <w:rPr>
                <w:color w:val="000000"/>
                <w:sz w:val="24"/>
              </w:rPr>
              <w:t>厂界四周</w:t>
            </w:r>
            <w:r>
              <w:rPr>
                <w:rFonts w:hint="eastAsia"/>
                <w:color w:val="000000"/>
                <w:sz w:val="24"/>
              </w:rPr>
              <w:t>昼</w:t>
            </w:r>
            <w:r>
              <w:rPr>
                <w:rFonts w:hint="eastAsia"/>
                <w:color w:val="000000"/>
                <w:sz w:val="24"/>
                <w:lang w:eastAsia="zh-CN"/>
              </w:rPr>
              <w:t>间</w:t>
            </w:r>
            <w:r>
              <w:rPr>
                <w:color w:val="000000"/>
                <w:sz w:val="24"/>
              </w:rPr>
              <w:t>噪声</w:t>
            </w:r>
            <w:r>
              <w:rPr>
                <w:rFonts w:hint="eastAsia"/>
                <w:color w:val="000000"/>
                <w:sz w:val="24"/>
                <w:lang w:eastAsia="zh-CN"/>
              </w:rPr>
              <w:t>贡献</w:t>
            </w:r>
            <w:r>
              <w:rPr>
                <w:color w:val="000000"/>
                <w:sz w:val="24"/>
              </w:rPr>
              <w:t>值满足《工业企业厂界环境噪声排放标准》（GB12348-2008）</w:t>
            </w:r>
            <w:r>
              <w:rPr>
                <w:rFonts w:hint="eastAsia"/>
                <w:color w:val="000000"/>
                <w:sz w:val="24"/>
                <w:lang w:val="en-US" w:eastAsia="zh-CN"/>
              </w:rPr>
              <w:t>3</w:t>
            </w:r>
            <w:r>
              <w:rPr>
                <w:color w:val="000000"/>
                <w:sz w:val="24"/>
              </w:rPr>
              <w:t>类标准限值要求</w:t>
            </w:r>
            <w:r>
              <w:rPr>
                <w:rFonts w:hint="default" w:ascii="Times New Roman" w:hAnsi="Times New Roman" w:eastAsia="宋体" w:cs="Times New Roman"/>
                <w:color w:val="auto"/>
                <w:kern w:val="0"/>
                <w:sz w:val="24"/>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建议建设单位拟通过以下方式控制项目噪声：</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rPr>
                <w:rFonts w:hint="default" w:ascii="Times New Roman" w:hAnsi="Times New Roman" w:eastAsia="宋体" w:cs="Times New Roman"/>
                <w:color w:val="auto"/>
                <w:kern w:val="0"/>
                <w:sz w:val="24"/>
              </w:rPr>
            </w:pPr>
            <w:r>
              <w:rPr>
                <w:rFonts w:hint="default" w:ascii="Times New Roman" w:hAnsi="Times New Roman" w:eastAsia="宋体" w:cs="Times New Roman"/>
                <w:bCs/>
                <w:color w:val="auto"/>
                <w:kern w:val="0"/>
                <w:sz w:val="24"/>
              </w:rPr>
              <w:fldChar w:fldCharType="begin"/>
            </w:r>
            <w:r>
              <w:rPr>
                <w:rFonts w:hint="default" w:ascii="Times New Roman" w:hAnsi="Times New Roman" w:eastAsia="宋体" w:cs="Times New Roman"/>
                <w:bCs/>
                <w:color w:val="auto"/>
                <w:kern w:val="0"/>
                <w:sz w:val="24"/>
              </w:rPr>
              <w:instrText xml:space="preserve"> = 1 \* GB3 </w:instrText>
            </w:r>
            <w:r>
              <w:rPr>
                <w:rFonts w:hint="default" w:ascii="Times New Roman" w:hAnsi="Times New Roman" w:eastAsia="宋体" w:cs="Times New Roman"/>
                <w:bCs/>
                <w:color w:val="auto"/>
                <w:kern w:val="0"/>
                <w:sz w:val="24"/>
              </w:rPr>
              <w:fldChar w:fldCharType="separate"/>
            </w:r>
            <w:r>
              <w:rPr>
                <w:rFonts w:hint="default" w:ascii="Times New Roman" w:hAnsi="Times New Roman" w:eastAsia="宋体" w:cs="Times New Roman"/>
                <w:bCs/>
                <w:color w:val="auto"/>
                <w:kern w:val="0"/>
                <w:sz w:val="24"/>
              </w:rPr>
              <w:t>①</w:t>
            </w:r>
            <w:r>
              <w:rPr>
                <w:rFonts w:hint="default" w:ascii="Times New Roman" w:hAnsi="Times New Roman" w:eastAsia="宋体" w:cs="Times New Roman"/>
                <w:bCs/>
                <w:color w:val="auto"/>
                <w:kern w:val="0"/>
                <w:sz w:val="24"/>
              </w:rPr>
              <w:fldChar w:fldCharType="end"/>
            </w:r>
            <w:r>
              <w:rPr>
                <w:rFonts w:hint="default" w:ascii="Times New Roman" w:hAnsi="Times New Roman" w:eastAsia="宋体" w:cs="Times New Roman"/>
                <w:bCs/>
                <w:color w:val="auto"/>
                <w:kern w:val="0"/>
                <w:sz w:val="24"/>
              </w:rPr>
              <w:t>选用低噪声设备，并注意加强日常生产设备的维护和保养；</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rPr>
                <w:rFonts w:hint="default" w:ascii="Times New Roman" w:hAnsi="Times New Roman" w:eastAsia="宋体" w:cs="Times New Roman"/>
                <w:color w:val="auto"/>
                <w:kern w:val="0"/>
                <w:sz w:val="24"/>
              </w:rPr>
            </w:pPr>
            <w:r>
              <w:rPr>
                <w:rFonts w:hint="default" w:ascii="Times New Roman" w:hAnsi="Times New Roman" w:eastAsia="宋体" w:cs="Times New Roman"/>
                <w:bCs/>
                <w:color w:val="auto"/>
                <w:kern w:val="0"/>
                <w:sz w:val="24"/>
              </w:rPr>
              <w:fldChar w:fldCharType="begin"/>
            </w:r>
            <w:r>
              <w:rPr>
                <w:rFonts w:hint="default" w:ascii="Times New Roman" w:hAnsi="Times New Roman" w:eastAsia="宋体" w:cs="Times New Roman"/>
                <w:bCs/>
                <w:color w:val="auto"/>
                <w:kern w:val="0"/>
                <w:sz w:val="24"/>
              </w:rPr>
              <w:instrText xml:space="preserve"> = 2 \* GB3 </w:instrText>
            </w:r>
            <w:r>
              <w:rPr>
                <w:rFonts w:hint="default" w:ascii="Times New Roman" w:hAnsi="Times New Roman" w:eastAsia="宋体" w:cs="Times New Roman"/>
                <w:bCs/>
                <w:color w:val="auto"/>
                <w:kern w:val="0"/>
                <w:sz w:val="24"/>
              </w:rPr>
              <w:fldChar w:fldCharType="separate"/>
            </w:r>
            <w:r>
              <w:rPr>
                <w:rFonts w:hint="default" w:ascii="Times New Roman" w:hAnsi="Times New Roman" w:eastAsia="宋体" w:cs="Times New Roman"/>
                <w:bCs/>
                <w:color w:val="auto"/>
                <w:kern w:val="0"/>
                <w:sz w:val="24"/>
              </w:rPr>
              <w:t>②</w:t>
            </w:r>
            <w:r>
              <w:rPr>
                <w:rFonts w:hint="default" w:ascii="Times New Roman" w:hAnsi="Times New Roman" w:eastAsia="宋体" w:cs="Times New Roman"/>
                <w:bCs/>
                <w:color w:val="auto"/>
                <w:kern w:val="0"/>
                <w:sz w:val="24"/>
              </w:rPr>
              <w:fldChar w:fldCharType="end"/>
            </w:r>
            <w:r>
              <w:rPr>
                <w:rFonts w:hint="default" w:ascii="Times New Roman" w:hAnsi="Times New Roman" w:eastAsia="宋体" w:cs="Times New Roman"/>
                <w:bCs/>
                <w:color w:val="auto"/>
                <w:kern w:val="0"/>
                <w:sz w:val="24"/>
              </w:rPr>
              <w:t>合理布局、将高噪声设备尽可能远离厂界；</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fldChar w:fldCharType="begin"/>
            </w:r>
            <w:r>
              <w:rPr>
                <w:rFonts w:hint="default" w:ascii="Times New Roman" w:hAnsi="Times New Roman" w:eastAsia="宋体" w:cs="Times New Roman"/>
                <w:color w:val="auto"/>
                <w:kern w:val="0"/>
                <w:sz w:val="24"/>
              </w:rPr>
              <w:instrText xml:space="preserve"> = 3 \* GB3 </w:instrText>
            </w:r>
            <w:r>
              <w:rPr>
                <w:rFonts w:hint="default" w:ascii="Times New Roman" w:hAnsi="Times New Roman" w:eastAsia="宋体" w:cs="Times New Roman"/>
                <w:color w:val="auto"/>
                <w:kern w:val="0"/>
                <w:sz w:val="24"/>
              </w:rPr>
              <w:fldChar w:fldCharType="separate"/>
            </w:r>
            <w:r>
              <w:rPr>
                <w:rFonts w:hint="default" w:ascii="Times New Roman" w:hAnsi="Times New Roman" w:eastAsia="宋体" w:cs="Times New Roman"/>
                <w:color w:val="auto"/>
                <w:kern w:val="0"/>
                <w:sz w:val="24"/>
              </w:rPr>
              <w:t>③</w:t>
            </w:r>
            <w:r>
              <w:rPr>
                <w:rFonts w:hint="default" w:ascii="Times New Roman" w:hAnsi="Times New Roman" w:eastAsia="宋体" w:cs="Times New Roman"/>
                <w:color w:val="auto"/>
                <w:kern w:val="0"/>
                <w:sz w:val="24"/>
              </w:rPr>
              <w:fldChar w:fldCharType="end"/>
            </w:r>
            <w:r>
              <w:rPr>
                <w:rFonts w:hint="default" w:ascii="Times New Roman" w:hAnsi="Times New Roman" w:eastAsia="宋体" w:cs="Times New Roman"/>
                <w:color w:val="auto"/>
                <w:kern w:val="0"/>
                <w:sz w:val="24"/>
              </w:rPr>
              <w:t>对</w:t>
            </w:r>
            <w:r>
              <w:rPr>
                <w:rFonts w:hint="default" w:ascii="Times New Roman" w:hAnsi="Times New Roman" w:eastAsia="宋体" w:cs="Times New Roman"/>
                <w:color w:val="auto"/>
                <w:kern w:val="0"/>
                <w:sz w:val="24"/>
                <w:lang w:val="en-US" w:eastAsia="zh-CN"/>
              </w:rPr>
              <w:t>风机</w:t>
            </w:r>
            <w:r>
              <w:rPr>
                <w:rFonts w:hint="default" w:ascii="Times New Roman" w:hAnsi="Times New Roman" w:eastAsia="宋体" w:cs="Times New Roman"/>
                <w:color w:val="auto"/>
                <w:kern w:val="0"/>
                <w:sz w:val="24"/>
              </w:rPr>
              <w:t>等高噪声设备采取减振、隔声等降噪措施；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fldChar w:fldCharType="begin"/>
            </w:r>
            <w:r>
              <w:rPr>
                <w:rFonts w:hint="default" w:ascii="Times New Roman" w:hAnsi="Times New Roman" w:eastAsia="宋体" w:cs="Times New Roman"/>
                <w:color w:val="auto"/>
                <w:kern w:val="0"/>
                <w:sz w:val="24"/>
              </w:rPr>
              <w:instrText xml:space="preserve"> = 4 \* GB3 </w:instrText>
            </w:r>
            <w:r>
              <w:rPr>
                <w:rFonts w:hint="default" w:ascii="Times New Roman" w:hAnsi="Times New Roman" w:eastAsia="宋体" w:cs="Times New Roman"/>
                <w:color w:val="auto"/>
                <w:kern w:val="0"/>
                <w:sz w:val="24"/>
              </w:rPr>
              <w:fldChar w:fldCharType="separate"/>
            </w:r>
            <w:r>
              <w:rPr>
                <w:rFonts w:hint="default" w:ascii="Times New Roman" w:hAnsi="Times New Roman" w:eastAsia="宋体" w:cs="Times New Roman"/>
                <w:color w:val="auto"/>
                <w:kern w:val="0"/>
                <w:sz w:val="24"/>
              </w:rPr>
              <w:t>④</w:t>
            </w:r>
            <w:r>
              <w:rPr>
                <w:rFonts w:hint="default" w:ascii="Times New Roman" w:hAnsi="Times New Roman" w:eastAsia="宋体" w:cs="Times New Roman"/>
                <w:color w:val="auto"/>
                <w:kern w:val="0"/>
                <w:sz w:val="24"/>
              </w:rPr>
              <w:fldChar w:fldCharType="end"/>
            </w:r>
            <w:r>
              <w:rPr>
                <w:rFonts w:hint="default" w:ascii="Times New Roman" w:hAnsi="Times New Roman" w:eastAsia="宋体" w:cs="Times New Roman"/>
                <w:color w:val="auto"/>
                <w:kern w:val="0"/>
                <w:sz w:val="24"/>
              </w:rPr>
              <w:t>合理调整生产时间。</w:t>
            </w:r>
          </w:p>
          <w:p>
            <w:pPr>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ascii="Times New Roman" w:hAnsi="Times New Roman" w:eastAsia="宋体" w:cs="Times New Roman"/>
                <w:color w:val="auto"/>
                <w:spacing w:val="-4"/>
                <w:kern w:val="0"/>
                <w:sz w:val="24"/>
              </w:rPr>
              <w:t>建设单位采取上述降噪措施，厂界噪声能达到《工业企业厂界环境噪声排放标准》（GB12348-2008）</w:t>
            </w:r>
            <w:r>
              <w:rPr>
                <w:rFonts w:hint="eastAsia" w:cs="Times New Roman"/>
                <w:color w:val="auto"/>
                <w:spacing w:val="-4"/>
                <w:kern w:val="0"/>
                <w:sz w:val="24"/>
                <w:lang w:val="en-US" w:eastAsia="zh-CN"/>
              </w:rPr>
              <w:t>3</w:t>
            </w:r>
            <w:r>
              <w:rPr>
                <w:rFonts w:hint="default" w:ascii="Times New Roman" w:hAnsi="Times New Roman" w:eastAsia="宋体" w:cs="Times New Roman"/>
                <w:color w:val="auto"/>
                <w:spacing w:val="-4"/>
                <w:kern w:val="0"/>
                <w:sz w:val="24"/>
              </w:rPr>
              <w:t>类标准（昼间≤6</w:t>
            </w:r>
            <w:r>
              <w:rPr>
                <w:rFonts w:hint="eastAsia" w:cs="Times New Roman"/>
                <w:color w:val="auto"/>
                <w:spacing w:val="-4"/>
                <w:kern w:val="0"/>
                <w:sz w:val="24"/>
                <w:lang w:val="en-US" w:eastAsia="zh-CN"/>
              </w:rPr>
              <w:t>0</w:t>
            </w:r>
            <w:r>
              <w:rPr>
                <w:rFonts w:hint="default" w:ascii="Times New Roman" w:hAnsi="Times New Roman" w:eastAsia="宋体" w:cs="Times New Roman"/>
                <w:color w:val="auto"/>
                <w:spacing w:val="-4"/>
                <w:kern w:val="0"/>
                <w:sz w:val="24"/>
              </w:rPr>
              <w:t>dB（A）</w:t>
            </w:r>
            <w:r>
              <w:rPr>
                <w:rFonts w:hint="eastAsia" w:cs="Times New Roman"/>
                <w:color w:val="auto"/>
                <w:spacing w:val="-4"/>
                <w:kern w:val="0"/>
                <w:sz w:val="24"/>
                <w:lang w:eastAsia="zh-CN"/>
              </w:rPr>
              <w:t>、</w:t>
            </w:r>
            <w:r>
              <w:rPr>
                <w:rFonts w:hint="default" w:ascii="Times New Roman" w:hAnsi="Times New Roman" w:eastAsia="宋体" w:cs="Times New Roman"/>
                <w:color w:val="auto"/>
                <w:sz w:val="24"/>
              </w:rPr>
              <w:t>夜间≤5</w:t>
            </w:r>
            <w:r>
              <w:rPr>
                <w:rFonts w:hint="eastAsia" w:cs="Times New Roman"/>
                <w:color w:val="auto"/>
                <w:sz w:val="24"/>
                <w:lang w:val="en-US" w:eastAsia="zh-CN"/>
              </w:rPr>
              <w:t>0</w:t>
            </w:r>
            <w:r>
              <w:rPr>
                <w:rFonts w:hint="default" w:ascii="Times New Roman" w:hAnsi="Times New Roman" w:eastAsia="宋体" w:cs="Times New Roman"/>
                <w:color w:val="auto"/>
                <w:sz w:val="24"/>
              </w:rPr>
              <w:t>dB(A)</w:t>
            </w:r>
            <w:r>
              <w:rPr>
                <w:rFonts w:hint="default" w:ascii="Times New Roman" w:hAnsi="Times New Roman" w:eastAsia="宋体" w:cs="Times New Roman"/>
                <w:color w:val="auto"/>
                <w:spacing w:val="-4"/>
                <w:kern w:val="0"/>
                <w:sz w:val="24"/>
              </w:rPr>
              <w:t>）限值要求</w:t>
            </w:r>
            <w:r>
              <w:rPr>
                <w:rFonts w:hint="default"/>
                <w:color w:val="000000" w:themeColor="text1"/>
                <w:highlight w:val="none"/>
                <w14:textFill>
                  <w14:solidFill>
                    <w14:schemeClr w14:val="tx1"/>
                  </w14:solidFill>
                </w14:textFill>
              </w:rPr>
              <w:t>。</w:t>
            </w:r>
          </w:p>
          <w:p>
            <w:pPr>
              <w:pStyle w:val="7"/>
              <w:keepNext w:val="0"/>
              <w:keepLines w:val="0"/>
              <w:pageBreakBefore w:val="0"/>
              <w:widowControl w:val="0"/>
              <w:kinsoku/>
              <w:wordWrap/>
              <w:overflowPunct/>
              <w:topLinePunct w:val="0"/>
              <w:autoSpaceDE/>
              <w:autoSpaceDN/>
              <w:bidi w:val="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default"/>
                <w:color w:val="000000" w:themeColor="text1"/>
                <w:highlight w:val="none"/>
                <w14:textFill>
                  <w14:solidFill>
                    <w14:schemeClr w14:val="tx1"/>
                  </w14:solidFill>
                </w14:textFill>
              </w:rPr>
              <w:t>监测计划</w:t>
            </w:r>
          </w:p>
          <w:p>
            <w:pPr>
              <w:keepNext w:val="0"/>
              <w:keepLines w:val="0"/>
              <w:pageBreakBefore w:val="0"/>
              <w:widowControl w:val="0"/>
              <w:kinsoku/>
              <w:wordWrap/>
              <w:overflowPunct/>
              <w:topLinePunct w:val="0"/>
              <w:autoSpaceDE/>
              <w:autoSpaceDN/>
              <w:bidi w:val="0"/>
              <w:textAlignment w:val="auto"/>
              <w:rPr>
                <w:rFonts w:hint="eastAsia"/>
                <w:color w:val="000000" w:themeColor="text1"/>
                <w:highlight w:val="none"/>
                <w:lang w:eastAsia="zh-CN"/>
                <w14:textFill>
                  <w14:solidFill>
                    <w14:schemeClr w14:val="tx1"/>
                  </w14:solidFill>
                </w14:textFill>
              </w:rPr>
            </w:pPr>
            <w:r>
              <w:rPr>
                <w:rFonts w:hint="default"/>
                <w:color w:val="000000" w:themeColor="text1"/>
                <w:highlight w:val="none"/>
                <w14:textFill>
                  <w14:solidFill>
                    <w14:schemeClr w14:val="tx1"/>
                  </w14:solidFill>
                </w14:textFill>
              </w:rPr>
              <w:t>根据《排污单位自行监测技术指南 总则》（HJ819-2017），制定本项目噪声监测计划如下：</w:t>
            </w:r>
          </w:p>
          <w:p>
            <w:pPr>
              <w:pStyle w:val="39"/>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表4-</w:t>
            </w:r>
            <w:r>
              <w:rPr>
                <w:rFonts w:hint="eastAsia"/>
                <w:color w:val="000000" w:themeColor="text1"/>
                <w:highlight w:val="none"/>
                <w:lang w:val="en-US" w:eastAsia="zh-CN"/>
                <w14:textFill>
                  <w14:solidFill>
                    <w14:schemeClr w14:val="tx1"/>
                  </w14:solidFill>
                </w14:textFill>
              </w:rPr>
              <w:t xml:space="preserve">14 </w:t>
            </w:r>
            <w:r>
              <w:rPr>
                <w:rFonts w:hint="default"/>
                <w:color w:val="000000" w:themeColor="text1"/>
                <w:highlight w:val="none"/>
                <w14:textFill>
                  <w14:solidFill>
                    <w14:schemeClr w14:val="tx1"/>
                  </w14:solidFill>
                </w14:textFill>
              </w:rPr>
              <w:t xml:space="preserve"> 项目噪声监测计划表</w:t>
            </w:r>
          </w:p>
          <w:tbl>
            <w:tblPr>
              <w:tblStyle w:val="37"/>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1698"/>
              <w:gridCol w:w="2370"/>
              <w:gridCol w:w="2737"/>
            </w:tblGrid>
            <w:tr>
              <w:tblPrEx>
                <w:tblLayout w:type="fixed"/>
              </w:tblPrEx>
              <w:trPr>
                <w:trHeight w:val="340" w:hRule="atLeast"/>
                <w:jc w:val="center"/>
              </w:trPr>
              <w:tc>
                <w:tcPr>
                  <w:tcW w:w="1592" w:type="dxa"/>
                  <w:vAlign w:val="center"/>
                </w:tcPr>
                <w:p>
                  <w:pPr>
                    <w:pStyle w:val="47"/>
                    <w:keepNext w:val="0"/>
                    <w:keepLines w:val="0"/>
                    <w:pageBreakBefore w:val="0"/>
                    <w:widowControl w:val="0"/>
                    <w:kinsoku/>
                    <w:wordWrap/>
                    <w:overflowPunct/>
                    <w:topLinePunct w:val="0"/>
                    <w:autoSpaceDE/>
                    <w:autoSpaceDN/>
                    <w:bidi w:val="0"/>
                    <w:textAlignment w:val="auto"/>
                    <w:rPr>
                      <w:rFonts w:hint="default"/>
                      <w:b/>
                      <w:bCs/>
                      <w:color w:val="000000" w:themeColor="text1"/>
                      <w:highlight w:val="none"/>
                      <w14:textFill>
                        <w14:solidFill>
                          <w14:schemeClr w14:val="tx1"/>
                        </w14:solidFill>
                      </w14:textFill>
                    </w:rPr>
                  </w:pPr>
                  <w:r>
                    <w:rPr>
                      <w:rFonts w:hint="default"/>
                      <w:b/>
                      <w:bCs/>
                      <w:color w:val="000000" w:themeColor="text1"/>
                      <w:highlight w:val="none"/>
                      <w14:textFill>
                        <w14:solidFill>
                          <w14:schemeClr w14:val="tx1"/>
                        </w14:solidFill>
                      </w14:textFill>
                    </w:rPr>
                    <w:t>类别</w:t>
                  </w:r>
                </w:p>
              </w:tc>
              <w:tc>
                <w:tcPr>
                  <w:tcW w:w="1698" w:type="dxa"/>
                  <w:vAlign w:val="center"/>
                </w:tcPr>
                <w:p>
                  <w:pPr>
                    <w:pStyle w:val="47"/>
                    <w:keepNext w:val="0"/>
                    <w:keepLines w:val="0"/>
                    <w:pageBreakBefore w:val="0"/>
                    <w:widowControl w:val="0"/>
                    <w:kinsoku/>
                    <w:wordWrap/>
                    <w:overflowPunct/>
                    <w:topLinePunct w:val="0"/>
                    <w:autoSpaceDE/>
                    <w:autoSpaceDN/>
                    <w:bidi w:val="0"/>
                    <w:textAlignment w:val="auto"/>
                    <w:rPr>
                      <w:rFonts w:hint="default"/>
                      <w:b/>
                      <w:bCs/>
                      <w:color w:val="000000" w:themeColor="text1"/>
                      <w:highlight w:val="none"/>
                      <w14:textFill>
                        <w14:solidFill>
                          <w14:schemeClr w14:val="tx1"/>
                        </w14:solidFill>
                      </w14:textFill>
                    </w:rPr>
                  </w:pPr>
                  <w:r>
                    <w:rPr>
                      <w:rFonts w:hint="default"/>
                      <w:b/>
                      <w:bCs/>
                      <w:color w:val="000000" w:themeColor="text1"/>
                      <w:highlight w:val="none"/>
                      <w14:textFill>
                        <w14:solidFill>
                          <w14:schemeClr w14:val="tx1"/>
                        </w14:solidFill>
                      </w14:textFill>
                    </w:rPr>
                    <w:t>监测点位</w:t>
                  </w:r>
                </w:p>
              </w:tc>
              <w:tc>
                <w:tcPr>
                  <w:tcW w:w="2370" w:type="dxa"/>
                  <w:vAlign w:val="center"/>
                </w:tcPr>
                <w:p>
                  <w:pPr>
                    <w:pStyle w:val="47"/>
                    <w:keepNext w:val="0"/>
                    <w:keepLines w:val="0"/>
                    <w:pageBreakBefore w:val="0"/>
                    <w:widowControl w:val="0"/>
                    <w:kinsoku/>
                    <w:wordWrap/>
                    <w:overflowPunct/>
                    <w:topLinePunct w:val="0"/>
                    <w:autoSpaceDE/>
                    <w:autoSpaceDN/>
                    <w:bidi w:val="0"/>
                    <w:textAlignment w:val="auto"/>
                    <w:rPr>
                      <w:rFonts w:hint="default"/>
                      <w:b/>
                      <w:bCs/>
                      <w:color w:val="000000" w:themeColor="text1"/>
                      <w:highlight w:val="none"/>
                      <w14:textFill>
                        <w14:solidFill>
                          <w14:schemeClr w14:val="tx1"/>
                        </w14:solidFill>
                      </w14:textFill>
                    </w:rPr>
                  </w:pPr>
                  <w:r>
                    <w:rPr>
                      <w:rFonts w:hint="default"/>
                      <w:b/>
                      <w:bCs/>
                      <w:color w:val="000000" w:themeColor="text1"/>
                      <w:highlight w:val="none"/>
                      <w14:textFill>
                        <w14:solidFill>
                          <w14:schemeClr w14:val="tx1"/>
                        </w14:solidFill>
                      </w14:textFill>
                    </w:rPr>
                    <w:t>监测项目</w:t>
                  </w:r>
                </w:p>
              </w:tc>
              <w:tc>
                <w:tcPr>
                  <w:tcW w:w="2737" w:type="dxa"/>
                  <w:vAlign w:val="center"/>
                </w:tcPr>
                <w:p>
                  <w:pPr>
                    <w:pStyle w:val="47"/>
                    <w:keepNext w:val="0"/>
                    <w:keepLines w:val="0"/>
                    <w:pageBreakBefore w:val="0"/>
                    <w:widowControl w:val="0"/>
                    <w:kinsoku/>
                    <w:wordWrap/>
                    <w:overflowPunct/>
                    <w:topLinePunct w:val="0"/>
                    <w:autoSpaceDE/>
                    <w:autoSpaceDN/>
                    <w:bidi w:val="0"/>
                    <w:textAlignment w:val="auto"/>
                    <w:rPr>
                      <w:rFonts w:hint="default"/>
                      <w:b/>
                      <w:bCs/>
                      <w:color w:val="000000" w:themeColor="text1"/>
                      <w:highlight w:val="none"/>
                      <w14:textFill>
                        <w14:solidFill>
                          <w14:schemeClr w14:val="tx1"/>
                        </w14:solidFill>
                      </w14:textFill>
                    </w:rPr>
                  </w:pPr>
                  <w:r>
                    <w:rPr>
                      <w:rFonts w:hint="default"/>
                      <w:b/>
                      <w:bCs/>
                      <w:color w:val="000000" w:themeColor="text1"/>
                      <w:highlight w:val="none"/>
                      <w14:textFill>
                        <w14:solidFill>
                          <w14:schemeClr w14:val="tx1"/>
                        </w14:solidFill>
                      </w14:textFill>
                    </w:rPr>
                    <w:t>监测频率</w:t>
                  </w:r>
                </w:p>
              </w:tc>
            </w:tr>
            <w:tr>
              <w:tblPrEx>
                <w:tblLayout w:type="fixed"/>
              </w:tblPrEx>
              <w:trPr>
                <w:trHeight w:val="340" w:hRule="atLeast"/>
                <w:jc w:val="center"/>
              </w:trPr>
              <w:tc>
                <w:tcPr>
                  <w:tcW w:w="1592"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厂界噪声</w:t>
                  </w:r>
                </w:p>
              </w:tc>
              <w:tc>
                <w:tcPr>
                  <w:tcW w:w="1698"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厂界</w:t>
                  </w:r>
                </w:p>
              </w:tc>
              <w:tc>
                <w:tcPr>
                  <w:tcW w:w="2370"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等效连续A声级</w:t>
                  </w:r>
                </w:p>
              </w:tc>
              <w:tc>
                <w:tcPr>
                  <w:tcW w:w="2737"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default"/>
                      <w:color w:val="000000" w:themeColor="text1"/>
                      <w:highlight w:val="none"/>
                      <w14:textFill>
                        <w14:solidFill>
                          <w14:schemeClr w14:val="tx1"/>
                        </w14:solidFill>
                      </w14:textFill>
                    </w:rPr>
                    <w:t>次/</w:t>
                  </w:r>
                  <w:r>
                    <w:rPr>
                      <w:rFonts w:hint="eastAsia"/>
                      <w:color w:val="000000" w:themeColor="text1"/>
                      <w:highlight w:val="none"/>
                      <w:lang w:val="en-US" w:eastAsia="zh-CN"/>
                      <w14:textFill>
                        <w14:solidFill>
                          <w14:schemeClr w14:val="tx1"/>
                        </w14:solidFill>
                      </w14:textFill>
                    </w:rPr>
                    <w:t>季度</w:t>
                  </w:r>
                  <w:r>
                    <w:rPr>
                      <w:rFonts w:hint="default"/>
                      <w:color w:val="000000" w:themeColor="text1"/>
                      <w:highlight w:val="none"/>
                      <w14:textFill>
                        <w14:solidFill>
                          <w14:schemeClr w14:val="tx1"/>
                        </w14:solidFill>
                      </w14:textFill>
                    </w:rPr>
                    <w:t>，昼间</w:t>
                  </w:r>
                </w:p>
              </w:tc>
            </w:tr>
          </w:tbl>
          <w:p>
            <w:pPr>
              <w:pStyle w:val="6"/>
              <w:keepNext w:val="0"/>
              <w:keepLines w:val="0"/>
              <w:pageBreakBefore w:val="0"/>
              <w:widowControl w:val="0"/>
              <w:kinsoku/>
              <w:wordWrap/>
              <w:overflowPunct/>
              <w:topLinePunct w:val="0"/>
              <w:autoSpaceDE/>
              <w:autoSpaceDN/>
              <w:bidi w:val="0"/>
              <w:textAlignment w:val="auto"/>
              <w:rPr>
                <w:rFonts w:hint="eastAsia"/>
                <w:color w:val="000000" w:themeColor="text1"/>
                <w:highlight w:val="none"/>
                <w:lang w:val="en-US" w:eastAsia="zh-CN"/>
                <w14:textFill>
                  <w14:solidFill>
                    <w14:schemeClr w14:val="tx1"/>
                  </w14:solidFill>
                </w14:textFill>
              </w:rPr>
            </w:pPr>
            <w:r>
              <w:rPr>
                <w:rFonts w:hint="default"/>
                <w:color w:val="000000" w:themeColor="text1"/>
                <w:highlight w:val="none"/>
                <w14:textFill>
                  <w14:solidFill>
                    <w14:schemeClr w14:val="tx1"/>
                  </w14:solidFill>
                </w14:textFill>
              </w:rPr>
              <w:t>四</w:t>
            </w:r>
            <w:r>
              <w:rPr>
                <w:rFonts w:hint="default"/>
                <w:color w:val="000000" w:themeColor="text1"/>
                <w:highlight w:val="none"/>
                <w:lang w:eastAsia="zh-CN"/>
                <w14:textFill>
                  <w14:solidFill>
                    <w14:schemeClr w14:val="tx1"/>
                  </w14:solidFill>
                </w14:textFill>
              </w:rPr>
              <w:t>、</w:t>
            </w:r>
            <w:r>
              <w:rPr>
                <w:rFonts w:hint="default"/>
                <w:color w:val="000000" w:themeColor="text1"/>
                <w:highlight w:val="none"/>
                <w14:textFill>
                  <w14:solidFill>
                    <w14:schemeClr w14:val="tx1"/>
                  </w14:solidFill>
                </w14:textFill>
              </w:rPr>
              <w:t>固体废物</w:t>
            </w:r>
          </w:p>
          <w:p>
            <w:pPr>
              <w:pStyle w:val="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default"/>
                <w:color w:val="000000" w:themeColor="text1"/>
                <w:highlight w:val="none"/>
                <w14:textFill>
                  <w14:solidFill>
                    <w14:schemeClr w14:val="tx1"/>
                  </w14:solidFill>
                </w14:textFill>
              </w:rPr>
              <w:t>固体废物产排情况</w:t>
            </w:r>
          </w:p>
          <w:p>
            <w:pPr>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项目运营过程中产生的固废主要为生活垃圾、废包装材料、焊渣、边角料、布袋除尘器收尘、废润滑油和废润滑油桶。</w:t>
            </w:r>
          </w:p>
          <w:p>
            <w:pPr>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（1）生活垃圾</w:t>
            </w:r>
          </w:p>
          <w:p>
            <w:pPr>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项目劳动定员为20人，年工作250天，生活垃圾产生量按照0.5kg/人·天，则生活垃圾的产生量为10kg/d（2.5t/a）。生活垃圾经统一收集后，由环卫部门定期清运。</w:t>
            </w:r>
          </w:p>
          <w:p>
            <w:pPr>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（2）一般固废</w:t>
            </w:r>
          </w:p>
          <w:p>
            <w:pPr>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sz w:val="24"/>
                <w:lang w:val="en-US" w:eastAsia="zh-CN"/>
              </w:rPr>
            </w:pPr>
            <w:r>
              <w:rPr>
                <w:rFonts w:hint="default" w:ascii="Times New Roman" w:hAnsi="Times New Roman" w:eastAsia="宋体"/>
                <w:sz w:val="24"/>
                <w:lang w:val="en-US" w:eastAsia="zh-CN"/>
              </w:rPr>
              <w:t>①边角料</w:t>
            </w:r>
          </w:p>
          <w:p>
            <w:pPr>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sz w:val="24"/>
                <w:lang w:val="en-US" w:eastAsia="zh-CN"/>
              </w:rPr>
            </w:pPr>
            <w:r>
              <w:rPr>
                <w:rFonts w:hint="default" w:ascii="Times New Roman" w:hAnsi="Times New Roman" w:eastAsia="宋体"/>
                <w:sz w:val="24"/>
                <w:lang w:val="en-US" w:eastAsia="zh-CN"/>
              </w:rPr>
              <w:t>本项目机加工工序产生边角料，主要为钢板和钢管，产生量约为25.86t/a，收集存放于一般工业固废暂存区，外售物资回收公司处理。</w:t>
            </w:r>
          </w:p>
          <w:p>
            <w:pPr>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sz w:val="24"/>
                <w:lang w:val="en-US" w:eastAsia="zh-CN"/>
              </w:rPr>
            </w:pPr>
            <w:r>
              <w:rPr>
                <w:rFonts w:hint="default" w:ascii="Times New Roman" w:hAnsi="Times New Roman" w:eastAsia="宋体"/>
                <w:sz w:val="24"/>
                <w:lang w:val="en-US" w:eastAsia="zh-CN"/>
              </w:rPr>
              <w:t>②焊渣</w:t>
            </w:r>
          </w:p>
          <w:p>
            <w:pPr>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sz w:val="24"/>
                <w:lang w:val="en-US" w:eastAsia="zh-CN"/>
              </w:rPr>
            </w:pPr>
            <w:r>
              <w:rPr>
                <w:rFonts w:hint="default" w:ascii="Times New Roman" w:hAnsi="Times New Roman" w:eastAsia="宋体"/>
                <w:sz w:val="24"/>
                <w:lang w:val="en-US" w:eastAsia="zh-CN"/>
              </w:rPr>
              <w:t>本项目焊丝使用量为</w:t>
            </w:r>
            <w:r>
              <w:rPr>
                <w:rFonts w:hint="eastAsia"/>
                <w:sz w:val="24"/>
                <w:lang w:val="en-US" w:eastAsia="zh-CN"/>
              </w:rPr>
              <w:t>6</w:t>
            </w:r>
            <w:r>
              <w:rPr>
                <w:rFonts w:hint="default" w:ascii="Times New Roman" w:hAnsi="Times New Roman" w:eastAsia="宋体"/>
                <w:sz w:val="24"/>
                <w:lang w:val="en-US" w:eastAsia="zh-CN"/>
              </w:rPr>
              <w:t>t/a，焊渣产生量以焊丝的3%计，则焊渣产生量约为</w:t>
            </w:r>
            <w:r>
              <w:rPr>
                <w:rFonts w:hint="eastAsia"/>
                <w:sz w:val="24"/>
                <w:lang w:val="en-US" w:eastAsia="zh-CN"/>
              </w:rPr>
              <w:t>0.18</w:t>
            </w:r>
            <w:r>
              <w:rPr>
                <w:rFonts w:hint="default" w:ascii="Times New Roman" w:hAnsi="Times New Roman" w:eastAsia="宋体"/>
                <w:sz w:val="24"/>
                <w:lang w:val="en-US" w:eastAsia="zh-CN"/>
              </w:rPr>
              <w:t>t/a，收集存放于一般工业固废暂存区，外售物资回收公司处理。</w:t>
            </w:r>
          </w:p>
          <w:p>
            <w:pPr>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sz w:val="24"/>
                <w:lang w:val="en-US" w:eastAsia="zh-CN"/>
              </w:rPr>
            </w:pPr>
            <w:r>
              <w:rPr>
                <w:rFonts w:hint="default" w:ascii="Times New Roman" w:hAnsi="Times New Roman" w:eastAsia="宋体"/>
                <w:sz w:val="24"/>
                <w:lang w:val="en-US" w:eastAsia="zh-CN"/>
              </w:rPr>
              <w:t>③ 除尘灰</w:t>
            </w:r>
          </w:p>
          <w:p>
            <w:pPr>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sz w:val="24"/>
                <w:lang w:val="en-US" w:eastAsia="zh-CN"/>
              </w:rPr>
            </w:pPr>
            <w:r>
              <w:rPr>
                <w:rFonts w:hint="default" w:ascii="Times New Roman" w:hAnsi="Times New Roman" w:eastAsia="宋体"/>
                <w:sz w:val="24"/>
                <w:lang w:val="en-US" w:eastAsia="zh-CN"/>
              </w:rPr>
              <w:t>本项目除尘灰主要包括金属颗粒物、粉</w:t>
            </w:r>
            <w:r>
              <w:rPr>
                <w:rFonts w:hint="eastAsia"/>
                <w:sz w:val="24"/>
                <w:lang w:val="en-US" w:eastAsia="zh-CN"/>
              </w:rPr>
              <w:t>尘</w:t>
            </w:r>
            <w:r>
              <w:rPr>
                <w:rFonts w:hint="default" w:ascii="Times New Roman" w:hAnsi="Times New Roman" w:eastAsia="宋体"/>
                <w:sz w:val="24"/>
                <w:lang w:val="en-US" w:eastAsia="zh-CN"/>
              </w:rPr>
              <w:t>等，产生总量约为</w:t>
            </w:r>
            <w:r>
              <w:rPr>
                <w:rFonts w:hint="eastAsia"/>
                <w:sz w:val="24"/>
                <w:lang w:val="en-US" w:eastAsia="zh-CN"/>
              </w:rPr>
              <w:t>1</w:t>
            </w:r>
            <w:r>
              <w:rPr>
                <w:rFonts w:hint="default" w:ascii="Times New Roman" w:hAnsi="Times New Roman" w:eastAsia="宋体"/>
                <w:sz w:val="24"/>
                <w:lang w:val="en-US" w:eastAsia="zh-CN"/>
              </w:rPr>
              <w:t>t/a，外售物资回收公司处理。</w:t>
            </w:r>
          </w:p>
          <w:p>
            <w:pPr>
              <w:keepNext w:val="0"/>
              <w:keepLines w:val="0"/>
              <w:pageBreakBefore w:val="0"/>
              <w:widowControl w:val="0"/>
              <w:kinsoku/>
              <w:wordWrap/>
              <w:overflowPunct/>
              <w:topLinePunct w:val="0"/>
              <w:autoSpaceDE/>
              <w:autoSpaceDN/>
              <w:bidi w:val="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④废包装材料</w:t>
            </w:r>
          </w:p>
          <w:p>
            <w:pPr>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sz w:val="24"/>
                <w:lang w:val="en-US" w:eastAsia="zh-CN"/>
              </w:rPr>
            </w:pPr>
            <w:r>
              <w:rPr>
                <w:rFonts w:hint="default" w:ascii="Times New Roman" w:hAnsi="Times New Roman" w:eastAsia="宋体"/>
                <w:sz w:val="24"/>
                <w:lang w:val="en-US" w:eastAsia="zh-CN"/>
              </w:rPr>
              <w:t>本项目</w:t>
            </w:r>
            <w:r>
              <w:rPr>
                <w:rFonts w:hint="eastAsia" w:ascii="Times New Roman" w:hAnsi="Times New Roman" w:eastAsia="宋体"/>
                <w:sz w:val="24"/>
                <w:lang w:val="en-US" w:eastAsia="zh-CN"/>
              </w:rPr>
              <w:t>外购的组件，在组装产品车辆时会产生废包装材料，根据企业提供的资料，</w:t>
            </w:r>
            <w:r>
              <w:rPr>
                <w:rFonts w:hint="eastAsia"/>
                <w:color w:val="000000" w:themeColor="text1"/>
                <w:highlight w:val="none"/>
                <w:lang w:val="en-US" w:eastAsia="zh-CN"/>
                <w14:textFill>
                  <w14:solidFill>
                    <w14:schemeClr w14:val="tx1"/>
                  </w14:solidFill>
                </w14:textFill>
              </w:rPr>
              <w:t>废包装材料</w:t>
            </w:r>
            <w:r>
              <w:rPr>
                <w:rFonts w:hint="eastAsia" w:ascii="Times New Roman" w:hAnsi="Times New Roman" w:eastAsia="宋体"/>
                <w:sz w:val="24"/>
                <w:lang w:val="en-US" w:eastAsia="zh-CN"/>
              </w:rPr>
              <w:t>产量约为0.1t/a，</w:t>
            </w:r>
            <w:r>
              <w:rPr>
                <w:rFonts w:hint="default" w:ascii="Times New Roman" w:hAnsi="Times New Roman" w:eastAsia="宋体"/>
                <w:sz w:val="24"/>
                <w:lang w:val="en-US" w:eastAsia="zh-CN"/>
              </w:rPr>
              <w:t>外售物资回收公司处理</w:t>
            </w:r>
            <w:r>
              <w:rPr>
                <w:rFonts w:hint="eastAsia" w:ascii="Times New Roman" w:hAnsi="Times New Roman" w:eastAsia="宋体"/>
                <w:sz w:val="24"/>
                <w:lang w:val="en-US" w:eastAsia="zh-CN"/>
              </w:rPr>
              <w:t>。</w:t>
            </w:r>
          </w:p>
          <w:p>
            <w:pPr>
              <w:keepNext w:val="0"/>
              <w:keepLines w:val="0"/>
              <w:pageBreakBefore w:val="0"/>
              <w:widowControl w:val="0"/>
              <w:kinsoku/>
              <w:wordWrap/>
              <w:overflowPunct/>
              <w:topLinePunct w:val="0"/>
              <w:autoSpaceDE/>
              <w:autoSpaceDN/>
              <w:bidi w:val="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（3）危险废物</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firstLine="480" w:firstLineChars="200"/>
              <w:jc w:val="both"/>
              <w:textAlignment w:val="auto"/>
              <w:rPr>
                <w:rFonts w:hint="eastAsia"/>
                <w:color w:val="000000" w:themeColor="text1"/>
                <w:highlight w:val="none"/>
                <w:lang w:val="en-US" w:eastAsia="zh-CN"/>
                <w14:textFill>
                  <w14:solidFill>
                    <w14:schemeClr w14:val="tx1"/>
                  </w14:solidFill>
                </w14:textFill>
              </w:rPr>
            </w:pPr>
            <w:r>
              <w:rPr>
                <w:rFonts w:hint="eastAsia" w:cs="Times New Roman"/>
                <w:color w:val="auto"/>
                <w:sz w:val="24"/>
                <w:lang w:val="en-US" w:eastAsia="zh-CN"/>
              </w:rPr>
              <w:t xml:space="preserve">① </w:t>
            </w:r>
            <w:r>
              <w:rPr>
                <w:rFonts w:hint="default" w:ascii="Times New Roman" w:hAnsi="Times New Roman" w:cs="Times New Roman"/>
                <w:color w:val="auto"/>
                <w:sz w:val="24"/>
              </w:rPr>
              <w:t>废</w:t>
            </w:r>
            <w:r>
              <w:rPr>
                <w:rFonts w:hint="eastAsia" w:cs="Times New Roman"/>
                <w:color w:val="auto"/>
                <w:sz w:val="24"/>
                <w:lang w:eastAsia="zh-CN"/>
              </w:rPr>
              <w:t>润滑油和废润滑油桶：</w:t>
            </w:r>
            <w:r>
              <w:rPr>
                <w:rFonts w:hint="default" w:ascii="Times New Roman" w:hAnsi="Times New Roman" w:cs="Times New Roman"/>
                <w:color w:val="auto"/>
                <w:kern w:val="0"/>
                <w:sz w:val="24"/>
              </w:rPr>
              <w:t>根据企业提供资料，本项目设备</w:t>
            </w:r>
            <w:r>
              <w:rPr>
                <w:rFonts w:hint="default" w:ascii="Times New Roman" w:hAnsi="Times New Roman" w:cs="Times New Roman"/>
                <w:color w:val="auto"/>
                <w:kern w:val="0"/>
                <w:sz w:val="24"/>
                <w:lang w:val="en-US" w:eastAsia="zh-CN"/>
              </w:rPr>
              <w:t>运行维护</w:t>
            </w:r>
            <w:r>
              <w:rPr>
                <w:rFonts w:hint="eastAsia" w:cs="Times New Roman"/>
                <w:color w:val="auto"/>
                <w:kern w:val="0"/>
                <w:sz w:val="24"/>
                <w:lang w:val="en-US" w:eastAsia="zh-CN"/>
              </w:rPr>
              <w:t>使用润滑油会产生废润滑油和废润滑油桶</w:t>
            </w:r>
            <w:r>
              <w:rPr>
                <w:rFonts w:hint="default" w:ascii="Times New Roman" w:hAnsi="Times New Roman" w:cs="Times New Roman"/>
                <w:color w:val="auto"/>
                <w:kern w:val="0"/>
                <w:sz w:val="24"/>
              </w:rPr>
              <w:t>，</w:t>
            </w:r>
            <w:r>
              <w:rPr>
                <w:rFonts w:hint="eastAsia" w:cs="Times New Roman"/>
                <w:color w:val="auto"/>
                <w:kern w:val="0"/>
                <w:sz w:val="24"/>
                <w:lang w:val="en-US" w:eastAsia="zh-CN"/>
              </w:rPr>
              <w:t>本项目润滑油用量为0.1t/a，润滑油</w:t>
            </w:r>
            <w:r>
              <w:rPr>
                <w:rFonts w:hint="default" w:ascii="Times New Roman" w:hAnsi="Times New Roman" w:cs="Times New Roman"/>
                <w:color w:val="auto"/>
                <w:sz w:val="24"/>
                <w:lang w:val="en-US" w:eastAsia="zh-CN"/>
              </w:rPr>
              <w:t>包装桶规格按15kg/桶计，空桶按0.8kg/桶计算</w:t>
            </w:r>
            <w:r>
              <w:rPr>
                <w:rFonts w:hint="eastAsia" w:ascii="Times New Roman" w:hAnsi="Times New Roman" w:cs="Times New Roman"/>
                <w:color w:val="auto"/>
                <w:sz w:val="24"/>
                <w:lang w:val="en-US" w:eastAsia="zh-CN"/>
              </w:rPr>
              <w:t>，</w:t>
            </w:r>
            <w:r>
              <w:rPr>
                <w:rFonts w:hint="eastAsia" w:cs="Times New Roman"/>
                <w:color w:val="auto"/>
                <w:sz w:val="24"/>
                <w:lang w:val="en-US" w:eastAsia="zh-CN"/>
              </w:rPr>
              <w:t>约</w:t>
            </w:r>
            <w:r>
              <w:rPr>
                <w:rFonts w:hint="default" w:ascii="Times New Roman" w:hAnsi="Times New Roman" w:cs="Times New Roman"/>
                <w:color w:val="auto"/>
                <w:kern w:val="0"/>
                <w:sz w:val="24"/>
              </w:rPr>
              <w:t>产生</w:t>
            </w:r>
            <w:r>
              <w:rPr>
                <w:rFonts w:hint="eastAsia" w:cs="Times New Roman"/>
                <w:color w:val="auto"/>
                <w:kern w:val="0"/>
                <w:sz w:val="24"/>
                <w:lang w:val="en-US" w:eastAsia="zh-CN"/>
              </w:rPr>
              <w:t>5kg</w:t>
            </w:r>
            <w:r>
              <w:rPr>
                <w:rFonts w:hint="default" w:ascii="Times New Roman" w:hAnsi="Times New Roman" w:cs="Times New Roman"/>
                <w:color w:val="auto"/>
                <w:kern w:val="0"/>
                <w:sz w:val="24"/>
              </w:rPr>
              <w:t>/a</w:t>
            </w:r>
            <w:r>
              <w:rPr>
                <w:rFonts w:hint="eastAsia" w:cs="Times New Roman"/>
                <w:color w:val="auto"/>
                <w:kern w:val="0"/>
                <w:sz w:val="24"/>
                <w:lang w:val="en-US" w:eastAsia="zh-CN"/>
              </w:rPr>
              <w:t>废润滑油桶和0.1t/a废润滑油，废润滑油和</w:t>
            </w:r>
            <w:r>
              <w:rPr>
                <w:rFonts w:hint="default" w:ascii="Times New Roman" w:hAnsi="Times New Roman" w:cs="Times New Roman"/>
                <w:color w:val="auto"/>
                <w:kern w:val="0"/>
                <w:sz w:val="24"/>
              </w:rPr>
              <w:t>废</w:t>
            </w:r>
            <w:r>
              <w:rPr>
                <w:rFonts w:hint="eastAsia" w:cs="Times New Roman"/>
                <w:color w:val="auto"/>
                <w:kern w:val="0"/>
                <w:sz w:val="24"/>
                <w:lang w:val="en-US" w:eastAsia="zh-CN"/>
              </w:rPr>
              <w:t>润滑油桶都</w:t>
            </w:r>
            <w:r>
              <w:rPr>
                <w:rFonts w:hint="default" w:ascii="Times New Roman" w:hAnsi="Times New Roman" w:cs="Times New Roman"/>
                <w:color w:val="auto"/>
                <w:kern w:val="0"/>
                <w:sz w:val="24"/>
              </w:rPr>
              <w:t>属于危险废物，</w:t>
            </w:r>
            <w:r>
              <w:rPr>
                <w:rFonts w:hint="default" w:ascii="Times New Roman" w:hAnsi="Times New Roman" w:cs="Times New Roman"/>
                <w:color w:val="auto"/>
                <w:kern w:val="0"/>
                <w:sz w:val="24"/>
                <w:lang w:val="en-US" w:eastAsia="zh-CN"/>
              </w:rPr>
              <w:t>暂存于危废</w:t>
            </w:r>
            <w:r>
              <w:rPr>
                <w:rFonts w:hint="eastAsia" w:cs="Times New Roman"/>
                <w:color w:val="auto"/>
                <w:kern w:val="0"/>
                <w:sz w:val="24"/>
                <w:lang w:val="en-US" w:eastAsia="zh-CN"/>
              </w:rPr>
              <w:t>仓库</w:t>
            </w:r>
            <w:r>
              <w:rPr>
                <w:rFonts w:hint="default" w:ascii="Times New Roman" w:hAnsi="Times New Roman" w:cs="Times New Roman"/>
                <w:color w:val="auto"/>
                <w:kern w:val="0"/>
                <w:sz w:val="24"/>
                <w:lang w:val="en-US" w:eastAsia="zh-CN"/>
              </w:rPr>
              <w:t>，交由有资质单位处</w:t>
            </w:r>
            <w:r>
              <w:rPr>
                <w:rFonts w:hint="default" w:ascii="Times New Roman" w:hAnsi="Times New Roman" w:cs="Times New Roman"/>
                <w:color w:val="auto"/>
                <w:kern w:val="0"/>
                <w:sz w:val="24"/>
                <w:szCs w:val="24"/>
                <w:lang w:val="en-US" w:eastAsia="zh-CN"/>
              </w:rPr>
              <w:t>置</w:t>
            </w:r>
            <w:r>
              <w:rPr>
                <w:rFonts w:hint="eastAsia"/>
                <w:color w:val="000000" w:themeColor="text1"/>
                <w:highlight w:val="none"/>
                <w:lang w:val="en-US" w:eastAsia="zh-CN"/>
                <w14:textFill>
                  <w14:solidFill>
                    <w14:schemeClr w14:val="tx1"/>
                  </w14:solidFill>
                </w14:textFill>
              </w:rPr>
              <w:t>。</w:t>
            </w:r>
          </w:p>
          <w:p>
            <w:pPr>
              <w:keepNext w:val="0"/>
              <w:keepLines w:val="0"/>
              <w:pageBreakBefore w:val="0"/>
              <w:widowControl w:val="0"/>
              <w:numPr>
                <w:ilvl w:val="0"/>
                <w:numId w:val="0"/>
              </w:numPr>
              <w:wordWrap/>
              <w:topLinePunct w:val="0"/>
              <w:bidi w:val="0"/>
              <w:spacing w:beforeAutospacing="0" w:afterAutospacing="0" w:line="360" w:lineRule="auto"/>
              <w:ind w:left="0" w:leftChars="0" w:right="0" w:rightChars="0" w:firstLine="480" w:firstLineChars="200"/>
              <w:rPr>
                <w:rFonts w:hint="default"/>
                <w:color w:val="000000" w:themeColor="text1"/>
                <w:highlight w:val="none"/>
                <w:lang w:val="en-US" w:eastAsia="zh-CN"/>
                <w14:textFill>
                  <w14:solidFill>
                    <w14:schemeClr w14:val="tx1"/>
                  </w14:solidFill>
                </w14:textFill>
              </w:rPr>
            </w:pPr>
            <w:r>
              <w:rPr>
                <w:rFonts w:hint="eastAsia" w:cs="Times New Roman"/>
                <w:color w:val="000000" w:themeColor="text1"/>
                <w:sz w:val="24"/>
                <w:szCs w:val="22"/>
                <w:highlight w:val="none"/>
                <w:lang w:val="en-US" w:eastAsia="zh-CN"/>
                <w14:textFill>
                  <w14:solidFill>
                    <w14:schemeClr w14:val="tx1"/>
                  </w14:solidFill>
                </w14:textFill>
              </w:rPr>
              <w:t xml:space="preserve">② </w:t>
            </w:r>
            <w:r>
              <w:rPr>
                <w:rFonts w:hint="default" w:ascii="Times New Roman" w:hAnsi="Times New Roman" w:eastAsia="宋体" w:cs="Times New Roman"/>
                <w:color w:val="000000" w:themeColor="text1"/>
                <w:sz w:val="24"/>
                <w:szCs w:val="22"/>
                <w:highlight w:val="none"/>
                <w:lang w:val="en-US" w:eastAsia="zh-CN"/>
                <w14:textFill>
                  <w14:solidFill>
                    <w14:schemeClr w14:val="tx1"/>
                  </w14:solidFill>
                </w14:textFill>
              </w:rPr>
              <w:t>废</w:t>
            </w:r>
            <w:r>
              <w:rPr>
                <w:rFonts w:hint="eastAsia" w:cs="Times New Roman"/>
                <w:color w:val="000000" w:themeColor="text1"/>
                <w:sz w:val="24"/>
                <w:szCs w:val="22"/>
                <w:highlight w:val="none"/>
                <w:lang w:val="en-US" w:eastAsia="zh-CN"/>
                <w14:textFill>
                  <w14:solidFill>
                    <w14:schemeClr w14:val="tx1"/>
                  </w14:solidFill>
                </w14:textFill>
              </w:rPr>
              <w:t>切削液：</w:t>
            </w:r>
            <w:commentRangeStart w:id="45"/>
            <w:commentRangeStart w:id="46"/>
            <w:r>
              <w:rPr>
                <w:rFonts w:hint="default" w:ascii="Times New Roman" w:hAnsi="Times New Roman" w:eastAsia="宋体" w:cs="Times New Roman"/>
                <w:color w:val="000000" w:themeColor="text1"/>
                <w:sz w:val="24"/>
                <w:szCs w:val="22"/>
                <w:highlight w:val="none"/>
                <w:lang w:val="en-US" w:eastAsia="zh-CN"/>
                <w14:textFill>
                  <w14:solidFill>
                    <w14:schemeClr w14:val="tx1"/>
                  </w14:solidFill>
                </w14:textFill>
              </w:rPr>
              <w:t>本项目</w:t>
            </w:r>
            <w:r>
              <w:rPr>
                <w:rFonts w:hint="eastAsia" w:ascii="Times New Roman" w:hAnsi="Times New Roman" w:eastAsia="宋体" w:cs="Times New Roman"/>
                <w:color w:val="000000" w:themeColor="text1"/>
                <w:sz w:val="24"/>
                <w:szCs w:val="22"/>
                <w:highlight w:val="none"/>
                <w:lang w:val="en-US" w:eastAsia="zh-CN"/>
                <w14:textFill>
                  <w14:solidFill>
                    <w14:schemeClr w14:val="tx1"/>
                  </w14:solidFill>
                </w14:textFill>
              </w:rPr>
              <w:t>年使用</w:t>
            </w:r>
            <w:r>
              <w:rPr>
                <w:rFonts w:hint="eastAsia" w:cs="Times New Roman"/>
                <w:color w:val="000000" w:themeColor="text1"/>
                <w:sz w:val="24"/>
                <w:szCs w:val="22"/>
                <w:highlight w:val="none"/>
                <w:lang w:val="en-US" w:eastAsia="zh-CN"/>
                <w14:textFill>
                  <w14:solidFill>
                    <w14:schemeClr w14:val="tx1"/>
                  </w14:solidFill>
                </w14:textFill>
              </w:rPr>
              <w:t>切削液0.2</w:t>
            </w:r>
            <w:r>
              <w:rPr>
                <w:rFonts w:hint="eastAsia" w:ascii="Times New Roman" w:hAnsi="Times New Roman" w:eastAsia="宋体" w:cs="Times New Roman"/>
                <w:color w:val="000000" w:themeColor="text1"/>
                <w:sz w:val="24"/>
                <w:szCs w:val="22"/>
                <w:highlight w:val="none"/>
                <w:lang w:val="en-US" w:eastAsia="zh-CN"/>
                <w14:textFill>
                  <w14:solidFill>
                    <w14:schemeClr w14:val="tx1"/>
                  </w14:solidFill>
                </w14:textFill>
              </w:rPr>
              <w:t>t/a</w:t>
            </w:r>
            <w:commentRangeEnd w:id="45"/>
            <w:r>
              <w:commentReference w:id="45"/>
            </w:r>
            <w:commentRangeEnd w:id="46"/>
            <w:r>
              <w:commentReference w:id="46"/>
            </w:r>
            <w:r>
              <w:rPr>
                <w:rFonts w:hint="eastAsia" w:ascii="Times New Roman" w:hAnsi="Times New Roman" w:eastAsia="宋体" w:cs="Times New Roman"/>
                <w:color w:val="000000" w:themeColor="text1"/>
                <w:sz w:val="24"/>
                <w:szCs w:val="22"/>
                <w:highlight w:val="none"/>
                <w:lang w:val="en-US" w:eastAsia="zh-CN"/>
                <w14:textFill>
                  <w14:solidFill>
                    <w14:schemeClr w14:val="tx1"/>
                  </w14:solidFill>
                </w14:textFill>
              </w:rPr>
              <w:t>，</w:t>
            </w:r>
            <w:r>
              <w:rPr>
                <w:rFonts w:hint="eastAsia" w:cs="Times New Roman"/>
                <w:color w:val="000000" w:themeColor="text1"/>
                <w:sz w:val="24"/>
                <w:szCs w:val="22"/>
                <w:highlight w:val="none"/>
                <w:lang w:val="en-US" w:eastAsia="zh-CN"/>
                <w14:textFill>
                  <w14:solidFill>
                    <w14:schemeClr w14:val="tx1"/>
                  </w14:solidFill>
                </w14:textFill>
              </w:rPr>
              <w:t>部分水分挥发，部分沾染在产品上</w:t>
            </w:r>
            <w:r>
              <w:rPr>
                <w:rFonts w:hint="eastAsia" w:ascii="Times New Roman" w:hAnsi="Times New Roman" w:eastAsia="宋体" w:cs="Times New Roman"/>
                <w:color w:val="000000" w:themeColor="text1"/>
                <w:sz w:val="24"/>
                <w:szCs w:val="22"/>
                <w:highlight w:val="none"/>
                <w:lang w:val="en-US" w:eastAsia="zh-CN"/>
                <w14:textFill>
                  <w14:solidFill>
                    <w14:schemeClr w14:val="tx1"/>
                  </w14:solidFill>
                </w14:textFill>
              </w:rPr>
              <w:t>，</w:t>
            </w:r>
            <w:r>
              <w:rPr>
                <w:rFonts w:hint="eastAsia" w:cs="Times New Roman"/>
                <w:color w:val="000000" w:themeColor="text1"/>
                <w:sz w:val="24"/>
                <w:szCs w:val="22"/>
                <w:highlight w:val="none"/>
                <w:lang w:val="en-US" w:eastAsia="zh-CN"/>
                <w14:textFill>
                  <w14:solidFill>
                    <w14:schemeClr w14:val="tx1"/>
                  </w14:solidFill>
                </w14:textFill>
              </w:rPr>
              <w:t>年约产生废切削液0.12t/a</w:t>
            </w:r>
            <w:r>
              <w:rPr>
                <w:rFonts w:hint="default" w:ascii="Times New Roman" w:hAnsi="Times New Roman" w:eastAsia="宋体" w:cs="Times New Roman"/>
                <w:color w:val="000000" w:themeColor="text1"/>
                <w:sz w:val="24"/>
                <w:szCs w:val="22"/>
                <w:highlight w:val="none"/>
                <w:lang w:val="en-US" w:eastAsia="zh-CN"/>
                <w14:textFill>
                  <w14:solidFill>
                    <w14:schemeClr w14:val="tx1"/>
                  </w14:solidFill>
                </w14:textFill>
              </w:rPr>
              <w:t>，</w:t>
            </w:r>
            <w:r>
              <w:rPr>
                <w:rFonts w:hint="eastAsia" w:ascii="Times New Roman" w:hAnsi="Times New Roman" w:eastAsia="宋体" w:cs="Times New Roman"/>
                <w:color w:val="000000" w:themeColor="text1"/>
                <w:sz w:val="24"/>
                <w:szCs w:val="22"/>
                <w:highlight w:val="none"/>
                <w:lang w:val="en-US" w:eastAsia="zh-CN"/>
                <w14:textFill>
                  <w14:solidFill>
                    <w14:schemeClr w14:val="tx1"/>
                  </w14:solidFill>
                </w14:textFill>
              </w:rPr>
              <w:t>项目废</w:t>
            </w:r>
            <w:r>
              <w:rPr>
                <w:rFonts w:hint="eastAsia" w:cs="Times New Roman"/>
                <w:color w:val="000000" w:themeColor="text1"/>
                <w:sz w:val="24"/>
                <w:szCs w:val="22"/>
                <w:highlight w:val="none"/>
                <w:lang w:val="en-US" w:eastAsia="zh-CN"/>
                <w14:textFill>
                  <w14:solidFill>
                    <w14:schemeClr w14:val="tx1"/>
                  </w14:solidFill>
                </w14:textFill>
              </w:rPr>
              <w:t>切削液</w:t>
            </w:r>
            <w:r>
              <w:rPr>
                <w:rFonts w:hint="default" w:ascii="Times New Roman" w:hAnsi="Times New Roman" w:eastAsia="宋体" w:cs="Times New Roman"/>
                <w:color w:val="000000" w:themeColor="text1"/>
                <w:sz w:val="24"/>
                <w:szCs w:val="22"/>
                <w:highlight w:val="none"/>
                <w:lang w:val="en-US" w:eastAsia="zh-CN"/>
                <w14:textFill>
                  <w14:solidFill>
                    <w14:schemeClr w14:val="tx1"/>
                  </w14:solidFill>
                </w14:textFill>
              </w:rPr>
              <w:t>暂存于危废暂存间内由有资质的单位处理处置。</w:t>
            </w:r>
          </w:p>
          <w:p>
            <w:pPr>
              <w:keepNext w:val="0"/>
              <w:keepLines w:val="0"/>
              <w:pageBreakBefore w:val="0"/>
              <w:widowControl/>
              <w:kinsoku/>
              <w:wordWrap/>
              <w:overflowPunct/>
              <w:topLinePunct w:val="0"/>
              <w:autoSpaceDE/>
              <w:autoSpaceDN/>
              <w:bidi w:val="0"/>
              <w:adjustRightInd w:val="0"/>
              <w:snapToGrid w:val="0"/>
              <w:spacing w:line="360" w:lineRule="auto"/>
              <w:contextualSpacing/>
              <w:jc w:val="center"/>
              <w:textAlignment w:val="auto"/>
              <w:rPr>
                <w:rFonts w:hint="default" w:ascii="Times New Roman" w:hAnsi="Times New Roman" w:cs="Times New Roman"/>
                <w:b/>
                <w:color w:val="auto"/>
                <w:kern w:val="0"/>
                <w:sz w:val="24"/>
                <w:szCs w:val="24"/>
              </w:rPr>
            </w:pPr>
            <w:r>
              <w:rPr>
                <w:rFonts w:hint="default" w:ascii="Times New Roman" w:hAnsi="Times New Roman" w:cs="Times New Roman"/>
                <w:b/>
                <w:color w:val="auto"/>
                <w:kern w:val="0"/>
                <w:sz w:val="24"/>
                <w:szCs w:val="24"/>
              </w:rPr>
              <w:t>表4</w:t>
            </w:r>
            <w:r>
              <w:rPr>
                <w:rFonts w:hint="eastAsia" w:cs="Times New Roman"/>
                <w:b/>
                <w:color w:val="auto"/>
                <w:kern w:val="0"/>
                <w:sz w:val="24"/>
                <w:szCs w:val="24"/>
                <w:lang w:val="en-US" w:eastAsia="zh-CN"/>
              </w:rPr>
              <w:t>-15</w:t>
            </w:r>
            <w:r>
              <w:rPr>
                <w:rFonts w:hint="default" w:ascii="Times New Roman" w:hAnsi="Times New Roman" w:cs="Times New Roman"/>
                <w:b/>
                <w:color w:val="auto"/>
                <w:kern w:val="0"/>
                <w:sz w:val="24"/>
                <w:szCs w:val="24"/>
                <w:lang w:val="en-US" w:eastAsia="zh-CN"/>
              </w:rPr>
              <w:t xml:space="preserve"> </w:t>
            </w:r>
            <w:r>
              <w:rPr>
                <w:rFonts w:hint="default" w:ascii="Times New Roman" w:hAnsi="Times New Roman" w:cs="Times New Roman"/>
                <w:b/>
                <w:color w:val="auto"/>
                <w:kern w:val="0"/>
                <w:sz w:val="24"/>
                <w:szCs w:val="24"/>
              </w:rPr>
              <w:t xml:space="preserve"> 项目固体废物污染源源强核算结果及相关参数一览表</w:t>
            </w:r>
          </w:p>
          <w:tbl>
            <w:tblPr>
              <w:tblStyle w:val="3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204"/>
              <w:gridCol w:w="1048"/>
              <w:gridCol w:w="712"/>
              <w:gridCol w:w="1032"/>
              <w:gridCol w:w="982"/>
              <w:gridCol w:w="999"/>
              <w:gridCol w:w="851"/>
              <w:gridCol w:w="960"/>
            </w:tblGrid>
            <w:tr>
              <w:tblPrEx>
                <w:tblLayout w:type="fixed"/>
              </w:tblPrEx>
              <w:tc>
                <w:tcPr>
                  <w:tcW w:w="601"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default" w:ascii="Times New Roman" w:hAnsi="Times New Roman" w:eastAsia="宋体"/>
                      <w:color w:val="000000" w:themeColor="text1"/>
                      <w:highlight w:val="none"/>
                      <w:lang w:val="en-US" w:eastAsia="zh-CN"/>
                      <w14:textFill>
                        <w14:solidFill>
                          <w14:schemeClr w14:val="tx1"/>
                        </w14:solidFill>
                      </w14:textFill>
                    </w:rPr>
                    <w:t>序号</w:t>
                  </w:r>
                </w:p>
              </w:tc>
              <w:tc>
                <w:tcPr>
                  <w:tcW w:w="1204"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default" w:ascii="Times New Roman" w:hAnsi="Times New Roman" w:eastAsia="宋体"/>
                      <w:color w:val="000000" w:themeColor="text1"/>
                      <w:highlight w:val="none"/>
                      <w:lang w:val="en-US" w:eastAsia="zh-CN"/>
                      <w14:textFill>
                        <w14:solidFill>
                          <w14:schemeClr w14:val="tx1"/>
                        </w14:solidFill>
                      </w14:textFill>
                    </w:rPr>
                    <w:t>固体废物</w:t>
                  </w:r>
                </w:p>
              </w:tc>
              <w:tc>
                <w:tcPr>
                  <w:tcW w:w="1048"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default" w:ascii="Times New Roman" w:hAnsi="Times New Roman" w:eastAsia="宋体"/>
                      <w:color w:val="000000" w:themeColor="text1"/>
                      <w:highlight w:val="none"/>
                      <w:lang w:val="en-US" w:eastAsia="zh-CN"/>
                      <w14:textFill>
                        <w14:solidFill>
                          <w14:schemeClr w14:val="tx1"/>
                        </w14:solidFill>
                      </w14:textFill>
                    </w:rPr>
                    <w:t>产生工序</w:t>
                  </w:r>
                </w:p>
              </w:tc>
              <w:tc>
                <w:tcPr>
                  <w:tcW w:w="712"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default" w:ascii="Times New Roman" w:hAnsi="Times New Roman" w:eastAsia="宋体"/>
                      <w:color w:val="000000" w:themeColor="text1"/>
                      <w:highlight w:val="none"/>
                      <w:lang w:val="en-US" w:eastAsia="zh-CN"/>
                      <w14:textFill>
                        <w14:solidFill>
                          <w14:schemeClr w14:val="tx1"/>
                        </w14:solidFill>
                      </w14:textFill>
                    </w:rPr>
                    <w:t>形态</w:t>
                  </w:r>
                </w:p>
              </w:tc>
              <w:tc>
                <w:tcPr>
                  <w:tcW w:w="1032"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属性</w:t>
                  </w:r>
                </w:p>
              </w:tc>
              <w:tc>
                <w:tcPr>
                  <w:tcW w:w="982"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产生量t/a</w:t>
                  </w:r>
                </w:p>
              </w:tc>
              <w:tc>
                <w:tcPr>
                  <w:tcW w:w="999"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处置量</w:t>
                  </w:r>
                  <w:r>
                    <w:rPr>
                      <w:rFonts w:hint="default" w:ascii="Times New Roman" w:hAnsi="Times New Roman" w:eastAsia="宋体"/>
                      <w:color w:val="000000" w:themeColor="text1"/>
                      <w:highlight w:val="none"/>
                      <w:lang w:val="en-US" w:eastAsia="zh-CN"/>
                      <w14:textFill>
                        <w14:solidFill>
                          <w14:schemeClr w14:val="tx1"/>
                        </w14:solidFill>
                      </w14:textFill>
                    </w:rPr>
                    <w:t>t/a</w:t>
                  </w:r>
                </w:p>
              </w:tc>
              <w:tc>
                <w:tcPr>
                  <w:tcW w:w="851"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default" w:ascii="Times New Roman" w:hAnsi="Times New Roman" w:eastAsia="宋体"/>
                      <w:color w:val="000000" w:themeColor="text1"/>
                      <w:highlight w:val="none"/>
                      <w:lang w:val="en-US" w:eastAsia="zh-CN"/>
                      <w14:textFill>
                        <w14:solidFill>
                          <w14:schemeClr w14:val="tx1"/>
                        </w14:solidFill>
                      </w14:textFill>
                    </w:rPr>
                    <w:t>产废周期</w:t>
                  </w:r>
                </w:p>
              </w:tc>
              <w:tc>
                <w:tcPr>
                  <w:tcW w:w="960" w:type="dxa"/>
                  <w:vAlign w:val="center"/>
                </w:tcPr>
                <w:p>
                  <w:pPr>
                    <w:pStyle w:val="47"/>
                    <w:keepNext w:val="0"/>
                    <w:keepLines w:val="0"/>
                    <w:pageBreakBefore w:val="0"/>
                    <w:widowControl w:val="0"/>
                    <w:kinsoku/>
                    <w:wordWrap/>
                    <w:overflowPunct/>
                    <w:topLinePunct w:val="0"/>
                    <w:autoSpaceDE/>
                    <w:autoSpaceDN/>
                    <w:bidi w:val="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处置方式</w:t>
                  </w:r>
                </w:p>
              </w:tc>
            </w:tr>
            <w:tr>
              <w:tblPrEx>
                <w:tblLayout w:type="fixed"/>
              </w:tblPrEx>
              <w:tc>
                <w:tcPr>
                  <w:tcW w:w="601"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1</w:t>
                  </w:r>
                </w:p>
              </w:tc>
              <w:tc>
                <w:tcPr>
                  <w:tcW w:w="1204" w:type="dxa"/>
                  <w:vAlign w:val="center"/>
                </w:tcPr>
                <w:p>
                  <w:pPr>
                    <w:pStyle w:val="47"/>
                    <w:keepNext w:val="0"/>
                    <w:keepLines w:val="0"/>
                    <w:pageBreakBefore w:val="0"/>
                    <w:widowControl w:val="0"/>
                    <w:kinsoku/>
                    <w:wordWrap/>
                    <w:overflowPunct/>
                    <w:topLinePunct w:val="0"/>
                    <w:autoSpaceDE/>
                    <w:autoSpaceDN/>
                    <w:bidi w:val="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布袋除尘器收尘</w:t>
                  </w:r>
                </w:p>
              </w:tc>
              <w:tc>
                <w:tcPr>
                  <w:tcW w:w="1048" w:type="dxa"/>
                  <w:vAlign w:val="center"/>
                </w:tcPr>
                <w:p>
                  <w:pPr>
                    <w:pStyle w:val="47"/>
                    <w:keepNext w:val="0"/>
                    <w:keepLines w:val="0"/>
                    <w:pageBreakBefore w:val="0"/>
                    <w:widowControl w:val="0"/>
                    <w:kinsoku/>
                    <w:wordWrap/>
                    <w:overflowPunct/>
                    <w:topLinePunct w:val="0"/>
                    <w:autoSpaceDE/>
                    <w:autoSpaceDN/>
                    <w:bidi w:val="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废气处理</w:t>
                  </w:r>
                </w:p>
              </w:tc>
              <w:tc>
                <w:tcPr>
                  <w:tcW w:w="712" w:type="dxa"/>
                  <w:vAlign w:val="center"/>
                </w:tcPr>
                <w:p>
                  <w:pPr>
                    <w:pStyle w:val="47"/>
                    <w:keepNext w:val="0"/>
                    <w:keepLines w:val="0"/>
                    <w:pageBreakBefore w:val="0"/>
                    <w:widowControl w:val="0"/>
                    <w:kinsoku/>
                    <w:wordWrap/>
                    <w:overflowPunct/>
                    <w:topLinePunct w:val="0"/>
                    <w:autoSpaceDE/>
                    <w:autoSpaceDN/>
                    <w:bidi w:val="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固态</w:t>
                  </w:r>
                </w:p>
              </w:tc>
              <w:tc>
                <w:tcPr>
                  <w:tcW w:w="1032" w:type="dxa"/>
                  <w:vAlign w:val="center"/>
                </w:tcPr>
                <w:p>
                  <w:pPr>
                    <w:pStyle w:val="47"/>
                    <w:keepNext w:val="0"/>
                    <w:keepLines w:val="0"/>
                    <w:pageBreakBefore w:val="0"/>
                    <w:widowControl w:val="0"/>
                    <w:kinsoku/>
                    <w:wordWrap/>
                    <w:overflowPunct/>
                    <w:topLinePunct w:val="0"/>
                    <w:autoSpaceDE/>
                    <w:autoSpaceDN/>
                    <w:bidi w:val="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一般固废</w:t>
                  </w:r>
                </w:p>
              </w:tc>
              <w:tc>
                <w:tcPr>
                  <w:tcW w:w="982"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1.671</w:t>
                  </w:r>
                </w:p>
              </w:tc>
              <w:tc>
                <w:tcPr>
                  <w:tcW w:w="999"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1.671</w:t>
                  </w:r>
                </w:p>
              </w:tc>
              <w:tc>
                <w:tcPr>
                  <w:tcW w:w="851" w:type="dxa"/>
                  <w:vAlign w:val="center"/>
                </w:tcPr>
                <w:p>
                  <w:pPr>
                    <w:pStyle w:val="47"/>
                    <w:keepNext w:val="0"/>
                    <w:keepLines w:val="0"/>
                    <w:pageBreakBefore w:val="0"/>
                    <w:widowControl w:val="0"/>
                    <w:kinsoku/>
                    <w:wordWrap/>
                    <w:overflowPunct/>
                    <w:topLinePunct w:val="0"/>
                    <w:autoSpaceDE/>
                    <w:autoSpaceDN/>
                    <w:bidi w:val="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7天</w:t>
                  </w:r>
                </w:p>
              </w:tc>
              <w:tc>
                <w:tcPr>
                  <w:tcW w:w="960" w:type="dxa"/>
                  <w:vMerge w:val="restart"/>
                  <w:vAlign w:val="center"/>
                </w:tcPr>
                <w:p>
                  <w:pPr>
                    <w:pStyle w:val="47"/>
                    <w:keepNext w:val="0"/>
                    <w:keepLines w:val="0"/>
                    <w:pageBreakBefore w:val="0"/>
                    <w:widowControl w:val="0"/>
                    <w:kinsoku/>
                    <w:wordWrap/>
                    <w:overflowPunct/>
                    <w:topLinePunct w:val="0"/>
                    <w:autoSpaceDE/>
                    <w:autoSpaceDN/>
                    <w:bidi w:val="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szCs w:val="21"/>
                    </w:rPr>
                    <w:t>外售物资回收单位综合利用</w:t>
                  </w:r>
                </w:p>
              </w:tc>
            </w:tr>
            <w:tr>
              <w:tblPrEx>
                <w:tblLayout w:type="fixed"/>
              </w:tblPrEx>
              <w:tc>
                <w:tcPr>
                  <w:tcW w:w="601"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2</w:t>
                  </w:r>
                </w:p>
              </w:tc>
              <w:tc>
                <w:tcPr>
                  <w:tcW w:w="1204" w:type="dxa"/>
                  <w:vAlign w:val="center"/>
                </w:tcPr>
                <w:p>
                  <w:pPr>
                    <w:pStyle w:val="47"/>
                    <w:keepNext w:val="0"/>
                    <w:keepLines w:val="0"/>
                    <w:pageBreakBefore w:val="0"/>
                    <w:widowControl w:val="0"/>
                    <w:kinsoku/>
                    <w:wordWrap/>
                    <w:overflowPunct/>
                    <w:topLinePunct w:val="0"/>
                    <w:autoSpaceDE/>
                    <w:autoSpaceDN/>
                    <w:bidi w:val="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边角料</w:t>
                  </w:r>
                </w:p>
              </w:tc>
              <w:tc>
                <w:tcPr>
                  <w:tcW w:w="1048"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切割</w:t>
                  </w:r>
                </w:p>
              </w:tc>
              <w:tc>
                <w:tcPr>
                  <w:tcW w:w="712" w:type="dxa"/>
                  <w:vAlign w:val="center"/>
                </w:tcPr>
                <w:p>
                  <w:pPr>
                    <w:pStyle w:val="47"/>
                    <w:keepNext w:val="0"/>
                    <w:keepLines w:val="0"/>
                    <w:pageBreakBefore w:val="0"/>
                    <w:widowControl w:val="0"/>
                    <w:kinsoku/>
                    <w:wordWrap/>
                    <w:overflowPunct/>
                    <w:topLinePunct w:val="0"/>
                    <w:autoSpaceDE/>
                    <w:autoSpaceDN/>
                    <w:bidi w:val="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固态</w:t>
                  </w:r>
                </w:p>
              </w:tc>
              <w:tc>
                <w:tcPr>
                  <w:tcW w:w="1032" w:type="dxa"/>
                  <w:vAlign w:val="center"/>
                </w:tcPr>
                <w:p>
                  <w:pPr>
                    <w:pStyle w:val="47"/>
                    <w:keepNext w:val="0"/>
                    <w:keepLines w:val="0"/>
                    <w:pageBreakBefore w:val="0"/>
                    <w:widowControl w:val="0"/>
                    <w:kinsoku/>
                    <w:wordWrap/>
                    <w:overflowPunct/>
                    <w:topLinePunct w:val="0"/>
                    <w:autoSpaceDE/>
                    <w:autoSpaceDN/>
                    <w:bidi w:val="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一般固废</w:t>
                  </w:r>
                </w:p>
              </w:tc>
              <w:tc>
                <w:tcPr>
                  <w:tcW w:w="982"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25.86</w:t>
                  </w:r>
                </w:p>
              </w:tc>
              <w:tc>
                <w:tcPr>
                  <w:tcW w:w="999"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25.86</w:t>
                  </w:r>
                </w:p>
              </w:tc>
              <w:tc>
                <w:tcPr>
                  <w:tcW w:w="851"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每天</w:t>
                  </w:r>
                </w:p>
              </w:tc>
              <w:tc>
                <w:tcPr>
                  <w:tcW w:w="960" w:type="dxa"/>
                  <w:vMerge w:val="continue"/>
                  <w:vAlign w:val="center"/>
                </w:tcPr>
                <w:p>
                  <w:pPr>
                    <w:pStyle w:val="47"/>
                    <w:keepNext w:val="0"/>
                    <w:keepLines w:val="0"/>
                    <w:pageBreakBefore w:val="0"/>
                    <w:widowControl w:val="0"/>
                    <w:kinsoku/>
                    <w:wordWrap/>
                    <w:overflowPunct/>
                    <w:topLinePunct w:val="0"/>
                    <w:autoSpaceDE/>
                    <w:autoSpaceDN/>
                    <w:bidi w:val="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p>
              </w:tc>
            </w:tr>
            <w:tr>
              <w:tblPrEx>
                <w:tblLayout w:type="fixed"/>
              </w:tblPrEx>
              <w:tc>
                <w:tcPr>
                  <w:tcW w:w="601"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3</w:t>
                  </w:r>
                </w:p>
              </w:tc>
              <w:tc>
                <w:tcPr>
                  <w:tcW w:w="1204"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焊渣</w:t>
                  </w:r>
                </w:p>
              </w:tc>
              <w:tc>
                <w:tcPr>
                  <w:tcW w:w="1048"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焊接</w:t>
                  </w:r>
                </w:p>
              </w:tc>
              <w:tc>
                <w:tcPr>
                  <w:tcW w:w="712" w:type="dxa"/>
                  <w:vAlign w:val="center"/>
                </w:tcPr>
                <w:p>
                  <w:pPr>
                    <w:pStyle w:val="47"/>
                    <w:keepNext w:val="0"/>
                    <w:keepLines w:val="0"/>
                    <w:pageBreakBefore w:val="0"/>
                    <w:widowControl w:val="0"/>
                    <w:kinsoku/>
                    <w:wordWrap/>
                    <w:overflowPunct/>
                    <w:topLinePunct w:val="0"/>
                    <w:autoSpaceDE/>
                    <w:autoSpaceDN/>
                    <w:bidi w:val="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固态</w:t>
                  </w:r>
                </w:p>
              </w:tc>
              <w:tc>
                <w:tcPr>
                  <w:tcW w:w="1032" w:type="dxa"/>
                  <w:vAlign w:val="center"/>
                </w:tcPr>
                <w:p>
                  <w:pPr>
                    <w:pStyle w:val="47"/>
                    <w:keepNext w:val="0"/>
                    <w:keepLines w:val="0"/>
                    <w:pageBreakBefore w:val="0"/>
                    <w:widowControl w:val="0"/>
                    <w:kinsoku/>
                    <w:wordWrap/>
                    <w:overflowPunct/>
                    <w:topLinePunct w:val="0"/>
                    <w:autoSpaceDE/>
                    <w:autoSpaceDN/>
                    <w:bidi w:val="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一般固废</w:t>
                  </w:r>
                </w:p>
              </w:tc>
              <w:tc>
                <w:tcPr>
                  <w:tcW w:w="982"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0.18</w:t>
                  </w:r>
                </w:p>
              </w:tc>
              <w:tc>
                <w:tcPr>
                  <w:tcW w:w="999"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0.18</w:t>
                  </w:r>
                </w:p>
              </w:tc>
              <w:tc>
                <w:tcPr>
                  <w:tcW w:w="851" w:type="dxa"/>
                  <w:vAlign w:val="center"/>
                </w:tcPr>
                <w:p>
                  <w:pPr>
                    <w:pStyle w:val="47"/>
                    <w:keepNext w:val="0"/>
                    <w:keepLines w:val="0"/>
                    <w:pageBreakBefore w:val="0"/>
                    <w:widowControl w:val="0"/>
                    <w:kinsoku/>
                    <w:wordWrap/>
                    <w:overflowPunct/>
                    <w:topLinePunct w:val="0"/>
                    <w:autoSpaceDE/>
                    <w:autoSpaceDN/>
                    <w:bidi w:val="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每天</w:t>
                  </w:r>
                </w:p>
              </w:tc>
              <w:tc>
                <w:tcPr>
                  <w:tcW w:w="960" w:type="dxa"/>
                  <w:vMerge w:val="continue"/>
                  <w:vAlign w:val="center"/>
                </w:tcPr>
                <w:p>
                  <w:pPr>
                    <w:pStyle w:val="47"/>
                    <w:keepNext w:val="0"/>
                    <w:keepLines w:val="0"/>
                    <w:pageBreakBefore w:val="0"/>
                    <w:widowControl w:val="0"/>
                    <w:kinsoku/>
                    <w:wordWrap/>
                    <w:overflowPunct/>
                    <w:topLinePunct w:val="0"/>
                    <w:autoSpaceDE/>
                    <w:autoSpaceDN/>
                    <w:bidi w:val="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p>
              </w:tc>
            </w:tr>
            <w:tr>
              <w:tblPrEx>
                <w:tblLayout w:type="fixed"/>
              </w:tblPrEx>
              <w:tc>
                <w:tcPr>
                  <w:tcW w:w="601"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1204" w:type="dxa"/>
                  <w:vAlign w:val="center"/>
                </w:tcPr>
                <w:p>
                  <w:pPr>
                    <w:pStyle w:val="47"/>
                    <w:keepNext w:val="0"/>
                    <w:keepLines w:val="0"/>
                    <w:pageBreakBefore w:val="0"/>
                    <w:widowControl w:val="0"/>
                    <w:kinsoku/>
                    <w:wordWrap/>
                    <w:overflowPunct/>
                    <w:topLinePunct w:val="0"/>
                    <w:autoSpaceDE/>
                    <w:autoSpaceDN/>
                    <w:bidi w:val="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废包装材料</w:t>
                  </w:r>
                </w:p>
              </w:tc>
              <w:tc>
                <w:tcPr>
                  <w:tcW w:w="1048" w:type="dxa"/>
                  <w:vAlign w:val="center"/>
                </w:tcPr>
                <w:p>
                  <w:pPr>
                    <w:pStyle w:val="47"/>
                    <w:keepNext w:val="0"/>
                    <w:keepLines w:val="0"/>
                    <w:pageBreakBefore w:val="0"/>
                    <w:widowControl w:val="0"/>
                    <w:kinsoku/>
                    <w:wordWrap/>
                    <w:overflowPunct/>
                    <w:topLinePunct w:val="0"/>
                    <w:autoSpaceDE/>
                    <w:autoSpaceDN/>
                    <w:bidi w:val="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原料包装</w:t>
                  </w:r>
                </w:p>
              </w:tc>
              <w:tc>
                <w:tcPr>
                  <w:tcW w:w="712" w:type="dxa"/>
                  <w:vAlign w:val="center"/>
                </w:tcPr>
                <w:p>
                  <w:pPr>
                    <w:pStyle w:val="47"/>
                    <w:keepNext w:val="0"/>
                    <w:keepLines w:val="0"/>
                    <w:pageBreakBefore w:val="0"/>
                    <w:widowControl w:val="0"/>
                    <w:kinsoku/>
                    <w:wordWrap/>
                    <w:overflowPunct/>
                    <w:topLinePunct w:val="0"/>
                    <w:autoSpaceDE/>
                    <w:autoSpaceDN/>
                    <w:bidi w:val="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固态</w:t>
                  </w:r>
                </w:p>
              </w:tc>
              <w:tc>
                <w:tcPr>
                  <w:tcW w:w="1032" w:type="dxa"/>
                  <w:vAlign w:val="center"/>
                </w:tcPr>
                <w:p>
                  <w:pPr>
                    <w:pStyle w:val="47"/>
                    <w:keepNext w:val="0"/>
                    <w:keepLines w:val="0"/>
                    <w:pageBreakBefore w:val="0"/>
                    <w:widowControl w:val="0"/>
                    <w:kinsoku/>
                    <w:wordWrap/>
                    <w:overflowPunct/>
                    <w:topLinePunct w:val="0"/>
                    <w:autoSpaceDE/>
                    <w:autoSpaceDN/>
                    <w:bidi w:val="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一般固废</w:t>
                  </w:r>
                </w:p>
              </w:tc>
              <w:tc>
                <w:tcPr>
                  <w:tcW w:w="982"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0.1</w:t>
                  </w:r>
                </w:p>
              </w:tc>
              <w:tc>
                <w:tcPr>
                  <w:tcW w:w="999"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0.1</w:t>
                  </w:r>
                </w:p>
              </w:tc>
              <w:tc>
                <w:tcPr>
                  <w:tcW w:w="851" w:type="dxa"/>
                  <w:vAlign w:val="center"/>
                </w:tcPr>
                <w:p>
                  <w:pPr>
                    <w:pStyle w:val="47"/>
                    <w:keepNext w:val="0"/>
                    <w:keepLines w:val="0"/>
                    <w:pageBreakBefore w:val="0"/>
                    <w:widowControl w:val="0"/>
                    <w:kinsoku/>
                    <w:wordWrap/>
                    <w:overflowPunct/>
                    <w:topLinePunct w:val="0"/>
                    <w:autoSpaceDE/>
                    <w:autoSpaceDN/>
                    <w:bidi w:val="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每天</w:t>
                  </w:r>
                </w:p>
              </w:tc>
              <w:tc>
                <w:tcPr>
                  <w:tcW w:w="960" w:type="dxa"/>
                  <w:vMerge w:val="continue"/>
                  <w:vAlign w:val="center"/>
                </w:tcPr>
                <w:p>
                  <w:pPr>
                    <w:pStyle w:val="47"/>
                    <w:keepNext w:val="0"/>
                    <w:keepLines w:val="0"/>
                    <w:pageBreakBefore w:val="0"/>
                    <w:widowControl w:val="0"/>
                    <w:kinsoku/>
                    <w:wordWrap/>
                    <w:overflowPunct/>
                    <w:topLinePunct w:val="0"/>
                    <w:autoSpaceDE/>
                    <w:autoSpaceDN/>
                    <w:bidi w:val="0"/>
                    <w:textAlignment w:val="auto"/>
                    <w:rPr>
                      <w:rFonts w:hint="eastAsia"/>
                      <w:szCs w:val="21"/>
                    </w:rPr>
                  </w:pPr>
                </w:p>
              </w:tc>
            </w:tr>
            <w:tr>
              <w:tblPrEx>
                <w:tblLayout w:type="fixed"/>
              </w:tblPrEx>
              <w:tc>
                <w:tcPr>
                  <w:tcW w:w="601"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5</w:t>
                  </w:r>
                </w:p>
              </w:tc>
              <w:tc>
                <w:tcPr>
                  <w:tcW w:w="1204"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废润滑油</w:t>
                  </w:r>
                </w:p>
              </w:tc>
              <w:tc>
                <w:tcPr>
                  <w:tcW w:w="1048"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设备保养</w:t>
                  </w:r>
                </w:p>
              </w:tc>
              <w:tc>
                <w:tcPr>
                  <w:tcW w:w="712"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液态</w:t>
                  </w:r>
                </w:p>
              </w:tc>
              <w:tc>
                <w:tcPr>
                  <w:tcW w:w="1032"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危险废物</w:t>
                  </w:r>
                </w:p>
              </w:tc>
              <w:tc>
                <w:tcPr>
                  <w:tcW w:w="982"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0.1</w:t>
                  </w:r>
                </w:p>
              </w:tc>
              <w:tc>
                <w:tcPr>
                  <w:tcW w:w="999"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0.1</w:t>
                  </w:r>
                </w:p>
              </w:tc>
              <w:tc>
                <w:tcPr>
                  <w:tcW w:w="851"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6个月</w:t>
                  </w:r>
                </w:p>
              </w:tc>
              <w:tc>
                <w:tcPr>
                  <w:tcW w:w="960" w:type="dxa"/>
                  <w:vMerge w:val="restart"/>
                  <w:vAlign w:val="center"/>
                </w:tcPr>
                <w:p>
                  <w:pPr>
                    <w:pStyle w:val="47"/>
                    <w:keepNext w:val="0"/>
                    <w:keepLines w:val="0"/>
                    <w:pageBreakBefore w:val="0"/>
                    <w:widowControl w:val="0"/>
                    <w:kinsoku/>
                    <w:wordWrap/>
                    <w:overflowPunct/>
                    <w:topLinePunct w:val="0"/>
                    <w:autoSpaceDE/>
                    <w:autoSpaceDN/>
                    <w:bidi w:val="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委托有资质单位处置</w:t>
                  </w:r>
                </w:p>
              </w:tc>
            </w:tr>
            <w:tr>
              <w:tblPrEx>
                <w:tblLayout w:type="fixed"/>
              </w:tblPrEx>
              <w:tc>
                <w:tcPr>
                  <w:tcW w:w="601"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p>
              </w:tc>
              <w:tc>
                <w:tcPr>
                  <w:tcW w:w="1204"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废润滑油桶</w:t>
                  </w:r>
                </w:p>
              </w:tc>
              <w:tc>
                <w:tcPr>
                  <w:tcW w:w="1048"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设备保养</w:t>
                  </w:r>
                </w:p>
              </w:tc>
              <w:tc>
                <w:tcPr>
                  <w:tcW w:w="712"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固态</w:t>
                  </w:r>
                </w:p>
              </w:tc>
              <w:tc>
                <w:tcPr>
                  <w:tcW w:w="1032"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危险废物</w:t>
                  </w:r>
                </w:p>
              </w:tc>
              <w:tc>
                <w:tcPr>
                  <w:tcW w:w="982"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ascii="Times New Roman" w:hAnsi="Times New Roman" w:eastAsia="宋体"/>
                      <w:color w:val="000000" w:themeColor="text1"/>
                      <w:highlight w:val="none"/>
                      <w:lang w:val="en-US" w:eastAsia="zh-CN"/>
                      <w14:textFill>
                        <w14:solidFill>
                          <w14:schemeClr w14:val="tx1"/>
                        </w14:solidFill>
                      </w14:textFill>
                    </w:rPr>
                    <w:t>kg/a</w:t>
                  </w:r>
                </w:p>
              </w:tc>
              <w:tc>
                <w:tcPr>
                  <w:tcW w:w="999"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ascii="Times New Roman" w:hAnsi="Times New Roman" w:eastAsia="宋体"/>
                      <w:color w:val="000000" w:themeColor="text1"/>
                      <w:highlight w:val="none"/>
                      <w:lang w:val="en-US" w:eastAsia="zh-CN"/>
                      <w14:textFill>
                        <w14:solidFill>
                          <w14:schemeClr w14:val="tx1"/>
                        </w14:solidFill>
                      </w14:textFill>
                    </w:rPr>
                    <w:t>kg/a</w:t>
                  </w:r>
                </w:p>
              </w:tc>
              <w:tc>
                <w:tcPr>
                  <w:tcW w:w="851"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6个月</w:t>
                  </w:r>
                </w:p>
              </w:tc>
              <w:tc>
                <w:tcPr>
                  <w:tcW w:w="960" w:type="dxa"/>
                  <w:vMerge w:val="continue"/>
                  <w:vAlign w:val="center"/>
                </w:tcPr>
                <w:p>
                  <w:pPr>
                    <w:jc w:val="center"/>
                    <w:rPr>
                      <w:rFonts w:hint="eastAsia"/>
                      <w:szCs w:val="21"/>
                      <w:lang w:eastAsia="zh-CN"/>
                    </w:rPr>
                  </w:pPr>
                </w:p>
              </w:tc>
            </w:tr>
            <w:tr>
              <w:tblPrEx>
                <w:tblLayout w:type="fixed"/>
              </w:tblPrEx>
              <w:tc>
                <w:tcPr>
                  <w:tcW w:w="601"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w:t>
                  </w:r>
                </w:p>
              </w:tc>
              <w:tc>
                <w:tcPr>
                  <w:tcW w:w="1204"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废切削液</w:t>
                  </w:r>
                </w:p>
              </w:tc>
              <w:tc>
                <w:tcPr>
                  <w:tcW w:w="1048"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切割</w:t>
                  </w:r>
                </w:p>
              </w:tc>
              <w:tc>
                <w:tcPr>
                  <w:tcW w:w="712"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液态</w:t>
                  </w:r>
                </w:p>
              </w:tc>
              <w:tc>
                <w:tcPr>
                  <w:tcW w:w="1032"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危险废物</w:t>
                  </w:r>
                </w:p>
              </w:tc>
              <w:tc>
                <w:tcPr>
                  <w:tcW w:w="982"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0.12</w:t>
                  </w:r>
                </w:p>
              </w:tc>
              <w:tc>
                <w:tcPr>
                  <w:tcW w:w="999"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0.12</w:t>
                  </w:r>
                </w:p>
              </w:tc>
              <w:tc>
                <w:tcPr>
                  <w:tcW w:w="851"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6个月</w:t>
                  </w:r>
                </w:p>
              </w:tc>
              <w:tc>
                <w:tcPr>
                  <w:tcW w:w="960" w:type="dxa"/>
                  <w:vMerge w:val="continue"/>
                  <w:vAlign w:val="center"/>
                </w:tcPr>
                <w:p>
                  <w:pPr>
                    <w:jc w:val="center"/>
                    <w:rPr>
                      <w:rFonts w:hint="eastAsia"/>
                      <w:szCs w:val="21"/>
                      <w:lang w:eastAsia="zh-CN"/>
                    </w:rPr>
                  </w:pPr>
                </w:p>
              </w:tc>
            </w:tr>
            <w:tr>
              <w:tblPrEx>
                <w:tblLayout w:type="fixed"/>
              </w:tblPrEx>
              <w:tc>
                <w:tcPr>
                  <w:tcW w:w="601"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p>
              </w:tc>
              <w:tc>
                <w:tcPr>
                  <w:tcW w:w="1204"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生活垃圾</w:t>
                  </w:r>
                </w:p>
              </w:tc>
              <w:tc>
                <w:tcPr>
                  <w:tcW w:w="1048"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职工生活</w:t>
                  </w:r>
                </w:p>
              </w:tc>
              <w:tc>
                <w:tcPr>
                  <w:tcW w:w="712"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固态</w:t>
                  </w:r>
                </w:p>
              </w:tc>
              <w:tc>
                <w:tcPr>
                  <w:tcW w:w="1032"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生活垃圾</w:t>
                  </w:r>
                </w:p>
              </w:tc>
              <w:tc>
                <w:tcPr>
                  <w:tcW w:w="982"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2.5</w:t>
                  </w:r>
                </w:p>
              </w:tc>
              <w:tc>
                <w:tcPr>
                  <w:tcW w:w="999"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2.5</w:t>
                  </w:r>
                </w:p>
              </w:tc>
              <w:tc>
                <w:tcPr>
                  <w:tcW w:w="851"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每天</w:t>
                  </w:r>
                </w:p>
              </w:tc>
              <w:tc>
                <w:tcPr>
                  <w:tcW w:w="960"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由环卫部门统一清运</w:t>
                  </w:r>
                </w:p>
              </w:tc>
            </w:tr>
          </w:tbl>
          <w:p>
            <w:pPr>
              <w:keepNext w:val="0"/>
              <w:keepLines w:val="0"/>
              <w:pageBreakBefore w:val="0"/>
              <w:widowControl/>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cs="Times New Roman"/>
                <w:b/>
                <w:color w:val="FF0000"/>
                <w:kern w:val="0"/>
                <w:sz w:val="24"/>
                <w:szCs w:val="24"/>
              </w:rPr>
            </w:pPr>
            <w:r>
              <w:rPr>
                <w:rFonts w:hint="default" w:ascii="Times New Roman" w:hAnsi="Times New Roman" w:cs="Times New Roman"/>
                <w:b/>
                <w:color w:val="auto"/>
                <w:kern w:val="0"/>
                <w:sz w:val="24"/>
                <w:szCs w:val="24"/>
              </w:rPr>
              <w:t>表4</w:t>
            </w:r>
            <w:r>
              <w:rPr>
                <w:rFonts w:hint="eastAsia" w:cs="Times New Roman"/>
                <w:b/>
                <w:color w:val="auto"/>
                <w:kern w:val="0"/>
                <w:sz w:val="24"/>
                <w:szCs w:val="24"/>
                <w:lang w:val="en-US" w:eastAsia="zh-CN"/>
              </w:rPr>
              <w:t>-16</w:t>
            </w:r>
            <w:r>
              <w:rPr>
                <w:rFonts w:hint="default" w:ascii="Times New Roman" w:hAnsi="Times New Roman" w:cs="Times New Roman"/>
                <w:b/>
                <w:color w:val="FF0000"/>
                <w:kern w:val="0"/>
                <w:sz w:val="24"/>
                <w:szCs w:val="24"/>
                <w:lang w:val="en-US" w:eastAsia="zh-CN"/>
              </w:rPr>
              <w:t xml:space="preserve"> </w:t>
            </w:r>
            <w:r>
              <w:rPr>
                <w:rFonts w:hint="default" w:ascii="Times New Roman" w:hAnsi="Times New Roman" w:cs="Times New Roman"/>
                <w:b/>
                <w:color w:val="FF0000"/>
                <w:kern w:val="0"/>
                <w:sz w:val="24"/>
                <w:szCs w:val="24"/>
              </w:rPr>
              <w:t xml:space="preserve"> </w:t>
            </w:r>
            <w:r>
              <w:rPr>
                <w:rFonts w:hint="default" w:ascii="Times New Roman" w:hAnsi="Times New Roman" w:cs="Times New Roman"/>
                <w:b/>
                <w:color w:val="auto"/>
                <w:kern w:val="0"/>
                <w:sz w:val="24"/>
                <w:szCs w:val="24"/>
              </w:rPr>
              <w:t>项目运营期危险废物汇总表</w:t>
            </w:r>
          </w:p>
          <w:tbl>
            <w:tblPr>
              <w:tblStyle w:val="37"/>
              <w:tblW w:w="4994"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706"/>
              <w:gridCol w:w="712"/>
              <w:gridCol w:w="866"/>
              <w:gridCol w:w="773"/>
              <w:gridCol w:w="992"/>
              <w:gridCol w:w="473"/>
              <w:gridCol w:w="785"/>
              <w:gridCol w:w="697"/>
              <w:gridCol w:w="632"/>
              <w:gridCol w:w="583"/>
              <w:gridCol w:w="720"/>
            </w:tblGrid>
            <w:tr>
              <w:tblPrEx>
                <w:tblLayout w:type="fixed"/>
              </w:tblPrEx>
              <w:trPr>
                <w:trHeight w:val="0" w:hRule="atLeast"/>
                <w:jc w:val="center"/>
              </w:trPr>
              <w:tc>
                <w:tcPr>
                  <w:tcW w:w="448"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default" w:ascii="Times New Roman" w:hAnsi="Times New Roman" w:eastAsia="宋体"/>
                      <w:color w:val="000000" w:themeColor="text1"/>
                      <w:highlight w:val="none"/>
                      <w:lang w:val="en-US" w:eastAsia="zh-CN"/>
                      <w14:textFill>
                        <w14:solidFill>
                          <w14:schemeClr w14:val="tx1"/>
                        </w14:solidFill>
                      </w14:textFill>
                    </w:rPr>
                    <w:t>序号</w:t>
                  </w:r>
                </w:p>
              </w:tc>
              <w:tc>
                <w:tcPr>
                  <w:tcW w:w="706"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default" w:ascii="Times New Roman" w:hAnsi="Times New Roman" w:eastAsia="宋体"/>
                      <w:color w:val="000000" w:themeColor="text1"/>
                      <w:highlight w:val="none"/>
                      <w:lang w:val="en-US" w:eastAsia="zh-CN"/>
                      <w14:textFill>
                        <w14:solidFill>
                          <w14:schemeClr w14:val="tx1"/>
                        </w14:solidFill>
                      </w14:textFill>
                    </w:rPr>
                    <w:t>危险废物名称</w:t>
                  </w:r>
                </w:p>
              </w:tc>
              <w:tc>
                <w:tcPr>
                  <w:tcW w:w="712"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default" w:ascii="Times New Roman" w:hAnsi="Times New Roman" w:eastAsia="宋体"/>
                      <w:color w:val="000000" w:themeColor="text1"/>
                      <w:highlight w:val="none"/>
                      <w:lang w:val="en-US" w:eastAsia="zh-CN"/>
                      <w14:textFill>
                        <w14:solidFill>
                          <w14:schemeClr w14:val="tx1"/>
                        </w14:solidFill>
                      </w14:textFill>
                    </w:rPr>
                    <w:t>危险废物类别</w:t>
                  </w:r>
                </w:p>
              </w:tc>
              <w:tc>
                <w:tcPr>
                  <w:tcW w:w="866"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default" w:ascii="Times New Roman" w:hAnsi="Times New Roman" w:eastAsia="宋体"/>
                      <w:color w:val="000000" w:themeColor="text1"/>
                      <w:highlight w:val="none"/>
                      <w:lang w:val="en-US" w:eastAsia="zh-CN"/>
                      <w14:textFill>
                        <w14:solidFill>
                          <w14:schemeClr w14:val="tx1"/>
                        </w14:solidFill>
                      </w14:textFill>
                    </w:rPr>
                    <w:t>危险废物代码</w:t>
                  </w:r>
                </w:p>
              </w:tc>
              <w:tc>
                <w:tcPr>
                  <w:tcW w:w="773"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default" w:ascii="Times New Roman" w:hAnsi="Times New Roman" w:eastAsia="宋体"/>
                      <w:color w:val="000000" w:themeColor="text1"/>
                      <w:highlight w:val="none"/>
                      <w:lang w:val="en-US" w:eastAsia="zh-CN"/>
                      <w14:textFill>
                        <w14:solidFill>
                          <w14:schemeClr w14:val="tx1"/>
                        </w14:solidFill>
                      </w14:textFill>
                    </w:rPr>
                    <w:t>产生量</w:t>
                  </w:r>
                </w:p>
              </w:tc>
              <w:tc>
                <w:tcPr>
                  <w:tcW w:w="992"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default" w:ascii="Times New Roman" w:hAnsi="Times New Roman" w:eastAsia="宋体"/>
                      <w:color w:val="000000" w:themeColor="text1"/>
                      <w:highlight w:val="none"/>
                      <w:lang w:val="en-US" w:eastAsia="zh-CN"/>
                      <w14:textFill>
                        <w14:solidFill>
                          <w14:schemeClr w14:val="tx1"/>
                        </w14:solidFill>
                      </w14:textFill>
                    </w:rPr>
                    <w:t>产生工序及装置</w:t>
                  </w:r>
                </w:p>
              </w:tc>
              <w:tc>
                <w:tcPr>
                  <w:tcW w:w="473"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default" w:ascii="Times New Roman" w:hAnsi="Times New Roman" w:eastAsia="宋体"/>
                      <w:color w:val="000000" w:themeColor="text1"/>
                      <w:highlight w:val="none"/>
                      <w:lang w:val="en-US" w:eastAsia="zh-CN"/>
                      <w14:textFill>
                        <w14:solidFill>
                          <w14:schemeClr w14:val="tx1"/>
                        </w14:solidFill>
                      </w14:textFill>
                    </w:rPr>
                    <w:t>形态</w:t>
                  </w:r>
                </w:p>
              </w:tc>
              <w:tc>
                <w:tcPr>
                  <w:tcW w:w="785"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default" w:ascii="Times New Roman" w:hAnsi="Times New Roman" w:eastAsia="宋体"/>
                      <w:color w:val="000000" w:themeColor="text1"/>
                      <w:highlight w:val="none"/>
                      <w:lang w:val="en-US" w:eastAsia="zh-CN"/>
                      <w14:textFill>
                        <w14:solidFill>
                          <w14:schemeClr w14:val="tx1"/>
                        </w14:solidFill>
                      </w14:textFill>
                    </w:rPr>
                    <w:t>主要成分</w:t>
                  </w:r>
                </w:p>
              </w:tc>
              <w:tc>
                <w:tcPr>
                  <w:tcW w:w="697"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default" w:ascii="Times New Roman" w:hAnsi="Times New Roman" w:eastAsia="宋体"/>
                      <w:color w:val="000000" w:themeColor="text1"/>
                      <w:highlight w:val="none"/>
                      <w:lang w:val="en-US" w:eastAsia="zh-CN"/>
                      <w14:textFill>
                        <w14:solidFill>
                          <w14:schemeClr w14:val="tx1"/>
                        </w14:solidFill>
                      </w14:textFill>
                    </w:rPr>
                    <w:t>有害成分</w:t>
                  </w:r>
                </w:p>
              </w:tc>
              <w:tc>
                <w:tcPr>
                  <w:tcW w:w="632"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default" w:ascii="Times New Roman" w:hAnsi="Times New Roman" w:eastAsia="宋体"/>
                      <w:color w:val="000000" w:themeColor="text1"/>
                      <w:highlight w:val="none"/>
                      <w:lang w:val="en-US" w:eastAsia="zh-CN"/>
                      <w14:textFill>
                        <w14:solidFill>
                          <w14:schemeClr w14:val="tx1"/>
                        </w14:solidFill>
                      </w14:textFill>
                    </w:rPr>
                    <w:t>产废周期</w:t>
                  </w:r>
                </w:p>
              </w:tc>
              <w:tc>
                <w:tcPr>
                  <w:tcW w:w="583"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default" w:ascii="Times New Roman" w:hAnsi="Times New Roman" w:eastAsia="宋体"/>
                      <w:color w:val="000000" w:themeColor="text1"/>
                      <w:highlight w:val="none"/>
                      <w:lang w:val="en-US" w:eastAsia="zh-CN"/>
                      <w14:textFill>
                        <w14:solidFill>
                          <w14:schemeClr w14:val="tx1"/>
                        </w14:solidFill>
                      </w14:textFill>
                    </w:rPr>
                    <w:t>危险特性</w:t>
                  </w:r>
                </w:p>
              </w:tc>
              <w:tc>
                <w:tcPr>
                  <w:tcW w:w="720"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default" w:ascii="Times New Roman" w:hAnsi="Times New Roman" w:eastAsia="宋体"/>
                      <w:color w:val="000000" w:themeColor="text1"/>
                      <w:highlight w:val="none"/>
                      <w:lang w:val="en-US" w:eastAsia="zh-CN"/>
                      <w14:textFill>
                        <w14:solidFill>
                          <w14:schemeClr w14:val="tx1"/>
                        </w14:solidFill>
                      </w14:textFill>
                    </w:rPr>
                    <w:t>污染防治措施</w:t>
                  </w:r>
                </w:p>
              </w:tc>
            </w:tr>
            <w:tr>
              <w:tblPrEx>
                <w:tblLayout w:type="fixed"/>
              </w:tblPrEx>
              <w:trPr>
                <w:trHeight w:val="0" w:hRule="atLeast"/>
                <w:jc w:val="center"/>
              </w:trPr>
              <w:tc>
                <w:tcPr>
                  <w:tcW w:w="448"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1</w:t>
                  </w:r>
                </w:p>
              </w:tc>
              <w:tc>
                <w:tcPr>
                  <w:tcW w:w="706"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废润滑油</w:t>
                  </w:r>
                </w:p>
              </w:tc>
              <w:tc>
                <w:tcPr>
                  <w:tcW w:w="712"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HW08</w:t>
                  </w:r>
                </w:p>
              </w:tc>
              <w:tc>
                <w:tcPr>
                  <w:tcW w:w="866"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900-214-08</w:t>
                  </w:r>
                </w:p>
              </w:tc>
              <w:tc>
                <w:tcPr>
                  <w:tcW w:w="773"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0.1t</w:t>
                  </w:r>
                  <w:r>
                    <w:rPr>
                      <w:rFonts w:hint="eastAsia" w:ascii="Times New Roman" w:hAnsi="Times New Roman" w:eastAsia="宋体"/>
                      <w:color w:val="000000" w:themeColor="text1"/>
                      <w:highlight w:val="none"/>
                      <w:lang w:val="en-US" w:eastAsia="zh-CN"/>
                      <w14:textFill>
                        <w14:solidFill>
                          <w14:schemeClr w14:val="tx1"/>
                        </w14:solidFill>
                      </w14:textFill>
                    </w:rPr>
                    <w:t>/a</w:t>
                  </w:r>
                </w:p>
              </w:tc>
              <w:tc>
                <w:tcPr>
                  <w:tcW w:w="992"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设备保养</w:t>
                  </w:r>
                </w:p>
              </w:tc>
              <w:tc>
                <w:tcPr>
                  <w:tcW w:w="473"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液态</w:t>
                  </w:r>
                </w:p>
              </w:tc>
              <w:tc>
                <w:tcPr>
                  <w:tcW w:w="785"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润滑油</w:t>
                  </w:r>
                </w:p>
              </w:tc>
              <w:tc>
                <w:tcPr>
                  <w:tcW w:w="697"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润滑油</w:t>
                  </w:r>
                </w:p>
              </w:tc>
              <w:tc>
                <w:tcPr>
                  <w:tcW w:w="632"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6个月</w:t>
                  </w:r>
                </w:p>
              </w:tc>
              <w:tc>
                <w:tcPr>
                  <w:tcW w:w="583"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T，I</w:t>
                  </w:r>
                </w:p>
              </w:tc>
              <w:tc>
                <w:tcPr>
                  <w:tcW w:w="720" w:type="dxa"/>
                  <w:vMerge w:val="restart"/>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default" w:ascii="Times New Roman" w:hAnsi="Times New Roman" w:eastAsia="宋体"/>
                      <w:color w:val="000000" w:themeColor="text1"/>
                      <w:highlight w:val="none"/>
                      <w:lang w:val="en-US" w:eastAsia="zh-CN"/>
                      <w14:textFill>
                        <w14:solidFill>
                          <w14:schemeClr w14:val="tx1"/>
                        </w14:solidFill>
                      </w14:textFill>
                    </w:rPr>
                    <w:t>委托有资质单位回收处置</w:t>
                  </w:r>
                </w:p>
              </w:tc>
            </w:tr>
            <w:tr>
              <w:tblPrEx>
                <w:tblLayout w:type="fixed"/>
              </w:tblPrEx>
              <w:trPr>
                <w:trHeight w:val="0" w:hRule="atLeast"/>
                <w:jc w:val="center"/>
              </w:trPr>
              <w:tc>
                <w:tcPr>
                  <w:tcW w:w="448"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2</w:t>
                  </w:r>
                </w:p>
              </w:tc>
              <w:tc>
                <w:tcPr>
                  <w:tcW w:w="706"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废润滑油桶</w:t>
                  </w:r>
                </w:p>
              </w:tc>
              <w:tc>
                <w:tcPr>
                  <w:tcW w:w="712"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default" w:ascii="Times New Roman" w:hAnsi="Times New Roman" w:eastAsia="宋体"/>
                      <w:color w:val="000000" w:themeColor="text1"/>
                      <w:highlight w:val="none"/>
                      <w:lang w:val="en-US" w:eastAsia="zh-CN"/>
                      <w14:textFill>
                        <w14:solidFill>
                          <w14:schemeClr w14:val="tx1"/>
                        </w14:solidFill>
                      </w14:textFill>
                    </w:rPr>
                    <w:t>HW</w:t>
                  </w:r>
                  <w:r>
                    <w:rPr>
                      <w:rFonts w:hint="eastAsia" w:ascii="Times New Roman" w:hAnsi="Times New Roman" w:eastAsia="宋体"/>
                      <w:color w:val="000000" w:themeColor="text1"/>
                      <w:highlight w:val="none"/>
                      <w:lang w:val="en-US" w:eastAsia="zh-CN"/>
                      <w14:textFill>
                        <w14:solidFill>
                          <w14:schemeClr w14:val="tx1"/>
                        </w14:solidFill>
                      </w14:textFill>
                    </w:rPr>
                    <w:t>08</w:t>
                  </w:r>
                </w:p>
              </w:tc>
              <w:tc>
                <w:tcPr>
                  <w:tcW w:w="866"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default" w:ascii="Times New Roman" w:hAnsi="Times New Roman" w:eastAsia="宋体"/>
                      <w:color w:val="000000" w:themeColor="text1"/>
                      <w:highlight w:val="none"/>
                      <w:lang w:val="en-US" w:eastAsia="zh-CN"/>
                      <w14:textFill>
                        <w14:solidFill>
                          <w14:schemeClr w14:val="tx1"/>
                        </w14:solidFill>
                      </w14:textFill>
                    </w:rPr>
                    <w:t>900-</w:t>
                  </w:r>
                  <w:r>
                    <w:rPr>
                      <w:rFonts w:hint="eastAsia" w:ascii="Times New Roman" w:hAnsi="Times New Roman" w:eastAsia="宋体"/>
                      <w:color w:val="000000" w:themeColor="text1"/>
                      <w:highlight w:val="none"/>
                      <w:lang w:val="en-US" w:eastAsia="zh-CN"/>
                      <w14:textFill>
                        <w14:solidFill>
                          <w14:schemeClr w14:val="tx1"/>
                        </w14:solidFill>
                      </w14:textFill>
                    </w:rPr>
                    <w:t>249</w:t>
                  </w:r>
                  <w:r>
                    <w:rPr>
                      <w:rFonts w:hint="default" w:ascii="Times New Roman" w:hAnsi="Times New Roman" w:eastAsia="宋体"/>
                      <w:color w:val="000000" w:themeColor="text1"/>
                      <w:highlight w:val="none"/>
                      <w:lang w:val="en-US" w:eastAsia="zh-CN"/>
                      <w14:textFill>
                        <w14:solidFill>
                          <w14:schemeClr w14:val="tx1"/>
                        </w14:solidFill>
                      </w14:textFill>
                    </w:rPr>
                    <w:t>-</w:t>
                  </w:r>
                  <w:r>
                    <w:rPr>
                      <w:rFonts w:hint="eastAsia" w:ascii="Times New Roman" w:hAnsi="Times New Roman" w:eastAsia="宋体"/>
                      <w:color w:val="000000" w:themeColor="text1"/>
                      <w:highlight w:val="none"/>
                      <w:lang w:val="en-US" w:eastAsia="zh-CN"/>
                      <w14:textFill>
                        <w14:solidFill>
                          <w14:schemeClr w14:val="tx1"/>
                        </w14:solidFill>
                      </w14:textFill>
                    </w:rPr>
                    <w:t>08</w:t>
                  </w:r>
                </w:p>
              </w:tc>
              <w:tc>
                <w:tcPr>
                  <w:tcW w:w="773"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ascii="Times New Roman" w:hAnsi="Times New Roman" w:eastAsia="宋体"/>
                      <w:color w:val="000000" w:themeColor="text1"/>
                      <w:highlight w:val="none"/>
                      <w:lang w:val="en-US" w:eastAsia="zh-CN"/>
                      <w14:textFill>
                        <w14:solidFill>
                          <w14:schemeClr w14:val="tx1"/>
                        </w14:solidFill>
                      </w14:textFill>
                    </w:rPr>
                    <w:t>kg/a</w:t>
                  </w:r>
                </w:p>
              </w:tc>
              <w:tc>
                <w:tcPr>
                  <w:tcW w:w="992"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设备保养</w:t>
                  </w:r>
                </w:p>
              </w:tc>
              <w:tc>
                <w:tcPr>
                  <w:tcW w:w="473"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固态</w:t>
                  </w:r>
                </w:p>
              </w:tc>
              <w:tc>
                <w:tcPr>
                  <w:tcW w:w="785"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润滑油等</w:t>
                  </w:r>
                </w:p>
              </w:tc>
              <w:tc>
                <w:tcPr>
                  <w:tcW w:w="697"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润滑油</w:t>
                  </w:r>
                </w:p>
              </w:tc>
              <w:tc>
                <w:tcPr>
                  <w:tcW w:w="632"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6个月</w:t>
                  </w:r>
                </w:p>
              </w:tc>
              <w:tc>
                <w:tcPr>
                  <w:tcW w:w="583"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default" w:ascii="Times New Roman" w:hAnsi="Times New Roman" w:eastAsia="宋体"/>
                      <w:color w:val="000000" w:themeColor="text1"/>
                      <w:highlight w:val="none"/>
                      <w:lang w:val="en-US" w:eastAsia="zh-CN"/>
                      <w14:textFill>
                        <w14:solidFill>
                          <w14:schemeClr w14:val="tx1"/>
                        </w14:solidFill>
                      </w14:textFill>
                    </w:rPr>
                    <w:t>T</w:t>
                  </w:r>
                  <w:r>
                    <w:rPr>
                      <w:rFonts w:hint="eastAsia" w:ascii="Times New Roman" w:hAnsi="Times New Roman" w:eastAsia="宋体"/>
                      <w:color w:val="000000" w:themeColor="text1"/>
                      <w:highlight w:val="none"/>
                      <w:lang w:val="en-US" w:eastAsia="zh-CN"/>
                      <w14:textFill>
                        <w14:solidFill>
                          <w14:schemeClr w14:val="tx1"/>
                        </w14:solidFill>
                      </w14:textFill>
                    </w:rPr>
                    <w:t>，I</w:t>
                  </w:r>
                </w:p>
              </w:tc>
              <w:tc>
                <w:tcPr>
                  <w:tcW w:w="720" w:type="dxa"/>
                  <w:vMerge w:val="continue"/>
                  <w:vAlign w:val="center"/>
                </w:tcPr>
                <w:p>
                  <w:pPr>
                    <w:topLinePunct/>
                    <w:jc w:val="center"/>
                    <w:rPr>
                      <w:rFonts w:hint="default" w:ascii="Times New Roman" w:hAnsi="Times New Roman" w:cs="Times New Roman"/>
                      <w:color w:val="auto"/>
                      <w:sz w:val="21"/>
                      <w:szCs w:val="21"/>
                    </w:rPr>
                  </w:pPr>
                </w:p>
              </w:tc>
            </w:tr>
            <w:tr>
              <w:tblPrEx>
                <w:tblLayout w:type="fixed"/>
              </w:tblPrEx>
              <w:trPr>
                <w:trHeight w:val="0" w:hRule="atLeast"/>
                <w:jc w:val="center"/>
              </w:trPr>
              <w:tc>
                <w:tcPr>
                  <w:tcW w:w="448"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706"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废切削液</w:t>
                  </w:r>
                </w:p>
              </w:tc>
              <w:tc>
                <w:tcPr>
                  <w:tcW w:w="712"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HW08</w:t>
                  </w:r>
                </w:p>
              </w:tc>
              <w:tc>
                <w:tcPr>
                  <w:tcW w:w="866"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900-006-09</w:t>
                  </w:r>
                </w:p>
              </w:tc>
              <w:tc>
                <w:tcPr>
                  <w:tcW w:w="773"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0.12t</w:t>
                  </w:r>
                  <w:r>
                    <w:rPr>
                      <w:rFonts w:hint="eastAsia" w:ascii="Times New Roman" w:hAnsi="Times New Roman" w:eastAsia="宋体"/>
                      <w:color w:val="000000" w:themeColor="text1"/>
                      <w:highlight w:val="none"/>
                      <w:lang w:val="en-US" w:eastAsia="zh-CN"/>
                      <w14:textFill>
                        <w14:solidFill>
                          <w14:schemeClr w14:val="tx1"/>
                        </w14:solidFill>
                      </w14:textFill>
                    </w:rPr>
                    <w:t>/a</w:t>
                  </w:r>
                </w:p>
              </w:tc>
              <w:tc>
                <w:tcPr>
                  <w:tcW w:w="992"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切割</w:t>
                  </w:r>
                </w:p>
              </w:tc>
              <w:tc>
                <w:tcPr>
                  <w:tcW w:w="473"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液态</w:t>
                  </w:r>
                </w:p>
              </w:tc>
              <w:tc>
                <w:tcPr>
                  <w:tcW w:w="785"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乳化液</w:t>
                  </w:r>
                </w:p>
              </w:tc>
              <w:tc>
                <w:tcPr>
                  <w:tcW w:w="697"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乳化液</w:t>
                  </w:r>
                </w:p>
              </w:tc>
              <w:tc>
                <w:tcPr>
                  <w:tcW w:w="632"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6个月</w:t>
                  </w:r>
                </w:p>
              </w:tc>
              <w:tc>
                <w:tcPr>
                  <w:tcW w:w="583"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default" w:ascii="Times New Roman" w:hAnsi="Times New Roman" w:eastAsia="宋体"/>
                      <w:color w:val="000000" w:themeColor="text1"/>
                      <w:highlight w:val="none"/>
                      <w:lang w:val="en-US" w:eastAsia="zh-CN"/>
                      <w14:textFill>
                        <w14:solidFill>
                          <w14:schemeClr w14:val="tx1"/>
                        </w14:solidFill>
                      </w14:textFill>
                    </w:rPr>
                    <w:t>T</w:t>
                  </w:r>
                  <w:r>
                    <w:rPr>
                      <w:rFonts w:hint="eastAsia" w:ascii="Times New Roman" w:hAnsi="Times New Roman" w:eastAsia="宋体"/>
                      <w:color w:val="000000" w:themeColor="text1"/>
                      <w:highlight w:val="none"/>
                      <w:lang w:val="en-US" w:eastAsia="zh-CN"/>
                      <w14:textFill>
                        <w14:solidFill>
                          <w14:schemeClr w14:val="tx1"/>
                        </w14:solidFill>
                      </w14:textFill>
                    </w:rPr>
                    <w:t>，I</w:t>
                  </w:r>
                </w:p>
              </w:tc>
              <w:tc>
                <w:tcPr>
                  <w:tcW w:w="720" w:type="dxa"/>
                  <w:vMerge w:val="continue"/>
                  <w:vAlign w:val="center"/>
                </w:tcPr>
                <w:p>
                  <w:pPr>
                    <w:topLinePunct/>
                    <w:jc w:val="center"/>
                    <w:rPr>
                      <w:rFonts w:hint="default" w:ascii="Times New Roman" w:hAnsi="Times New Roman" w:cs="Times New Roman"/>
                      <w:color w:val="auto"/>
                      <w:sz w:val="21"/>
                      <w:szCs w:val="21"/>
                    </w:rPr>
                  </w:pPr>
                </w:p>
              </w:tc>
            </w:tr>
          </w:tbl>
          <w:p>
            <w:pPr>
              <w:keepNext w:val="0"/>
              <w:keepLines w:val="0"/>
              <w:pageBreakBefore w:val="0"/>
              <w:kinsoku/>
              <w:wordWrap/>
              <w:overflowPunct/>
              <w:topLinePunct w:val="0"/>
              <w:autoSpaceDE/>
              <w:autoSpaceDN/>
              <w:bidi w:val="0"/>
              <w:adjustRightInd w:val="0"/>
              <w:snapToGrid w:val="0"/>
              <w:spacing w:line="360" w:lineRule="auto"/>
              <w:ind w:left="0" w:leftChars="0" w:right="0" w:firstLine="442" w:firstLineChars="200"/>
              <w:textAlignment w:val="auto"/>
              <w:rPr>
                <w:rFonts w:hint="default" w:ascii="Times New Roman" w:hAnsi="Times New Roman" w:cs="Times New Roman"/>
                <w:b/>
                <w:bCs/>
                <w:color w:val="auto"/>
                <w:spacing w:val="-10"/>
                <w:sz w:val="24"/>
              </w:rPr>
            </w:pPr>
          </w:p>
          <w:p>
            <w:pPr>
              <w:keepNext w:val="0"/>
              <w:keepLines w:val="0"/>
              <w:pageBreakBefore w:val="0"/>
              <w:kinsoku/>
              <w:wordWrap/>
              <w:overflowPunct/>
              <w:topLinePunct w:val="0"/>
              <w:autoSpaceDE/>
              <w:autoSpaceDN/>
              <w:bidi w:val="0"/>
              <w:adjustRightInd w:val="0"/>
              <w:snapToGrid w:val="0"/>
              <w:spacing w:line="360" w:lineRule="auto"/>
              <w:ind w:left="0" w:leftChars="0" w:right="0" w:firstLine="442" w:firstLineChars="200"/>
              <w:textAlignment w:val="auto"/>
              <w:rPr>
                <w:rFonts w:hint="default" w:ascii="Times New Roman" w:hAnsi="Times New Roman" w:cs="Times New Roman"/>
                <w:b/>
                <w:bCs/>
                <w:color w:val="auto"/>
                <w:spacing w:val="-10"/>
                <w:sz w:val="24"/>
              </w:rPr>
            </w:pPr>
            <w:r>
              <w:rPr>
                <w:rFonts w:hint="default" w:ascii="Times New Roman" w:hAnsi="Times New Roman" w:cs="Times New Roman"/>
                <w:b/>
                <w:bCs/>
                <w:color w:val="auto"/>
                <w:spacing w:val="-10"/>
                <w:sz w:val="24"/>
              </w:rPr>
              <w:t>2、处置去向及环境管理要求</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firstLine="480" w:firstLineChars="200"/>
              <w:textAlignment w:val="auto"/>
              <w:rPr>
                <w:rFonts w:hint="default" w:ascii="Times New Roman" w:hAnsi="Times New Roman" w:cs="Times New Roman"/>
                <w:color w:val="auto"/>
                <w:kern w:val="0"/>
                <w:sz w:val="24"/>
              </w:rPr>
            </w:pPr>
            <w:r>
              <w:rPr>
                <w:rFonts w:hint="default" w:ascii="Times New Roman" w:hAnsi="Times New Roman" w:cs="Times New Roman"/>
                <w:color w:val="auto"/>
                <w:kern w:val="0"/>
                <w:sz w:val="24"/>
              </w:rPr>
              <w:t>项目的固体废弃物主要为</w:t>
            </w:r>
            <w:r>
              <w:rPr>
                <w:rFonts w:hint="default" w:ascii="Times New Roman" w:hAnsi="Times New Roman" w:eastAsia="宋体" w:cs="Times New Roman"/>
                <w:color w:val="auto"/>
                <w:sz w:val="24"/>
                <w:szCs w:val="24"/>
              </w:rPr>
              <w:t>生活垃圾</w:t>
            </w:r>
            <w:r>
              <w:rPr>
                <w:rFonts w:hint="eastAsia"/>
                <w:color w:val="000000" w:themeColor="text1"/>
                <w:highlight w:val="none"/>
                <w:lang w:val="en-US" w:eastAsia="zh-CN"/>
                <w14:textFill>
                  <w14:solidFill>
                    <w14:schemeClr w14:val="tx1"/>
                  </w14:solidFill>
                </w14:textFill>
              </w:rPr>
              <w:t>、废包装材料</w:t>
            </w:r>
            <w:r>
              <w:rPr>
                <w:rFonts w:hint="eastAsia" w:cs="Times New Roman"/>
                <w:color w:val="auto"/>
                <w:sz w:val="24"/>
                <w:szCs w:val="24"/>
                <w:lang w:eastAsia="zh-CN"/>
              </w:rPr>
              <w:t>、</w:t>
            </w:r>
            <w:r>
              <w:rPr>
                <w:rFonts w:hint="eastAsia" w:cs="Times New Roman"/>
                <w:color w:val="auto"/>
                <w:kern w:val="0"/>
                <w:sz w:val="24"/>
                <w:lang w:eastAsia="zh-CN"/>
              </w:rPr>
              <w:t>布袋</w:t>
            </w:r>
            <w:r>
              <w:rPr>
                <w:rFonts w:hint="eastAsia" w:cs="Times New Roman"/>
                <w:color w:val="auto"/>
                <w:sz w:val="24"/>
                <w:szCs w:val="24"/>
                <w:lang w:eastAsia="zh-CN"/>
              </w:rPr>
              <w:t>除尘器收尘、</w:t>
            </w:r>
            <w:r>
              <w:rPr>
                <w:rFonts w:hint="eastAsia" w:cs="Times New Roman"/>
                <w:color w:val="auto"/>
                <w:sz w:val="24"/>
                <w:szCs w:val="24"/>
                <w:lang w:val="en-US" w:eastAsia="zh-CN"/>
              </w:rPr>
              <w:t>焊渣</w:t>
            </w:r>
            <w:r>
              <w:rPr>
                <w:rFonts w:hint="eastAsia" w:cs="Times New Roman"/>
                <w:color w:val="auto"/>
                <w:sz w:val="24"/>
                <w:szCs w:val="24"/>
                <w:lang w:eastAsia="zh-CN"/>
              </w:rPr>
              <w:t>、边角料、废润滑油及废润滑油桶</w:t>
            </w:r>
            <w:r>
              <w:rPr>
                <w:rFonts w:hint="default" w:ascii="Times New Roman" w:hAnsi="Times New Roman" w:cs="Times New Roman"/>
                <w:color w:val="auto"/>
                <w:kern w:val="0"/>
                <w:sz w:val="24"/>
              </w:rPr>
              <w:t>。</w:t>
            </w:r>
          </w:p>
          <w:p>
            <w:pPr>
              <w:keepNext w:val="0"/>
              <w:keepLines w:val="0"/>
              <w:pageBreakBefore w:val="0"/>
              <w:widowControl/>
              <w:kinsoku/>
              <w:wordWrap/>
              <w:overflowPunct/>
              <w:topLinePunct w:val="0"/>
              <w:autoSpaceDE/>
              <w:autoSpaceDN/>
              <w:bidi w:val="0"/>
              <w:adjustRightInd w:val="0"/>
              <w:snapToGrid w:val="0"/>
              <w:spacing w:line="360" w:lineRule="auto"/>
              <w:ind w:left="0" w:leftChars="0" w:right="0" w:firstLine="480" w:firstLineChars="200"/>
              <w:textAlignment w:val="auto"/>
              <w:rPr>
                <w:rFonts w:hint="default" w:ascii="Times New Roman" w:hAnsi="Times New Roman" w:cs="Times New Roman"/>
                <w:b/>
                <w:color w:val="auto"/>
                <w:kern w:val="0"/>
                <w:sz w:val="24"/>
                <w:szCs w:val="24"/>
              </w:rPr>
            </w:pPr>
            <w:r>
              <w:rPr>
                <w:rFonts w:hint="default" w:ascii="Times New Roman" w:hAnsi="Times New Roman" w:cs="Times New Roman"/>
                <w:color w:val="auto"/>
                <w:kern w:val="0"/>
                <w:sz w:val="24"/>
              </w:rPr>
              <w:t>建设单位应将</w:t>
            </w:r>
            <w:r>
              <w:rPr>
                <w:rFonts w:hint="eastAsia" w:cs="Times New Roman"/>
                <w:color w:val="auto"/>
                <w:kern w:val="0"/>
                <w:sz w:val="24"/>
                <w:lang w:eastAsia="zh-CN"/>
              </w:rPr>
              <w:t>固体废物</w:t>
            </w:r>
            <w:r>
              <w:rPr>
                <w:rFonts w:hint="default" w:ascii="Times New Roman" w:hAnsi="Times New Roman" w:cs="Times New Roman"/>
                <w:color w:val="auto"/>
                <w:kern w:val="0"/>
                <w:sz w:val="24"/>
              </w:rPr>
              <w:t>进行妥善分类收集</w:t>
            </w:r>
            <w:r>
              <w:rPr>
                <w:rFonts w:hint="eastAsia" w:cs="Times New Roman"/>
                <w:color w:val="auto"/>
                <w:kern w:val="0"/>
                <w:sz w:val="24"/>
                <w:lang w:eastAsia="zh-CN"/>
              </w:rPr>
              <w:t>、处理：</w:t>
            </w:r>
            <w:r>
              <w:rPr>
                <w:rFonts w:hint="default" w:ascii="Times New Roman" w:hAnsi="Times New Roman" w:cs="Times New Roman"/>
                <w:color w:val="auto"/>
                <w:kern w:val="0"/>
                <w:sz w:val="24"/>
              </w:rPr>
              <w:t>生活垃圾进行妥善分类收集，交由环卫部门统一处理</w:t>
            </w:r>
            <w:r>
              <w:rPr>
                <w:rFonts w:hint="eastAsia" w:cs="Times New Roman"/>
                <w:color w:val="auto"/>
                <w:kern w:val="0"/>
                <w:sz w:val="24"/>
                <w:lang w:eastAsia="zh-CN"/>
              </w:rPr>
              <w:t>；布袋除尘器收尘、边角料、焊渣</w:t>
            </w:r>
            <w:r>
              <w:rPr>
                <w:rFonts w:hint="eastAsia"/>
                <w:color w:val="000000" w:themeColor="text1"/>
                <w:highlight w:val="none"/>
                <w:lang w:val="en-US" w:eastAsia="zh-CN"/>
                <w14:textFill>
                  <w14:solidFill>
                    <w14:schemeClr w14:val="tx1"/>
                  </w14:solidFill>
                </w14:textFill>
              </w:rPr>
              <w:t>、废包装材料</w:t>
            </w:r>
            <w:r>
              <w:rPr>
                <w:rFonts w:hint="eastAsia" w:cs="Times New Roman"/>
                <w:color w:val="auto"/>
                <w:kern w:val="0"/>
                <w:sz w:val="24"/>
                <w:lang w:eastAsia="zh-CN"/>
              </w:rPr>
              <w:t>收集后外售物资回收单位综合利用；</w:t>
            </w:r>
            <w:r>
              <w:rPr>
                <w:rFonts w:hint="eastAsia" w:cs="Times New Roman"/>
                <w:color w:val="auto"/>
                <w:sz w:val="24"/>
                <w:szCs w:val="24"/>
                <w:lang w:eastAsia="zh-CN"/>
              </w:rPr>
              <w:t>废润滑油及废润滑油桶</w:t>
            </w:r>
            <w:r>
              <w:rPr>
                <w:rFonts w:hint="default" w:ascii="Times New Roman" w:hAnsi="Times New Roman" w:cs="Times New Roman"/>
                <w:color w:val="auto"/>
                <w:kern w:val="0"/>
                <w:sz w:val="24"/>
              </w:rPr>
              <w:t>属于危险废物，将其交由</w:t>
            </w:r>
            <w:r>
              <w:rPr>
                <w:rFonts w:hint="eastAsia" w:cs="Times New Roman"/>
                <w:color w:val="auto"/>
                <w:kern w:val="0"/>
                <w:sz w:val="24"/>
                <w:lang w:eastAsia="zh-CN"/>
              </w:rPr>
              <w:t>具有</w:t>
            </w:r>
            <w:r>
              <w:rPr>
                <w:rFonts w:hint="default" w:ascii="Times New Roman" w:hAnsi="Times New Roman" w:cs="Times New Roman"/>
                <w:color w:val="auto"/>
                <w:kern w:val="0"/>
                <w:sz w:val="24"/>
              </w:rPr>
              <w:t>处理资质的单位回收处理。</w:t>
            </w:r>
          </w:p>
          <w:p>
            <w:pPr>
              <w:keepNext w:val="0"/>
              <w:keepLines w:val="0"/>
              <w:pageBreakBefore w:val="0"/>
              <w:widowControl/>
              <w:kinsoku/>
              <w:wordWrap/>
              <w:overflowPunct/>
              <w:topLinePunct w:val="0"/>
              <w:autoSpaceDE/>
              <w:autoSpaceDN/>
              <w:bidi w:val="0"/>
              <w:adjustRightInd w:val="0"/>
              <w:snapToGrid w:val="0"/>
              <w:spacing w:line="240" w:lineRule="auto"/>
              <w:contextualSpacing/>
              <w:jc w:val="center"/>
              <w:textAlignment w:val="auto"/>
              <w:rPr>
                <w:rFonts w:hint="default" w:ascii="Times New Roman" w:hAnsi="Times New Roman" w:cs="Times New Roman"/>
                <w:b/>
                <w:color w:val="FF0000"/>
                <w:kern w:val="0"/>
                <w:sz w:val="24"/>
                <w:szCs w:val="24"/>
              </w:rPr>
            </w:pPr>
            <w:r>
              <w:rPr>
                <w:rFonts w:hint="default" w:ascii="Times New Roman" w:hAnsi="Times New Roman" w:cs="Times New Roman"/>
                <w:b/>
                <w:color w:val="auto"/>
                <w:kern w:val="0"/>
                <w:sz w:val="24"/>
                <w:szCs w:val="24"/>
              </w:rPr>
              <w:t>表4</w:t>
            </w:r>
            <w:r>
              <w:rPr>
                <w:rFonts w:hint="eastAsia" w:cs="Times New Roman"/>
                <w:b/>
                <w:color w:val="auto"/>
                <w:kern w:val="0"/>
                <w:sz w:val="24"/>
                <w:szCs w:val="24"/>
                <w:lang w:val="en-US" w:eastAsia="zh-CN"/>
              </w:rPr>
              <w:t>-17</w:t>
            </w:r>
            <w:r>
              <w:rPr>
                <w:rFonts w:hint="default" w:ascii="Times New Roman" w:hAnsi="Times New Roman" w:cs="Times New Roman"/>
                <w:b/>
                <w:color w:val="auto"/>
                <w:kern w:val="0"/>
                <w:sz w:val="24"/>
                <w:szCs w:val="24"/>
                <w:lang w:val="en-US" w:eastAsia="zh-CN"/>
              </w:rPr>
              <w:t xml:space="preserve"> </w:t>
            </w:r>
            <w:r>
              <w:rPr>
                <w:rFonts w:hint="default" w:ascii="Times New Roman" w:hAnsi="Times New Roman" w:cs="Times New Roman"/>
                <w:b/>
                <w:color w:val="FF0000"/>
                <w:kern w:val="0"/>
                <w:sz w:val="24"/>
                <w:szCs w:val="24"/>
              </w:rPr>
              <w:t xml:space="preserve"> </w:t>
            </w:r>
            <w:r>
              <w:rPr>
                <w:rFonts w:hint="default" w:ascii="Times New Roman" w:hAnsi="Times New Roman" w:cs="Times New Roman"/>
                <w:b/>
                <w:color w:val="auto"/>
                <w:kern w:val="0"/>
                <w:sz w:val="24"/>
                <w:szCs w:val="24"/>
              </w:rPr>
              <w:t>项目危险废物贮存场所（设施）基本情况表</w:t>
            </w:r>
          </w:p>
          <w:tbl>
            <w:tblPr>
              <w:tblStyle w:val="37"/>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101"/>
              <w:gridCol w:w="950"/>
              <w:gridCol w:w="925"/>
              <w:gridCol w:w="1298"/>
              <w:gridCol w:w="744"/>
              <w:gridCol w:w="716"/>
              <w:gridCol w:w="716"/>
              <w:gridCol w:w="698"/>
              <w:gridCol w:w="738"/>
            </w:tblGrid>
            <w:tr>
              <w:tblPrEx>
                <w:tblLayout w:type="fixed"/>
              </w:tblPrEx>
              <w:trPr>
                <w:trHeight w:val="283" w:hRule="atLeast"/>
                <w:jc w:val="center"/>
              </w:trPr>
              <w:tc>
                <w:tcPr>
                  <w:tcW w:w="511"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default" w:ascii="Times New Roman" w:hAnsi="Times New Roman" w:eastAsia="宋体"/>
                      <w:color w:val="000000" w:themeColor="text1"/>
                      <w:highlight w:val="none"/>
                      <w:lang w:val="en-US" w:eastAsia="zh-CN"/>
                      <w14:textFill>
                        <w14:solidFill>
                          <w14:schemeClr w14:val="tx1"/>
                        </w14:solidFill>
                      </w14:textFill>
                    </w:rPr>
                    <w:t>序号</w:t>
                  </w:r>
                </w:p>
              </w:tc>
              <w:tc>
                <w:tcPr>
                  <w:tcW w:w="1101"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default" w:ascii="Times New Roman" w:hAnsi="Times New Roman" w:eastAsia="宋体"/>
                      <w:color w:val="000000" w:themeColor="text1"/>
                      <w:highlight w:val="none"/>
                      <w:lang w:val="en-US" w:eastAsia="zh-CN"/>
                      <w14:textFill>
                        <w14:solidFill>
                          <w14:schemeClr w14:val="tx1"/>
                        </w14:solidFill>
                      </w14:textFill>
                    </w:rPr>
                    <w:t>贮存场所（设施）名称</w:t>
                  </w:r>
                </w:p>
              </w:tc>
              <w:tc>
                <w:tcPr>
                  <w:tcW w:w="950"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default" w:ascii="Times New Roman" w:hAnsi="Times New Roman" w:eastAsia="宋体"/>
                      <w:color w:val="000000" w:themeColor="text1"/>
                      <w:highlight w:val="none"/>
                      <w:lang w:val="en-US" w:eastAsia="zh-CN"/>
                      <w14:textFill>
                        <w14:solidFill>
                          <w14:schemeClr w14:val="tx1"/>
                        </w14:solidFill>
                      </w14:textFill>
                    </w:rPr>
                    <w:t>危险废物名称</w:t>
                  </w:r>
                </w:p>
              </w:tc>
              <w:tc>
                <w:tcPr>
                  <w:tcW w:w="925"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default" w:ascii="Times New Roman" w:hAnsi="Times New Roman" w:eastAsia="宋体"/>
                      <w:color w:val="000000" w:themeColor="text1"/>
                      <w:highlight w:val="none"/>
                      <w:lang w:val="en-US" w:eastAsia="zh-CN"/>
                      <w14:textFill>
                        <w14:solidFill>
                          <w14:schemeClr w14:val="tx1"/>
                        </w14:solidFill>
                      </w14:textFill>
                    </w:rPr>
                    <w:t>危险废物类别</w:t>
                  </w:r>
                </w:p>
              </w:tc>
              <w:tc>
                <w:tcPr>
                  <w:tcW w:w="1298"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default" w:ascii="Times New Roman" w:hAnsi="Times New Roman" w:eastAsia="宋体"/>
                      <w:color w:val="000000" w:themeColor="text1"/>
                      <w:highlight w:val="none"/>
                      <w:lang w:val="en-US" w:eastAsia="zh-CN"/>
                      <w14:textFill>
                        <w14:solidFill>
                          <w14:schemeClr w14:val="tx1"/>
                        </w14:solidFill>
                      </w14:textFill>
                    </w:rPr>
                    <w:t>危险废物代码</w:t>
                  </w:r>
                </w:p>
              </w:tc>
              <w:tc>
                <w:tcPr>
                  <w:tcW w:w="744"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default" w:ascii="Times New Roman" w:hAnsi="Times New Roman" w:eastAsia="宋体"/>
                      <w:color w:val="000000" w:themeColor="text1"/>
                      <w:highlight w:val="none"/>
                      <w:lang w:val="en-US" w:eastAsia="zh-CN"/>
                      <w14:textFill>
                        <w14:solidFill>
                          <w14:schemeClr w14:val="tx1"/>
                        </w14:solidFill>
                      </w14:textFill>
                    </w:rPr>
                    <w:t>位置</w:t>
                  </w:r>
                </w:p>
              </w:tc>
              <w:tc>
                <w:tcPr>
                  <w:tcW w:w="716"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default" w:ascii="Times New Roman" w:hAnsi="Times New Roman" w:eastAsia="宋体"/>
                      <w:color w:val="000000" w:themeColor="text1"/>
                      <w:highlight w:val="none"/>
                      <w:lang w:val="en-US" w:eastAsia="zh-CN"/>
                      <w14:textFill>
                        <w14:solidFill>
                          <w14:schemeClr w14:val="tx1"/>
                        </w14:solidFill>
                      </w14:textFill>
                    </w:rPr>
                    <w:t>占地面积</w:t>
                  </w:r>
                </w:p>
              </w:tc>
              <w:tc>
                <w:tcPr>
                  <w:tcW w:w="716"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default" w:ascii="Times New Roman" w:hAnsi="Times New Roman" w:eastAsia="宋体"/>
                      <w:color w:val="000000" w:themeColor="text1"/>
                      <w:highlight w:val="none"/>
                      <w:lang w:val="en-US" w:eastAsia="zh-CN"/>
                      <w14:textFill>
                        <w14:solidFill>
                          <w14:schemeClr w14:val="tx1"/>
                        </w14:solidFill>
                      </w14:textFill>
                    </w:rPr>
                    <w:t>贮存方式</w:t>
                  </w:r>
                </w:p>
              </w:tc>
              <w:tc>
                <w:tcPr>
                  <w:tcW w:w="698"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default" w:ascii="Times New Roman" w:hAnsi="Times New Roman" w:eastAsia="宋体"/>
                      <w:color w:val="000000" w:themeColor="text1"/>
                      <w:highlight w:val="none"/>
                      <w:lang w:val="en-US" w:eastAsia="zh-CN"/>
                      <w14:textFill>
                        <w14:solidFill>
                          <w14:schemeClr w14:val="tx1"/>
                        </w14:solidFill>
                      </w14:textFill>
                    </w:rPr>
                    <w:t>贮存能力/t</w:t>
                  </w:r>
                </w:p>
              </w:tc>
              <w:tc>
                <w:tcPr>
                  <w:tcW w:w="738"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default" w:ascii="Times New Roman" w:hAnsi="Times New Roman" w:eastAsia="宋体"/>
                      <w:color w:val="000000" w:themeColor="text1"/>
                      <w:highlight w:val="none"/>
                      <w:lang w:val="en-US" w:eastAsia="zh-CN"/>
                      <w14:textFill>
                        <w14:solidFill>
                          <w14:schemeClr w14:val="tx1"/>
                        </w14:solidFill>
                      </w14:textFill>
                    </w:rPr>
                    <w:t>贮存周期</w:t>
                  </w:r>
                </w:p>
              </w:tc>
            </w:tr>
            <w:tr>
              <w:tblPrEx>
                <w:tblLayout w:type="fixed"/>
              </w:tblPrEx>
              <w:trPr>
                <w:trHeight w:val="369" w:hRule="atLeast"/>
                <w:jc w:val="center"/>
              </w:trPr>
              <w:tc>
                <w:tcPr>
                  <w:tcW w:w="511"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1</w:t>
                  </w:r>
                </w:p>
              </w:tc>
              <w:tc>
                <w:tcPr>
                  <w:tcW w:w="1101" w:type="dxa"/>
                  <w:vMerge w:val="restart"/>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default" w:ascii="Times New Roman" w:hAnsi="Times New Roman" w:eastAsia="宋体"/>
                      <w:color w:val="000000" w:themeColor="text1"/>
                      <w:highlight w:val="none"/>
                      <w:lang w:val="en-US" w:eastAsia="zh-CN"/>
                      <w14:textFill>
                        <w14:solidFill>
                          <w14:schemeClr w14:val="tx1"/>
                        </w14:solidFill>
                      </w14:textFill>
                    </w:rPr>
                    <w:t>危废</w:t>
                  </w:r>
                  <w:r>
                    <w:rPr>
                      <w:rFonts w:hint="eastAsia" w:ascii="Times New Roman" w:hAnsi="Times New Roman" w:eastAsia="宋体"/>
                      <w:color w:val="000000" w:themeColor="text1"/>
                      <w:highlight w:val="none"/>
                      <w:lang w:val="en-US" w:eastAsia="zh-CN"/>
                      <w14:textFill>
                        <w14:solidFill>
                          <w14:schemeClr w14:val="tx1"/>
                        </w14:solidFill>
                      </w14:textFill>
                    </w:rPr>
                    <w:t>仓库</w:t>
                  </w:r>
                </w:p>
              </w:tc>
              <w:tc>
                <w:tcPr>
                  <w:tcW w:w="950"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废润滑油</w:t>
                  </w:r>
                </w:p>
              </w:tc>
              <w:tc>
                <w:tcPr>
                  <w:tcW w:w="925"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HW08</w:t>
                  </w:r>
                </w:p>
              </w:tc>
              <w:tc>
                <w:tcPr>
                  <w:tcW w:w="1298"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900-214-08</w:t>
                  </w:r>
                </w:p>
              </w:tc>
              <w:tc>
                <w:tcPr>
                  <w:tcW w:w="744" w:type="dxa"/>
                  <w:vMerge w:val="restart"/>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厂区内西侧</w:t>
                  </w:r>
                </w:p>
              </w:tc>
              <w:tc>
                <w:tcPr>
                  <w:tcW w:w="716" w:type="dxa"/>
                  <w:vMerge w:val="restart"/>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 xml:space="preserve">10 </w:t>
                  </w:r>
                  <w:r>
                    <w:rPr>
                      <w:rFonts w:hint="default" w:ascii="Times New Roman" w:hAnsi="Times New Roman" w:eastAsia="宋体"/>
                      <w:color w:val="000000" w:themeColor="text1"/>
                      <w:highlight w:val="none"/>
                      <w:lang w:val="en-US" w:eastAsia="zh-CN"/>
                      <w14:textFill>
                        <w14:solidFill>
                          <w14:schemeClr w14:val="tx1"/>
                        </w14:solidFill>
                      </w14:textFill>
                    </w:rPr>
                    <w:t>m</w:t>
                  </w:r>
                  <w:r>
                    <w:rPr>
                      <w:rFonts w:hint="default" w:ascii="Times New Roman" w:hAnsi="Times New Roman" w:eastAsia="宋体"/>
                      <w:color w:val="000000" w:themeColor="text1"/>
                      <w:highlight w:val="none"/>
                      <w:vertAlign w:val="superscript"/>
                      <w:lang w:val="en-US" w:eastAsia="zh-CN"/>
                      <w14:textFill>
                        <w14:solidFill>
                          <w14:schemeClr w14:val="tx1"/>
                        </w14:solidFill>
                      </w14:textFill>
                    </w:rPr>
                    <w:t>2</w:t>
                  </w:r>
                </w:p>
              </w:tc>
              <w:tc>
                <w:tcPr>
                  <w:tcW w:w="716"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桶装</w:t>
                  </w:r>
                </w:p>
              </w:tc>
              <w:tc>
                <w:tcPr>
                  <w:tcW w:w="698" w:type="dxa"/>
                  <w:vMerge w:val="restart"/>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6</w:t>
                  </w:r>
                </w:p>
              </w:tc>
              <w:tc>
                <w:tcPr>
                  <w:tcW w:w="738" w:type="dxa"/>
                  <w:vMerge w:val="restart"/>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rFonts w:hint="eastAsia" w:ascii="Times New Roman" w:hAnsi="Times New Roman" w:eastAsia="宋体"/>
                      <w:color w:val="000000" w:themeColor="text1"/>
                      <w:highlight w:val="none"/>
                      <w:lang w:val="en-US" w:eastAsia="zh-CN"/>
                      <w14:textFill>
                        <w14:solidFill>
                          <w14:schemeClr w14:val="tx1"/>
                        </w14:solidFill>
                      </w14:textFill>
                    </w:rPr>
                    <w:t>个月</w:t>
                  </w:r>
                </w:p>
              </w:tc>
            </w:tr>
            <w:tr>
              <w:tblPrEx>
                <w:tblLayout w:type="fixed"/>
              </w:tblPrEx>
              <w:trPr>
                <w:trHeight w:val="369" w:hRule="atLeast"/>
                <w:jc w:val="center"/>
              </w:trPr>
              <w:tc>
                <w:tcPr>
                  <w:tcW w:w="511"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2</w:t>
                  </w:r>
                </w:p>
              </w:tc>
              <w:tc>
                <w:tcPr>
                  <w:tcW w:w="1101" w:type="dxa"/>
                  <w:vMerge w:val="continue"/>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p>
              </w:tc>
              <w:tc>
                <w:tcPr>
                  <w:tcW w:w="950"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废润滑油桶</w:t>
                  </w:r>
                </w:p>
              </w:tc>
              <w:tc>
                <w:tcPr>
                  <w:tcW w:w="925"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default" w:ascii="Times New Roman" w:hAnsi="Times New Roman" w:eastAsia="宋体"/>
                      <w:color w:val="000000" w:themeColor="text1"/>
                      <w:highlight w:val="none"/>
                      <w:lang w:val="en-US" w:eastAsia="zh-CN"/>
                      <w14:textFill>
                        <w14:solidFill>
                          <w14:schemeClr w14:val="tx1"/>
                        </w14:solidFill>
                      </w14:textFill>
                    </w:rPr>
                    <w:t>HW</w:t>
                  </w:r>
                  <w:r>
                    <w:rPr>
                      <w:rFonts w:hint="eastAsia" w:ascii="Times New Roman" w:hAnsi="Times New Roman" w:eastAsia="宋体"/>
                      <w:color w:val="000000" w:themeColor="text1"/>
                      <w:highlight w:val="none"/>
                      <w:lang w:val="en-US" w:eastAsia="zh-CN"/>
                      <w14:textFill>
                        <w14:solidFill>
                          <w14:schemeClr w14:val="tx1"/>
                        </w14:solidFill>
                      </w14:textFill>
                    </w:rPr>
                    <w:t>08</w:t>
                  </w:r>
                </w:p>
              </w:tc>
              <w:tc>
                <w:tcPr>
                  <w:tcW w:w="1298"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default" w:ascii="Times New Roman" w:hAnsi="Times New Roman" w:eastAsia="宋体"/>
                      <w:color w:val="000000" w:themeColor="text1"/>
                      <w:highlight w:val="none"/>
                      <w:lang w:val="en-US" w:eastAsia="zh-CN"/>
                      <w14:textFill>
                        <w14:solidFill>
                          <w14:schemeClr w14:val="tx1"/>
                        </w14:solidFill>
                      </w14:textFill>
                    </w:rPr>
                    <w:t>900-</w:t>
                  </w:r>
                  <w:r>
                    <w:rPr>
                      <w:rFonts w:hint="eastAsia" w:ascii="Times New Roman" w:hAnsi="Times New Roman" w:eastAsia="宋体"/>
                      <w:color w:val="000000" w:themeColor="text1"/>
                      <w:highlight w:val="none"/>
                      <w:lang w:val="en-US" w:eastAsia="zh-CN"/>
                      <w14:textFill>
                        <w14:solidFill>
                          <w14:schemeClr w14:val="tx1"/>
                        </w14:solidFill>
                      </w14:textFill>
                    </w:rPr>
                    <w:t>249</w:t>
                  </w:r>
                  <w:r>
                    <w:rPr>
                      <w:rFonts w:hint="default" w:ascii="Times New Roman" w:hAnsi="Times New Roman" w:eastAsia="宋体"/>
                      <w:color w:val="000000" w:themeColor="text1"/>
                      <w:highlight w:val="none"/>
                      <w:lang w:val="en-US" w:eastAsia="zh-CN"/>
                      <w14:textFill>
                        <w14:solidFill>
                          <w14:schemeClr w14:val="tx1"/>
                        </w14:solidFill>
                      </w14:textFill>
                    </w:rPr>
                    <w:t>-</w:t>
                  </w:r>
                  <w:r>
                    <w:rPr>
                      <w:rFonts w:hint="eastAsia" w:ascii="Times New Roman" w:hAnsi="Times New Roman" w:eastAsia="宋体"/>
                      <w:color w:val="000000" w:themeColor="text1"/>
                      <w:highlight w:val="none"/>
                      <w:lang w:val="en-US" w:eastAsia="zh-CN"/>
                      <w14:textFill>
                        <w14:solidFill>
                          <w14:schemeClr w14:val="tx1"/>
                        </w14:solidFill>
                      </w14:textFill>
                    </w:rPr>
                    <w:t>08</w:t>
                  </w:r>
                </w:p>
              </w:tc>
              <w:tc>
                <w:tcPr>
                  <w:tcW w:w="744" w:type="dxa"/>
                  <w:vMerge w:val="continue"/>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p>
              </w:tc>
              <w:tc>
                <w:tcPr>
                  <w:tcW w:w="716" w:type="dxa"/>
                  <w:vMerge w:val="continue"/>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p>
              </w:tc>
              <w:tc>
                <w:tcPr>
                  <w:tcW w:w="716"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堆放</w:t>
                  </w:r>
                </w:p>
              </w:tc>
              <w:tc>
                <w:tcPr>
                  <w:tcW w:w="698" w:type="dxa"/>
                  <w:vMerge w:val="continue"/>
                  <w:vAlign w:val="center"/>
                </w:tcPr>
                <w:p>
                  <w:pPr>
                    <w:topLinePunct/>
                    <w:jc w:val="center"/>
                    <w:rPr>
                      <w:rFonts w:hint="eastAsia" w:cs="Times New Roman"/>
                      <w:color w:val="auto"/>
                      <w:kern w:val="2"/>
                      <w:sz w:val="21"/>
                      <w:szCs w:val="21"/>
                      <w:lang w:val="en-US" w:eastAsia="zh-CN" w:bidi="ar-SA"/>
                    </w:rPr>
                  </w:pPr>
                </w:p>
              </w:tc>
              <w:tc>
                <w:tcPr>
                  <w:tcW w:w="738" w:type="dxa"/>
                  <w:vMerge w:val="continue"/>
                  <w:vAlign w:val="center"/>
                </w:tcPr>
                <w:p>
                  <w:pPr>
                    <w:topLinePunct/>
                    <w:jc w:val="center"/>
                    <w:rPr>
                      <w:rFonts w:hint="eastAsia" w:cs="Times New Roman"/>
                      <w:color w:val="auto"/>
                      <w:kern w:val="2"/>
                      <w:sz w:val="21"/>
                      <w:szCs w:val="21"/>
                      <w:lang w:val="en-US" w:eastAsia="zh-CN" w:bidi="ar-SA"/>
                    </w:rPr>
                  </w:pPr>
                </w:p>
              </w:tc>
            </w:tr>
            <w:tr>
              <w:tblPrEx>
                <w:tblLayout w:type="fixed"/>
              </w:tblPrEx>
              <w:trPr>
                <w:trHeight w:val="369" w:hRule="atLeast"/>
                <w:jc w:val="center"/>
              </w:trPr>
              <w:tc>
                <w:tcPr>
                  <w:tcW w:w="511"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1101" w:type="dxa"/>
                  <w:vMerge w:val="continue"/>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p>
              </w:tc>
              <w:tc>
                <w:tcPr>
                  <w:tcW w:w="950"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废切削液</w:t>
                  </w:r>
                </w:p>
              </w:tc>
              <w:tc>
                <w:tcPr>
                  <w:tcW w:w="925"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HW08</w:t>
                  </w:r>
                </w:p>
              </w:tc>
              <w:tc>
                <w:tcPr>
                  <w:tcW w:w="1298"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900-006-09</w:t>
                  </w:r>
                </w:p>
              </w:tc>
              <w:tc>
                <w:tcPr>
                  <w:tcW w:w="744" w:type="dxa"/>
                  <w:vMerge w:val="continue"/>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p>
              </w:tc>
              <w:tc>
                <w:tcPr>
                  <w:tcW w:w="716" w:type="dxa"/>
                  <w:vMerge w:val="continue"/>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p>
              </w:tc>
              <w:tc>
                <w:tcPr>
                  <w:tcW w:w="716"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桶装</w:t>
                  </w:r>
                </w:p>
              </w:tc>
              <w:tc>
                <w:tcPr>
                  <w:tcW w:w="698" w:type="dxa"/>
                  <w:vMerge w:val="continue"/>
                  <w:vAlign w:val="center"/>
                </w:tcPr>
                <w:p>
                  <w:pPr>
                    <w:topLinePunct/>
                    <w:jc w:val="center"/>
                    <w:rPr>
                      <w:rFonts w:hint="eastAsia" w:cs="Times New Roman"/>
                      <w:color w:val="auto"/>
                      <w:kern w:val="2"/>
                      <w:sz w:val="21"/>
                      <w:szCs w:val="21"/>
                      <w:lang w:val="en-US" w:eastAsia="zh-CN" w:bidi="ar-SA"/>
                    </w:rPr>
                  </w:pPr>
                </w:p>
              </w:tc>
              <w:tc>
                <w:tcPr>
                  <w:tcW w:w="738" w:type="dxa"/>
                  <w:vMerge w:val="continue"/>
                  <w:vAlign w:val="center"/>
                </w:tcPr>
                <w:p>
                  <w:pPr>
                    <w:topLinePunct/>
                    <w:jc w:val="center"/>
                    <w:rPr>
                      <w:rFonts w:hint="eastAsia" w:cs="Times New Roman"/>
                      <w:color w:val="auto"/>
                      <w:kern w:val="2"/>
                      <w:sz w:val="21"/>
                      <w:szCs w:val="21"/>
                      <w:lang w:val="en-US" w:eastAsia="zh-CN" w:bidi="ar-SA"/>
                    </w:rPr>
                  </w:pP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auto"/>
              <w:ind w:left="0" w:leftChars="0" w:right="0" w:firstLine="480" w:firstLineChars="200"/>
              <w:jc w:val="both"/>
              <w:textAlignment w:val="auto"/>
              <w:rPr>
                <w:rFonts w:hint="default" w:ascii="Times New Roman" w:hAnsi="Times New Roman" w:cs="Times New Roman"/>
                <w:i w:val="0"/>
                <w:iCs w:val="0"/>
                <w:color w:val="auto"/>
                <w:sz w:val="24"/>
                <w:szCs w:val="24"/>
                <w:lang w:val="en-US"/>
              </w:rPr>
            </w:pPr>
            <w:r>
              <w:rPr>
                <w:rFonts w:hint="eastAsia" w:cs="Times New Roman"/>
                <w:i w:val="0"/>
                <w:iCs w:val="0"/>
                <w:color w:val="auto"/>
                <w:kern w:val="2"/>
                <w:sz w:val="24"/>
                <w:szCs w:val="24"/>
                <w:lang w:val="en-US" w:eastAsia="zh-CN" w:bidi="ar"/>
              </w:rPr>
              <w:t>危废仓库</w:t>
            </w:r>
            <w:r>
              <w:rPr>
                <w:rFonts w:hint="default" w:ascii="Times New Roman" w:hAnsi="Times New Roman" w:eastAsia="宋体" w:cs="Times New Roman"/>
                <w:i w:val="0"/>
                <w:iCs w:val="0"/>
                <w:color w:val="auto"/>
                <w:kern w:val="2"/>
                <w:sz w:val="24"/>
                <w:szCs w:val="24"/>
                <w:lang w:val="en-US" w:eastAsia="zh-CN" w:bidi="ar"/>
              </w:rPr>
              <w:t>位于</w:t>
            </w:r>
            <w:r>
              <w:rPr>
                <w:rFonts w:hint="eastAsia" w:cs="Times New Roman"/>
                <w:i w:val="0"/>
                <w:iCs w:val="0"/>
                <w:color w:val="auto"/>
                <w:kern w:val="2"/>
                <w:sz w:val="24"/>
                <w:szCs w:val="24"/>
                <w:lang w:val="en-US" w:eastAsia="zh-CN" w:bidi="ar"/>
              </w:rPr>
              <w:t>厂区</w:t>
            </w:r>
            <w:r>
              <w:rPr>
                <w:rFonts w:hint="eastAsia" w:ascii="Times New Roman" w:hAnsi="Times New Roman" w:eastAsia="宋体" w:cs="Times New Roman"/>
                <w:i w:val="0"/>
                <w:iCs w:val="0"/>
                <w:color w:val="auto"/>
                <w:kern w:val="2"/>
                <w:sz w:val="24"/>
                <w:szCs w:val="24"/>
                <w:lang w:val="en-US" w:eastAsia="zh-CN" w:bidi="ar"/>
              </w:rPr>
              <w:t>内</w:t>
            </w:r>
            <w:r>
              <w:rPr>
                <w:rFonts w:hint="eastAsia" w:eastAsia="宋体" w:cs="Times New Roman"/>
                <w:i w:val="0"/>
                <w:iCs w:val="0"/>
                <w:color w:val="auto"/>
                <w:kern w:val="2"/>
                <w:sz w:val="24"/>
                <w:szCs w:val="24"/>
                <w:lang w:val="en-US" w:eastAsia="zh-CN" w:bidi="ar"/>
              </w:rPr>
              <w:t>西</w:t>
            </w:r>
            <w:r>
              <w:rPr>
                <w:rFonts w:hint="eastAsia" w:ascii="Times New Roman" w:hAnsi="Times New Roman" w:eastAsia="宋体" w:cs="Times New Roman"/>
                <w:i w:val="0"/>
                <w:iCs w:val="0"/>
                <w:color w:val="auto"/>
                <w:kern w:val="2"/>
                <w:sz w:val="24"/>
                <w:szCs w:val="24"/>
                <w:lang w:val="en-US" w:eastAsia="zh-CN" w:bidi="ar"/>
              </w:rPr>
              <w:t>侧</w:t>
            </w:r>
            <w:r>
              <w:rPr>
                <w:rFonts w:hint="default" w:ascii="Times New Roman" w:hAnsi="Times New Roman" w:eastAsia="宋体" w:cs="Times New Roman"/>
                <w:i w:val="0"/>
                <w:iCs w:val="0"/>
                <w:color w:val="auto"/>
                <w:kern w:val="2"/>
                <w:sz w:val="24"/>
                <w:szCs w:val="24"/>
                <w:lang w:val="en-US" w:eastAsia="zh-CN" w:bidi="ar"/>
              </w:rPr>
              <w:t>，采取防雨淋、防腐蚀、防渗漏、防流失等处理，</w:t>
            </w:r>
            <w:r>
              <w:rPr>
                <w:rFonts w:hint="eastAsia" w:ascii="Times New Roman" w:hAnsi="Times New Roman" w:eastAsia="宋体" w:cs="Times New Roman"/>
                <w:i w:val="0"/>
                <w:iCs w:val="0"/>
                <w:color w:val="auto"/>
                <w:kern w:val="2"/>
                <w:sz w:val="24"/>
                <w:szCs w:val="24"/>
                <w:lang w:val="en-US" w:eastAsia="zh-CN" w:bidi="ar"/>
              </w:rPr>
              <w:t>占地面积</w:t>
            </w:r>
            <w:r>
              <w:rPr>
                <w:rFonts w:hint="eastAsia" w:cs="Times New Roman"/>
                <w:i w:val="0"/>
                <w:iCs w:val="0"/>
                <w:color w:val="auto"/>
                <w:kern w:val="2"/>
                <w:sz w:val="24"/>
                <w:szCs w:val="24"/>
                <w:lang w:val="en-US" w:eastAsia="zh-CN" w:bidi="ar"/>
              </w:rPr>
              <w:t>10</w:t>
            </w:r>
            <w:r>
              <w:rPr>
                <w:rFonts w:hint="eastAsia" w:ascii="Times New Roman" w:hAnsi="Times New Roman" w:eastAsia="宋体" w:cs="Times New Roman"/>
                <w:i w:val="0"/>
                <w:iCs w:val="0"/>
                <w:color w:val="auto"/>
                <w:kern w:val="2"/>
                <w:sz w:val="24"/>
                <w:szCs w:val="24"/>
                <w:highlight w:val="none"/>
                <w:lang w:val="en-US" w:eastAsia="zh-CN" w:bidi="ar"/>
              </w:rPr>
              <w:t>平方米</w:t>
            </w:r>
            <w:r>
              <w:rPr>
                <w:rFonts w:hint="eastAsia" w:cs="Times New Roman"/>
                <w:i w:val="0"/>
                <w:iCs w:val="0"/>
                <w:color w:val="auto"/>
                <w:kern w:val="2"/>
                <w:sz w:val="24"/>
                <w:szCs w:val="24"/>
                <w:lang w:val="en-US" w:eastAsia="zh-CN" w:bidi="ar"/>
              </w:rPr>
              <w:t>，</w:t>
            </w:r>
            <w:r>
              <w:rPr>
                <w:rFonts w:hint="default" w:ascii="Times New Roman" w:hAnsi="Times New Roman" w:eastAsia="宋体" w:cs="Times New Roman"/>
                <w:i w:val="0"/>
                <w:iCs w:val="0"/>
                <w:color w:val="auto"/>
                <w:kern w:val="2"/>
                <w:sz w:val="24"/>
                <w:szCs w:val="24"/>
                <w:highlight w:val="none"/>
                <w:lang w:val="en-US" w:eastAsia="zh-CN" w:bidi="ar"/>
              </w:rPr>
              <w:t>一次最大存储量</w:t>
            </w:r>
            <w:r>
              <w:rPr>
                <w:rFonts w:hint="eastAsia" w:ascii="Times New Roman" w:hAnsi="Times New Roman" w:eastAsia="宋体" w:cs="Times New Roman"/>
                <w:i w:val="0"/>
                <w:iCs w:val="0"/>
                <w:color w:val="auto"/>
                <w:kern w:val="2"/>
                <w:sz w:val="24"/>
                <w:szCs w:val="24"/>
                <w:highlight w:val="none"/>
                <w:lang w:val="en-US" w:eastAsia="zh-CN" w:bidi="ar"/>
              </w:rPr>
              <w:t>6</w:t>
            </w:r>
            <w:r>
              <w:rPr>
                <w:rFonts w:hint="default" w:ascii="Times New Roman" w:hAnsi="Times New Roman" w:eastAsia="宋体" w:cs="Times New Roman"/>
                <w:i w:val="0"/>
                <w:iCs w:val="0"/>
                <w:color w:val="auto"/>
                <w:kern w:val="2"/>
                <w:sz w:val="24"/>
                <w:szCs w:val="24"/>
                <w:highlight w:val="none"/>
                <w:lang w:val="en-US" w:eastAsia="zh-CN" w:bidi="ar"/>
              </w:rPr>
              <w:t>t</w:t>
            </w:r>
            <w:r>
              <w:rPr>
                <w:rFonts w:hint="eastAsia" w:ascii="Times New Roman" w:hAnsi="Times New Roman" w:eastAsia="宋体" w:cs="Times New Roman"/>
                <w:i w:val="0"/>
                <w:iCs w:val="0"/>
                <w:color w:val="auto"/>
                <w:kern w:val="2"/>
                <w:sz w:val="24"/>
                <w:szCs w:val="24"/>
                <w:highlight w:val="none"/>
                <w:lang w:val="en-US" w:eastAsia="zh-CN" w:bidi="ar"/>
              </w:rPr>
              <w:t>，</w:t>
            </w:r>
            <w:r>
              <w:rPr>
                <w:rFonts w:hint="default" w:ascii="Times New Roman" w:hAnsi="Times New Roman" w:eastAsia="宋体" w:cs="Times New Roman"/>
                <w:i w:val="0"/>
                <w:iCs w:val="0"/>
                <w:color w:val="auto"/>
                <w:kern w:val="2"/>
                <w:sz w:val="24"/>
                <w:szCs w:val="24"/>
                <w:highlight w:val="none"/>
                <w:lang w:val="en-US" w:eastAsia="zh-CN" w:bidi="ar"/>
              </w:rPr>
              <w:t>可满足</w:t>
            </w:r>
            <w:r>
              <w:rPr>
                <w:rFonts w:hint="eastAsia" w:cs="Times New Roman"/>
                <w:i w:val="0"/>
                <w:iCs w:val="0"/>
                <w:color w:val="auto"/>
                <w:kern w:val="2"/>
                <w:sz w:val="24"/>
                <w:szCs w:val="24"/>
                <w:highlight w:val="none"/>
                <w:lang w:val="en-US" w:eastAsia="zh-CN" w:bidi="ar"/>
              </w:rPr>
              <w:t>项目</w:t>
            </w:r>
            <w:r>
              <w:rPr>
                <w:rFonts w:hint="default" w:ascii="Times New Roman" w:hAnsi="Times New Roman" w:eastAsia="宋体" w:cs="Times New Roman"/>
                <w:i w:val="0"/>
                <w:iCs w:val="0"/>
                <w:color w:val="auto"/>
                <w:kern w:val="2"/>
                <w:sz w:val="24"/>
                <w:szCs w:val="24"/>
                <w:lang w:val="en-US" w:eastAsia="zh-CN" w:bidi="ar"/>
              </w:rPr>
              <w:t>需求。</w:t>
            </w:r>
          </w:p>
          <w:p>
            <w:pPr>
              <w:keepNext w:val="0"/>
              <w:keepLines w:val="0"/>
              <w:pageBreakBefore w:val="0"/>
              <w:widowControl w:val="0"/>
              <w:suppressLineNumbers w:val="0"/>
              <w:kinsoku/>
              <w:wordWrap/>
              <w:overflowPunct/>
              <w:topLinePunct w:val="0"/>
              <w:autoSpaceDE/>
              <w:autoSpaceDN/>
              <w:bidi w:val="0"/>
              <w:spacing w:before="0" w:beforeAutospacing="0" w:afterAutospacing="0" w:line="360" w:lineRule="auto"/>
              <w:ind w:left="0" w:leftChars="0" w:right="0" w:firstLine="480" w:firstLineChars="200"/>
              <w:jc w:val="both"/>
              <w:textAlignment w:val="auto"/>
              <w:rPr>
                <w:rFonts w:hint="default" w:ascii="Times New Roman" w:hAnsi="Times New Roman" w:cs="Times New Roman"/>
                <w:i w:val="0"/>
                <w:iCs w:val="0"/>
                <w:color w:val="auto"/>
                <w:sz w:val="24"/>
                <w:szCs w:val="24"/>
                <w:lang w:val="en-US"/>
              </w:rPr>
            </w:pPr>
            <w:r>
              <w:rPr>
                <w:rFonts w:hint="eastAsia" w:cs="Times New Roman"/>
                <w:i w:val="0"/>
                <w:iCs w:val="0"/>
                <w:color w:val="auto"/>
                <w:kern w:val="2"/>
                <w:sz w:val="24"/>
                <w:szCs w:val="24"/>
                <w:lang w:val="en-US" w:eastAsia="zh-CN" w:bidi="ar"/>
              </w:rPr>
              <w:t>危废仓库</w:t>
            </w:r>
            <w:r>
              <w:rPr>
                <w:rFonts w:hint="default" w:ascii="Times New Roman" w:hAnsi="Times New Roman" w:eastAsia="宋体" w:cs="Times New Roman"/>
                <w:i w:val="0"/>
                <w:iCs w:val="0"/>
                <w:color w:val="auto"/>
                <w:kern w:val="2"/>
                <w:sz w:val="24"/>
                <w:szCs w:val="24"/>
                <w:lang w:val="en-US" w:eastAsia="zh-CN" w:bidi="ar"/>
              </w:rPr>
              <w:t>需要按照</w:t>
            </w:r>
            <w:r>
              <w:rPr>
                <w:rFonts w:hint="default" w:ascii="Times New Roman" w:hAnsi="Times New Roman" w:eastAsia="宋体" w:cs="Times New Roman"/>
                <w:color w:val="auto"/>
                <w:spacing w:val="-4"/>
                <w:sz w:val="24"/>
                <w:szCs w:val="24"/>
              </w:rPr>
              <w:t>《危险废物贮存污染控制标准》（GB18597-20</w:t>
            </w:r>
            <w:r>
              <w:rPr>
                <w:rFonts w:hint="eastAsia"/>
                <w:color w:val="auto"/>
                <w:sz w:val="24"/>
                <w:szCs w:val="24"/>
                <w:lang w:val="en-US" w:eastAsia="zh-CN"/>
              </w:rPr>
              <w:t>23</w:t>
            </w:r>
            <w:r>
              <w:rPr>
                <w:rFonts w:hint="default" w:ascii="Times New Roman" w:hAnsi="Times New Roman" w:eastAsia="宋体" w:cs="Times New Roman"/>
                <w:color w:val="auto"/>
                <w:spacing w:val="-4"/>
                <w:sz w:val="24"/>
                <w:szCs w:val="24"/>
              </w:rPr>
              <w:t>）</w:t>
            </w:r>
            <w:r>
              <w:rPr>
                <w:rFonts w:hint="default" w:ascii="Times New Roman" w:hAnsi="Times New Roman" w:eastAsia="宋体" w:cs="Times New Roman"/>
                <w:i w:val="0"/>
                <w:iCs w:val="0"/>
                <w:color w:val="auto"/>
                <w:kern w:val="2"/>
                <w:sz w:val="24"/>
                <w:szCs w:val="24"/>
                <w:lang w:val="en-US" w:eastAsia="zh-CN" w:bidi="ar"/>
              </w:rPr>
              <w:t>标准要求进行。</w:t>
            </w:r>
          </w:p>
          <w:p>
            <w:pPr>
              <w:keepNext w:val="0"/>
              <w:keepLines w:val="0"/>
              <w:pageBreakBefore w:val="0"/>
              <w:widowControl w:val="0"/>
              <w:suppressLineNumbers w:val="0"/>
              <w:kinsoku/>
              <w:wordWrap/>
              <w:overflowPunct/>
              <w:topLinePunct w:val="0"/>
              <w:autoSpaceDE/>
              <w:autoSpaceDN/>
              <w:bidi w:val="0"/>
              <w:spacing w:before="0" w:beforeAutospacing="0" w:afterAutospacing="0" w:line="360" w:lineRule="auto"/>
              <w:ind w:left="0" w:leftChars="0" w:right="0" w:firstLine="480" w:firstLineChars="200"/>
              <w:jc w:val="both"/>
              <w:textAlignment w:val="auto"/>
              <w:rPr>
                <w:rFonts w:hint="default" w:ascii="Times New Roman" w:hAnsi="Times New Roman" w:cs="Times New Roman"/>
                <w:i w:val="0"/>
                <w:iCs w:val="0"/>
                <w:color w:val="auto"/>
                <w:sz w:val="24"/>
                <w:szCs w:val="24"/>
                <w:lang w:val="en-US"/>
              </w:rPr>
            </w:pPr>
            <w:r>
              <w:rPr>
                <w:rFonts w:hint="default" w:ascii="Times New Roman" w:hAnsi="Times New Roman" w:eastAsia="宋体" w:cs="Times New Roman"/>
                <w:i w:val="0"/>
                <w:iCs w:val="0"/>
                <w:color w:val="auto"/>
                <w:kern w:val="2"/>
                <w:sz w:val="24"/>
                <w:szCs w:val="24"/>
                <w:lang w:val="en-US" w:eastAsia="zh-CN" w:bidi="ar"/>
              </w:rPr>
              <w:t>①</w:t>
            </w:r>
            <w:r>
              <w:rPr>
                <w:rFonts w:ascii="宋体" w:hAnsi="宋体" w:eastAsia="宋体" w:cs="宋体"/>
                <w:color w:val="auto"/>
                <w:sz w:val="24"/>
                <w:szCs w:val="24"/>
              </w:rPr>
              <w:t>贮存设施应根据危险废物的形态、物理化学性质、包装形式和污染物迁移途径，采取必要的防风、防晒、防雨、防漏、防渗、防腐以及其他环境污染防治措施，不应露天堆放危险废物</w:t>
            </w:r>
            <w:r>
              <w:rPr>
                <w:rFonts w:hint="default" w:ascii="Times New Roman" w:hAnsi="Times New Roman" w:eastAsia="宋体" w:cs="Times New Roman"/>
                <w:i w:val="0"/>
                <w:iCs w:val="0"/>
                <w:color w:val="auto"/>
                <w:kern w:val="2"/>
                <w:sz w:val="24"/>
                <w:szCs w:val="24"/>
                <w:lang w:val="en-US" w:eastAsia="zh-CN" w:bidi="ar"/>
              </w:rPr>
              <w:t>。</w:t>
            </w:r>
          </w:p>
          <w:p>
            <w:pPr>
              <w:keepNext w:val="0"/>
              <w:keepLines w:val="0"/>
              <w:pageBreakBefore w:val="0"/>
              <w:widowControl w:val="0"/>
              <w:suppressLineNumbers w:val="0"/>
              <w:kinsoku/>
              <w:wordWrap/>
              <w:overflowPunct/>
              <w:topLinePunct w:val="0"/>
              <w:autoSpaceDE/>
              <w:autoSpaceDN/>
              <w:bidi w:val="0"/>
              <w:spacing w:before="0" w:beforeAutospacing="0" w:afterAutospacing="0" w:line="360" w:lineRule="auto"/>
              <w:ind w:left="0" w:leftChars="0" w:right="0" w:firstLine="480" w:firstLineChars="200"/>
              <w:jc w:val="both"/>
              <w:textAlignment w:val="auto"/>
              <w:rPr>
                <w:rFonts w:hint="default" w:ascii="Times New Roman" w:hAnsi="Times New Roman" w:cs="Times New Roman"/>
                <w:i w:val="0"/>
                <w:iCs w:val="0"/>
                <w:color w:val="auto"/>
                <w:sz w:val="24"/>
                <w:szCs w:val="24"/>
              </w:rPr>
            </w:pPr>
            <w:r>
              <w:rPr>
                <w:rFonts w:hint="eastAsia" w:cs="Times New Roman"/>
                <w:i w:val="0"/>
                <w:iCs w:val="0"/>
                <w:color w:val="auto"/>
                <w:kern w:val="2"/>
                <w:sz w:val="24"/>
                <w:szCs w:val="24"/>
                <w:lang w:val="en-US" w:eastAsia="zh-CN" w:bidi="ar"/>
              </w:rPr>
              <w:t>②</w:t>
            </w:r>
            <w:r>
              <w:rPr>
                <w:rFonts w:ascii="宋体" w:hAnsi="宋体" w:eastAsia="宋体" w:cs="宋体"/>
                <w:color w:val="auto"/>
                <w:sz w:val="24"/>
                <w:szCs w:val="24"/>
              </w:rPr>
              <w:t>贮存设施应根据危险废物的类别、数量、形态、物理化学性质和污染防治等要求设置必要的贮存分区，避免不相容的危险废物接触、混合</w:t>
            </w:r>
            <w:r>
              <w:rPr>
                <w:rFonts w:hint="default" w:ascii="Times New Roman" w:hAnsi="Times New Roman" w:eastAsia="宋体" w:cs="Times New Roman"/>
                <w:i w:val="0"/>
                <w:iCs w:val="0"/>
                <w:color w:val="auto"/>
                <w:kern w:val="2"/>
                <w:sz w:val="24"/>
                <w:szCs w:val="24"/>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360" w:lineRule="auto"/>
              <w:ind w:left="0" w:leftChars="0" w:right="0" w:firstLine="480" w:firstLineChars="200"/>
              <w:textAlignment w:val="auto"/>
              <w:rPr>
                <w:rFonts w:hint="eastAsia" w:ascii="Times New Roman" w:hAnsi="Times New Roman" w:eastAsia="宋体" w:cs="Times New Roman"/>
                <w:i w:val="0"/>
                <w:iCs w:val="0"/>
                <w:color w:val="auto"/>
                <w:sz w:val="24"/>
                <w:szCs w:val="24"/>
                <w:lang w:eastAsia="zh-CN"/>
              </w:rPr>
            </w:pPr>
            <w:r>
              <w:rPr>
                <w:rFonts w:hint="eastAsia" w:ascii="Times New Roman" w:hAnsi="Times New Roman" w:cs="Times New Roman"/>
                <w:color w:val="auto"/>
                <w:sz w:val="24"/>
                <w:shd w:val="clear" w:color="auto" w:fill="FFFFFF"/>
                <w:lang w:val="en-US" w:eastAsia="zh-CN"/>
              </w:rPr>
              <w:t>③</w:t>
            </w:r>
            <w:r>
              <w:rPr>
                <w:rFonts w:ascii="宋体" w:hAnsi="宋体" w:eastAsia="宋体" w:cs="宋体"/>
                <w:color w:val="auto"/>
                <w:sz w:val="24"/>
                <w:szCs w:val="24"/>
              </w:rPr>
              <w:t>贮存设施或贮存分区内地面、墙面裙脚、堵截泄漏的围堰、接触危险废物的隔板和墙体等应采用坚固的材料建造，表面无裂缝</w:t>
            </w:r>
            <w:r>
              <w:rPr>
                <w:rFonts w:hint="eastAsia" w:ascii="宋体" w:hAnsi="宋体" w:eastAsia="宋体" w:cs="宋体"/>
                <w:color w:val="auto"/>
                <w:sz w:val="24"/>
                <w:szCs w:val="24"/>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360" w:lineRule="auto"/>
              <w:ind w:left="0" w:leftChars="0" w:right="0" w:firstLine="480" w:firstLineChars="200"/>
              <w:textAlignment w:val="auto"/>
              <w:rPr>
                <w:rFonts w:hint="eastAsia" w:ascii="Times New Roman" w:hAnsi="Times New Roman" w:eastAsia="宋体" w:cs="Times New Roman"/>
                <w:i w:val="0"/>
                <w:iCs w:val="0"/>
                <w:color w:val="auto"/>
                <w:sz w:val="24"/>
                <w:szCs w:val="24"/>
                <w:lang w:eastAsia="zh-CN"/>
              </w:rPr>
            </w:pPr>
            <w:r>
              <w:rPr>
                <w:rFonts w:hint="default" w:ascii="Times New Roman" w:hAnsi="Times New Roman" w:cs="Times New Roman"/>
                <w:color w:val="auto"/>
                <w:sz w:val="24"/>
                <w:szCs w:val="24"/>
                <w:lang w:eastAsia="zh-CN"/>
              </w:rPr>
              <w:t>④</w:t>
            </w:r>
            <w:r>
              <w:rPr>
                <w:rFonts w:ascii="宋体" w:hAnsi="宋体" w:eastAsia="宋体" w:cs="宋体"/>
                <w:color w:val="auto"/>
                <w:sz w:val="24"/>
                <w:szCs w:val="24"/>
              </w:rPr>
              <w:t>贮存设施地面与裙脚应采取表面防渗措施；表面防渗材料应与所接触的物料或污染物相容，可采用抗渗混</w:t>
            </w:r>
            <w:r>
              <w:rPr>
                <w:rFonts w:hint="default" w:ascii="Times New Roman" w:hAnsi="Times New Roman" w:eastAsia="宋体" w:cs="Times New Roman"/>
                <w:color w:val="auto"/>
                <w:sz w:val="24"/>
                <w:szCs w:val="24"/>
              </w:rPr>
              <w:t>凝土、高密度聚乙烯膜、钠基膨润土防水毯或其他防渗性能等效的材料。贮存的危险废物直接接触地面的，还应进行基础防渗，防渗层为至少1m厚黏土层（渗透系数不大于10</w:t>
            </w:r>
            <w:r>
              <w:rPr>
                <w:rFonts w:hint="default" w:ascii="Times New Roman" w:hAnsi="Times New Roman" w:eastAsia="宋体" w:cs="Times New Roman"/>
                <w:color w:val="auto"/>
                <w:sz w:val="24"/>
                <w:szCs w:val="24"/>
                <w:vertAlign w:val="superscript"/>
              </w:rPr>
              <w:t>-7</w:t>
            </w:r>
            <w:r>
              <w:rPr>
                <w:rFonts w:hint="default" w:ascii="Times New Roman" w:hAnsi="Times New Roman" w:eastAsia="宋体" w:cs="Times New Roman"/>
                <w:color w:val="auto"/>
                <w:sz w:val="24"/>
                <w:szCs w:val="24"/>
              </w:rPr>
              <w:t>cm/s），或至少2mm厚高密度聚乙烯膜等人工防渗材料（渗透系数不大于10</w:t>
            </w:r>
            <w:r>
              <w:rPr>
                <w:rFonts w:hint="default" w:ascii="Times New Roman" w:hAnsi="Times New Roman" w:eastAsia="宋体" w:cs="Times New Roman"/>
                <w:color w:val="auto"/>
                <w:sz w:val="24"/>
                <w:szCs w:val="24"/>
                <w:vertAlign w:val="superscript"/>
              </w:rPr>
              <w:t>-10</w:t>
            </w:r>
            <w:r>
              <w:rPr>
                <w:rFonts w:hint="default" w:ascii="Times New Roman" w:hAnsi="Times New Roman" w:eastAsia="宋体" w:cs="Times New Roman"/>
                <w:color w:val="auto"/>
                <w:sz w:val="24"/>
                <w:szCs w:val="24"/>
              </w:rPr>
              <w:t>cm/s），或其</w:t>
            </w:r>
            <w:r>
              <w:rPr>
                <w:rFonts w:ascii="宋体" w:hAnsi="宋体" w:eastAsia="宋体" w:cs="宋体"/>
                <w:color w:val="auto"/>
                <w:sz w:val="24"/>
                <w:szCs w:val="24"/>
              </w:rPr>
              <w:t>他防渗性能等效的材料</w:t>
            </w:r>
            <w:r>
              <w:rPr>
                <w:rFonts w:hint="eastAsia" w:ascii="宋体" w:hAnsi="宋体" w:eastAsia="宋体" w:cs="宋体"/>
                <w:color w:val="auto"/>
                <w:sz w:val="24"/>
                <w:szCs w:val="24"/>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360" w:lineRule="auto"/>
              <w:ind w:left="0" w:leftChars="0" w:right="0" w:firstLine="480" w:firstLineChars="200"/>
              <w:textAlignment w:val="auto"/>
              <w:rPr>
                <w:rFonts w:hint="default" w:ascii="Times New Roman" w:hAnsi="Times New Roman" w:cs="Times New Roman"/>
                <w:i w:val="0"/>
                <w:iCs w:val="0"/>
                <w:color w:val="auto"/>
                <w:sz w:val="24"/>
                <w:szCs w:val="24"/>
                <w:lang w:val="en-US"/>
              </w:rPr>
            </w:pPr>
            <w:r>
              <w:rPr>
                <w:rFonts w:hint="eastAsia" w:ascii="Times New Roman" w:hAnsi="Times New Roman" w:cs="Times New Roman"/>
                <w:color w:val="auto"/>
                <w:sz w:val="24"/>
                <w:szCs w:val="24"/>
                <w:lang w:val="en-US" w:eastAsia="zh-CN"/>
              </w:rPr>
              <w:t>⑤</w:t>
            </w:r>
            <w:r>
              <w:rPr>
                <w:rFonts w:ascii="宋体" w:hAnsi="宋体" w:eastAsia="宋体" w:cs="宋体"/>
                <w:color w:val="auto"/>
                <w:sz w:val="24"/>
                <w:szCs w:val="24"/>
              </w:rPr>
              <w:t>贮存设施应采取技术和管理措施防止无关人员进入</w:t>
            </w:r>
            <w:r>
              <w:rPr>
                <w:rFonts w:hint="default" w:ascii="Times New Roman" w:hAnsi="Times New Roman" w:eastAsia="宋体" w:cs="Times New Roman"/>
                <w:i w:val="0"/>
                <w:iCs w:val="0"/>
                <w:color w:val="auto"/>
                <w:kern w:val="2"/>
                <w:sz w:val="24"/>
                <w:szCs w:val="24"/>
                <w:lang w:val="en-US" w:eastAsia="zh-CN" w:bidi="ar"/>
              </w:rPr>
              <w:t>。</w:t>
            </w:r>
          </w:p>
          <w:p>
            <w:pPr>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ascii="Times New Roman" w:hAnsi="Times New Roman" w:cs="Times New Roman"/>
                <w:i w:val="0"/>
                <w:iCs w:val="0"/>
                <w:color w:val="auto"/>
                <w:sz w:val="24"/>
                <w:szCs w:val="24"/>
              </w:rPr>
              <w:t>采取以上处置措施后，本项目固废实现无害化，对周围环境影响较小</w:t>
            </w:r>
            <w:r>
              <w:rPr>
                <w:rFonts w:hint="eastAsia"/>
                <w:color w:val="000000" w:themeColor="text1"/>
                <w:highlight w:val="none"/>
                <w:lang w:val="en-US" w:eastAsia="zh-CN"/>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lang w:val="en-US" w:eastAsia="zh-CN"/>
                <w14:textFill>
                  <w14:solidFill>
                    <w14:schemeClr w14:val="tx1"/>
                  </w14:solidFill>
                </w14:textFill>
              </w:rPr>
              <w:t>五、</w:t>
            </w:r>
            <w:r>
              <w:rPr>
                <w:rFonts w:hint="default"/>
                <w:color w:val="000000" w:themeColor="text1"/>
                <w:highlight w:val="none"/>
                <w14:textFill>
                  <w14:solidFill>
                    <w14:schemeClr w14:val="tx1"/>
                  </w14:solidFill>
                </w14:textFill>
              </w:rPr>
              <w:t>地下水</w:t>
            </w:r>
            <w:r>
              <w:rPr>
                <w:rFonts w:hint="default"/>
                <w:color w:val="000000" w:themeColor="text1"/>
                <w:highlight w:val="none"/>
                <w:lang w:val="en-US" w:eastAsia="zh-CN"/>
                <w14:textFill>
                  <w14:solidFill>
                    <w14:schemeClr w14:val="tx1"/>
                  </w14:solidFill>
                </w14:textFill>
              </w:rPr>
              <w:t>和土壤</w:t>
            </w:r>
            <w:r>
              <w:rPr>
                <w:rFonts w:hint="default"/>
                <w:color w:val="000000" w:themeColor="text1"/>
                <w:highlight w:val="none"/>
                <w14:textFill>
                  <w14:solidFill>
                    <w14:schemeClr w14:val="tx1"/>
                  </w14:solidFill>
                </w14:textFill>
              </w:rPr>
              <w:t>环境影响分析</w:t>
            </w:r>
          </w:p>
          <w:p>
            <w:pPr>
              <w:keepNext w:val="0"/>
              <w:keepLines w:val="0"/>
              <w:widowControl/>
              <w:suppressLineNumbers w:val="0"/>
              <w:jc w:val="left"/>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为防止主体工程在运行过程中对地下水造成污染，本项目采取了分区防渗措施，将构（建）筑物划分为重点防渗区和一般防渗区。</w:t>
            </w:r>
          </w:p>
          <w:p>
            <w:pPr>
              <w:pStyle w:val="39"/>
              <w:keepNext w:val="0"/>
              <w:keepLines w:val="0"/>
              <w:pageBreakBefore w:val="0"/>
              <w:widowControl w:val="0"/>
              <w:kinsoku/>
              <w:wordWrap/>
              <w:overflowPunct/>
              <w:topLinePunct w:val="0"/>
              <w:autoSpaceDE/>
              <w:autoSpaceDN/>
              <w:bidi w:val="0"/>
              <w:textAlignment w:val="auto"/>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表</w:t>
            </w:r>
            <w:r>
              <w:rPr>
                <w:rFonts w:hint="eastAsia" w:cs="Times New Roman"/>
                <w:color w:val="000000" w:themeColor="text1"/>
                <w:sz w:val="24"/>
                <w:szCs w:val="24"/>
                <w:highlight w:val="none"/>
                <w:lang w:val="en-US" w:eastAsia="zh-CN"/>
                <w14:textFill>
                  <w14:solidFill>
                    <w14:schemeClr w14:val="tx1"/>
                  </w14:solidFill>
                </w14:textFill>
              </w:rPr>
              <w:t>4-18</w:t>
            </w:r>
            <w:r>
              <w:rPr>
                <w:rFonts w:hint="default" w:ascii="Times New Roman" w:hAnsi="Times New Roman" w:cs="Times New Roman"/>
                <w:color w:val="000000" w:themeColor="text1"/>
                <w:sz w:val="24"/>
                <w:szCs w:val="24"/>
                <w:highlight w:val="none"/>
                <w14:textFill>
                  <w14:solidFill>
                    <w14:schemeClr w14:val="tx1"/>
                  </w14:solidFill>
                </w14:textFill>
              </w:rPr>
              <w:t xml:space="preserve">  </w:t>
            </w:r>
            <w:r>
              <w:rPr>
                <w:rFonts w:hint="eastAsia" w:cs="Times New Roman"/>
                <w:color w:val="000000" w:themeColor="text1"/>
                <w:sz w:val="24"/>
                <w:szCs w:val="24"/>
                <w:highlight w:val="none"/>
                <w:lang w:val="en-US" w:eastAsia="zh-CN"/>
                <w14:textFill>
                  <w14:solidFill>
                    <w14:schemeClr w14:val="tx1"/>
                  </w14:solidFill>
                </w14:textFill>
              </w:rPr>
              <w:t>防渗分区一览表</w:t>
            </w:r>
          </w:p>
          <w:tbl>
            <w:tblPr>
              <w:tblStyle w:val="3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498"/>
              <w:gridCol w:w="5273"/>
            </w:tblGrid>
            <w:tr>
              <w:tblPrEx>
                <w:tblLayout w:type="fixed"/>
              </w:tblPrEx>
              <w:tc>
                <w:tcPr>
                  <w:tcW w:w="1624" w:type="dxa"/>
                  <w:vAlign w:val="center"/>
                </w:tcPr>
                <w:p>
                  <w:pPr>
                    <w:pStyle w:val="47"/>
                    <w:keepNext w:val="0"/>
                    <w:keepLines w:val="0"/>
                    <w:pageBreakBefore w:val="0"/>
                    <w:widowControl w:val="0"/>
                    <w:kinsoku/>
                    <w:wordWrap/>
                    <w:overflowPunct/>
                    <w:topLinePunct w:val="0"/>
                    <w:autoSpaceDE/>
                    <w:autoSpaceDN/>
                    <w:bidi w:val="0"/>
                    <w:textAlignment w:val="auto"/>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防渗分区</w:t>
                  </w:r>
                </w:p>
              </w:tc>
              <w:tc>
                <w:tcPr>
                  <w:tcW w:w="1498" w:type="dxa"/>
                  <w:vAlign w:val="center"/>
                </w:tcPr>
                <w:p>
                  <w:pPr>
                    <w:pStyle w:val="47"/>
                    <w:keepNext w:val="0"/>
                    <w:keepLines w:val="0"/>
                    <w:pageBreakBefore w:val="0"/>
                    <w:widowControl w:val="0"/>
                    <w:kinsoku/>
                    <w:wordWrap/>
                    <w:overflowPunct/>
                    <w:topLinePunct w:val="0"/>
                    <w:autoSpaceDE/>
                    <w:autoSpaceDN/>
                    <w:bidi w:val="0"/>
                    <w:textAlignment w:val="auto"/>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厂内分区</w:t>
                  </w:r>
                </w:p>
              </w:tc>
              <w:tc>
                <w:tcPr>
                  <w:tcW w:w="5273" w:type="dxa"/>
                  <w:vAlign w:val="center"/>
                </w:tcPr>
                <w:p>
                  <w:pPr>
                    <w:pStyle w:val="47"/>
                    <w:keepNext w:val="0"/>
                    <w:keepLines w:val="0"/>
                    <w:pageBreakBefore w:val="0"/>
                    <w:widowControl w:val="0"/>
                    <w:kinsoku/>
                    <w:wordWrap/>
                    <w:overflowPunct/>
                    <w:topLinePunct w:val="0"/>
                    <w:autoSpaceDE/>
                    <w:autoSpaceDN/>
                    <w:bidi w:val="0"/>
                    <w:textAlignment w:val="auto"/>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需采取措施</w:t>
                  </w:r>
                </w:p>
              </w:tc>
            </w:tr>
            <w:tr>
              <w:tblPrEx>
                <w:tblLayout w:type="fixed"/>
              </w:tblPrEx>
              <w:tc>
                <w:tcPr>
                  <w:tcW w:w="1624"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重点防渗区</w:t>
                  </w:r>
                </w:p>
              </w:tc>
              <w:tc>
                <w:tcPr>
                  <w:tcW w:w="1498"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commentRangeStart w:id="47"/>
                  <w:commentRangeStart w:id="48"/>
                  <w:r>
                    <w:commentReference w:id="47"/>
                  </w:r>
                  <w:commentRangeEnd w:id="48"/>
                  <w:r>
                    <w:commentReference w:id="48"/>
                  </w:r>
                  <w:r>
                    <w:rPr>
                      <w:rFonts w:hint="eastAsia"/>
                      <w:color w:val="000000" w:themeColor="text1"/>
                      <w:highlight w:val="none"/>
                      <w:lang w:val="en-US" w:eastAsia="zh-CN"/>
                      <w14:textFill>
                        <w14:solidFill>
                          <w14:schemeClr w14:val="tx1"/>
                        </w14:solidFill>
                      </w14:textFill>
                    </w:rPr>
                    <w:t>危废仓库</w:t>
                  </w:r>
                </w:p>
              </w:tc>
              <w:tc>
                <w:tcPr>
                  <w:tcW w:w="5273"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基础必须防渗，防渗层为至少1m厚黏土层（渗透系数≤10</w:t>
                  </w:r>
                  <w:r>
                    <w:rPr>
                      <w:rFonts w:hint="eastAsia"/>
                      <w:color w:val="000000" w:themeColor="text1"/>
                      <w:highlight w:val="none"/>
                      <w:vertAlign w:val="superscript"/>
                      <w:lang w:val="en-US" w:eastAsia="zh-CN"/>
                      <w14:textFill>
                        <w14:solidFill>
                          <w14:schemeClr w14:val="tx1"/>
                        </w14:solidFill>
                      </w14:textFill>
                    </w:rPr>
                    <w:t>-7</w:t>
                  </w:r>
                  <w:r>
                    <w:rPr>
                      <w:rFonts w:hint="eastAsia"/>
                      <w:color w:val="000000" w:themeColor="text1"/>
                      <w:highlight w:val="none"/>
                      <w:lang w:val="en-US" w:eastAsia="zh-CN"/>
                      <w14:textFill>
                        <w14:solidFill>
                          <w14:schemeClr w14:val="tx1"/>
                        </w14:solidFill>
                      </w14:textFill>
                    </w:rPr>
                    <w:t>cm/s），或2mm厚高密度聚乙烯，或至少2mm厚的其他人工材料，渗透系数≤10</w:t>
                  </w:r>
                  <w:r>
                    <w:rPr>
                      <w:rFonts w:hint="eastAsia"/>
                      <w:color w:val="000000" w:themeColor="text1"/>
                      <w:highlight w:val="none"/>
                      <w:vertAlign w:val="superscript"/>
                      <w:lang w:val="en-US" w:eastAsia="zh-CN"/>
                      <w14:textFill>
                        <w14:solidFill>
                          <w14:schemeClr w14:val="tx1"/>
                        </w14:solidFill>
                      </w14:textFill>
                    </w:rPr>
                    <w:t>-7</w:t>
                  </w:r>
                  <w:r>
                    <w:rPr>
                      <w:rFonts w:hint="eastAsia"/>
                      <w:color w:val="000000" w:themeColor="text1"/>
                      <w:highlight w:val="none"/>
                      <w:lang w:val="en-US" w:eastAsia="zh-CN"/>
                      <w14:textFill>
                        <w14:solidFill>
                          <w14:schemeClr w14:val="tx1"/>
                        </w14:solidFill>
                      </w14:textFill>
                    </w:rPr>
                    <w:t>cm/s，或参照GB18597执行</w:t>
                  </w:r>
                </w:p>
              </w:tc>
            </w:tr>
            <w:tr>
              <w:tblPrEx>
                <w:tblLayout w:type="fixed"/>
              </w:tblPrEx>
              <w:tc>
                <w:tcPr>
                  <w:tcW w:w="1624"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一般防渗区</w:t>
                  </w:r>
                </w:p>
              </w:tc>
              <w:tc>
                <w:tcPr>
                  <w:tcW w:w="1498"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生产车间、办公房等</w:t>
                  </w:r>
                </w:p>
              </w:tc>
              <w:tc>
                <w:tcPr>
                  <w:tcW w:w="5273"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地面防渗需满足：等效黏土防渗层Mb≥1.5m，K≤1×10</w:t>
                  </w:r>
                  <w:r>
                    <w:rPr>
                      <w:rFonts w:hint="eastAsia"/>
                      <w:color w:val="000000" w:themeColor="text1"/>
                      <w:highlight w:val="none"/>
                      <w:vertAlign w:val="superscript"/>
                      <w:lang w:val="en-US" w:eastAsia="zh-CN"/>
                      <w14:textFill>
                        <w14:solidFill>
                          <w14:schemeClr w14:val="tx1"/>
                        </w14:solidFill>
                      </w14:textFill>
                    </w:rPr>
                    <w:t>-7</w:t>
                  </w:r>
                  <w:r>
                    <w:rPr>
                      <w:rFonts w:hint="eastAsia"/>
                      <w:color w:val="000000" w:themeColor="text1"/>
                      <w:highlight w:val="none"/>
                      <w:lang w:val="en-US" w:eastAsia="zh-CN"/>
                      <w14:textFill>
                        <w14:solidFill>
                          <w14:schemeClr w14:val="tx1"/>
                        </w14:solidFill>
                      </w14:textFill>
                    </w:rPr>
                    <w:t>cm/s，或参照GB16889执行</w:t>
                  </w:r>
                </w:p>
              </w:tc>
            </w:tr>
          </w:tbl>
          <w:p>
            <w:pPr>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综上分析，项目采取上述的分区防渗措施后，正常运营状况下可以有效防止地下水、土壤污染</w:t>
            </w:r>
            <w:r>
              <w:rPr>
                <w:rFonts w:hint="default"/>
                <w:color w:val="000000" w:themeColor="text1"/>
                <w:highlight w:val="none"/>
                <w:lang w:eastAsia="zh-CN"/>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六</w:t>
            </w:r>
            <w:r>
              <w:rPr>
                <w:rFonts w:hint="default"/>
                <w:color w:val="000000" w:themeColor="text1"/>
                <w:highlight w:val="none"/>
                <w14:textFill>
                  <w14:solidFill>
                    <w14:schemeClr w14:val="tx1"/>
                  </w14:solidFill>
                </w14:textFill>
              </w:rPr>
              <w:t>、环境风险</w:t>
            </w:r>
          </w:p>
          <w:p>
            <w:pPr>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环境风险评价的目的是分析和预测建设项目存在的潜在危险、有害因素、建设项目的建设和运行期间可能发生的突发性事件或事故（一般不包括人为破坏及自然灾害）引起有毒有害和易燃易爆等物质泄漏所造成的人身安全与环境影响和损害程度，并提出合理可行的防范、应急与减缓措施，以使建设项目事故率、损失和环境影响达到可接受的水平。</w:t>
            </w:r>
          </w:p>
          <w:p>
            <w:pPr>
              <w:pStyle w:val="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default"/>
                <w:color w:val="000000" w:themeColor="text1"/>
                <w:highlight w:val="none"/>
                <w14:textFill>
                  <w14:solidFill>
                    <w14:schemeClr w14:val="tx1"/>
                  </w14:solidFill>
                </w14:textFill>
              </w:rPr>
              <w:t>评价依据</w:t>
            </w:r>
          </w:p>
          <w:p>
            <w:pPr>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环境风险评价的目的是分析和预测建设项目存在的潜在危险、有害因素、建设项目的建设和运行期间可能发生的突发性事件或事故（一般不包括人为破坏及自然灾害）引起有毒有害和易燃易爆等物质泄漏所造成的人身安全与环境影响和损害程度，并提出合理可行的防范、应急与减缓措施，以使建设项目事故率、损失和环境影响达到可接受的水平。</w:t>
            </w:r>
          </w:p>
          <w:p>
            <w:pPr>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default"/>
                <w:color w:val="000000" w:themeColor="text1"/>
                <w:highlight w:val="none"/>
                <w14:textFill>
                  <w14:solidFill>
                    <w14:schemeClr w14:val="tx1"/>
                  </w14:solidFill>
                </w14:textFill>
              </w:rPr>
              <w:t>风险调查</w:t>
            </w:r>
          </w:p>
          <w:p>
            <w:pPr>
              <w:keepNext w:val="0"/>
              <w:keepLines w:val="0"/>
              <w:pageBreakBefore w:val="0"/>
              <w:widowControl w:val="0"/>
              <w:kinsoku/>
              <w:wordWrap/>
              <w:overflowPunct/>
              <w:topLinePunct w:val="0"/>
              <w:autoSpaceDE/>
              <w:autoSpaceDN/>
              <w:bidi w:val="0"/>
              <w:textAlignment w:val="auto"/>
              <w:rPr>
                <w:rFonts w:hint="eastAsia"/>
                <w:color w:val="000000" w:themeColor="text1"/>
                <w:highlight w:val="none"/>
                <w:lang w:val="en-US" w:eastAsia="zh-CN"/>
                <w14:textFill>
                  <w14:solidFill>
                    <w14:schemeClr w14:val="tx1"/>
                  </w14:solidFill>
                </w14:textFill>
              </w:rPr>
            </w:pPr>
            <w:r>
              <w:rPr>
                <w:rFonts w:hint="default"/>
                <w:color w:val="000000" w:themeColor="text1"/>
                <w:highlight w:val="none"/>
                <w14:textFill>
                  <w14:solidFill>
                    <w14:schemeClr w14:val="tx1"/>
                  </w14:solidFill>
                </w14:textFill>
              </w:rPr>
              <w:t>经查询《建设项目环境风险评价技术导则》（HJ169-2018）附录B表B.1、《化学品分类和标签规范 第18部分：急性毒性》（GB 30000.18-2013）及危险化学品重大危险源辨识</w:t>
            </w:r>
            <w:r>
              <w:rPr>
                <w:rFonts w:hint="eastAsia"/>
                <w:color w:val="000000" w:themeColor="text1"/>
                <w:highlight w:val="none"/>
                <w:lang w:eastAsia="zh-CN"/>
                <w14:textFill>
                  <w14:solidFill>
                    <w14:schemeClr w14:val="tx1"/>
                  </w14:solidFill>
                </w14:textFill>
              </w:rPr>
              <w:t>（</w:t>
            </w:r>
            <w:r>
              <w:rPr>
                <w:rFonts w:hint="default"/>
                <w:color w:val="000000" w:themeColor="text1"/>
                <w:highlight w:val="none"/>
                <w14:textFill>
                  <w14:solidFill>
                    <w14:schemeClr w14:val="tx1"/>
                  </w14:solidFill>
                </w14:textFill>
              </w:rPr>
              <w:t>GB18218-2018)，</w:t>
            </w:r>
            <w:r>
              <w:rPr>
                <w:rFonts w:hint="eastAsia" w:cs="Times New Roman"/>
                <w:color w:val="auto"/>
                <w:sz w:val="24"/>
                <w:lang w:eastAsia="zh-CN"/>
              </w:rPr>
              <w:t>本项目原</w:t>
            </w:r>
            <w:r>
              <w:rPr>
                <w:rFonts w:hint="eastAsia" w:cs="Times New Roman"/>
                <w:color w:val="auto"/>
                <w:sz w:val="24"/>
                <w:lang w:val="en-US" w:eastAsia="zh-CN"/>
              </w:rPr>
              <w:t>辅</w:t>
            </w:r>
            <w:r>
              <w:rPr>
                <w:rFonts w:hint="eastAsia" w:cs="Times New Roman"/>
                <w:color w:val="auto"/>
                <w:sz w:val="24"/>
                <w:lang w:eastAsia="zh-CN"/>
              </w:rPr>
              <w:t>料润滑油属于风险物质</w:t>
            </w:r>
            <w:r>
              <w:rPr>
                <w:rFonts w:hint="eastAsia"/>
                <w:color w:val="000000" w:themeColor="text1"/>
                <w:highlight w:val="none"/>
                <w:lang w:val="en-US" w:eastAsia="zh-CN"/>
                <w14:textFill>
                  <w14:solidFill>
                    <w14:schemeClr w14:val="tx1"/>
                  </w14:solidFill>
                </w14:textFill>
              </w:rPr>
              <w:t>。</w:t>
            </w:r>
          </w:p>
          <w:p>
            <w:pPr>
              <w:keepNext w:val="0"/>
              <w:keepLines w:val="0"/>
              <w:pageBreakBefore w:val="0"/>
              <w:widowControl/>
              <w:kinsoku/>
              <w:wordWrap/>
              <w:overflowPunct/>
              <w:bidi w:val="0"/>
              <w:adjustRightInd w:val="0"/>
              <w:snapToGrid w:val="0"/>
              <w:spacing w:line="360" w:lineRule="auto"/>
              <w:ind w:left="0" w:leftChars="0" w:right="0" w:firstLine="426" w:firstLineChars="177"/>
              <w:rPr>
                <w:rFonts w:hint="default" w:ascii="Times New Roman" w:hAnsi="Times New Roman" w:cs="Times New Roman"/>
                <w:b/>
                <w:bCs/>
                <w:color w:val="auto"/>
                <w:kern w:val="0"/>
                <w:sz w:val="24"/>
              </w:rPr>
            </w:pPr>
            <w:r>
              <w:rPr>
                <w:rFonts w:hint="default" w:ascii="Times New Roman" w:hAnsi="Times New Roman" w:cs="Times New Roman"/>
                <w:b/>
                <w:bCs/>
                <w:color w:val="auto"/>
                <w:kern w:val="0"/>
                <w:sz w:val="24"/>
              </w:rPr>
              <w:t>（2）风险潜势初判</w:t>
            </w:r>
          </w:p>
          <w:p>
            <w:pPr>
              <w:keepNext w:val="0"/>
              <w:keepLines w:val="0"/>
              <w:pageBreakBefore w:val="0"/>
              <w:widowControl/>
              <w:kinsoku/>
              <w:wordWrap/>
              <w:overflowPunct/>
              <w:bidi w:val="0"/>
              <w:adjustRightInd w:val="0"/>
              <w:snapToGrid w:val="0"/>
              <w:spacing w:line="360" w:lineRule="auto"/>
              <w:ind w:left="0" w:leftChars="0" w:right="0" w:firstLine="424" w:firstLineChars="177"/>
              <w:rPr>
                <w:rFonts w:hint="default" w:ascii="Times New Roman" w:hAnsi="Times New Roman" w:cs="Times New Roman"/>
                <w:color w:val="auto"/>
                <w:kern w:val="0"/>
                <w:sz w:val="24"/>
              </w:rPr>
            </w:pPr>
            <w:r>
              <w:rPr>
                <w:rFonts w:hint="default" w:ascii="Times New Roman" w:hAnsi="Times New Roman" w:cs="Times New Roman"/>
                <w:color w:val="auto"/>
                <w:kern w:val="0"/>
                <w:sz w:val="24"/>
              </w:rPr>
              <w:t>根据《建设项目环境风险评价技术导则》（HJ169-2018），项目涉及的危险化学品名称、临界量及实际最大储存量见下表。</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cs="Times New Roman"/>
                <w:b/>
                <w:bCs/>
                <w:color w:val="auto"/>
                <w:kern w:val="0"/>
                <w:sz w:val="24"/>
                <w:szCs w:val="24"/>
              </w:rPr>
            </w:pPr>
            <w:r>
              <w:rPr>
                <w:rFonts w:hint="default" w:ascii="Times New Roman" w:hAnsi="Times New Roman" w:cs="Times New Roman"/>
                <w:b/>
                <w:bCs/>
                <w:color w:val="auto"/>
                <w:kern w:val="0"/>
                <w:sz w:val="24"/>
                <w:szCs w:val="24"/>
              </w:rPr>
              <w:t>表4-</w:t>
            </w:r>
            <w:r>
              <w:rPr>
                <w:rFonts w:hint="eastAsia" w:cs="Times New Roman"/>
                <w:b/>
                <w:bCs/>
                <w:color w:val="auto"/>
                <w:kern w:val="0"/>
                <w:sz w:val="24"/>
                <w:szCs w:val="24"/>
                <w:lang w:val="en-US" w:eastAsia="zh-CN"/>
              </w:rPr>
              <w:t>19</w:t>
            </w:r>
            <w:r>
              <w:rPr>
                <w:rFonts w:hint="default" w:ascii="Times New Roman" w:hAnsi="Times New Roman" w:cs="Times New Roman"/>
                <w:b/>
                <w:bCs/>
                <w:color w:val="auto"/>
                <w:kern w:val="0"/>
                <w:sz w:val="24"/>
                <w:szCs w:val="24"/>
                <w:lang w:val="en-US" w:eastAsia="zh-CN"/>
              </w:rPr>
              <w:t xml:space="preserve"> </w:t>
            </w:r>
            <w:r>
              <w:rPr>
                <w:rFonts w:hint="default" w:ascii="Times New Roman" w:hAnsi="Times New Roman" w:cs="Times New Roman"/>
                <w:b/>
                <w:bCs/>
                <w:color w:val="auto"/>
                <w:kern w:val="0"/>
                <w:sz w:val="24"/>
                <w:szCs w:val="24"/>
              </w:rPr>
              <w:t xml:space="preserve"> 临界量与实际量对比一览表</w:t>
            </w:r>
          </w:p>
          <w:tbl>
            <w:tblPr>
              <w:tblStyle w:val="37"/>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393"/>
              <w:gridCol w:w="1377"/>
              <w:gridCol w:w="2245"/>
              <w:gridCol w:w="1391"/>
              <w:gridCol w:w="1100"/>
            </w:tblGrid>
            <w:tr>
              <w:tblPrEx>
                <w:tblLayout w:type="fixed"/>
              </w:tblPrEx>
              <w:trPr>
                <w:trHeight w:val="0" w:hRule="atLeast"/>
                <w:jc w:val="center"/>
              </w:trPr>
              <w:tc>
                <w:tcPr>
                  <w:tcW w:w="891" w:type="dxa"/>
                  <w:tcBorders>
                    <w:tl2br w:val="nil"/>
                    <w:tr2bl w:val="nil"/>
                  </w:tcBorders>
                  <w:vAlign w:val="center"/>
                </w:tcPr>
                <w:p>
                  <w:pPr>
                    <w:pStyle w:val="4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1393" w:type="dxa"/>
                  <w:tcBorders>
                    <w:tl2br w:val="nil"/>
                    <w:tr2bl w:val="nil"/>
                  </w:tcBorders>
                  <w:vAlign w:val="center"/>
                </w:tcPr>
                <w:p>
                  <w:pPr>
                    <w:pStyle w:val="4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lang w:val="en-US" w:eastAsia="zh-CN"/>
                    </w:rPr>
                    <w:t>物质品种</w:t>
                  </w:r>
                </w:p>
              </w:tc>
              <w:tc>
                <w:tcPr>
                  <w:tcW w:w="1377" w:type="dxa"/>
                  <w:tcBorders>
                    <w:tl2br w:val="nil"/>
                    <w:tr2bl w:val="nil"/>
                  </w:tcBorders>
                  <w:vAlign w:val="center"/>
                </w:tcPr>
                <w:p>
                  <w:pPr>
                    <w:pStyle w:val="4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物质名称</w:t>
                  </w:r>
                </w:p>
              </w:tc>
              <w:tc>
                <w:tcPr>
                  <w:tcW w:w="2245" w:type="dxa"/>
                  <w:tcBorders>
                    <w:tl2br w:val="nil"/>
                    <w:tr2bl w:val="nil"/>
                  </w:tcBorders>
                  <w:vAlign w:val="center"/>
                </w:tcPr>
                <w:p>
                  <w:pPr>
                    <w:pStyle w:val="4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最大</w:t>
                  </w:r>
                  <w:r>
                    <w:rPr>
                      <w:rFonts w:hint="eastAsia" w:ascii="Times New Roman" w:hAnsi="Times New Roman" w:eastAsia="宋体" w:cs="Times New Roman"/>
                      <w:b/>
                      <w:bCs/>
                      <w:color w:val="auto"/>
                      <w:sz w:val="21"/>
                      <w:szCs w:val="21"/>
                      <w:lang w:eastAsia="zh-CN"/>
                    </w:rPr>
                    <w:t>存储</w:t>
                  </w:r>
                  <w:r>
                    <w:rPr>
                      <w:rFonts w:hint="default" w:ascii="Times New Roman" w:hAnsi="Times New Roman" w:eastAsia="宋体" w:cs="Times New Roman"/>
                      <w:b/>
                      <w:bCs/>
                      <w:color w:val="auto"/>
                      <w:sz w:val="21"/>
                      <w:szCs w:val="21"/>
                    </w:rPr>
                    <w:t>量（吨）</w:t>
                  </w:r>
                </w:p>
              </w:tc>
              <w:tc>
                <w:tcPr>
                  <w:tcW w:w="1391" w:type="dxa"/>
                  <w:tcBorders>
                    <w:tl2br w:val="nil"/>
                    <w:tr2bl w:val="nil"/>
                  </w:tcBorders>
                  <w:vAlign w:val="center"/>
                </w:tcPr>
                <w:p>
                  <w:pPr>
                    <w:pStyle w:val="4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临界量（吨）</w:t>
                  </w:r>
                </w:p>
              </w:tc>
              <w:tc>
                <w:tcPr>
                  <w:tcW w:w="1100" w:type="dxa"/>
                  <w:tcBorders>
                    <w:tl2br w:val="nil"/>
                    <w:tr2bl w:val="nil"/>
                  </w:tcBorders>
                  <w:vAlign w:val="center"/>
                </w:tcPr>
                <w:p>
                  <w:pPr>
                    <w:pStyle w:val="4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Q 值</w:t>
                  </w:r>
                </w:p>
              </w:tc>
            </w:tr>
            <w:tr>
              <w:tblPrEx>
                <w:tblLayout w:type="fixed"/>
              </w:tblPrEx>
              <w:trPr>
                <w:trHeight w:val="0" w:hRule="atLeast"/>
                <w:jc w:val="center"/>
              </w:trPr>
              <w:tc>
                <w:tcPr>
                  <w:tcW w:w="891" w:type="dxa"/>
                  <w:tcBorders>
                    <w:tl2br w:val="nil"/>
                    <w:tr2bl w:val="nil"/>
                  </w:tcBorders>
                  <w:vAlign w:val="center"/>
                </w:tcPr>
                <w:p>
                  <w:pPr>
                    <w:pStyle w:val="4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w:t>
                  </w:r>
                </w:p>
              </w:tc>
              <w:tc>
                <w:tcPr>
                  <w:tcW w:w="1393" w:type="dxa"/>
                  <w:tcBorders>
                    <w:tl2br w:val="nil"/>
                    <w:tr2bl w:val="nil"/>
                  </w:tcBorders>
                  <w:vAlign w:val="center"/>
                </w:tcPr>
                <w:p>
                  <w:pPr>
                    <w:pStyle w:val="4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油类物质</w:t>
                  </w:r>
                </w:p>
              </w:tc>
              <w:tc>
                <w:tcPr>
                  <w:tcW w:w="1377" w:type="dxa"/>
                  <w:tcBorders>
                    <w:tl2br w:val="nil"/>
                    <w:tr2bl w:val="nil"/>
                  </w:tcBorders>
                  <w:vAlign w:val="center"/>
                </w:tcPr>
                <w:p>
                  <w:pPr>
                    <w:pStyle w:val="4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废切削液</w:t>
                  </w:r>
                </w:p>
              </w:tc>
              <w:tc>
                <w:tcPr>
                  <w:tcW w:w="2245" w:type="dxa"/>
                  <w:tcBorders>
                    <w:tl2br w:val="nil"/>
                    <w:tr2bl w:val="nil"/>
                  </w:tcBorders>
                  <w:vAlign w:val="center"/>
                </w:tcPr>
                <w:p>
                  <w:pPr>
                    <w:pStyle w:val="4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0.1</w:t>
                  </w:r>
                  <w:r>
                    <w:rPr>
                      <w:rFonts w:hint="eastAsia" w:cs="Times New Roman"/>
                      <w:b w:val="0"/>
                      <w:bCs w:val="0"/>
                      <w:color w:val="auto"/>
                      <w:sz w:val="21"/>
                      <w:szCs w:val="21"/>
                      <w:lang w:val="en-US" w:eastAsia="zh-CN"/>
                    </w:rPr>
                    <w:t>2</w:t>
                  </w:r>
                </w:p>
              </w:tc>
              <w:tc>
                <w:tcPr>
                  <w:tcW w:w="1391" w:type="dxa"/>
                  <w:tcBorders>
                    <w:tl2br w:val="nil"/>
                    <w:tr2bl w:val="nil"/>
                  </w:tcBorders>
                  <w:vAlign w:val="center"/>
                </w:tcPr>
                <w:p>
                  <w:pPr>
                    <w:pStyle w:val="4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2500</w:t>
                  </w:r>
                </w:p>
              </w:tc>
              <w:tc>
                <w:tcPr>
                  <w:tcW w:w="1100" w:type="dxa"/>
                  <w:tcBorders>
                    <w:tl2br w:val="nil"/>
                    <w:tr2bl w:val="nil"/>
                  </w:tcBorders>
                  <w:vAlign w:val="center"/>
                </w:tcPr>
                <w:p>
                  <w:pPr>
                    <w:pStyle w:val="4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0.00004</w:t>
                  </w:r>
                  <w:r>
                    <w:rPr>
                      <w:rFonts w:hint="eastAsia" w:cs="Times New Roman"/>
                      <w:b w:val="0"/>
                      <w:bCs w:val="0"/>
                      <w:color w:val="auto"/>
                      <w:sz w:val="21"/>
                      <w:szCs w:val="21"/>
                      <w:lang w:val="en-US" w:eastAsia="zh-CN"/>
                    </w:rPr>
                    <w:t>8</w:t>
                  </w:r>
                </w:p>
              </w:tc>
            </w:tr>
            <w:tr>
              <w:tblPrEx>
                <w:tblLayout w:type="fixed"/>
              </w:tblPrEx>
              <w:trPr>
                <w:trHeight w:val="340" w:hRule="atLeast"/>
                <w:jc w:val="center"/>
              </w:trPr>
              <w:tc>
                <w:tcPr>
                  <w:tcW w:w="891" w:type="dxa"/>
                  <w:tcBorders>
                    <w:tl2br w:val="nil"/>
                    <w:tr2bl w:val="nil"/>
                  </w:tcBorders>
                  <w:vAlign w:val="center"/>
                </w:tcPr>
                <w:p>
                  <w:pPr>
                    <w:pStyle w:val="4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2</w:t>
                  </w:r>
                </w:p>
              </w:tc>
              <w:tc>
                <w:tcPr>
                  <w:tcW w:w="1393" w:type="dxa"/>
                  <w:tcBorders>
                    <w:tl2br w:val="nil"/>
                    <w:tr2bl w:val="nil"/>
                  </w:tcBorders>
                  <w:vAlign w:val="center"/>
                </w:tcPr>
                <w:p>
                  <w:pPr>
                    <w:pStyle w:val="4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油类物质</w:t>
                  </w:r>
                </w:p>
              </w:tc>
              <w:tc>
                <w:tcPr>
                  <w:tcW w:w="1377" w:type="dxa"/>
                  <w:tcBorders>
                    <w:tl2br w:val="nil"/>
                    <w:tr2bl w:val="nil"/>
                  </w:tcBorders>
                  <w:vAlign w:val="center"/>
                </w:tcPr>
                <w:p>
                  <w:pPr>
                    <w:pStyle w:val="4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废润滑油</w:t>
                  </w:r>
                </w:p>
              </w:tc>
              <w:tc>
                <w:tcPr>
                  <w:tcW w:w="2245" w:type="dxa"/>
                  <w:tcBorders>
                    <w:tl2br w:val="nil"/>
                    <w:tr2bl w:val="nil"/>
                  </w:tcBorders>
                  <w:vAlign w:val="center"/>
                </w:tcPr>
                <w:p>
                  <w:pPr>
                    <w:pStyle w:val="4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w:t>
                  </w:r>
                  <w:r>
                    <w:rPr>
                      <w:rFonts w:hint="eastAsia" w:cs="Times New Roman"/>
                      <w:b w:val="0"/>
                      <w:bCs w:val="0"/>
                      <w:color w:val="auto"/>
                      <w:sz w:val="21"/>
                      <w:szCs w:val="21"/>
                      <w:lang w:val="en-US" w:eastAsia="zh-CN"/>
                    </w:rPr>
                    <w:t>1</w:t>
                  </w:r>
                </w:p>
              </w:tc>
              <w:tc>
                <w:tcPr>
                  <w:tcW w:w="1391" w:type="dxa"/>
                  <w:tcBorders>
                    <w:tl2br w:val="nil"/>
                    <w:tr2bl w:val="nil"/>
                  </w:tcBorders>
                  <w:vAlign w:val="center"/>
                </w:tcPr>
                <w:p>
                  <w:pPr>
                    <w:pStyle w:val="4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2500</w:t>
                  </w:r>
                </w:p>
              </w:tc>
              <w:tc>
                <w:tcPr>
                  <w:tcW w:w="1100" w:type="dxa"/>
                  <w:tcBorders>
                    <w:tl2br w:val="nil"/>
                    <w:tr2bl w:val="nil"/>
                  </w:tcBorders>
                  <w:vAlign w:val="center"/>
                </w:tcPr>
                <w:p>
                  <w:pPr>
                    <w:pStyle w:val="4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0.0000</w:t>
                  </w:r>
                  <w:r>
                    <w:rPr>
                      <w:rFonts w:hint="eastAsia" w:cs="Times New Roman"/>
                      <w:b w:val="0"/>
                      <w:bCs w:val="0"/>
                      <w:color w:val="auto"/>
                      <w:sz w:val="21"/>
                      <w:szCs w:val="21"/>
                      <w:lang w:val="en-US" w:eastAsia="zh-CN"/>
                    </w:rPr>
                    <w:t>4</w:t>
                  </w:r>
                </w:p>
              </w:tc>
            </w:tr>
            <w:tr>
              <w:tblPrEx>
                <w:tblLayout w:type="fixed"/>
              </w:tblPrEx>
              <w:trPr>
                <w:trHeight w:val="340" w:hRule="atLeast"/>
                <w:jc w:val="center"/>
              </w:trPr>
              <w:tc>
                <w:tcPr>
                  <w:tcW w:w="7297" w:type="dxa"/>
                  <w:gridSpan w:val="5"/>
                  <w:tcBorders>
                    <w:tl2br w:val="nil"/>
                    <w:tr2bl w:val="nil"/>
                  </w:tcBorders>
                  <w:vAlign w:val="center"/>
                </w:tcPr>
                <w:p>
                  <w:pPr>
                    <w:pStyle w:val="4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合计</w:t>
                  </w:r>
                </w:p>
              </w:tc>
              <w:tc>
                <w:tcPr>
                  <w:tcW w:w="1100" w:type="dxa"/>
                  <w:tcBorders>
                    <w:tl2br w:val="nil"/>
                    <w:tr2bl w:val="nil"/>
                  </w:tcBorders>
                  <w:vAlign w:val="center"/>
                </w:tcPr>
                <w:p>
                  <w:pPr>
                    <w:pStyle w:val="4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0.</w:t>
                  </w:r>
                  <w:r>
                    <w:rPr>
                      <w:rFonts w:hint="eastAsia" w:ascii="Times New Roman" w:hAnsi="Times New Roman" w:eastAsia="宋体" w:cs="Times New Roman"/>
                      <w:b w:val="0"/>
                      <w:bCs w:val="0"/>
                      <w:color w:val="auto"/>
                      <w:sz w:val="21"/>
                      <w:szCs w:val="21"/>
                      <w:lang w:val="en-US" w:eastAsia="zh-CN"/>
                    </w:rPr>
                    <w:t>0000</w:t>
                  </w:r>
                  <w:r>
                    <w:rPr>
                      <w:rFonts w:hint="eastAsia" w:cs="Times New Roman"/>
                      <w:b w:val="0"/>
                      <w:bCs w:val="0"/>
                      <w:color w:val="auto"/>
                      <w:sz w:val="21"/>
                      <w:szCs w:val="21"/>
                      <w:lang w:val="en-US" w:eastAsia="zh-CN"/>
                    </w:rPr>
                    <w:t>88</w:t>
                  </w:r>
                </w:p>
              </w:tc>
            </w:tr>
          </w:tbl>
          <w:p>
            <w:pPr>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ascii="Times New Roman" w:hAnsi="Times New Roman" w:cs="Times New Roman"/>
                <w:sz w:val="24"/>
              </w:rPr>
              <w:t>根据</w:t>
            </w:r>
            <w:r>
              <w:rPr>
                <w:rFonts w:hint="eastAsia" w:ascii="Times New Roman" w:hAnsi="Times New Roman" w:cs="Times New Roman"/>
                <w:sz w:val="24"/>
                <w:lang w:eastAsia="zh-CN"/>
              </w:rPr>
              <w:t>上表</w:t>
            </w:r>
            <w:r>
              <w:rPr>
                <w:rFonts w:hint="default" w:ascii="Times New Roman" w:hAnsi="Times New Roman" w:cs="Times New Roman"/>
                <w:sz w:val="24"/>
              </w:rPr>
              <w:t>，本项目Q</w:t>
            </w:r>
            <w:r>
              <w:rPr>
                <w:rFonts w:hint="eastAsia" w:ascii="Times New Roman" w:hAnsi="Times New Roman" w:cs="Times New Roman"/>
                <w:sz w:val="24"/>
                <w:lang w:eastAsia="zh-CN"/>
              </w:rPr>
              <w:t>值</w:t>
            </w:r>
            <w:r>
              <w:rPr>
                <w:rFonts w:hint="default" w:ascii="Times New Roman" w:hAnsi="Times New Roman" w:cs="Times New Roman"/>
                <w:sz w:val="24"/>
              </w:rPr>
              <w:t>小于1，环境风险潜势为I</w:t>
            </w:r>
            <w:r>
              <w:rPr>
                <w:rFonts w:hint="eastAsia"/>
                <w:color w:val="000000" w:themeColor="text1"/>
                <w:highlight w:val="none"/>
                <w:lang w:val="en-US" w:eastAsia="zh-CN"/>
                <w14:textFill>
                  <w14:solidFill>
                    <w14:schemeClr w14:val="tx1"/>
                  </w14:solidFill>
                </w14:textFill>
              </w:rPr>
              <w:t>。</w:t>
            </w:r>
          </w:p>
          <w:p>
            <w:pPr>
              <w:pStyle w:val="7"/>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2、生产过程风险识别</w:t>
            </w:r>
          </w:p>
          <w:p>
            <w:pPr>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s="Times New Roman"/>
                <w:i w:val="0"/>
                <w:iCs w:val="0"/>
                <w:color w:val="000000" w:themeColor="text1"/>
                <w:kern w:val="2"/>
                <w:sz w:val="24"/>
                <w:szCs w:val="24"/>
                <w:highlight w:val="none"/>
                <w:lang w:val="en-US" w:eastAsia="zh-CN" w:bidi="ar"/>
                <w14:textFill>
                  <w14:solidFill>
                    <w14:schemeClr w14:val="tx1"/>
                  </w14:solidFill>
                </w14:textFill>
              </w:rPr>
            </w:pPr>
            <w:r>
              <w:rPr>
                <w:rFonts w:hint="default" w:ascii="Times New Roman" w:hAnsi="Times New Roman" w:cs="Times New Roman"/>
                <w:bCs/>
                <w:color w:val="000000" w:themeColor="text1"/>
                <w:sz w:val="24"/>
                <w:highlight w:val="none"/>
                <w14:textFill>
                  <w14:solidFill>
                    <w14:schemeClr w14:val="tx1"/>
                  </w14:solidFill>
                </w14:textFill>
              </w:rPr>
              <w:t>项目运营过程中</w:t>
            </w:r>
            <w:r>
              <w:rPr>
                <w:rFonts w:hint="default" w:ascii="Times New Roman" w:hAnsi="Times New Roman" w:eastAsia="宋体" w:cs="Times New Roman"/>
                <w:i w:val="0"/>
                <w:iCs w:val="0"/>
                <w:color w:val="000000" w:themeColor="text1"/>
                <w:kern w:val="2"/>
                <w:sz w:val="24"/>
                <w:szCs w:val="24"/>
                <w:highlight w:val="none"/>
                <w:lang w:val="en-US" w:eastAsia="zh-CN" w:bidi="ar"/>
                <w14:textFill>
                  <w14:solidFill>
                    <w14:schemeClr w14:val="tx1"/>
                  </w14:solidFill>
                </w14:textFill>
              </w:rPr>
              <w:t>由于自然或人为的原因造成的机械损伤等后果十分严重的</w:t>
            </w:r>
            <w:r>
              <w:rPr>
                <w:rFonts w:hint="eastAsia" w:cs="Times New Roman"/>
                <w:i w:val="0"/>
                <w:iCs w:val="0"/>
                <w:color w:val="000000" w:themeColor="text1"/>
                <w:kern w:val="2"/>
                <w:sz w:val="24"/>
                <w:szCs w:val="24"/>
                <w:highlight w:val="none"/>
                <w:lang w:val="en-US" w:eastAsia="zh-CN" w:bidi="ar"/>
                <w14:textFill>
                  <w14:solidFill>
                    <w14:schemeClr w14:val="tx1"/>
                  </w14:solidFill>
                </w14:textFill>
              </w:rPr>
              <w:t>还</w:t>
            </w:r>
            <w:r>
              <w:rPr>
                <w:rFonts w:hint="default" w:ascii="Times New Roman" w:hAnsi="Times New Roman" w:eastAsia="宋体" w:cs="Times New Roman"/>
                <w:i w:val="0"/>
                <w:iCs w:val="0"/>
                <w:color w:val="000000" w:themeColor="text1"/>
                <w:kern w:val="2"/>
                <w:sz w:val="24"/>
                <w:szCs w:val="24"/>
                <w:highlight w:val="none"/>
                <w:lang w:val="en-US" w:eastAsia="zh-CN" w:bidi="ar"/>
                <w14:textFill>
                  <w14:solidFill>
                    <w14:schemeClr w14:val="tx1"/>
                  </w14:solidFill>
                </w14:textFill>
              </w:rPr>
              <w:t>会造成人身伤害或财产损失的风险事故。</w:t>
            </w:r>
            <w:r>
              <w:rPr>
                <w:rFonts w:hint="eastAsia" w:cs="Times New Roman"/>
                <w:i w:val="0"/>
                <w:iCs w:val="0"/>
                <w:color w:val="000000" w:themeColor="text1"/>
                <w:kern w:val="2"/>
                <w:sz w:val="24"/>
                <w:szCs w:val="24"/>
                <w:highlight w:val="none"/>
                <w:lang w:val="en-US" w:eastAsia="zh-CN" w:bidi="ar"/>
                <w14:textFill>
                  <w14:solidFill>
                    <w14:schemeClr w14:val="tx1"/>
                  </w14:solidFill>
                </w14:textFill>
              </w:rPr>
              <w:t>根据分析，</w:t>
            </w:r>
            <w:r>
              <w:rPr>
                <w:rFonts w:hint="default" w:ascii="Times New Roman" w:hAnsi="Times New Roman" w:eastAsia="宋体" w:cs="Times New Roman"/>
                <w:i w:val="0"/>
                <w:iCs w:val="0"/>
                <w:color w:val="000000" w:themeColor="text1"/>
                <w:kern w:val="2"/>
                <w:sz w:val="24"/>
                <w:szCs w:val="24"/>
                <w:highlight w:val="none"/>
                <w:lang w:val="en-US" w:eastAsia="zh-CN" w:bidi="ar"/>
                <w14:textFill>
                  <w14:solidFill>
                    <w14:schemeClr w14:val="tx1"/>
                  </w14:solidFill>
                </w14:textFill>
              </w:rPr>
              <w:t>本项目的风险因素归纳如下：</w:t>
            </w:r>
          </w:p>
          <w:p>
            <w:pPr>
              <w:keepNext w:val="0"/>
              <w:keepLines w:val="0"/>
              <w:pageBreakBefore w:val="0"/>
              <w:widowControl w:val="0"/>
              <w:kinsoku/>
              <w:wordWrap/>
              <w:overflowPunct/>
              <w:topLinePunct w:val="0"/>
              <w:autoSpaceDE/>
              <w:autoSpaceDN/>
              <w:bidi w:val="0"/>
              <w:textAlignment w:val="auto"/>
              <w:rPr>
                <w:rFonts w:hint="eastAsia"/>
                <w:color w:val="000000" w:themeColor="text1"/>
                <w:highlight w:val="none"/>
                <w:lang w:val="en-US" w:eastAsia="zh-CN"/>
                <w14:textFill>
                  <w14:solidFill>
                    <w14:schemeClr w14:val="tx1"/>
                  </w14:solidFill>
                </w14:textFill>
              </w:rPr>
            </w:pPr>
            <w:r>
              <w:rPr>
                <w:rFonts w:hint="default" w:ascii="Times New Roman" w:hAnsi="Times New Roman" w:eastAsia="宋体" w:cs="Times New Roman"/>
                <w:bCs/>
                <w:color w:val="000000" w:themeColor="text1"/>
                <w:sz w:val="24"/>
                <w:highlight w:val="none"/>
                <w14:textFill>
                  <w14:solidFill>
                    <w14:schemeClr w14:val="tx1"/>
                  </w14:solidFill>
                </w14:textFill>
              </w:rPr>
              <w:t>（</w:t>
            </w:r>
            <w:r>
              <w:rPr>
                <w:rFonts w:hint="eastAsia" w:cs="Times New Roman"/>
                <w:bCs/>
                <w:color w:val="000000" w:themeColor="text1"/>
                <w:sz w:val="24"/>
                <w:highlight w:val="none"/>
                <w:lang w:val="en-US" w:eastAsia="zh-CN"/>
                <w14:textFill>
                  <w14:solidFill>
                    <w14:schemeClr w14:val="tx1"/>
                  </w14:solidFill>
                </w14:textFill>
              </w:rPr>
              <w:t>1</w:t>
            </w:r>
            <w:r>
              <w:rPr>
                <w:rFonts w:hint="default" w:ascii="Times New Roman" w:hAnsi="Times New Roman" w:eastAsia="宋体" w:cs="Times New Roman"/>
                <w:bCs/>
                <w:color w:val="000000" w:themeColor="text1"/>
                <w:sz w:val="24"/>
                <w:highlight w:val="none"/>
                <w14:textFill>
                  <w14:solidFill>
                    <w14:schemeClr w14:val="tx1"/>
                  </w14:solidFill>
                </w14:textFill>
              </w:rPr>
              <w:t>）</w:t>
            </w:r>
            <w:r>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t>废</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气</w:t>
            </w:r>
            <w:r>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t>非正常排放</w:t>
            </w:r>
            <w:r>
              <w:rPr>
                <w:rFonts w:hint="eastAsia"/>
                <w:color w:val="000000" w:themeColor="text1"/>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textAlignment w:val="auto"/>
              <w:rPr>
                <w:rFonts w:hint="eastAsia"/>
                <w:color w:val="000000" w:themeColor="text1"/>
                <w:highlight w:val="none"/>
                <w:lang w:val="en-US" w:eastAsia="zh-CN"/>
                <w14:textFill>
                  <w14:solidFill>
                    <w14:schemeClr w14:val="tx1"/>
                  </w14:solidFill>
                </w14:textFill>
              </w:rPr>
            </w:pPr>
            <w:r>
              <w:rPr>
                <w:rFonts w:hint="eastAsia" w:ascii="Times New Roman" w:hAnsi="Times New Roman" w:eastAsia="宋体" w:cs="Times New Roman"/>
                <w:bCs/>
                <w:sz w:val="24"/>
                <w:lang w:val="en-US" w:eastAsia="zh-CN"/>
              </w:rPr>
              <w:t>（</w:t>
            </w:r>
            <w:r>
              <w:rPr>
                <w:rFonts w:hint="eastAsia" w:cs="Times New Roman"/>
                <w:bCs/>
                <w:sz w:val="24"/>
                <w:lang w:val="en-US" w:eastAsia="zh-CN"/>
              </w:rPr>
              <w:t>2</w:t>
            </w:r>
            <w:r>
              <w:rPr>
                <w:rFonts w:hint="eastAsia" w:ascii="Times New Roman" w:hAnsi="Times New Roman" w:eastAsia="宋体" w:cs="Times New Roman"/>
                <w:bCs/>
                <w:sz w:val="24"/>
                <w:lang w:val="en-US" w:eastAsia="zh-CN"/>
              </w:rPr>
              <w:t>）危废流失。</w:t>
            </w:r>
          </w:p>
          <w:p>
            <w:pPr>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因此，本评价主要对</w:t>
            </w:r>
            <w:r>
              <w:rPr>
                <w:rFonts w:hint="eastAsia"/>
                <w:color w:val="000000" w:themeColor="text1"/>
                <w:highlight w:val="none"/>
                <w:lang w:eastAsia="zh-CN"/>
                <w14:textFill>
                  <w14:solidFill>
                    <w14:schemeClr w14:val="tx1"/>
                  </w14:solidFill>
                </w14:textFill>
              </w:rPr>
              <w:t>建设项目</w:t>
            </w:r>
            <w:r>
              <w:rPr>
                <w:rFonts w:hint="default"/>
                <w:color w:val="000000" w:themeColor="text1"/>
                <w:highlight w:val="none"/>
                <w14:textFill>
                  <w14:solidFill>
                    <w14:schemeClr w14:val="tx1"/>
                  </w14:solidFill>
                </w14:textFill>
              </w:rPr>
              <w:t>营运期间可能存在的危险、有害因素进行分析，并对可能发生的突发性事件及事故所造成的人身安全与环境影响和损害程度，提出合理的可行的防范、应急与减缓措施。</w:t>
            </w:r>
          </w:p>
          <w:p>
            <w:pPr>
              <w:pStyle w:val="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default"/>
                <w:color w:val="000000" w:themeColor="text1"/>
                <w:highlight w:val="none"/>
                <w14:textFill>
                  <w14:solidFill>
                    <w14:schemeClr w14:val="tx1"/>
                  </w14:solidFill>
                </w14:textFill>
              </w:rPr>
              <w:t>、环境风险防范措施及应急要求</w:t>
            </w:r>
          </w:p>
          <w:p>
            <w:pPr>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w:t>
            </w:r>
            <w:r>
              <w:rPr>
                <w:rFonts w:hint="default"/>
                <w:color w:val="000000" w:themeColor="text1"/>
                <w:highlight w:val="none"/>
                <w:lang w:eastAsia="zh-CN"/>
                <w14:textFill>
                  <w14:solidFill>
                    <w14:schemeClr w14:val="tx1"/>
                  </w14:solidFill>
                </w14:textFill>
              </w:rPr>
              <w:t>）</w:t>
            </w:r>
            <w:r>
              <w:rPr>
                <w:rFonts w:hint="default"/>
                <w:color w:val="000000" w:themeColor="text1"/>
                <w:highlight w:val="none"/>
                <w:lang w:val="en-US" w:eastAsia="zh-CN"/>
                <w14:textFill>
                  <w14:solidFill>
                    <w14:schemeClr w14:val="tx1"/>
                  </w14:solidFill>
                </w14:textFill>
              </w:rPr>
              <w:t>废气非正常排放</w:t>
            </w:r>
          </w:p>
          <w:p>
            <w:pPr>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项目采用市政电网供电系统，系统停电概率较小，一旦停电，生产设备及配套设置的废气处理设备</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布袋除尘器</w:t>
            </w:r>
            <w:r>
              <w:rPr>
                <w:rFonts w:hint="default"/>
                <w:color w:val="000000" w:themeColor="text1"/>
                <w:highlight w:val="none"/>
                <w:lang w:eastAsia="zh-CN"/>
                <w14:textFill>
                  <w14:solidFill>
                    <w14:schemeClr w14:val="tx1"/>
                  </w14:solidFill>
                </w14:textFill>
              </w:rPr>
              <w:t>）将立即停止运转，造成工艺废气无法处理直接超标排放，部分废气无组织排放，但这种事故排放的影响时间较短，随着设备停止工作，废气超标排放或无组织排放的现象将逐渐减少。针对</w:t>
            </w:r>
            <w:r>
              <w:rPr>
                <w:rFonts w:hint="default"/>
                <w:color w:val="000000" w:themeColor="text1"/>
                <w:highlight w:val="none"/>
                <w:lang w:val="en-US" w:eastAsia="zh-CN"/>
                <w14:textFill>
                  <w14:solidFill>
                    <w14:schemeClr w14:val="tx1"/>
                  </w14:solidFill>
                </w14:textFill>
              </w:rPr>
              <w:t>废气非正常排放</w:t>
            </w:r>
            <w:r>
              <w:rPr>
                <w:rFonts w:hint="default"/>
                <w:color w:val="000000" w:themeColor="text1"/>
                <w:highlight w:val="none"/>
                <w:lang w:eastAsia="zh-CN"/>
                <w14:textFill>
                  <w14:solidFill>
                    <w14:schemeClr w14:val="tx1"/>
                  </w14:solidFill>
                </w14:textFill>
              </w:rPr>
              <w:t>所产生的风险，提出如下事故应急措施：</w:t>
            </w:r>
          </w:p>
          <w:p>
            <w:pPr>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①废气净化系统必须由有资质的单位进行设计，确保其处理效率和稳定运行。</w:t>
            </w:r>
          </w:p>
          <w:p>
            <w:pPr>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②在定期检修主体设备时，同步检查和维护主要废气净化系统，以确保其正常运行。</w:t>
            </w:r>
          </w:p>
          <w:p>
            <w:pPr>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eastAsia="zh-CN"/>
                <w14:textFill>
                  <w14:solidFill>
                    <w14:schemeClr w14:val="tx1"/>
                  </w14:solidFill>
                </w14:textFill>
              </w:rPr>
            </w:pPr>
            <w:r>
              <w:rPr>
                <w:rFonts w:hint="default"/>
                <w:color w:val="000000" w:themeColor="text1"/>
                <w:highlight w:val="none"/>
                <w:lang w:eastAsia="zh-CN"/>
                <w14:textFill>
                  <w14:solidFill>
                    <w14:schemeClr w14:val="tx1"/>
                  </w14:solidFill>
                </w14:textFill>
              </w:rPr>
              <w:t>③一旦发现废气净化系统设施运行不正常，应立即对废气净化设施进行检修，若该设施一时难以修复，应立即采取紧急措施使主体设备停止生产，待净化设施检修完毕能够正常投入使用时，再共同投入使用。</w:t>
            </w:r>
          </w:p>
          <w:p>
            <w:pPr>
              <w:keepNext w:val="0"/>
              <w:keepLines w:val="0"/>
              <w:pageBreakBefore w:val="0"/>
              <w:widowControl w:val="0"/>
              <w:kinsoku/>
              <w:wordWrap/>
              <w:overflowPunct/>
              <w:topLinePunct w:val="0"/>
              <w:autoSpaceDE/>
              <w:autoSpaceDN/>
              <w:bidi w:val="0"/>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④加强对易损易耗件的备用，确保设备发生故障时能够及时更换，减少事故产生。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Cs/>
                <w:color w:val="auto"/>
                <w:sz w:val="24"/>
                <w:lang w:eastAsia="zh-CN"/>
              </w:rPr>
            </w:pPr>
            <w:r>
              <w:rPr>
                <w:rFonts w:hint="eastAsia" w:ascii="Times New Roman" w:hAnsi="Times New Roman" w:cs="Times New Roman"/>
                <w:bCs/>
                <w:color w:val="auto"/>
                <w:sz w:val="24"/>
                <w:lang w:eastAsia="zh-CN"/>
              </w:rPr>
              <w:t>（</w:t>
            </w:r>
            <w:r>
              <w:rPr>
                <w:rFonts w:hint="eastAsia" w:cs="Times New Roman"/>
                <w:bCs/>
                <w:color w:val="auto"/>
                <w:sz w:val="24"/>
                <w:lang w:val="en-US" w:eastAsia="zh-CN"/>
              </w:rPr>
              <w:t>2</w:t>
            </w:r>
            <w:r>
              <w:rPr>
                <w:rFonts w:hint="eastAsia" w:ascii="Times New Roman" w:hAnsi="Times New Roman" w:cs="Times New Roman"/>
                <w:bCs/>
                <w:color w:val="auto"/>
                <w:sz w:val="24"/>
                <w:lang w:eastAsia="zh-CN"/>
              </w:rPr>
              <w:t>）</w:t>
            </w:r>
            <w:r>
              <w:rPr>
                <w:rFonts w:hint="default" w:ascii="Times New Roman" w:hAnsi="Times New Roman" w:eastAsia="宋体" w:cs="Times New Roman"/>
                <w:bCs/>
                <w:color w:val="auto"/>
                <w:sz w:val="24"/>
              </w:rPr>
              <w:t>危险废物</w:t>
            </w:r>
            <w:r>
              <w:rPr>
                <w:rFonts w:hint="eastAsia" w:ascii="Times New Roman" w:hAnsi="Times New Roman" w:eastAsia="宋体" w:cs="Times New Roman"/>
                <w:bCs/>
                <w:color w:val="auto"/>
                <w:sz w:val="24"/>
                <w:lang w:val="en-US" w:eastAsia="zh-CN"/>
              </w:rPr>
              <w:t>流失</w:t>
            </w:r>
          </w:p>
          <w:p>
            <w:pPr>
              <w:pStyle w:val="7"/>
              <w:keepNext w:val="0"/>
              <w:keepLines w:val="0"/>
              <w:pageBreakBefore w:val="0"/>
              <w:widowControl w:val="0"/>
              <w:kinsoku/>
              <w:wordWrap/>
              <w:overflowPunct/>
              <w:topLinePunct w:val="0"/>
              <w:autoSpaceDE/>
              <w:autoSpaceDN/>
              <w:bidi w:val="0"/>
              <w:textAlignment w:val="auto"/>
              <w:rPr>
                <w:rFonts w:hint="eastAsia" w:cs="Times New Roman"/>
                <w:b/>
                <w:bCs w:val="0"/>
                <w:color w:val="000000" w:themeColor="text1"/>
                <w:kern w:val="0"/>
                <w:sz w:val="24"/>
                <w:highlight w:val="none"/>
                <w:lang w:val="en-US" w:eastAsia="zh-CN"/>
                <w14:textFill>
                  <w14:solidFill>
                    <w14:schemeClr w14:val="tx1"/>
                  </w14:solidFill>
                </w14:textFill>
              </w:rPr>
            </w:pPr>
            <w:r>
              <w:rPr>
                <w:rFonts w:hint="default" w:ascii="Times New Roman" w:hAnsi="Times New Roman" w:eastAsia="宋体" w:cstheme="minorBidi"/>
                <w:b w:val="0"/>
                <w:color w:val="000000" w:themeColor="text1"/>
                <w:kern w:val="2"/>
                <w:sz w:val="24"/>
                <w:szCs w:val="24"/>
                <w:highlight w:val="none"/>
                <w:lang w:val="en-US" w:eastAsia="zh-CN" w:bidi="ar-SA"/>
                <w14:textFill>
                  <w14:solidFill>
                    <w14:schemeClr w14:val="tx1"/>
                  </w14:solidFill>
                </w14:textFill>
              </w:rPr>
              <w:t>本项目的主要危险废物主要为</w:t>
            </w:r>
            <w:r>
              <w:rPr>
                <w:rFonts w:hint="eastAsia" w:ascii="Times New Roman" w:hAnsi="Times New Roman" w:eastAsia="宋体" w:cstheme="minorBidi"/>
                <w:b w:val="0"/>
                <w:color w:val="000000" w:themeColor="text1"/>
                <w:kern w:val="2"/>
                <w:sz w:val="24"/>
                <w:szCs w:val="24"/>
                <w:highlight w:val="none"/>
                <w:lang w:val="en-US" w:eastAsia="zh-CN" w:bidi="ar-SA"/>
                <w14:textFill>
                  <w14:solidFill>
                    <w14:schemeClr w14:val="tx1"/>
                  </w14:solidFill>
                </w14:textFill>
              </w:rPr>
              <w:t>废润滑油</w:t>
            </w:r>
            <w:r>
              <w:rPr>
                <w:rFonts w:hint="eastAsia" w:cstheme="minorBidi"/>
                <w:b w:val="0"/>
                <w:color w:val="000000" w:themeColor="text1"/>
                <w:kern w:val="2"/>
                <w:sz w:val="24"/>
                <w:szCs w:val="24"/>
                <w:highlight w:val="none"/>
                <w:lang w:val="en-US" w:eastAsia="zh-CN" w:bidi="ar-SA"/>
                <w14:textFill>
                  <w14:solidFill>
                    <w14:schemeClr w14:val="tx1"/>
                  </w14:solidFill>
                </w14:textFill>
              </w:rPr>
              <w:t>、废切削液</w:t>
            </w:r>
            <w:r>
              <w:rPr>
                <w:rFonts w:hint="eastAsia" w:ascii="Times New Roman" w:hAnsi="Times New Roman" w:eastAsia="宋体" w:cstheme="minorBidi"/>
                <w:b w:val="0"/>
                <w:color w:val="000000" w:themeColor="text1"/>
                <w:kern w:val="2"/>
                <w:sz w:val="24"/>
                <w:szCs w:val="24"/>
                <w:highlight w:val="none"/>
                <w:lang w:val="en-US" w:eastAsia="zh-CN" w:bidi="ar-SA"/>
                <w14:textFill>
                  <w14:solidFill>
                    <w14:schemeClr w14:val="tx1"/>
                  </w14:solidFill>
                </w14:textFill>
              </w:rPr>
              <w:t>和废润滑油桶等</w:t>
            </w:r>
            <w:r>
              <w:rPr>
                <w:rFonts w:hint="default" w:ascii="Times New Roman" w:hAnsi="Times New Roman" w:eastAsia="宋体" w:cstheme="minorBidi"/>
                <w:b w:val="0"/>
                <w:color w:val="000000" w:themeColor="text1"/>
                <w:kern w:val="2"/>
                <w:sz w:val="24"/>
                <w:szCs w:val="24"/>
                <w:highlight w:val="none"/>
                <w:lang w:val="en-US" w:eastAsia="zh-CN" w:bidi="ar-SA"/>
                <w14:textFill>
                  <w14:solidFill>
                    <w14:schemeClr w14:val="tx1"/>
                  </w14:solidFill>
                </w14:textFill>
              </w:rPr>
              <w:t>，经收集、贮存运送后委托有资质单位处理，</w:t>
            </w:r>
            <w:r>
              <w:rPr>
                <w:rFonts w:hint="eastAsia" w:ascii="Times New Roman" w:hAnsi="Times New Roman" w:eastAsia="宋体" w:cstheme="minorBidi"/>
                <w:b w:val="0"/>
                <w:color w:val="000000" w:themeColor="text1"/>
                <w:kern w:val="2"/>
                <w:sz w:val="24"/>
                <w:szCs w:val="24"/>
                <w:highlight w:val="none"/>
                <w:lang w:val="en-US" w:eastAsia="zh-CN" w:bidi="ar-SA"/>
                <w14:textFill>
                  <w14:solidFill>
                    <w14:schemeClr w14:val="tx1"/>
                  </w14:solidFill>
                </w14:textFill>
              </w:rPr>
              <w:t>危废仓库</w:t>
            </w:r>
            <w:r>
              <w:rPr>
                <w:rFonts w:hint="default" w:ascii="Times New Roman" w:hAnsi="Times New Roman" w:eastAsia="宋体" w:cstheme="minorBidi"/>
                <w:b w:val="0"/>
                <w:color w:val="000000" w:themeColor="text1"/>
                <w:kern w:val="2"/>
                <w:sz w:val="24"/>
                <w:szCs w:val="24"/>
                <w:highlight w:val="none"/>
                <w:lang w:val="en-US" w:eastAsia="zh-CN" w:bidi="ar-SA"/>
                <w14:textFill>
                  <w14:solidFill>
                    <w14:schemeClr w14:val="tx1"/>
                  </w14:solidFill>
                </w14:textFill>
              </w:rPr>
              <w:t>按照《危险废物贮存污染控制标准》（GB18597-20</w:t>
            </w:r>
            <w:r>
              <w:rPr>
                <w:rFonts w:hint="eastAsia" w:ascii="Times New Roman" w:hAnsi="Times New Roman" w:eastAsia="宋体" w:cstheme="minorBidi"/>
                <w:b w:val="0"/>
                <w:color w:val="000000" w:themeColor="text1"/>
                <w:kern w:val="2"/>
                <w:sz w:val="24"/>
                <w:szCs w:val="24"/>
                <w:highlight w:val="none"/>
                <w:lang w:val="en-US" w:eastAsia="zh-CN" w:bidi="ar-SA"/>
                <w14:textFill>
                  <w14:solidFill>
                    <w14:schemeClr w14:val="tx1"/>
                  </w14:solidFill>
                </w14:textFill>
              </w:rPr>
              <w:t>23</w:t>
            </w:r>
            <w:r>
              <w:rPr>
                <w:rFonts w:hint="default" w:ascii="Times New Roman" w:hAnsi="Times New Roman" w:eastAsia="宋体" w:cstheme="minorBidi"/>
                <w:b w:val="0"/>
                <w:color w:val="000000" w:themeColor="text1"/>
                <w:kern w:val="2"/>
                <w:sz w:val="24"/>
                <w:szCs w:val="24"/>
                <w:highlight w:val="none"/>
                <w:lang w:val="en-US" w:eastAsia="zh-CN" w:bidi="ar-SA"/>
                <w14:textFill>
                  <w14:solidFill>
                    <w14:schemeClr w14:val="tx1"/>
                  </w14:solidFill>
                </w14:textFill>
              </w:rPr>
              <w:t>）的设计要求建设，做到防风、防雨、防晒，做好防渗漏处理。万一发生</w:t>
            </w:r>
            <w:r>
              <w:rPr>
                <w:rFonts w:hint="eastAsia" w:ascii="Times New Roman" w:hAnsi="Times New Roman" w:eastAsia="宋体" w:cstheme="minorBidi"/>
                <w:b w:val="0"/>
                <w:color w:val="000000" w:themeColor="text1"/>
                <w:kern w:val="2"/>
                <w:sz w:val="24"/>
                <w:szCs w:val="24"/>
                <w:highlight w:val="none"/>
                <w:lang w:val="en-US" w:eastAsia="zh-CN" w:bidi="ar-SA"/>
                <w14:textFill>
                  <w14:solidFill>
                    <w14:schemeClr w14:val="tx1"/>
                  </w14:solidFill>
                </w14:textFill>
              </w:rPr>
              <w:t>危废流失</w:t>
            </w:r>
            <w:r>
              <w:rPr>
                <w:rFonts w:hint="default" w:ascii="Times New Roman" w:hAnsi="Times New Roman" w:eastAsia="宋体" w:cstheme="minorBidi"/>
                <w:b w:val="0"/>
                <w:color w:val="000000" w:themeColor="text1"/>
                <w:kern w:val="2"/>
                <w:sz w:val="24"/>
                <w:szCs w:val="24"/>
                <w:highlight w:val="none"/>
                <w:lang w:val="en-US" w:eastAsia="zh-CN" w:bidi="ar-SA"/>
                <w14:textFill>
                  <w14:solidFill>
                    <w14:schemeClr w14:val="tx1"/>
                  </w14:solidFill>
                </w14:textFill>
              </w:rPr>
              <w:t>事故，应立刻检查</w:t>
            </w:r>
            <w:r>
              <w:rPr>
                <w:rFonts w:hint="eastAsia" w:ascii="Times New Roman" w:hAnsi="Times New Roman" w:eastAsia="宋体" w:cstheme="minorBidi"/>
                <w:b w:val="0"/>
                <w:color w:val="000000" w:themeColor="text1"/>
                <w:kern w:val="2"/>
                <w:sz w:val="24"/>
                <w:szCs w:val="24"/>
                <w:highlight w:val="none"/>
                <w:lang w:val="en-US" w:eastAsia="zh-CN" w:bidi="ar-SA"/>
                <w14:textFill>
                  <w14:solidFill>
                    <w14:schemeClr w14:val="tx1"/>
                  </w14:solidFill>
                </w14:textFill>
              </w:rPr>
              <w:t>源头</w:t>
            </w:r>
            <w:r>
              <w:rPr>
                <w:rFonts w:hint="default" w:ascii="Times New Roman" w:hAnsi="Times New Roman" w:eastAsia="宋体" w:cstheme="minorBidi"/>
                <w:b w:val="0"/>
                <w:color w:val="000000" w:themeColor="text1"/>
                <w:kern w:val="2"/>
                <w:sz w:val="24"/>
                <w:szCs w:val="24"/>
                <w:highlight w:val="none"/>
                <w:lang w:val="en-US" w:eastAsia="zh-CN" w:bidi="ar-SA"/>
                <w14:textFill>
                  <w14:solidFill>
                    <w14:schemeClr w14:val="tx1"/>
                  </w14:solidFill>
                </w14:textFill>
              </w:rPr>
              <w:t>，及时寻回</w:t>
            </w:r>
            <w:r>
              <w:rPr>
                <w:rFonts w:hint="eastAsia" w:ascii="Times New Roman" w:hAnsi="Times New Roman" w:eastAsia="宋体" w:cstheme="minorBidi"/>
                <w:b w:val="0"/>
                <w:color w:val="000000" w:themeColor="text1"/>
                <w:kern w:val="2"/>
                <w:sz w:val="24"/>
                <w:szCs w:val="24"/>
                <w:highlight w:val="none"/>
                <w:lang w:val="en-US" w:eastAsia="zh-CN" w:bidi="ar-SA"/>
                <w14:textFill>
                  <w14:solidFill>
                    <w14:schemeClr w14:val="tx1"/>
                  </w14:solidFill>
                </w14:textFill>
              </w:rPr>
              <w:t>流失</w:t>
            </w:r>
            <w:r>
              <w:rPr>
                <w:rFonts w:hint="default" w:ascii="Times New Roman" w:hAnsi="Times New Roman" w:eastAsia="宋体" w:cstheme="minorBidi"/>
                <w:b w:val="0"/>
                <w:color w:val="000000" w:themeColor="text1"/>
                <w:kern w:val="2"/>
                <w:sz w:val="24"/>
                <w:szCs w:val="24"/>
                <w:highlight w:val="none"/>
                <w:lang w:val="en-US" w:eastAsia="zh-CN" w:bidi="ar-SA"/>
                <w14:textFill>
                  <w14:solidFill>
                    <w14:schemeClr w14:val="tx1"/>
                  </w14:solidFill>
                </w14:textFill>
              </w:rPr>
              <w:t>的危废，收集后委托有资质单位处置，避免对周围环境造成影响</w:t>
            </w:r>
            <w:r>
              <w:rPr>
                <w:rFonts w:hint="eastAsia" w:ascii="Times New Roman" w:hAnsi="Times New Roman" w:eastAsia="宋体" w:cstheme="minorBidi"/>
                <w:b w:val="0"/>
                <w:color w:val="000000" w:themeColor="text1"/>
                <w:kern w:val="2"/>
                <w:sz w:val="24"/>
                <w:szCs w:val="24"/>
                <w:highlight w:val="none"/>
                <w:lang w:val="en-US" w:eastAsia="zh-CN" w:bidi="ar-SA"/>
                <w14:textFill>
                  <w14:solidFill>
                    <w14:schemeClr w14:val="tx1"/>
                  </w14:solidFill>
                </w14:textFill>
              </w:rPr>
              <w:t>。</w:t>
            </w:r>
          </w:p>
          <w:p>
            <w:pPr>
              <w:pStyle w:val="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s="Times New Roman"/>
                <w:b/>
                <w:bCs w:val="0"/>
                <w:color w:val="000000" w:themeColor="text1"/>
                <w:kern w:val="0"/>
                <w:sz w:val="24"/>
                <w:highlight w:val="none"/>
                <w14:textFill>
                  <w14:solidFill>
                    <w14:schemeClr w14:val="tx1"/>
                  </w14:solidFill>
                </w14:textFill>
              </w:rPr>
            </w:pPr>
            <w:r>
              <w:rPr>
                <w:rFonts w:hint="eastAsia" w:cs="Times New Roman"/>
                <w:b/>
                <w:bCs w:val="0"/>
                <w:color w:val="000000" w:themeColor="text1"/>
                <w:kern w:val="0"/>
                <w:sz w:val="24"/>
                <w:highlight w:val="none"/>
                <w:lang w:val="en-US" w:eastAsia="zh-CN"/>
                <w14:textFill>
                  <w14:solidFill>
                    <w14:schemeClr w14:val="tx1"/>
                  </w14:solidFill>
                </w14:textFill>
              </w:rPr>
              <w:t>4</w:t>
            </w:r>
            <w:r>
              <w:rPr>
                <w:rFonts w:hint="default" w:ascii="Times New Roman" w:hAnsi="Times New Roman" w:eastAsia="宋体" w:cs="Times New Roman"/>
                <w:b/>
                <w:bCs w:val="0"/>
                <w:color w:val="000000" w:themeColor="text1"/>
                <w:kern w:val="0"/>
                <w:sz w:val="24"/>
                <w:highlight w:val="none"/>
                <w14:textFill>
                  <w14:solidFill>
                    <w14:schemeClr w14:val="tx1"/>
                  </w14:solidFill>
                </w14:textFill>
              </w:rPr>
              <w:t>、环境风险分析结论</w:t>
            </w:r>
          </w:p>
          <w:p>
            <w:pPr>
              <w:keepNext w:val="0"/>
              <w:keepLines w:val="0"/>
              <w:pageBreakBefore w:val="0"/>
              <w:widowControl w:val="0"/>
              <w:kinsoku/>
              <w:wordWrap/>
              <w:overflowPunct/>
              <w:topLinePunct w:val="0"/>
              <w:autoSpaceDE/>
              <w:autoSpaceDN/>
              <w:bidi w:val="0"/>
              <w:textAlignment w:val="auto"/>
              <w:rPr>
                <w:rFonts w:hint="eastAsia"/>
                <w:color w:val="000000" w:themeColor="text1"/>
                <w:highlight w:val="none"/>
                <w:lang w:val="en-US" w:eastAsia="zh-CN"/>
                <w14:textFill>
                  <w14:solidFill>
                    <w14:schemeClr w14:val="tx1"/>
                  </w14:solidFill>
                </w14:textFill>
              </w:rPr>
            </w:pPr>
            <w:r>
              <w:rPr>
                <w:rFonts w:hint="default"/>
                <w:color w:val="000000" w:themeColor="text1"/>
                <w:highlight w:val="none"/>
                <w14:textFill>
                  <w14:solidFill>
                    <w14:schemeClr w14:val="tx1"/>
                  </w14:solidFill>
                </w14:textFill>
              </w:rPr>
              <w:t>通过简单风险分析，</w:t>
            </w:r>
            <w:r>
              <w:rPr>
                <w:rFonts w:hint="eastAsia"/>
                <w:color w:val="000000" w:themeColor="text1"/>
                <w:highlight w:val="none"/>
                <w:lang w:eastAsia="zh-CN"/>
                <w14:textFill>
                  <w14:solidFill>
                    <w14:schemeClr w14:val="tx1"/>
                  </w14:solidFill>
                </w14:textFill>
              </w:rPr>
              <w:t>再</w:t>
            </w:r>
            <w:r>
              <w:rPr>
                <w:rFonts w:hint="default"/>
                <w:color w:val="000000" w:themeColor="text1"/>
                <w:highlight w:val="none"/>
                <w14:textFill>
                  <w14:solidFill>
                    <w14:schemeClr w14:val="tx1"/>
                  </w14:solidFill>
                </w14:textFill>
              </w:rPr>
              <w:t>采取相应的风险事故防范措施，项目的环境风险发生率可以降到最低水平，并能减少或者避免风险事故的发生。本项目环境风险防范措施有效，环境风险在可接受的范围内</w:t>
            </w:r>
            <w:r>
              <w:rPr>
                <w:rFonts w:hint="default"/>
                <w:color w:val="000000" w:themeColor="text1"/>
                <w:highlight w:val="none"/>
                <w:lang w:val="en-US" w:eastAsia="zh-CN"/>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color w:val="000000" w:themeColor="text1"/>
                <w:highlight w:val="none"/>
                <w14:textFill>
                  <w14:solidFill>
                    <w14:schemeClr w14:val="tx1"/>
                  </w14:solidFill>
                </w14:textFill>
              </w:rPr>
            </w:pPr>
            <w:bookmarkStart w:id="2" w:name="_Toc370456259"/>
            <w:bookmarkStart w:id="3" w:name="_Toc370456441"/>
            <w:bookmarkStart w:id="4" w:name="_Toc435022719"/>
            <w:bookmarkStart w:id="5" w:name="_Toc370487479"/>
            <w:bookmarkStart w:id="6" w:name="_Toc23658"/>
            <w:bookmarkStart w:id="7" w:name="_Toc411340477"/>
            <w:bookmarkStart w:id="8" w:name="_Toc347151734"/>
            <w:bookmarkStart w:id="9" w:name="_Toc30219"/>
            <w:bookmarkStart w:id="10" w:name="_Toc380753108"/>
            <w:bookmarkStart w:id="11" w:name="_Toc14736"/>
            <w:bookmarkStart w:id="12" w:name="_Toc383589820"/>
            <w:bookmarkStart w:id="13" w:name="_Toc370456535"/>
            <w:r>
              <w:rPr>
                <w:rFonts w:hint="eastAsia"/>
                <w:color w:val="000000" w:themeColor="text1"/>
                <w:highlight w:val="none"/>
                <w:lang w:val="en-US" w:eastAsia="zh-CN"/>
                <w14:textFill>
                  <w14:solidFill>
                    <w14:schemeClr w14:val="tx1"/>
                  </w14:solidFill>
                </w14:textFill>
              </w:rPr>
              <w:t>七、</w:t>
            </w:r>
            <w:r>
              <w:rPr>
                <w:rFonts w:hint="default"/>
                <w:color w:val="000000" w:themeColor="text1"/>
                <w:highlight w:val="none"/>
                <w14:textFill>
                  <w14:solidFill>
                    <w14:schemeClr w14:val="tx1"/>
                  </w14:solidFill>
                </w14:textFill>
              </w:rPr>
              <w:t>排污口规范化设置</w:t>
            </w:r>
            <w:bookmarkEnd w:id="2"/>
            <w:bookmarkEnd w:id="3"/>
            <w:bookmarkEnd w:id="4"/>
            <w:bookmarkEnd w:id="5"/>
            <w:bookmarkEnd w:id="6"/>
            <w:bookmarkEnd w:id="7"/>
            <w:bookmarkEnd w:id="8"/>
            <w:bookmarkEnd w:id="9"/>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根据国家标准《环境保护图形标志</w:t>
            </w:r>
            <w:r>
              <w:rPr>
                <w:rFonts w:hint="eastAsia"/>
                <w:color w:val="000000" w:themeColor="text1"/>
                <w:highlight w:val="none"/>
                <w:lang w:val="en-US" w:eastAsia="zh-CN"/>
                <w14:textFill>
                  <w14:solidFill>
                    <w14:schemeClr w14:val="tx1"/>
                  </w14:solidFill>
                </w14:textFill>
              </w:rPr>
              <w:t>-</w:t>
            </w:r>
            <w:r>
              <w:rPr>
                <w:rFonts w:hint="default"/>
                <w:color w:val="000000" w:themeColor="text1"/>
                <w:highlight w:val="none"/>
                <w14:textFill>
                  <w14:solidFill>
                    <w14:schemeClr w14:val="tx1"/>
                  </w14:solidFill>
                </w14:textFill>
              </w:rPr>
              <w:t>排放口（源）》和国家环保总局《排污口规范化整治要求（试行）》的技术要求，企业所有排放口，包括水、气、声、固体废物，必须按照</w:t>
            </w:r>
            <w:r>
              <w:rPr>
                <w:rFonts w:hint="eastAsia"/>
                <w:color w:val="000000" w:themeColor="text1"/>
                <w:highlight w:val="none"/>
                <w:lang w:eastAsia="zh-CN"/>
                <w14:textFill>
                  <w14:solidFill>
                    <w14:schemeClr w14:val="tx1"/>
                  </w14:solidFill>
                </w14:textFill>
              </w:rPr>
              <w:t>“</w:t>
            </w:r>
            <w:r>
              <w:rPr>
                <w:rFonts w:hint="default"/>
                <w:color w:val="000000" w:themeColor="text1"/>
                <w:highlight w:val="none"/>
                <w14:textFill>
                  <w14:solidFill>
                    <w14:schemeClr w14:val="tx1"/>
                  </w14:solidFill>
                </w14:textFill>
              </w:rPr>
              <w:t>便于计量监测、便于日常现场监督检查</w:t>
            </w:r>
            <w:r>
              <w:rPr>
                <w:rFonts w:hint="eastAsia"/>
                <w:color w:val="000000" w:themeColor="text1"/>
                <w:highlight w:val="none"/>
                <w:lang w:eastAsia="zh-CN"/>
                <w14:textFill>
                  <w14:solidFill>
                    <w14:schemeClr w14:val="tx1"/>
                  </w14:solidFill>
                </w14:textFill>
              </w:rPr>
              <w:t>”</w:t>
            </w:r>
            <w:r>
              <w:rPr>
                <w:rFonts w:hint="default"/>
                <w:color w:val="000000" w:themeColor="text1"/>
                <w:highlight w:val="none"/>
                <w14:textFill>
                  <w14:solidFill>
                    <w14:schemeClr w14:val="tx1"/>
                  </w14:solidFill>
                </w14:textFill>
              </w:rPr>
              <w:t>的原则和规范化要求，设置与之相适应的环境保护图形标志牌，绘制企业排污口分布图，排污口的规范化要符合</w:t>
            </w:r>
            <w:r>
              <w:rPr>
                <w:rFonts w:hint="eastAsia"/>
                <w:color w:val="000000" w:themeColor="text1"/>
                <w:highlight w:val="none"/>
                <w:lang w:val="en-US" w:eastAsia="zh-CN"/>
                <w14:textFill>
                  <w14:solidFill>
                    <w14:schemeClr w14:val="tx1"/>
                  </w14:solidFill>
                </w14:textFill>
              </w:rPr>
              <w:t>宿州市</w:t>
            </w:r>
            <w:r>
              <w:rPr>
                <w:rFonts w:hint="default"/>
                <w:color w:val="000000" w:themeColor="text1"/>
                <w:highlight w:val="none"/>
                <w14:textFill>
                  <w14:solidFill>
                    <w14:schemeClr w14:val="tx1"/>
                  </w14:solidFill>
                </w14:textFill>
              </w:rPr>
              <w:t>环境监测部门的有关要求。</w:t>
            </w:r>
          </w:p>
          <w:p>
            <w:pPr>
              <w:pStyle w:val="7"/>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default"/>
                <w:color w:val="000000" w:themeColor="text1"/>
                <w:highlight w:val="none"/>
                <w14:textFill>
                  <w14:solidFill>
                    <w14:schemeClr w14:val="tx1"/>
                  </w14:solidFill>
                </w14:textFill>
              </w:rPr>
              <w:t>废气排放口</w:t>
            </w:r>
          </w:p>
          <w:p>
            <w:pPr>
              <w:keepNext w:val="0"/>
              <w:keepLines w:val="0"/>
              <w:pageBreakBefore w:val="0"/>
              <w:widowControl w:val="0"/>
              <w:kinsoku/>
              <w:wordWrap/>
              <w:overflowPunct/>
              <w:topLinePunct w:val="0"/>
              <w:autoSpaceDE/>
              <w:autoSpaceDN/>
              <w:bidi w:val="0"/>
              <w:adjustRightInd/>
              <w:snapToGrid/>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废气排放口必须符合规定的高度和按照《污染源监测技术规范》便于采样、监测的要求，保留1.5米以上水平烟道，预留采样口，设置直径不大于75mm的采样口。如无法满足要求的，其采样口与环境监测部门共同确认。</w:t>
            </w:r>
          </w:p>
          <w:p>
            <w:pPr>
              <w:pStyle w:val="7"/>
              <w:keepNext w:val="0"/>
              <w:keepLines w:val="0"/>
              <w:pageBreakBefore w:val="0"/>
              <w:widowControl w:val="0"/>
              <w:kinsoku/>
              <w:wordWrap/>
              <w:overflowPunct/>
              <w:topLinePunct w:val="0"/>
              <w:autoSpaceDE/>
              <w:autoSpaceDN/>
              <w:bidi w:val="0"/>
              <w:adjustRightInd/>
              <w:snapToGrid/>
              <w:spacing w:beforeLines="0" w:afterLines="0"/>
              <w:textAlignment w:val="auto"/>
              <w:rPr>
                <w:rFonts w:hint="default"/>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default"/>
                <w:color w:val="000000" w:themeColor="text1"/>
                <w:highlight w:val="none"/>
                <w14:textFill>
                  <w14:solidFill>
                    <w14:schemeClr w14:val="tx1"/>
                  </w14:solidFill>
                </w14:textFill>
              </w:rPr>
              <w:t>固定噪声源</w:t>
            </w:r>
          </w:p>
          <w:p>
            <w:pPr>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按有关规定对固定噪声源进行治理，并</w:t>
            </w:r>
            <w:r>
              <w:rPr>
                <w:rFonts w:hint="eastAsia"/>
                <w:color w:val="000000" w:themeColor="text1"/>
                <w:highlight w:val="none"/>
                <w:lang w:val="en-US" w:eastAsia="zh-CN"/>
                <w14:textFill>
                  <w14:solidFill>
                    <w14:schemeClr w14:val="tx1"/>
                  </w14:solidFill>
                </w14:textFill>
              </w:rPr>
              <w:t>且</w:t>
            </w:r>
            <w:r>
              <w:rPr>
                <w:rFonts w:hint="default"/>
                <w:color w:val="000000" w:themeColor="text1"/>
                <w:highlight w:val="none"/>
                <w14:textFill>
                  <w14:solidFill>
                    <w14:schemeClr w14:val="tx1"/>
                  </w14:solidFill>
                </w14:textFill>
              </w:rPr>
              <w:t>在边界噪声敏感点对外界影响最大处设置标志牌。</w:t>
            </w:r>
          </w:p>
          <w:p>
            <w:pPr>
              <w:pStyle w:val="7"/>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r>
              <w:rPr>
                <w:rFonts w:hint="default"/>
                <w:color w:val="000000" w:themeColor="text1"/>
                <w:highlight w:val="none"/>
                <w14:textFill>
                  <w14:solidFill>
                    <w14:schemeClr w14:val="tx1"/>
                  </w14:solidFill>
                </w14:textFill>
              </w:rPr>
              <w:t>环境保护图形标志</w:t>
            </w:r>
          </w:p>
          <w:p>
            <w:pPr>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在厂区的废气排放源、固体废物贮存处置场应设置环境保护图形标志，图形符号分为提示图形和警告图形符号两种，分别按GB15562.1-1995、GB15562.2-1995执行。环境保护图形标志的形状及颜色</w:t>
            </w:r>
            <w:r>
              <w:rPr>
                <w:rFonts w:hint="eastAsia"/>
                <w:color w:val="000000" w:themeColor="text1"/>
                <w:highlight w:val="none"/>
                <w:lang w:eastAsia="zh-CN"/>
                <w14:textFill>
                  <w14:solidFill>
                    <w14:schemeClr w14:val="tx1"/>
                  </w14:solidFill>
                </w14:textFill>
              </w:rPr>
              <w:t>、</w:t>
            </w:r>
            <w:r>
              <w:rPr>
                <w:rFonts w:hint="default"/>
                <w:color w:val="000000" w:themeColor="text1"/>
                <w:highlight w:val="none"/>
                <w14:textFill>
                  <w14:solidFill>
                    <w14:schemeClr w14:val="tx1"/>
                  </w14:solidFill>
                </w14:textFill>
              </w:rPr>
              <w:t>环境保护图形符号见</w:t>
            </w:r>
            <w:r>
              <w:rPr>
                <w:rFonts w:hint="eastAsia"/>
                <w:color w:val="000000" w:themeColor="text1"/>
                <w:highlight w:val="none"/>
                <w:lang w:val="en-US" w:eastAsia="zh-CN"/>
                <w14:textFill>
                  <w14:solidFill>
                    <w14:schemeClr w14:val="tx1"/>
                  </w14:solidFill>
                </w14:textFill>
              </w:rPr>
              <w:t>下表</w:t>
            </w:r>
            <w:r>
              <w:rPr>
                <w:rFonts w:hint="default"/>
                <w:color w:val="000000" w:themeColor="text1"/>
                <w:highlight w:val="none"/>
                <w14:textFill>
                  <w14:solidFill>
                    <w14:schemeClr w14:val="tx1"/>
                  </w14:solidFill>
                </w14:textFill>
              </w:rPr>
              <w:t>。</w:t>
            </w:r>
          </w:p>
          <w:p>
            <w:pPr>
              <w:pStyle w:val="39"/>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p>
          <w:p>
            <w:pPr>
              <w:pStyle w:val="39"/>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表</w:t>
            </w:r>
            <w:r>
              <w:rPr>
                <w:rFonts w:hint="eastAsia"/>
                <w:color w:val="000000" w:themeColor="text1"/>
                <w:highlight w:val="none"/>
                <w:lang w:val="en-US" w:eastAsia="zh-CN"/>
                <w14:textFill>
                  <w14:solidFill>
                    <w14:schemeClr w14:val="tx1"/>
                  </w14:solidFill>
                </w14:textFill>
              </w:rPr>
              <w:t>4-20</w:t>
            </w:r>
            <w:r>
              <w:rPr>
                <w:rFonts w:hint="default"/>
                <w:color w:val="000000" w:themeColor="text1"/>
                <w:highlight w:val="none"/>
                <w14:textFill>
                  <w14:solidFill>
                    <w14:schemeClr w14:val="tx1"/>
                  </w14:solidFill>
                </w14:textFill>
              </w:rPr>
              <w:t xml:space="preserve">  环境保护图形标志的形状及颜色表</w:t>
            </w:r>
          </w:p>
          <w:tbl>
            <w:tblPr>
              <w:tblStyle w:val="37"/>
              <w:tblW w:w="4998" w:type="pct"/>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293"/>
              <w:gridCol w:w="1501"/>
              <w:gridCol w:w="2295"/>
              <w:gridCol w:w="2295"/>
            </w:tblGrid>
            <w:tr>
              <w:tblPrEx>
                <w:tblLayout w:type="fixed"/>
              </w:tblPrEx>
              <w:trPr>
                <w:trHeight w:val="425" w:hRule="exact"/>
                <w:jc w:val="center"/>
              </w:trPr>
              <w:tc>
                <w:tcPr>
                  <w:tcW w:w="2293" w:type="dxa"/>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lang w:val="en-US" w:eastAsia="zh-CN" w:bidi="ar-SA"/>
                      <w14:textFill>
                        <w14:solidFill>
                          <w14:schemeClr w14:val="tx1"/>
                        </w14:solidFill>
                      </w14:textFill>
                    </w:rPr>
                    <w:t>标志名称</w:t>
                  </w:r>
                </w:p>
              </w:tc>
              <w:tc>
                <w:tcPr>
                  <w:tcW w:w="1501" w:type="dxa"/>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lang w:val="en-US" w:eastAsia="zh-CN" w:bidi="ar-SA"/>
                      <w14:textFill>
                        <w14:solidFill>
                          <w14:schemeClr w14:val="tx1"/>
                        </w14:solidFill>
                      </w14:textFill>
                    </w:rPr>
                    <w:t>形状</w:t>
                  </w:r>
                </w:p>
              </w:tc>
              <w:tc>
                <w:tcPr>
                  <w:tcW w:w="2295" w:type="dxa"/>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lang w:val="en-US" w:eastAsia="zh-CN" w:bidi="ar-SA"/>
                      <w14:textFill>
                        <w14:solidFill>
                          <w14:schemeClr w14:val="tx1"/>
                        </w14:solidFill>
                      </w14:textFill>
                    </w:rPr>
                    <w:t>背景颜色</w:t>
                  </w:r>
                </w:p>
              </w:tc>
              <w:tc>
                <w:tcPr>
                  <w:tcW w:w="2295" w:type="dxa"/>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lang w:val="en-US" w:eastAsia="zh-CN" w:bidi="ar-SA"/>
                      <w14:textFill>
                        <w14:solidFill>
                          <w14:schemeClr w14:val="tx1"/>
                        </w14:solidFill>
                      </w14:textFill>
                    </w:rPr>
                    <w:t>图形颜色</w:t>
                  </w:r>
                </w:p>
              </w:tc>
            </w:tr>
            <w:tr>
              <w:tblPrEx>
                <w:tblLayout w:type="fixed"/>
              </w:tblPrEx>
              <w:trPr>
                <w:trHeight w:val="425" w:hRule="exact"/>
                <w:jc w:val="center"/>
              </w:trPr>
              <w:tc>
                <w:tcPr>
                  <w:tcW w:w="2293" w:type="dxa"/>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警告标志</w:t>
                  </w:r>
                </w:p>
              </w:tc>
              <w:tc>
                <w:tcPr>
                  <w:tcW w:w="1501" w:type="dxa"/>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三角形边框</w:t>
                  </w:r>
                </w:p>
              </w:tc>
              <w:tc>
                <w:tcPr>
                  <w:tcW w:w="2295" w:type="dxa"/>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黄色</w:t>
                  </w:r>
                </w:p>
              </w:tc>
              <w:tc>
                <w:tcPr>
                  <w:tcW w:w="2295" w:type="dxa"/>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黑色</w:t>
                  </w:r>
                </w:p>
              </w:tc>
            </w:tr>
            <w:tr>
              <w:tblPrEx>
                <w:tblLayout w:type="fixed"/>
              </w:tblPrEx>
              <w:trPr>
                <w:trHeight w:val="425" w:hRule="exact"/>
                <w:jc w:val="center"/>
              </w:trPr>
              <w:tc>
                <w:tcPr>
                  <w:tcW w:w="2293" w:type="dxa"/>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提示标志</w:t>
                  </w:r>
                </w:p>
              </w:tc>
              <w:tc>
                <w:tcPr>
                  <w:tcW w:w="1501" w:type="dxa"/>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正方形边框</w:t>
                  </w:r>
                </w:p>
              </w:tc>
              <w:tc>
                <w:tcPr>
                  <w:tcW w:w="2295" w:type="dxa"/>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绿色</w:t>
                  </w:r>
                </w:p>
              </w:tc>
              <w:tc>
                <w:tcPr>
                  <w:tcW w:w="2295" w:type="dxa"/>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白色</w:t>
                  </w:r>
                </w:p>
              </w:tc>
            </w:tr>
          </w:tbl>
          <w:p>
            <w:pPr>
              <w:pStyle w:val="39"/>
              <w:keepNext w:val="0"/>
              <w:keepLines w:val="0"/>
              <w:pageBreakBefore w:val="0"/>
              <w:widowControl w:val="0"/>
              <w:kinsoku/>
              <w:wordWrap/>
              <w:overflowPunct/>
              <w:topLinePunct w:val="0"/>
              <w:autoSpaceDE/>
              <w:autoSpaceDN/>
              <w:bidi w:val="0"/>
              <w:textAlignment w:val="auto"/>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表</w:t>
            </w:r>
            <w:r>
              <w:rPr>
                <w:rFonts w:hint="eastAsia"/>
                <w:color w:val="000000" w:themeColor="text1"/>
                <w:highlight w:val="none"/>
                <w:lang w:val="en-US" w:eastAsia="zh-CN"/>
                <w14:textFill>
                  <w14:solidFill>
                    <w14:schemeClr w14:val="tx1"/>
                  </w14:solidFill>
                </w14:textFill>
              </w:rPr>
              <w:t>4-21</w:t>
            </w:r>
            <w:r>
              <w:rPr>
                <w:rFonts w:hint="default"/>
                <w:color w:val="000000" w:themeColor="text1"/>
                <w:highlight w:val="none"/>
                <w14:textFill>
                  <w14:solidFill>
                    <w14:schemeClr w14:val="tx1"/>
                  </w14:solidFill>
                </w14:textFill>
              </w:rPr>
              <w:t xml:space="preserve">  环境保护</w:t>
            </w:r>
            <w:commentRangeStart w:id="49"/>
            <w:commentRangeStart w:id="50"/>
            <w:r>
              <w:rPr>
                <w:rFonts w:hint="default"/>
                <w:color w:val="000000" w:themeColor="text1"/>
                <w:highlight w:val="none"/>
                <w14:textFill>
                  <w14:solidFill>
                    <w14:schemeClr w14:val="tx1"/>
                  </w14:solidFill>
                </w14:textFill>
              </w:rPr>
              <w:t>图形</w:t>
            </w:r>
            <w:commentRangeEnd w:id="49"/>
            <w:r>
              <w:commentReference w:id="49"/>
            </w:r>
            <w:commentRangeEnd w:id="50"/>
            <w:r>
              <w:commentReference w:id="50"/>
            </w:r>
            <w:r>
              <w:rPr>
                <w:rFonts w:hint="default"/>
                <w:color w:val="000000" w:themeColor="text1"/>
                <w:highlight w:val="none"/>
                <w14:textFill>
                  <w14:solidFill>
                    <w14:schemeClr w14:val="tx1"/>
                  </w14:solidFill>
                </w14:textFill>
              </w:rPr>
              <w:t>符号一览表</w:t>
            </w:r>
          </w:p>
          <w:tbl>
            <w:tblPr>
              <w:tblStyle w:val="37"/>
              <w:tblW w:w="4995" w:type="pct"/>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08"/>
              <w:gridCol w:w="1744"/>
              <w:gridCol w:w="1940"/>
              <w:gridCol w:w="1355"/>
              <w:gridCol w:w="2833"/>
            </w:tblGrid>
            <w:tr>
              <w:tblPrEx>
                <w:tblLayout w:type="fixed"/>
              </w:tblPrEx>
              <w:trPr>
                <w:trHeight w:val="270" w:hRule="atLeast"/>
                <w:jc w:val="center"/>
              </w:trPr>
              <w:tc>
                <w:tcPr>
                  <w:tcW w:w="508" w:type="dxa"/>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lang w:val="en-US" w:eastAsia="zh-CN" w:bidi="ar-SA"/>
                      <w14:textFill>
                        <w14:solidFill>
                          <w14:schemeClr w14:val="tx1"/>
                        </w14:solidFill>
                      </w14:textFill>
                    </w:rPr>
                    <w:t>序号</w:t>
                  </w:r>
                </w:p>
              </w:tc>
              <w:tc>
                <w:tcPr>
                  <w:tcW w:w="1744" w:type="dxa"/>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lang w:val="en-US" w:eastAsia="zh-CN" w:bidi="ar-SA"/>
                      <w14:textFill>
                        <w14:solidFill>
                          <w14:schemeClr w14:val="tx1"/>
                        </w14:solidFill>
                      </w14:textFill>
                    </w:rPr>
                    <w:t>提示图形符号</w:t>
                  </w:r>
                </w:p>
              </w:tc>
              <w:tc>
                <w:tcPr>
                  <w:tcW w:w="1940" w:type="dxa"/>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lang w:val="en-US" w:eastAsia="zh-CN" w:bidi="ar-SA"/>
                      <w14:textFill>
                        <w14:solidFill>
                          <w14:schemeClr w14:val="tx1"/>
                        </w14:solidFill>
                      </w14:textFill>
                    </w:rPr>
                    <w:t>警告图形符号</w:t>
                  </w:r>
                </w:p>
              </w:tc>
              <w:tc>
                <w:tcPr>
                  <w:tcW w:w="1355" w:type="dxa"/>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lang w:val="en-US" w:eastAsia="zh-CN" w:bidi="ar-SA"/>
                      <w14:textFill>
                        <w14:solidFill>
                          <w14:schemeClr w14:val="tx1"/>
                        </w14:solidFill>
                      </w14:textFill>
                    </w:rPr>
                    <w:t>名称</w:t>
                  </w:r>
                </w:p>
              </w:tc>
              <w:tc>
                <w:tcPr>
                  <w:tcW w:w="2833" w:type="dxa"/>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bCs/>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21"/>
                      <w:szCs w:val="21"/>
                      <w:highlight w:val="none"/>
                      <w:lang w:val="en-US" w:eastAsia="zh-CN" w:bidi="ar-SA"/>
                      <w14:textFill>
                        <w14:solidFill>
                          <w14:schemeClr w14:val="tx1"/>
                        </w14:solidFill>
                      </w14:textFill>
                    </w:rPr>
                    <w:t>功能</w:t>
                  </w:r>
                </w:p>
              </w:tc>
            </w:tr>
            <w:tr>
              <w:tblPrEx>
                <w:tblLayout w:type="fixed"/>
              </w:tblPrEx>
              <w:trPr>
                <w:trHeight w:val="1417" w:hRule="atLeast"/>
                <w:jc w:val="center"/>
              </w:trPr>
              <w:tc>
                <w:tcPr>
                  <w:tcW w:w="508" w:type="dxa"/>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highlight w:val="none"/>
                      <w:lang w:val="en-US" w:eastAsia="zh-CN" w:bidi="ar-SA"/>
                      <w14:textFill>
                        <w14:solidFill>
                          <w14:schemeClr w14:val="tx1"/>
                        </w14:solidFill>
                      </w14:textFill>
                    </w:rPr>
                    <w:t>1</w:t>
                  </w:r>
                </w:p>
              </w:tc>
              <w:tc>
                <w:tcPr>
                  <w:tcW w:w="1744" w:type="dxa"/>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drawing>
                      <wp:inline distT="0" distB="0" distL="114300" distR="114300">
                        <wp:extent cx="848360" cy="857250"/>
                        <wp:effectExtent l="0" t="0" r="8890" b="0"/>
                        <wp:docPr id="26" name="图片 5" descr="1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descr="13003"/>
                                <pic:cNvPicPr>
                                  <a:picLocks noChangeAspect="1"/>
                                </pic:cNvPicPr>
                              </pic:nvPicPr>
                              <pic:blipFill>
                                <a:blip r:embed="rId21"/>
                                <a:stretch>
                                  <a:fillRect/>
                                </a:stretch>
                              </pic:blipFill>
                              <pic:spPr>
                                <a:xfrm>
                                  <a:off x="0" y="0"/>
                                  <a:ext cx="848360" cy="857250"/>
                                </a:xfrm>
                                <a:prstGeom prst="rect">
                                  <a:avLst/>
                                </a:prstGeom>
                                <a:noFill/>
                                <a:ln>
                                  <a:noFill/>
                                </a:ln>
                              </pic:spPr>
                            </pic:pic>
                          </a:graphicData>
                        </a:graphic>
                      </wp:inline>
                    </w:drawing>
                  </w:r>
                </w:p>
              </w:tc>
              <w:tc>
                <w:tcPr>
                  <w:tcW w:w="1940" w:type="dxa"/>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drawing>
                      <wp:inline distT="0" distB="0" distL="114300" distR="114300">
                        <wp:extent cx="885825" cy="886460"/>
                        <wp:effectExtent l="0" t="0" r="9525" b="8890"/>
                        <wp:docPr id="1" name="图片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4"/>
                                <pic:cNvPicPr>
                                  <a:picLocks noChangeAspect="1"/>
                                </pic:cNvPicPr>
                              </pic:nvPicPr>
                              <pic:blipFill>
                                <a:blip r:embed="rId22"/>
                                <a:stretch>
                                  <a:fillRect/>
                                </a:stretch>
                              </pic:blipFill>
                              <pic:spPr>
                                <a:xfrm>
                                  <a:off x="0" y="0"/>
                                  <a:ext cx="885825" cy="886460"/>
                                </a:xfrm>
                                <a:prstGeom prst="rect">
                                  <a:avLst/>
                                </a:prstGeom>
                                <a:noFill/>
                                <a:ln>
                                  <a:noFill/>
                                </a:ln>
                              </pic:spPr>
                            </pic:pic>
                          </a:graphicData>
                        </a:graphic>
                      </wp:inline>
                    </w:drawing>
                  </w:r>
                </w:p>
              </w:tc>
              <w:tc>
                <w:tcPr>
                  <w:tcW w:w="1355" w:type="dxa"/>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废气排放口</w:t>
                  </w:r>
                </w:p>
              </w:tc>
              <w:tc>
                <w:tcPr>
                  <w:tcW w:w="2833" w:type="dxa"/>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表示废气向大气环境排放</w:t>
                  </w:r>
                </w:p>
              </w:tc>
            </w:tr>
            <w:tr>
              <w:tblPrEx>
                <w:tblLayout w:type="fixed"/>
              </w:tblPrEx>
              <w:trPr>
                <w:trHeight w:val="1437" w:hRule="atLeast"/>
                <w:jc w:val="center"/>
              </w:trPr>
              <w:tc>
                <w:tcPr>
                  <w:tcW w:w="508" w:type="dxa"/>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highlight w:val="none"/>
                      <w:lang w:val="en-US" w:eastAsia="zh-CN" w:bidi="ar-SA"/>
                      <w14:textFill>
                        <w14:solidFill>
                          <w14:schemeClr w14:val="tx1"/>
                        </w14:solidFill>
                      </w14:textFill>
                    </w:rPr>
                    <w:t>2</w:t>
                  </w:r>
                </w:p>
              </w:tc>
              <w:tc>
                <w:tcPr>
                  <w:tcW w:w="1744" w:type="dxa"/>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drawing>
                      <wp:inline distT="0" distB="0" distL="114300" distR="114300">
                        <wp:extent cx="848360" cy="857250"/>
                        <wp:effectExtent l="0" t="0" r="8890" b="0"/>
                        <wp:docPr id="4" name="图片 7" descr="1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14001"/>
                                <pic:cNvPicPr>
                                  <a:picLocks noChangeAspect="1"/>
                                </pic:cNvPicPr>
                              </pic:nvPicPr>
                              <pic:blipFill>
                                <a:blip r:embed="rId23"/>
                                <a:stretch>
                                  <a:fillRect/>
                                </a:stretch>
                              </pic:blipFill>
                              <pic:spPr>
                                <a:xfrm>
                                  <a:off x="0" y="0"/>
                                  <a:ext cx="848360" cy="857250"/>
                                </a:xfrm>
                                <a:prstGeom prst="rect">
                                  <a:avLst/>
                                </a:prstGeom>
                                <a:noFill/>
                                <a:ln>
                                  <a:noFill/>
                                </a:ln>
                              </pic:spPr>
                            </pic:pic>
                          </a:graphicData>
                        </a:graphic>
                      </wp:inline>
                    </w:drawing>
                  </w:r>
                </w:p>
              </w:tc>
              <w:tc>
                <w:tcPr>
                  <w:tcW w:w="1940" w:type="dxa"/>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drawing>
                      <wp:inline distT="0" distB="0" distL="114300" distR="114300">
                        <wp:extent cx="914400" cy="857250"/>
                        <wp:effectExtent l="0" t="0" r="0" b="0"/>
                        <wp:docPr id="3" name="图片 8" descr="14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14002"/>
                                <pic:cNvPicPr>
                                  <a:picLocks noChangeAspect="1"/>
                                </pic:cNvPicPr>
                              </pic:nvPicPr>
                              <pic:blipFill>
                                <a:blip r:embed="rId24"/>
                                <a:stretch>
                                  <a:fillRect/>
                                </a:stretch>
                              </pic:blipFill>
                              <pic:spPr>
                                <a:xfrm>
                                  <a:off x="0" y="0"/>
                                  <a:ext cx="914400" cy="857250"/>
                                </a:xfrm>
                                <a:prstGeom prst="rect">
                                  <a:avLst/>
                                </a:prstGeom>
                                <a:noFill/>
                                <a:ln>
                                  <a:noFill/>
                                </a:ln>
                              </pic:spPr>
                            </pic:pic>
                          </a:graphicData>
                        </a:graphic>
                      </wp:inline>
                    </w:drawing>
                  </w:r>
                </w:p>
              </w:tc>
              <w:tc>
                <w:tcPr>
                  <w:tcW w:w="1355" w:type="dxa"/>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一般固体废物</w:t>
                  </w:r>
                </w:p>
              </w:tc>
              <w:tc>
                <w:tcPr>
                  <w:tcW w:w="2833" w:type="dxa"/>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表示一般固体废物贮存、</w:t>
                  </w:r>
                </w:p>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处置场</w:t>
                  </w:r>
                </w:p>
              </w:tc>
            </w:tr>
            <w:tr>
              <w:tblPrEx>
                <w:tblLayout w:type="fixed"/>
              </w:tblPrEx>
              <w:trPr>
                <w:trHeight w:val="1495" w:hRule="atLeast"/>
                <w:jc w:val="center"/>
              </w:trPr>
              <w:tc>
                <w:tcPr>
                  <w:tcW w:w="508" w:type="dxa"/>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highlight w:val="none"/>
                      <w:lang w:val="en-US" w:eastAsia="zh-CN" w:bidi="ar-SA"/>
                      <w14:textFill>
                        <w14:solidFill>
                          <w14:schemeClr w14:val="tx1"/>
                        </w14:solidFill>
                      </w14:textFill>
                    </w:rPr>
                    <w:t>3</w:t>
                  </w:r>
                </w:p>
              </w:tc>
              <w:tc>
                <w:tcPr>
                  <w:tcW w:w="1744" w:type="dxa"/>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drawing>
                      <wp:inline distT="0" distB="0" distL="114300" distR="114300">
                        <wp:extent cx="847725" cy="847725"/>
                        <wp:effectExtent l="0" t="0" r="9525" b="9525"/>
                        <wp:docPr id="7" name="图片 9" descr="200602201518049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200602201518049853"/>
                                <pic:cNvPicPr>
                                  <a:picLocks noChangeAspect="1"/>
                                </pic:cNvPicPr>
                              </pic:nvPicPr>
                              <pic:blipFill>
                                <a:blip r:embed="rId25"/>
                                <a:stretch>
                                  <a:fillRect/>
                                </a:stretch>
                              </pic:blipFill>
                              <pic:spPr>
                                <a:xfrm>
                                  <a:off x="0" y="0"/>
                                  <a:ext cx="847725" cy="847725"/>
                                </a:xfrm>
                                <a:prstGeom prst="rect">
                                  <a:avLst/>
                                </a:prstGeom>
                                <a:noFill/>
                                <a:ln>
                                  <a:noFill/>
                                </a:ln>
                              </pic:spPr>
                            </pic:pic>
                          </a:graphicData>
                        </a:graphic>
                      </wp:inline>
                    </w:drawing>
                  </w:r>
                </w:p>
              </w:tc>
              <w:tc>
                <w:tcPr>
                  <w:tcW w:w="1940" w:type="dxa"/>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drawing>
                      <wp:inline distT="0" distB="0" distL="114300" distR="114300">
                        <wp:extent cx="952500" cy="845820"/>
                        <wp:effectExtent l="0" t="0" r="0" b="11430"/>
                        <wp:docPr id="20" name="图片 10" descr="200602201519018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descr="200602201519018631"/>
                                <pic:cNvPicPr>
                                  <a:picLocks noChangeAspect="1"/>
                                </pic:cNvPicPr>
                              </pic:nvPicPr>
                              <pic:blipFill>
                                <a:blip r:embed="rId26"/>
                                <a:stretch>
                                  <a:fillRect/>
                                </a:stretch>
                              </pic:blipFill>
                              <pic:spPr>
                                <a:xfrm>
                                  <a:off x="0" y="0"/>
                                  <a:ext cx="952500" cy="845820"/>
                                </a:xfrm>
                                <a:prstGeom prst="rect">
                                  <a:avLst/>
                                </a:prstGeom>
                                <a:noFill/>
                                <a:ln>
                                  <a:noFill/>
                                </a:ln>
                              </pic:spPr>
                            </pic:pic>
                          </a:graphicData>
                        </a:graphic>
                      </wp:inline>
                    </w:drawing>
                  </w:r>
                </w:p>
              </w:tc>
              <w:tc>
                <w:tcPr>
                  <w:tcW w:w="1355" w:type="dxa"/>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噪声排放源</w:t>
                  </w:r>
                </w:p>
              </w:tc>
              <w:tc>
                <w:tcPr>
                  <w:tcW w:w="2833" w:type="dxa"/>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表示噪声向外环境排放</w:t>
                  </w:r>
                </w:p>
              </w:tc>
            </w:tr>
            <w:tr>
              <w:tblPrEx>
                <w:tblLayout w:type="fixed"/>
              </w:tblPrEx>
              <w:trPr>
                <w:trHeight w:val="1495" w:hRule="atLeast"/>
                <w:jc w:val="center"/>
              </w:trPr>
              <w:tc>
                <w:tcPr>
                  <w:tcW w:w="508" w:type="dxa"/>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000000" w:themeColor="text1"/>
                      <w:kern w:val="0"/>
                      <w:sz w:val="21"/>
                      <w:szCs w:val="21"/>
                      <w:highlight w:val="none"/>
                      <w:lang w:val="en-US" w:eastAsia="zh-CN" w:bidi="ar-SA"/>
                      <w14:textFill>
                        <w14:solidFill>
                          <w14:schemeClr w14:val="tx1"/>
                        </w14:solidFill>
                      </w14:textFill>
                    </w:rPr>
                  </w:pPr>
                  <w:r>
                    <w:rPr>
                      <w:rFonts w:hint="eastAsia" w:cs="Times New Roman"/>
                      <w:color w:val="000000" w:themeColor="text1"/>
                      <w:kern w:val="0"/>
                      <w:sz w:val="21"/>
                      <w:szCs w:val="21"/>
                      <w:highlight w:val="none"/>
                      <w:lang w:val="en-US" w:eastAsia="zh-CN" w:bidi="ar-SA"/>
                      <w14:textFill>
                        <w14:solidFill>
                          <w14:schemeClr w14:val="tx1"/>
                        </w14:solidFill>
                      </w14:textFill>
                    </w:rPr>
                    <w:t>4</w:t>
                  </w:r>
                </w:p>
              </w:tc>
              <w:tc>
                <w:tcPr>
                  <w:tcW w:w="1744" w:type="dxa"/>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w:t>
                  </w:r>
                </w:p>
              </w:tc>
              <w:tc>
                <w:tcPr>
                  <w:tcW w:w="1940" w:type="dxa"/>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240" w:lineRule="auto"/>
                    <w:ind w:left="0" w:leftChars="0" w:right="0" w:rightChars="0" w:firstLine="0" w:firstLineChars="0"/>
                    <w:jc w:val="both"/>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color w:val="000000" w:themeColor="text1"/>
                      <w:highlight w:val="none"/>
                      <w14:textFill>
                        <w14:solidFill>
                          <w14:schemeClr w14:val="tx1"/>
                        </w14:solidFill>
                      </w14:textFill>
                    </w:rPr>
                    <w:drawing>
                      <wp:inline distT="0" distB="0" distL="114300" distR="114300">
                        <wp:extent cx="981710" cy="877570"/>
                        <wp:effectExtent l="0" t="0" r="8890" b="17780"/>
                        <wp:docPr id="3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
                                <pic:cNvPicPr>
                                  <a:picLocks noChangeAspect="1"/>
                                </pic:cNvPicPr>
                              </pic:nvPicPr>
                              <pic:blipFill>
                                <a:blip r:embed="rId27"/>
                                <a:stretch>
                                  <a:fillRect/>
                                </a:stretch>
                              </pic:blipFill>
                              <pic:spPr>
                                <a:xfrm>
                                  <a:off x="0" y="0"/>
                                  <a:ext cx="981710" cy="877570"/>
                                </a:xfrm>
                                <a:prstGeom prst="rect">
                                  <a:avLst/>
                                </a:prstGeom>
                                <a:noFill/>
                                <a:ln>
                                  <a:noFill/>
                                </a:ln>
                              </pic:spPr>
                            </pic:pic>
                          </a:graphicData>
                        </a:graphic>
                      </wp:inline>
                    </w:drawing>
                  </w:r>
                </w:p>
              </w:tc>
              <w:tc>
                <w:tcPr>
                  <w:tcW w:w="1355" w:type="dxa"/>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危险废物</w:t>
                  </w:r>
                </w:p>
              </w:tc>
              <w:tc>
                <w:tcPr>
                  <w:tcW w:w="2833" w:type="dxa"/>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表示危险废物贮存、处置场</w:t>
                  </w:r>
                </w:p>
              </w:tc>
            </w:tr>
            <w:tr>
              <w:tblPrEx>
                <w:tblLayout w:type="fixed"/>
              </w:tblPrEx>
              <w:trPr>
                <w:trHeight w:val="1495" w:hRule="atLeast"/>
                <w:jc w:val="center"/>
              </w:trPr>
              <w:tc>
                <w:tcPr>
                  <w:tcW w:w="508" w:type="dxa"/>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default" w:cs="Times New Roman"/>
                      <w:color w:val="000000" w:themeColor="text1"/>
                      <w:kern w:val="0"/>
                      <w:sz w:val="21"/>
                      <w:szCs w:val="21"/>
                      <w:highlight w:val="none"/>
                      <w:lang w:val="en-US" w:eastAsia="zh-CN" w:bidi="ar-SA"/>
                      <w14:textFill>
                        <w14:solidFill>
                          <w14:schemeClr w14:val="tx1"/>
                        </w14:solidFill>
                      </w14:textFill>
                    </w:rPr>
                  </w:pPr>
                  <w:r>
                    <w:rPr>
                      <w:rFonts w:hint="eastAsia" w:cs="Times New Roman"/>
                      <w:color w:val="000000" w:themeColor="text1"/>
                      <w:kern w:val="0"/>
                      <w:sz w:val="21"/>
                      <w:szCs w:val="21"/>
                      <w:highlight w:val="none"/>
                      <w:lang w:val="en-US" w:eastAsia="zh-CN" w:bidi="ar-SA"/>
                      <w14:textFill>
                        <w14:solidFill>
                          <w14:schemeClr w14:val="tx1"/>
                        </w14:solidFill>
                      </w14:textFill>
                    </w:rPr>
                    <w:t>5</w:t>
                  </w:r>
                </w:p>
              </w:tc>
              <w:tc>
                <w:tcPr>
                  <w:tcW w:w="1744" w:type="dxa"/>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drawing>
                      <wp:inline distT="0" distB="0" distL="114300" distR="114300">
                        <wp:extent cx="868045" cy="1222375"/>
                        <wp:effectExtent l="0" t="0" r="8255" b="15875"/>
                        <wp:docPr id="34" name="图片 34" descr="1655442116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1655442116589"/>
                                <pic:cNvPicPr>
                                  <a:picLocks noChangeAspect="1"/>
                                </pic:cNvPicPr>
                              </pic:nvPicPr>
                              <pic:blipFill>
                                <a:blip r:embed="rId28"/>
                                <a:stretch>
                                  <a:fillRect/>
                                </a:stretch>
                              </pic:blipFill>
                              <pic:spPr>
                                <a:xfrm>
                                  <a:off x="0" y="0"/>
                                  <a:ext cx="868045" cy="1222375"/>
                                </a:xfrm>
                                <a:prstGeom prst="rect">
                                  <a:avLst/>
                                </a:prstGeom>
                              </pic:spPr>
                            </pic:pic>
                          </a:graphicData>
                        </a:graphic>
                      </wp:inline>
                    </w:drawing>
                  </w:r>
                </w:p>
              </w:tc>
              <w:tc>
                <w:tcPr>
                  <w:tcW w:w="1940" w:type="dxa"/>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drawing>
                      <wp:inline distT="0" distB="0" distL="114300" distR="114300">
                        <wp:extent cx="973455" cy="845185"/>
                        <wp:effectExtent l="0" t="0" r="17145" b="12065"/>
                        <wp:docPr id="35" name="图片 35" descr="t01d4e5a7e0484bd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t01d4e5a7e0484bd242"/>
                                <pic:cNvPicPr>
                                  <a:picLocks noChangeAspect="1"/>
                                </pic:cNvPicPr>
                              </pic:nvPicPr>
                              <pic:blipFill>
                                <a:blip r:embed="rId29"/>
                                <a:stretch>
                                  <a:fillRect/>
                                </a:stretch>
                              </pic:blipFill>
                              <pic:spPr>
                                <a:xfrm>
                                  <a:off x="0" y="0"/>
                                  <a:ext cx="973455" cy="845185"/>
                                </a:xfrm>
                                <a:prstGeom prst="rect">
                                  <a:avLst/>
                                </a:prstGeom>
                              </pic:spPr>
                            </pic:pic>
                          </a:graphicData>
                        </a:graphic>
                      </wp:inline>
                    </w:drawing>
                  </w:r>
                </w:p>
              </w:tc>
              <w:tc>
                <w:tcPr>
                  <w:tcW w:w="1355" w:type="dxa"/>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s="Times New Roman"/>
                      <w:color w:val="000000" w:themeColor="text1"/>
                      <w:kern w:val="0"/>
                      <w:sz w:val="21"/>
                      <w:szCs w:val="21"/>
                      <w:highlight w:val="none"/>
                      <w:lang w:val="en-US" w:eastAsia="zh-CN" w:bidi="ar-SA"/>
                      <w14:textFill>
                        <w14:solidFill>
                          <w14:schemeClr w14:val="tx1"/>
                        </w14:solidFill>
                      </w14:textFill>
                    </w:rPr>
                    <w:t>污水排放口</w:t>
                  </w:r>
                </w:p>
              </w:tc>
              <w:tc>
                <w:tcPr>
                  <w:tcW w:w="2833" w:type="dxa"/>
                  <w:vAlign w:val="center"/>
                </w:tcPr>
                <w:p>
                  <w:pPr>
                    <w:pStyle w:val="21"/>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s="Times New Roman"/>
                      <w:color w:val="000000" w:themeColor="text1"/>
                      <w:kern w:val="0"/>
                      <w:sz w:val="21"/>
                      <w:szCs w:val="21"/>
                      <w:highlight w:val="none"/>
                      <w:lang w:val="en-US" w:eastAsia="zh-CN" w:bidi="ar-SA"/>
                      <w14:textFill>
                        <w14:solidFill>
                          <w14:schemeClr w14:val="tx1"/>
                        </w14:solidFill>
                      </w14:textFill>
                    </w:rPr>
                    <w:t>表示污水向水体排放</w:t>
                  </w:r>
                </w:p>
              </w:tc>
            </w:tr>
          </w:tbl>
          <w:p>
            <w:pPr>
              <w:pStyle w:val="6"/>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八、环保投资</w:t>
            </w:r>
          </w:p>
          <w:p>
            <w:pPr>
              <w:pStyle w:val="39"/>
              <w:bidi w:val="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表4-</w:t>
            </w:r>
            <w:r>
              <w:rPr>
                <w:rFonts w:hint="eastAsia"/>
                <w:color w:val="000000" w:themeColor="text1"/>
                <w:highlight w:val="none"/>
                <w:lang w:val="en-US" w:eastAsia="zh-CN"/>
                <w14:textFill>
                  <w14:solidFill>
                    <w14:schemeClr w14:val="tx1"/>
                  </w14:solidFill>
                </w14:textFill>
              </w:rPr>
              <w:t>22</w:t>
            </w:r>
            <w:r>
              <w:rPr>
                <w:rFonts w:hint="default"/>
                <w:color w:val="000000" w:themeColor="text1"/>
                <w:highlight w:val="none"/>
                <w:lang w:val="en-US" w:eastAsia="zh-CN"/>
                <w14:textFill>
                  <w14:solidFill>
                    <w14:schemeClr w14:val="tx1"/>
                  </w14:solidFill>
                </w14:textFill>
              </w:rPr>
              <w:t xml:space="preserve">  项目环保投资表</w:t>
            </w:r>
          </w:p>
          <w:tbl>
            <w:tblPr>
              <w:tblStyle w:val="37"/>
              <w:tblW w:w="4995"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2"/>
              <w:gridCol w:w="740"/>
              <w:gridCol w:w="1599"/>
              <w:gridCol w:w="3403"/>
              <w:gridCol w:w="1046"/>
              <w:gridCol w:w="1139"/>
            </w:tblGrid>
            <w:tr>
              <w:tblPrEx>
                <w:tblLayout w:type="fixed"/>
              </w:tblPrEx>
              <w:trPr>
                <w:trHeight w:val="238" w:hRule="atLeast"/>
                <w:jc w:val="center"/>
              </w:trPr>
              <w:tc>
                <w:tcPr>
                  <w:tcW w:w="462" w:type="dxa"/>
                  <w:tcMar>
                    <w:top w:w="0" w:type="dxa"/>
                    <w:left w:w="108" w:type="dxa"/>
                    <w:bottom w:w="0" w:type="dxa"/>
                    <w:right w:w="108" w:type="dxa"/>
                  </w:tcMar>
                  <w:vAlign w:val="center"/>
                </w:tcPr>
                <w:p>
                  <w:pPr>
                    <w:pStyle w:val="47"/>
                    <w:bidi w:val="0"/>
                    <w:rPr>
                      <w:rFonts w:hint="default"/>
                      <w:b/>
                      <w:bCs/>
                      <w:color w:val="000000" w:themeColor="text1"/>
                      <w:highlight w:val="none"/>
                      <w14:textFill>
                        <w14:solidFill>
                          <w14:schemeClr w14:val="tx1"/>
                        </w14:solidFill>
                      </w14:textFill>
                    </w:rPr>
                  </w:pPr>
                  <w:r>
                    <w:rPr>
                      <w:rFonts w:hint="default"/>
                      <w:b/>
                      <w:bCs/>
                      <w:color w:val="000000" w:themeColor="text1"/>
                      <w:highlight w:val="none"/>
                      <w14:textFill>
                        <w14:solidFill>
                          <w14:schemeClr w14:val="tx1"/>
                        </w14:solidFill>
                      </w14:textFill>
                    </w:rPr>
                    <w:t>序号</w:t>
                  </w:r>
                </w:p>
              </w:tc>
              <w:tc>
                <w:tcPr>
                  <w:tcW w:w="740" w:type="dxa"/>
                  <w:tcMar>
                    <w:top w:w="0" w:type="dxa"/>
                    <w:left w:w="108" w:type="dxa"/>
                    <w:bottom w:w="0" w:type="dxa"/>
                    <w:right w:w="108" w:type="dxa"/>
                  </w:tcMar>
                  <w:vAlign w:val="center"/>
                </w:tcPr>
                <w:p>
                  <w:pPr>
                    <w:pStyle w:val="47"/>
                    <w:bidi w:val="0"/>
                    <w:rPr>
                      <w:rFonts w:hint="default"/>
                      <w:b/>
                      <w:bCs/>
                      <w:color w:val="000000" w:themeColor="text1"/>
                      <w:highlight w:val="none"/>
                      <w14:textFill>
                        <w14:solidFill>
                          <w14:schemeClr w14:val="tx1"/>
                        </w14:solidFill>
                      </w14:textFill>
                    </w:rPr>
                  </w:pPr>
                  <w:r>
                    <w:rPr>
                      <w:rFonts w:hint="default"/>
                      <w:b/>
                      <w:bCs/>
                      <w:color w:val="000000" w:themeColor="text1"/>
                      <w:highlight w:val="none"/>
                      <w14:textFill>
                        <w14:solidFill>
                          <w14:schemeClr w14:val="tx1"/>
                        </w14:solidFill>
                      </w14:textFill>
                    </w:rPr>
                    <w:t>类别</w:t>
                  </w:r>
                </w:p>
              </w:tc>
              <w:tc>
                <w:tcPr>
                  <w:tcW w:w="1599" w:type="dxa"/>
                  <w:tcMar>
                    <w:top w:w="0" w:type="dxa"/>
                    <w:left w:w="108" w:type="dxa"/>
                    <w:bottom w:w="0" w:type="dxa"/>
                    <w:right w:w="108" w:type="dxa"/>
                  </w:tcMar>
                  <w:vAlign w:val="center"/>
                </w:tcPr>
                <w:p>
                  <w:pPr>
                    <w:pStyle w:val="47"/>
                    <w:bidi w:val="0"/>
                    <w:rPr>
                      <w:rFonts w:hint="default"/>
                      <w:b/>
                      <w:bCs/>
                      <w:color w:val="000000" w:themeColor="text1"/>
                      <w:highlight w:val="none"/>
                      <w14:textFill>
                        <w14:solidFill>
                          <w14:schemeClr w14:val="tx1"/>
                        </w14:solidFill>
                      </w14:textFill>
                    </w:rPr>
                  </w:pPr>
                  <w:r>
                    <w:rPr>
                      <w:rFonts w:hint="default"/>
                      <w:b/>
                      <w:bCs/>
                      <w:color w:val="000000" w:themeColor="text1"/>
                      <w:highlight w:val="none"/>
                      <w14:textFill>
                        <w14:solidFill>
                          <w14:schemeClr w14:val="tx1"/>
                        </w14:solidFill>
                      </w14:textFill>
                    </w:rPr>
                    <w:t>治理对象</w:t>
                  </w:r>
                </w:p>
              </w:tc>
              <w:tc>
                <w:tcPr>
                  <w:tcW w:w="3403" w:type="dxa"/>
                  <w:tcMar>
                    <w:top w:w="0" w:type="dxa"/>
                    <w:left w:w="108" w:type="dxa"/>
                    <w:bottom w:w="0" w:type="dxa"/>
                    <w:right w:w="108" w:type="dxa"/>
                  </w:tcMar>
                  <w:vAlign w:val="center"/>
                </w:tcPr>
                <w:p>
                  <w:pPr>
                    <w:pStyle w:val="47"/>
                    <w:bidi w:val="0"/>
                    <w:rPr>
                      <w:rFonts w:hint="default"/>
                      <w:b/>
                      <w:bCs/>
                      <w:color w:val="000000" w:themeColor="text1"/>
                      <w:highlight w:val="none"/>
                      <w14:textFill>
                        <w14:solidFill>
                          <w14:schemeClr w14:val="tx1"/>
                        </w14:solidFill>
                      </w14:textFill>
                    </w:rPr>
                  </w:pPr>
                  <w:r>
                    <w:rPr>
                      <w:rFonts w:hint="default"/>
                      <w:b/>
                      <w:bCs/>
                      <w:color w:val="000000" w:themeColor="text1"/>
                      <w:highlight w:val="none"/>
                      <w14:textFill>
                        <w14:solidFill>
                          <w14:schemeClr w14:val="tx1"/>
                        </w14:solidFill>
                      </w14:textFill>
                    </w:rPr>
                    <w:t>治理方案</w:t>
                  </w:r>
                </w:p>
              </w:tc>
              <w:tc>
                <w:tcPr>
                  <w:tcW w:w="1046" w:type="dxa"/>
                  <w:tcMar>
                    <w:top w:w="0" w:type="dxa"/>
                    <w:left w:w="108" w:type="dxa"/>
                    <w:bottom w:w="0" w:type="dxa"/>
                    <w:right w:w="108" w:type="dxa"/>
                  </w:tcMar>
                  <w:vAlign w:val="center"/>
                </w:tcPr>
                <w:p>
                  <w:pPr>
                    <w:pStyle w:val="47"/>
                    <w:bidi w:val="0"/>
                    <w:rPr>
                      <w:rFonts w:hint="default"/>
                      <w:b/>
                      <w:bCs/>
                      <w:color w:val="000000" w:themeColor="text1"/>
                      <w:highlight w:val="none"/>
                      <w14:textFill>
                        <w14:solidFill>
                          <w14:schemeClr w14:val="tx1"/>
                        </w14:solidFill>
                      </w14:textFill>
                    </w:rPr>
                  </w:pPr>
                  <w:r>
                    <w:rPr>
                      <w:rFonts w:hint="default"/>
                      <w:b/>
                      <w:bCs/>
                      <w:color w:val="000000" w:themeColor="text1"/>
                      <w:highlight w:val="none"/>
                      <w14:textFill>
                        <w14:solidFill>
                          <w14:schemeClr w14:val="tx1"/>
                        </w14:solidFill>
                      </w14:textFill>
                    </w:rPr>
                    <w:t>投资（万元）</w:t>
                  </w:r>
                </w:p>
              </w:tc>
              <w:tc>
                <w:tcPr>
                  <w:tcW w:w="1139" w:type="dxa"/>
                  <w:vAlign w:val="center"/>
                </w:tcPr>
                <w:p>
                  <w:pPr>
                    <w:pStyle w:val="47"/>
                    <w:bidi w:val="0"/>
                    <w:rPr>
                      <w:rFonts w:hint="default"/>
                      <w:b/>
                      <w:bCs/>
                      <w:color w:val="000000" w:themeColor="text1"/>
                      <w:highlight w:val="none"/>
                      <w14:textFill>
                        <w14:solidFill>
                          <w14:schemeClr w14:val="tx1"/>
                        </w14:solidFill>
                      </w14:textFill>
                    </w:rPr>
                  </w:pPr>
                  <w:r>
                    <w:rPr>
                      <w:rFonts w:hint="default"/>
                      <w:b/>
                      <w:bCs/>
                      <w:color w:val="000000" w:themeColor="text1"/>
                      <w:highlight w:val="none"/>
                      <w14:textFill>
                        <w14:solidFill>
                          <w14:schemeClr w14:val="tx1"/>
                        </w14:solidFill>
                      </w14:textFill>
                    </w:rPr>
                    <w:t>治理效果</w:t>
                  </w:r>
                </w:p>
              </w:tc>
            </w:tr>
            <w:tr>
              <w:tblPrEx>
                <w:tblLayout w:type="fixed"/>
              </w:tblPrEx>
              <w:trPr>
                <w:trHeight w:val="1745" w:hRule="atLeast"/>
                <w:jc w:val="center"/>
              </w:trPr>
              <w:tc>
                <w:tcPr>
                  <w:tcW w:w="462" w:type="dxa"/>
                  <w:vMerge w:val="restart"/>
                  <w:tcMar>
                    <w:top w:w="0" w:type="dxa"/>
                    <w:left w:w="108" w:type="dxa"/>
                    <w:bottom w:w="0" w:type="dxa"/>
                    <w:right w:w="108" w:type="dxa"/>
                  </w:tcMar>
                  <w:vAlign w:val="center"/>
                </w:tcPr>
                <w:p>
                  <w:pPr>
                    <w:pStyle w:val="47"/>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1</w:t>
                  </w:r>
                </w:p>
              </w:tc>
              <w:tc>
                <w:tcPr>
                  <w:tcW w:w="740" w:type="dxa"/>
                  <w:vMerge w:val="restart"/>
                  <w:tcMar>
                    <w:top w:w="0" w:type="dxa"/>
                    <w:left w:w="108" w:type="dxa"/>
                    <w:bottom w:w="0" w:type="dxa"/>
                    <w:right w:w="108" w:type="dxa"/>
                  </w:tcMar>
                  <w:vAlign w:val="center"/>
                </w:tcPr>
                <w:p>
                  <w:pPr>
                    <w:pStyle w:val="47"/>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废气治理</w:t>
                  </w:r>
                </w:p>
              </w:tc>
              <w:tc>
                <w:tcPr>
                  <w:tcW w:w="1599" w:type="dxa"/>
                  <w:tcMar>
                    <w:top w:w="0" w:type="dxa"/>
                    <w:left w:w="108" w:type="dxa"/>
                    <w:bottom w:w="0" w:type="dxa"/>
                    <w:right w:w="108" w:type="dxa"/>
                  </w:tcMar>
                  <w:vAlign w:val="center"/>
                </w:tcPr>
                <w:p>
                  <w:pPr>
                    <w:pStyle w:val="47"/>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有组织颗粒物</w:t>
                  </w:r>
                </w:p>
              </w:tc>
              <w:tc>
                <w:tcPr>
                  <w:tcW w:w="3403" w:type="dxa"/>
                  <w:tcMar>
                    <w:top w:w="0" w:type="dxa"/>
                    <w:left w:w="108" w:type="dxa"/>
                    <w:bottom w:w="0" w:type="dxa"/>
                    <w:right w:w="108" w:type="dxa"/>
                  </w:tcMar>
                  <w:vAlign w:val="center"/>
                </w:tcPr>
                <w:p>
                  <w:pPr>
                    <w:pStyle w:val="47"/>
                    <w:keepNext w:val="0"/>
                    <w:keepLines w:val="0"/>
                    <w:pageBreakBefore w:val="0"/>
                    <w:widowControl w:val="0"/>
                    <w:kinsoku/>
                    <w:wordWrap/>
                    <w:overflowPunct/>
                    <w:topLinePunct w:val="0"/>
                    <w:autoSpaceDE/>
                    <w:autoSpaceDN/>
                    <w:bidi w:val="0"/>
                    <w:ind w:firstLine="0" w:firstLineChars="0"/>
                    <w:jc w:val="center"/>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切割、打磨</w:t>
                  </w:r>
                  <w:r>
                    <w:rPr>
                      <w:rFonts w:hint="eastAsia" w:ascii="Times New Roman" w:hAnsi="Times New Roman" w:eastAsia="宋体"/>
                      <w:color w:val="000000" w:themeColor="text1"/>
                      <w:highlight w:val="none"/>
                      <w:lang w:val="en-US" w:eastAsia="zh-CN"/>
                      <w14:textFill>
                        <w14:solidFill>
                          <w14:schemeClr w14:val="tx1"/>
                        </w14:solidFill>
                      </w14:textFill>
                    </w:rPr>
                    <w:t>粉尘经集气罩收集后</w:t>
                  </w:r>
                  <w:r>
                    <w:rPr>
                      <w:rFonts w:hint="eastAsia"/>
                      <w:color w:val="000000" w:themeColor="text1"/>
                      <w:highlight w:val="none"/>
                      <w:lang w:val="en-US" w:eastAsia="zh-CN"/>
                      <w14:textFill>
                        <w14:solidFill>
                          <w14:schemeClr w14:val="tx1"/>
                        </w14:solidFill>
                      </w14:textFill>
                    </w:rPr>
                    <w:t>，</w:t>
                  </w:r>
                  <w:r>
                    <w:rPr>
                      <w:rFonts w:hint="eastAsia" w:ascii="Times New Roman" w:hAnsi="Times New Roman" w:eastAsia="宋体"/>
                      <w:color w:val="000000" w:themeColor="text1"/>
                      <w:highlight w:val="none"/>
                      <w:lang w:val="en-US" w:eastAsia="zh-CN"/>
                      <w14:textFill>
                        <w14:solidFill>
                          <w14:schemeClr w14:val="tx1"/>
                        </w14:solidFill>
                      </w14:textFill>
                    </w:rPr>
                    <w:t>经集气罩收集一起通过布袋除尘器处理后由1根15m高的排气筒（DA001）排放</w:t>
                  </w:r>
                </w:p>
              </w:tc>
              <w:tc>
                <w:tcPr>
                  <w:tcW w:w="1046" w:type="dxa"/>
                  <w:vMerge w:val="restart"/>
                  <w:tcMar>
                    <w:top w:w="0" w:type="dxa"/>
                    <w:left w:w="108" w:type="dxa"/>
                    <w:bottom w:w="0" w:type="dxa"/>
                    <w:right w:w="108" w:type="dxa"/>
                  </w:tcMar>
                  <w:vAlign w:val="center"/>
                </w:tcPr>
                <w:p>
                  <w:pPr>
                    <w:pStyle w:val="47"/>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20</w:t>
                  </w:r>
                </w:p>
              </w:tc>
              <w:tc>
                <w:tcPr>
                  <w:tcW w:w="1139" w:type="dxa"/>
                  <w:vMerge w:val="restart"/>
                  <w:vAlign w:val="center"/>
                </w:tcPr>
                <w:p>
                  <w:pPr>
                    <w:pStyle w:val="47"/>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达标排放</w:t>
                  </w:r>
                </w:p>
              </w:tc>
            </w:tr>
            <w:tr>
              <w:tblPrEx>
                <w:tblLayout w:type="fixed"/>
              </w:tblPrEx>
              <w:trPr>
                <w:trHeight w:val="131" w:hRule="atLeast"/>
                <w:jc w:val="center"/>
              </w:trPr>
              <w:tc>
                <w:tcPr>
                  <w:tcW w:w="462" w:type="dxa"/>
                  <w:vMerge w:val="continue"/>
                  <w:tcMar>
                    <w:top w:w="0" w:type="dxa"/>
                    <w:left w:w="108" w:type="dxa"/>
                    <w:bottom w:w="0" w:type="dxa"/>
                    <w:right w:w="108" w:type="dxa"/>
                  </w:tcMar>
                  <w:vAlign w:val="center"/>
                </w:tcPr>
                <w:p>
                  <w:pPr>
                    <w:pStyle w:val="47"/>
                    <w:bidi w:val="0"/>
                    <w:rPr>
                      <w:color w:val="000000" w:themeColor="text1"/>
                      <w:highlight w:val="none"/>
                      <w14:textFill>
                        <w14:solidFill>
                          <w14:schemeClr w14:val="tx1"/>
                        </w14:solidFill>
                      </w14:textFill>
                    </w:rPr>
                  </w:pPr>
                </w:p>
              </w:tc>
              <w:tc>
                <w:tcPr>
                  <w:tcW w:w="740" w:type="dxa"/>
                  <w:vMerge w:val="continue"/>
                  <w:tcMar>
                    <w:top w:w="0" w:type="dxa"/>
                    <w:left w:w="108" w:type="dxa"/>
                    <w:bottom w:w="0" w:type="dxa"/>
                    <w:right w:w="108" w:type="dxa"/>
                  </w:tcMar>
                  <w:vAlign w:val="center"/>
                </w:tcPr>
                <w:p>
                  <w:pPr>
                    <w:pStyle w:val="47"/>
                    <w:bidi w:val="0"/>
                    <w:rPr>
                      <w:color w:val="000000" w:themeColor="text1"/>
                      <w:highlight w:val="none"/>
                      <w14:textFill>
                        <w14:solidFill>
                          <w14:schemeClr w14:val="tx1"/>
                        </w14:solidFill>
                      </w14:textFill>
                    </w:rPr>
                  </w:pPr>
                </w:p>
              </w:tc>
              <w:tc>
                <w:tcPr>
                  <w:tcW w:w="1599" w:type="dxa"/>
                  <w:tcMar>
                    <w:top w:w="0" w:type="dxa"/>
                    <w:left w:w="108" w:type="dxa"/>
                    <w:bottom w:w="0" w:type="dxa"/>
                    <w:right w:w="108" w:type="dxa"/>
                  </w:tcMar>
                  <w:vAlign w:val="center"/>
                </w:tcPr>
                <w:p>
                  <w:pPr>
                    <w:pStyle w:val="47"/>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无组织颗粒物</w:t>
                  </w:r>
                </w:p>
              </w:tc>
              <w:tc>
                <w:tcPr>
                  <w:tcW w:w="3403" w:type="dxa"/>
                  <w:tcMar>
                    <w:top w:w="0" w:type="dxa"/>
                    <w:left w:w="108" w:type="dxa"/>
                    <w:bottom w:w="0" w:type="dxa"/>
                    <w:right w:w="108" w:type="dxa"/>
                  </w:tcMar>
                  <w:vAlign w:val="center"/>
                </w:tcPr>
                <w:p>
                  <w:pPr>
                    <w:pStyle w:val="47"/>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焊接粉尘经</w:t>
                  </w:r>
                  <w:r>
                    <w:rPr>
                      <w:rFonts w:hint="default" w:ascii="Times New Roman" w:hAnsi="Times New Roman" w:eastAsia="宋体" w:cs="Times New Roman"/>
                      <w:bCs/>
                      <w:color w:val="000000"/>
                      <w:kern w:val="2"/>
                      <w:sz w:val="21"/>
                      <w:szCs w:val="21"/>
                      <w:highlight w:val="none"/>
                      <w:lang w:val="en-US" w:eastAsia="zh-CN" w:bidi="ar-SA"/>
                    </w:rPr>
                    <w:t>移动式焊接烟尘净化器</w:t>
                  </w:r>
                  <w:r>
                    <w:rPr>
                      <w:rFonts w:hint="eastAsia" w:ascii="Times New Roman" w:hAnsi="Times New Roman" w:eastAsia="宋体" w:cs="Times New Roman"/>
                      <w:bCs/>
                      <w:color w:val="000000"/>
                      <w:kern w:val="2"/>
                      <w:sz w:val="21"/>
                      <w:szCs w:val="21"/>
                      <w:highlight w:val="none"/>
                      <w:lang w:val="en-US" w:eastAsia="zh-CN" w:bidi="ar-SA"/>
                    </w:rPr>
                    <w:t>收集处理后，厂区无组织排放；车间通风</w:t>
                  </w:r>
                </w:p>
              </w:tc>
              <w:tc>
                <w:tcPr>
                  <w:tcW w:w="1046" w:type="dxa"/>
                  <w:vMerge w:val="continue"/>
                  <w:tcMar>
                    <w:top w:w="0" w:type="dxa"/>
                    <w:left w:w="108" w:type="dxa"/>
                    <w:bottom w:w="0" w:type="dxa"/>
                    <w:right w:w="108" w:type="dxa"/>
                  </w:tcMar>
                  <w:vAlign w:val="center"/>
                </w:tcPr>
                <w:p>
                  <w:pPr>
                    <w:pStyle w:val="47"/>
                    <w:bidi w:val="0"/>
                    <w:rPr>
                      <w:rFonts w:hint="eastAsia"/>
                      <w:color w:val="000000" w:themeColor="text1"/>
                      <w:highlight w:val="none"/>
                      <w:lang w:val="en-US" w:eastAsia="zh-CN"/>
                      <w14:textFill>
                        <w14:solidFill>
                          <w14:schemeClr w14:val="tx1"/>
                        </w14:solidFill>
                      </w14:textFill>
                    </w:rPr>
                  </w:pPr>
                </w:p>
              </w:tc>
              <w:tc>
                <w:tcPr>
                  <w:tcW w:w="1139" w:type="dxa"/>
                  <w:vMerge w:val="continue"/>
                  <w:vAlign w:val="center"/>
                </w:tcPr>
                <w:p>
                  <w:pPr>
                    <w:pStyle w:val="47"/>
                    <w:bidi w:val="0"/>
                    <w:rPr>
                      <w:rFonts w:hint="eastAsia"/>
                      <w:color w:val="000000" w:themeColor="text1"/>
                      <w:highlight w:val="none"/>
                      <w:lang w:val="en-US" w:eastAsia="zh-CN"/>
                      <w14:textFill>
                        <w14:solidFill>
                          <w14:schemeClr w14:val="tx1"/>
                        </w14:solidFill>
                      </w14:textFill>
                    </w:rPr>
                  </w:pPr>
                </w:p>
              </w:tc>
            </w:tr>
            <w:tr>
              <w:tblPrEx>
                <w:tblLayout w:type="fixed"/>
              </w:tblPrEx>
              <w:trPr>
                <w:trHeight w:val="539" w:hRule="atLeast"/>
                <w:jc w:val="center"/>
              </w:trPr>
              <w:tc>
                <w:tcPr>
                  <w:tcW w:w="462" w:type="dxa"/>
                  <w:tcMar>
                    <w:top w:w="0" w:type="dxa"/>
                    <w:left w:w="108" w:type="dxa"/>
                    <w:bottom w:w="0" w:type="dxa"/>
                    <w:right w:w="108" w:type="dxa"/>
                  </w:tcMar>
                  <w:vAlign w:val="center"/>
                </w:tcPr>
                <w:p>
                  <w:pPr>
                    <w:pStyle w:val="47"/>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740" w:type="dxa"/>
                  <w:tcMar>
                    <w:top w:w="0" w:type="dxa"/>
                    <w:left w:w="108" w:type="dxa"/>
                    <w:bottom w:w="0" w:type="dxa"/>
                    <w:right w:w="108" w:type="dxa"/>
                  </w:tcMar>
                  <w:vAlign w:val="center"/>
                </w:tcPr>
                <w:p>
                  <w:pPr>
                    <w:pStyle w:val="47"/>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废水</w:t>
                  </w:r>
                </w:p>
              </w:tc>
              <w:tc>
                <w:tcPr>
                  <w:tcW w:w="1599" w:type="dxa"/>
                  <w:tcMar>
                    <w:top w:w="0" w:type="dxa"/>
                    <w:left w:w="108" w:type="dxa"/>
                    <w:bottom w:w="0" w:type="dxa"/>
                    <w:right w:w="108" w:type="dxa"/>
                  </w:tcMar>
                  <w:vAlign w:val="center"/>
                </w:tcPr>
                <w:p>
                  <w:pPr>
                    <w:pStyle w:val="47"/>
                    <w:bidi w:val="0"/>
                    <w:rPr>
                      <w:rFonts w:hint="default"/>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生活污水</w:t>
                  </w:r>
                </w:p>
              </w:tc>
              <w:tc>
                <w:tcPr>
                  <w:tcW w:w="3403" w:type="dxa"/>
                  <w:tcMar>
                    <w:top w:w="0" w:type="dxa"/>
                    <w:left w:w="108" w:type="dxa"/>
                    <w:bottom w:w="0" w:type="dxa"/>
                    <w:right w:w="108" w:type="dxa"/>
                  </w:tcMar>
                  <w:vAlign w:val="center"/>
                </w:tcPr>
                <w:p>
                  <w:pPr>
                    <w:pStyle w:val="47"/>
                    <w:bidi w:val="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依托安徽飞松机械股份有限公司化粪池处理后，</w:t>
                  </w:r>
                  <w:r>
                    <w:rPr>
                      <w:rFonts w:hint="eastAsia"/>
                      <w:color w:val="000000" w:themeColor="text1"/>
                      <w:highlight w:val="none"/>
                      <w:lang w:val="en-US" w:eastAsia="zh-CN"/>
                      <w14:textFill>
                        <w14:solidFill>
                          <w14:schemeClr w14:val="tx1"/>
                        </w14:solidFill>
                      </w14:textFill>
                    </w:rPr>
                    <w:t>排入市政管网，由</w:t>
                  </w:r>
                  <w:r>
                    <w:rPr>
                      <w:rFonts w:hint="default"/>
                      <w:color w:val="000000" w:themeColor="text1"/>
                      <w:highlight w:val="none"/>
                      <w:lang w:val="en-US" w:eastAsia="zh-CN"/>
                      <w14:textFill>
                        <w14:solidFill>
                          <w14:schemeClr w14:val="tx1"/>
                        </w14:solidFill>
                      </w14:textFill>
                    </w:rPr>
                    <w:t>灵璧开发区北部新区污水处理厂</w:t>
                  </w:r>
                  <w:r>
                    <w:rPr>
                      <w:rFonts w:hint="eastAsia"/>
                      <w:color w:val="000000" w:themeColor="text1"/>
                      <w:highlight w:val="none"/>
                      <w:lang w:val="en-US" w:eastAsia="zh-CN"/>
                      <w14:textFill>
                        <w14:solidFill>
                          <w14:schemeClr w14:val="tx1"/>
                        </w14:solidFill>
                      </w14:textFill>
                    </w:rPr>
                    <w:t>处理达标后，排入阎河</w:t>
                  </w:r>
                </w:p>
              </w:tc>
              <w:tc>
                <w:tcPr>
                  <w:tcW w:w="1046" w:type="dxa"/>
                  <w:tcMar>
                    <w:top w:w="0" w:type="dxa"/>
                    <w:left w:w="108" w:type="dxa"/>
                    <w:bottom w:w="0" w:type="dxa"/>
                    <w:right w:w="108" w:type="dxa"/>
                  </w:tcMar>
                  <w:vAlign w:val="center"/>
                </w:tcPr>
                <w:p>
                  <w:pPr>
                    <w:pStyle w:val="47"/>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c>
                <w:tcPr>
                  <w:tcW w:w="1139" w:type="dxa"/>
                  <w:vAlign w:val="center"/>
                </w:tcPr>
                <w:p>
                  <w:pPr>
                    <w:pStyle w:val="47"/>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达标排放</w:t>
                  </w:r>
                </w:p>
              </w:tc>
            </w:tr>
            <w:tr>
              <w:tblPrEx>
                <w:tblLayout w:type="fixed"/>
              </w:tblPrEx>
              <w:trPr>
                <w:trHeight w:val="539" w:hRule="atLeast"/>
                <w:jc w:val="center"/>
              </w:trPr>
              <w:tc>
                <w:tcPr>
                  <w:tcW w:w="462" w:type="dxa"/>
                  <w:tcMar>
                    <w:top w:w="0" w:type="dxa"/>
                    <w:left w:w="108" w:type="dxa"/>
                    <w:bottom w:w="0" w:type="dxa"/>
                    <w:right w:w="108" w:type="dxa"/>
                  </w:tcMar>
                  <w:vAlign w:val="center"/>
                </w:tcPr>
                <w:p>
                  <w:pPr>
                    <w:pStyle w:val="47"/>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740" w:type="dxa"/>
                  <w:tcMar>
                    <w:top w:w="0" w:type="dxa"/>
                    <w:left w:w="108" w:type="dxa"/>
                    <w:bottom w:w="0" w:type="dxa"/>
                    <w:right w:w="108" w:type="dxa"/>
                  </w:tcMar>
                  <w:vAlign w:val="center"/>
                </w:tcPr>
                <w:p>
                  <w:pPr>
                    <w:pStyle w:val="47"/>
                    <w:bidi w:val="0"/>
                    <w:rPr>
                      <w:rFonts w:hint="eastAsia"/>
                      <w:color w:val="000000" w:themeColor="text1"/>
                      <w:highlight w:val="none"/>
                      <w:lang w:val="en-US" w:eastAsia="zh-CN"/>
                      <w14:textFill>
                        <w14:solidFill>
                          <w14:schemeClr w14:val="tx1"/>
                        </w14:solidFill>
                      </w14:textFill>
                    </w:rPr>
                  </w:pPr>
                  <w:r>
                    <w:rPr>
                      <w:rFonts w:hint="default"/>
                      <w:color w:val="000000" w:themeColor="text1"/>
                      <w:highlight w:val="none"/>
                      <w14:textFill>
                        <w14:solidFill>
                          <w14:schemeClr w14:val="tx1"/>
                        </w14:solidFill>
                      </w14:textFill>
                    </w:rPr>
                    <w:t>噪声治理</w:t>
                  </w:r>
                </w:p>
              </w:tc>
              <w:tc>
                <w:tcPr>
                  <w:tcW w:w="1599" w:type="dxa"/>
                  <w:tcMar>
                    <w:top w:w="0" w:type="dxa"/>
                    <w:left w:w="108" w:type="dxa"/>
                    <w:bottom w:w="0" w:type="dxa"/>
                    <w:right w:w="108" w:type="dxa"/>
                  </w:tcMar>
                  <w:vAlign w:val="center"/>
                </w:tcPr>
                <w:p>
                  <w:pPr>
                    <w:pStyle w:val="47"/>
                    <w:bidi w:val="0"/>
                    <w:rPr>
                      <w:rFonts w:hint="eastAsia"/>
                      <w:color w:val="000000" w:themeColor="text1"/>
                      <w:highlight w:val="none"/>
                      <w:lang w:val="en-US" w:eastAsia="zh-CN"/>
                      <w14:textFill>
                        <w14:solidFill>
                          <w14:schemeClr w14:val="tx1"/>
                        </w14:solidFill>
                      </w14:textFill>
                    </w:rPr>
                  </w:pPr>
                  <w:r>
                    <w:rPr>
                      <w:rFonts w:hint="default"/>
                      <w:color w:val="000000" w:themeColor="text1"/>
                      <w:highlight w:val="none"/>
                      <w14:textFill>
                        <w14:solidFill>
                          <w14:schemeClr w14:val="tx1"/>
                        </w14:solidFill>
                      </w14:textFill>
                    </w:rPr>
                    <w:t>设备运行产生的噪声</w:t>
                  </w:r>
                </w:p>
              </w:tc>
              <w:tc>
                <w:tcPr>
                  <w:tcW w:w="3403" w:type="dxa"/>
                  <w:tcMar>
                    <w:top w:w="0" w:type="dxa"/>
                    <w:left w:w="108" w:type="dxa"/>
                    <w:bottom w:w="0" w:type="dxa"/>
                    <w:right w:w="108" w:type="dxa"/>
                  </w:tcMar>
                  <w:vAlign w:val="center"/>
                </w:tcPr>
                <w:p>
                  <w:pPr>
                    <w:pStyle w:val="47"/>
                    <w:bidi w:val="0"/>
                    <w:rPr>
                      <w:rFonts w:hint="eastAsia"/>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szCs w:val="21"/>
                      <w:highlight w:val="none"/>
                      <w14:textFill>
                        <w14:solidFill>
                          <w14:schemeClr w14:val="tx1"/>
                        </w14:solidFill>
                      </w14:textFill>
                    </w:rPr>
                    <w:t>采取消声、减震、隔声等措施</w:t>
                  </w:r>
                </w:p>
              </w:tc>
              <w:tc>
                <w:tcPr>
                  <w:tcW w:w="1046" w:type="dxa"/>
                  <w:tcMar>
                    <w:top w:w="0" w:type="dxa"/>
                    <w:left w:w="108" w:type="dxa"/>
                    <w:bottom w:w="0" w:type="dxa"/>
                    <w:right w:w="108" w:type="dxa"/>
                  </w:tcMar>
                  <w:vAlign w:val="center"/>
                </w:tcPr>
                <w:p>
                  <w:pPr>
                    <w:pStyle w:val="47"/>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p>
              </w:tc>
              <w:tc>
                <w:tcPr>
                  <w:tcW w:w="1139" w:type="dxa"/>
                  <w:vAlign w:val="center"/>
                </w:tcPr>
                <w:p>
                  <w:pPr>
                    <w:pStyle w:val="47"/>
                    <w:bidi w:val="0"/>
                    <w:rPr>
                      <w:rFonts w:hint="eastAsia"/>
                      <w:color w:val="000000" w:themeColor="text1"/>
                      <w:highlight w:val="none"/>
                      <w:lang w:val="en-US" w:eastAsia="zh-CN"/>
                      <w14:textFill>
                        <w14:solidFill>
                          <w14:schemeClr w14:val="tx1"/>
                        </w14:solidFill>
                      </w14:textFill>
                    </w:rPr>
                  </w:pPr>
                  <w:r>
                    <w:rPr>
                      <w:rFonts w:hint="default"/>
                      <w:color w:val="000000" w:themeColor="text1"/>
                      <w:highlight w:val="none"/>
                      <w14:textFill>
                        <w14:solidFill>
                          <w14:schemeClr w14:val="tx1"/>
                        </w14:solidFill>
                      </w14:textFill>
                    </w:rPr>
                    <w:t>噪声达标排放</w:t>
                  </w:r>
                </w:p>
              </w:tc>
            </w:tr>
            <w:tr>
              <w:tblPrEx>
                <w:tblLayout w:type="fixed"/>
              </w:tblPrEx>
              <w:trPr>
                <w:trHeight w:val="539" w:hRule="atLeast"/>
                <w:jc w:val="center"/>
              </w:trPr>
              <w:tc>
                <w:tcPr>
                  <w:tcW w:w="462" w:type="dxa"/>
                  <w:vMerge w:val="restart"/>
                  <w:tcMar>
                    <w:top w:w="0" w:type="dxa"/>
                    <w:left w:w="108" w:type="dxa"/>
                    <w:bottom w:w="0" w:type="dxa"/>
                    <w:right w:w="108" w:type="dxa"/>
                  </w:tcMar>
                  <w:vAlign w:val="center"/>
                </w:tcPr>
                <w:p>
                  <w:pPr>
                    <w:pStyle w:val="47"/>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740" w:type="dxa"/>
                  <w:vMerge w:val="restart"/>
                  <w:tcMar>
                    <w:top w:w="0" w:type="dxa"/>
                    <w:left w:w="108" w:type="dxa"/>
                    <w:bottom w:w="0" w:type="dxa"/>
                    <w:right w:w="108" w:type="dxa"/>
                  </w:tcMar>
                  <w:vAlign w:val="center"/>
                </w:tcPr>
                <w:p>
                  <w:pPr>
                    <w:pStyle w:val="47"/>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固体废物</w:t>
                  </w:r>
                </w:p>
              </w:tc>
              <w:tc>
                <w:tcPr>
                  <w:tcW w:w="1599" w:type="dxa"/>
                  <w:tcMar>
                    <w:top w:w="0" w:type="dxa"/>
                    <w:left w:w="108" w:type="dxa"/>
                    <w:bottom w:w="0" w:type="dxa"/>
                    <w:right w:w="108" w:type="dxa"/>
                  </w:tcMar>
                  <w:vAlign w:val="center"/>
                </w:tcPr>
                <w:p>
                  <w:pPr>
                    <w:pStyle w:val="47"/>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生活垃圾</w:t>
                  </w:r>
                </w:p>
              </w:tc>
              <w:tc>
                <w:tcPr>
                  <w:tcW w:w="3403" w:type="dxa"/>
                  <w:tcMar>
                    <w:top w:w="0" w:type="dxa"/>
                    <w:left w:w="108" w:type="dxa"/>
                    <w:bottom w:w="0" w:type="dxa"/>
                    <w:right w:w="108" w:type="dxa"/>
                  </w:tcMar>
                  <w:vAlign w:val="center"/>
                </w:tcPr>
                <w:p>
                  <w:pPr>
                    <w:pStyle w:val="47"/>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生活垃圾交由环卫部门统一清运处理；</w:t>
                  </w:r>
                </w:p>
              </w:tc>
              <w:tc>
                <w:tcPr>
                  <w:tcW w:w="1046" w:type="dxa"/>
                  <w:vMerge w:val="restart"/>
                  <w:tcMar>
                    <w:top w:w="0" w:type="dxa"/>
                    <w:left w:w="108" w:type="dxa"/>
                    <w:bottom w:w="0" w:type="dxa"/>
                    <w:right w:w="108" w:type="dxa"/>
                  </w:tcMar>
                  <w:vAlign w:val="center"/>
                </w:tcPr>
                <w:p>
                  <w:pPr>
                    <w:pStyle w:val="47"/>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p>
              </w:tc>
              <w:tc>
                <w:tcPr>
                  <w:tcW w:w="1139" w:type="dxa"/>
                  <w:vMerge w:val="restart"/>
                  <w:vAlign w:val="center"/>
                </w:tcPr>
                <w:p>
                  <w:pPr>
                    <w:pStyle w:val="47"/>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确保固废得到妥善处置，不产生二次污染</w:t>
                  </w:r>
                </w:p>
              </w:tc>
            </w:tr>
            <w:tr>
              <w:tblPrEx>
                <w:tblLayout w:type="fixed"/>
              </w:tblPrEx>
              <w:trPr>
                <w:trHeight w:val="539" w:hRule="atLeast"/>
                <w:jc w:val="center"/>
              </w:trPr>
              <w:tc>
                <w:tcPr>
                  <w:tcW w:w="462" w:type="dxa"/>
                  <w:vMerge w:val="continue"/>
                  <w:tcMar>
                    <w:top w:w="0" w:type="dxa"/>
                    <w:left w:w="108" w:type="dxa"/>
                    <w:bottom w:w="0" w:type="dxa"/>
                    <w:right w:w="108" w:type="dxa"/>
                  </w:tcMar>
                  <w:vAlign w:val="center"/>
                </w:tcPr>
                <w:p>
                  <w:pPr>
                    <w:pStyle w:val="47"/>
                    <w:bidi w:val="0"/>
                    <w:rPr>
                      <w:rFonts w:hint="eastAsia"/>
                      <w:color w:val="000000" w:themeColor="text1"/>
                      <w:highlight w:val="none"/>
                      <w:lang w:val="en-US" w:eastAsia="zh-CN"/>
                      <w14:textFill>
                        <w14:solidFill>
                          <w14:schemeClr w14:val="tx1"/>
                        </w14:solidFill>
                      </w14:textFill>
                    </w:rPr>
                  </w:pPr>
                </w:p>
              </w:tc>
              <w:tc>
                <w:tcPr>
                  <w:tcW w:w="740" w:type="dxa"/>
                  <w:vMerge w:val="continue"/>
                  <w:tcMar>
                    <w:top w:w="0" w:type="dxa"/>
                    <w:left w:w="108" w:type="dxa"/>
                    <w:bottom w:w="0" w:type="dxa"/>
                    <w:right w:w="108" w:type="dxa"/>
                  </w:tcMar>
                  <w:vAlign w:val="center"/>
                </w:tcPr>
                <w:p>
                  <w:pPr>
                    <w:pStyle w:val="47"/>
                    <w:bidi w:val="0"/>
                    <w:rPr>
                      <w:rFonts w:hint="default"/>
                      <w:color w:val="000000" w:themeColor="text1"/>
                      <w:highlight w:val="none"/>
                      <w14:textFill>
                        <w14:solidFill>
                          <w14:schemeClr w14:val="tx1"/>
                        </w14:solidFill>
                      </w14:textFill>
                    </w:rPr>
                  </w:pPr>
                </w:p>
              </w:tc>
              <w:tc>
                <w:tcPr>
                  <w:tcW w:w="1599" w:type="dxa"/>
                  <w:tcMar>
                    <w:top w:w="0" w:type="dxa"/>
                    <w:left w:w="108" w:type="dxa"/>
                    <w:bottom w:w="0" w:type="dxa"/>
                    <w:right w:w="108" w:type="dxa"/>
                  </w:tcMar>
                  <w:vAlign w:val="center"/>
                </w:tcPr>
                <w:p>
                  <w:pPr>
                    <w:pStyle w:val="47"/>
                    <w:bidi w:val="0"/>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废润滑油、废润滑油桶</w:t>
                  </w:r>
                  <w:r>
                    <w:rPr>
                      <w:rFonts w:hint="eastAsia"/>
                      <w:color w:val="000000" w:themeColor="text1"/>
                      <w:highlight w:val="none"/>
                      <w:lang w:val="en-US" w:eastAsia="zh-CN"/>
                      <w14:textFill>
                        <w14:solidFill>
                          <w14:schemeClr w14:val="tx1"/>
                        </w14:solidFill>
                      </w14:textFill>
                    </w:rPr>
                    <w:t>、废切削液</w:t>
                  </w:r>
                </w:p>
              </w:tc>
              <w:tc>
                <w:tcPr>
                  <w:tcW w:w="3403" w:type="dxa"/>
                  <w:tcMar>
                    <w:top w:w="0" w:type="dxa"/>
                    <w:left w:w="108" w:type="dxa"/>
                    <w:bottom w:w="0" w:type="dxa"/>
                    <w:right w:w="108" w:type="dxa"/>
                  </w:tcMar>
                  <w:vAlign w:val="center"/>
                </w:tcPr>
                <w:p>
                  <w:pPr>
                    <w:pStyle w:val="47"/>
                    <w:bidi w:val="0"/>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暂存于危废仓库</w:t>
                  </w:r>
                  <w:r>
                    <w:rPr>
                      <w:rFonts w:hint="default" w:ascii="Times New Roman" w:hAnsi="Times New Roman" w:eastAsia="宋体"/>
                      <w:color w:val="000000" w:themeColor="text1"/>
                      <w:highlight w:val="none"/>
                      <w:lang w:val="en-US" w:eastAsia="zh-CN"/>
                      <w14:textFill>
                        <w14:solidFill>
                          <w14:schemeClr w14:val="tx1"/>
                        </w14:solidFill>
                      </w14:textFill>
                    </w:rPr>
                    <w:t>，</w:t>
                  </w:r>
                  <w:r>
                    <w:rPr>
                      <w:rFonts w:hint="eastAsia" w:ascii="Times New Roman" w:hAnsi="Times New Roman" w:eastAsia="宋体"/>
                      <w:color w:val="000000" w:themeColor="text1"/>
                      <w:highlight w:val="none"/>
                      <w:lang w:val="en-US" w:eastAsia="zh-CN"/>
                      <w14:textFill>
                        <w14:solidFill>
                          <w14:schemeClr w14:val="tx1"/>
                        </w14:solidFill>
                      </w14:textFill>
                    </w:rPr>
                    <w:t>定期交由</w:t>
                  </w:r>
                  <w:r>
                    <w:rPr>
                      <w:rFonts w:hint="default" w:ascii="Times New Roman" w:hAnsi="Times New Roman" w:eastAsia="宋体"/>
                      <w:color w:val="000000" w:themeColor="text1"/>
                      <w:highlight w:val="none"/>
                      <w:lang w:val="en-US" w:eastAsia="zh-CN"/>
                      <w14:textFill>
                        <w14:solidFill>
                          <w14:schemeClr w14:val="tx1"/>
                        </w14:solidFill>
                      </w14:textFill>
                    </w:rPr>
                    <w:t>有资质单位处置</w:t>
                  </w:r>
                </w:p>
              </w:tc>
              <w:tc>
                <w:tcPr>
                  <w:tcW w:w="1046" w:type="dxa"/>
                  <w:vMerge w:val="continue"/>
                  <w:tcMar>
                    <w:top w:w="0" w:type="dxa"/>
                    <w:left w:w="108" w:type="dxa"/>
                    <w:bottom w:w="0" w:type="dxa"/>
                    <w:right w:w="108" w:type="dxa"/>
                  </w:tcMar>
                  <w:vAlign w:val="center"/>
                </w:tcPr>
                <w:p>
                  <w:pPr>
                    <w:pStyle w:val="47"/>
                    <w:bidi w:val="0"/>
                    <w:rPr>
                      <w:rFonts w:hint="eastAsia"/>
                      <w:color w:val="000000" w:themeColor="text1"/>
                      <w:highlight w:val="none"/>
                      <w:lang w:val="en-US" w:eastAsia="zh-CN"/>
                      <w14:textFill>
                        <w14:solidFill>
                          <w14:schemeClr w14:val="tx1"/>
                        </w14:solidFill>
                      </w14:textFill>
                    </w:rPr>
                  </w:pPr>
                </w:p>
              </w:tc>
              <w:tc>
                <w:tcPr>
                  <w:tcW w:w="1139" w:type="dxa"/>
                  <w:vMerge w:val="continue"/>
                  <w:vAlign w:val="center"/>
                </w:tcPr>
                <w:p>
                  <w:pPr>
                    <w:pStyle w:val="47"/>
                    <w:bidi w:val="0"/>
                    <w:rPr>
                      <w:rFonts w:hint="default"/>
                      <w:color w:val="000000" w:themeColor="text1"/>
                      <w:highlight w:val="none"/>
                      <w14:textFill>
                        <w14:solidFill>
                          <w14:schemeClr w14:val="tx1"/>
                        </w14:solidFill>
                      </w14:textFill>
                    </w:rPr>
                  </w:pPr>
                </w:p>
              </w:tc>
            </w:tr>
            <w:tr>
              <w:tblPrEx>
                <w:tblLayout w:type="fixed"/>
              </w:tblPrEx>
              <w:trPr>
                <w:trHeight w:val="539" w:hRule="atLeast"/>
                <w:jc w:val="center"/>
              </w:trPr>
              <w:tc>
                <w:tcPr>
                  <w:tcW w:w="462" w:type="dxa"/>
                  <w:vMerge w:val="continue"/>
                  <w:tcMar>
                    <w:top w:w="0" w:type="dxa"/>
                    <w:left w:w="108" w:type="dxa"/>
                    <w:bottom w:w="0" w:type="dxa"/>
                    <w:right w:w="108" w:type="dxa"/>
                  </w:tcMar>
                  <w:vAlign w:val="center"/>
                </w:tcPr>
                <w:p>
                  <w:pPr>
                    <w:pStyle w:val="47"/>
                    <w:bidi w:val="0"/>
                    <w:rPr>
                      <w:rFonts w:hint="eastAsia"/>
                      <w:color w:val="000000" w:themeColor="text1"/>
                      <w:highlight w:val="none"/>
                      <w:lang w:val="en-US" w:eastAsia="zh-CN"/>
                      <w14:textFill>
                        <w14:solidFill>
                          <w14:schemeClr w14:val="tx1"/>
                        </w14:solidFill>
                      </w14:textFill>
                    </w:rPr>
                  </w:pPr>
                </w:p>
              </w:tc>
              <w:tc>
                <w:tcPr>
                  <w:tcW w:w="740" w:type="dxa"/>
                  <w:vMerge w:val="continue"/>
                  <w:tcMar>
                    <w:top w:w="0" w:type="dxa"/>
                    <w:left w:w="108" w:type="dxa"/>
                    <w:bottom w:w="0" w:type="dxa"/>
                    <w:right w:w="108" w:type="dxa"/>
                  </w:tcMar>
                  <w:vAlign w:val="center"/>
                </w:tcPr>
                <w:p>
                  <w:pPr>
                    <w:pStyle w:val="47"/>
                    <w:bidi w:val="0"/>
                    <w:rPr>
                      <w:rFonts w:hint="default"/>
                      <w:color w:val="000000" w:themeColor="text1"/>
                      <w:highlight w:val="none"/>
                      <w14:textFill>
                        <w14:solidFill>
                          <w14:schemeClr w14:val="tx1"/>
                        </w14:solidFill>
                      </w14:textFill>
                    </w:rPr>
                  </w:pPr>
                </w:p>
              </w:tc>
              <w:tc>
                <w:tcPr>
                  <w:tcW w:w="1599" w:type="dxa"/>
                  <w:tcMar>
                    <w:top w:w="0" w:type="dxa"/>
                    <w:left w:w="108" w:type="dxa"/>
                    <w:bottom w:w="0" w:type="dxa"/>
                    <w:right w:w="108" w:type="dxa"/>
                  </w:tcMar>
                  <w:vAlign w:val="center"/>
                </w:tcPr>
                <w:p>
                  <w:pPr>
                    <w:pStyle w:val="47"/>
                    <w:bidi w:val="0"/>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焊渣</w:t>
                  </w:r>
                </w:p>
              </w:tc>
              <w:tc>
                <w:tcPr>
                  <w:tcW w:w="3403" w:type="dxa"/>
                  <w:vMerge w:val="restart"/>
                  <w:tcMar>
                    <w:top w:w="0" w:type="dxa"/>
                    <w:left w:w="108" w:type="dxa"/>
                    <w:bottom w:w="0" w:type="dxa"/>
                    <w:right w:w="108" w:type="dxa"/>
                  </w:tcMar>
                  <w:vAlign w:val="center"/>
                </w:tcPr>
                <w:p>
                  <w:pPr>
                    <w:pStyle w:val="47"/>
                    <w:bidi w:val="0"/>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外售物资回收单位综合利用</w:t>
                  </w:r>
                </w:p>
              </w:tc>
              <w:tc>
                <w:tcPr>
                  <w:tcW w:w="1046" w:type="dxa"/>
                  <w:vMerge w:val="continue"/>
                  <w:tcMar>
                    <w:top w:w="0" w:type="dxa"/>
                    <w:left w:w="108" w:type="dxa"/>
                    <w:bottom w:w="0" w:type="dxa"/>
                    <w:right w:w="108" w:type="dxa"/>
                  </w:tcMar>
                  <w:vAlign w:val="center"/>
                </w:tcPr>
                <w:p>
                  <w:pPr>
                    <w:pStyle w:val="47"/>
                    <w:bidi w:val="0"/>
                    <w:rPr>
                      <w:rFonts w:hint="eastAsia"/>
                      <w:color w:val="000000" w:themeColor="text1"/>
                      <w:highlight w:val="none"/>
                      <w:lang w:val="en-US" w:eastAsia="zh-CN"/>
                      <w14:textFill>
                        <w14:solidFill>
                          <w14:schemeClr w14:val="tx1"/>
                        </w14:solidFill>
                      </w14:textFill>
                    </w:rPr>
                  </w:pPr>
                </w:p>
              </w:tc>
              <w:tc>
                <w:tcPr>
                  <w:tcW w:w="1139" w:type="dxa"/>
                  <w:vMerge w:val="continue"/>
                  <w:vAlign w:val="center"/>
                </w:tcPr>
                <w:p>
                  <w:pPr>
                    <w:pStyle w:val="47"/>
                    <w:bidi w:val="0"/>
                    <w:rPr>
                      <w:rFonts w:hint="default"/>
                      <w:color w:val="000000" w:themeColor="text1"/>
                      <w:highlight w:val="none"/>
                      <w14:textFill>
                        <w14:solidFill>
                          <w14:schemeClr w14:val="tx1"/>
                        </w14:solidFill>
                      </w14:textFill>
                    </w:rPr>
                  </w:pPr>
                </w:p>
              </w:tc>
            </w:tr>
            <w:tr>
              <w:tblPrEx>
                <w:tblLayout w:type="fixed"/>
              </w:tblPrEx>
              <w:trPr>
                <w:trHeight w:val="539" w:hRule="atLeast"/>
                <w:jc w:val="center"/>
              </w:trPr>
              <w:tc>
                <w:tcPr>
                  <w:tcW w:w="462" w:type="dxa"/>
                  <w:vMerge w:val="continue"/>
                  <w:tcMar>
                    <w:top w:w="0" w:type="dxa"/>
                    <w:left w:w="108" w:type="dxa"/>
                    <w:bottom w:w="0" w:type="dxa"/>
                    <w:right w:w="108" w:type="dxa"/>
                  </w:tcMar>
                  <w:vAlign w:val="center"/>
                </w:tcPr>
                <w:p>
                  <w:pPr>
                    <w:pStyle w:val="47"/>
                    <w:bidi w:val="0"/>
                    <w:rPr>
                      <w:color w:val="000000" w:themeColor="text1"/>
                      <w:highlight w:val="none"/>
                      <w14:textFill>
                        <w14:solidFill>
                          <w14:schemeClr w14:val="tx1"/>
                        </w14:solidFill>
                      </w14:textFill>
                    </w:rPr>
                  </w:pPr>
                </w:p>
              </w:tc>
              <w:tc>
                <w:tcPr>
                  <w:tcW w:w="740" w:type="dxa"/>
                  <w:vMerge w:val="continue"/>
                  <w:tcMar>
                    <w:top w:w="0" w:type="dxa"/>
                    <w:left w:w="108" w:type="dxa"/>
                    <w:bottom w:w="0" w:type="dxa"/>
                    <w:right w:w="108" w:type="dxa"/>
                  </w:tcMar>
                  <w:vAlign w:val="center"/>
                </w:tcPr>
                <w:p>
                  <w:pPr>
                    <w:pStyle w:val="47"/>
                    <w:bidi w:val="0"/>
                    <w:rPr>
                      <w:color w:val="000000" w:themeColor="text1"/>
                      <w:highlight w:val="none"/>
                      <w14:textFill>
                        <w14:solidFill>
                          <w14:schemeClr w14:val="tx1"/>
                        </w14:solidFill>
                      </w14:textFill>
                    </w:rPr>
                  </w:pPr>
                </w:p>
              </w:tc>
              <w:tc>
                <w:tcPr>
                  <w:tcW w:w="1599" w:type="dxa"/>
                  <w:tcMar>
                    <w:top w:w="0" w:type="dxa"/>
                    <w:left w:w="108" w:type="dxa"/>
                    <w:bottom w:w="0" w:type="dxa"/>
                    <w:right w:w="108" w:type="dxa"/>
                  </w:tcMar>
                  <w:vAlign w:val="center"/>
                </w:tcPr>
                <w:p>
                  <w:pPr>
                    <w:pStyle w:val="47"/>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布袋收尘、边角料</w:t>
                  </w:r>
                </w:p>
              </w:tc>
              <w:tc>
                <w:tcPr>
                  <w:tcW w:w="3403" w:type="dxa"/>
                  <w:vMerge w:val="continue"/>
                  <w:tcMar>
                    <w:top w:w="0" w:type="dxa"/>
                    <w:left w:w="108" w:type="dxa"/>
                    <w:bottom w:w="0" w:type="dxa"/>
                    <w:right w:w="108" w:type="dxa"/>
                  </w:tcMar>
                  <w:vAlign w:val="center"/>
                </w:tcPr>
                <w:p>
                  <w:pPr>
                    <w:pStyle w:val="47"/>
                    <w:bidi w:val="0"/>
                    <w:rPr>
                      <w:rFonts w:hint="eastAsia"/>
                      <w:color w:val="000000" w:themeColor="text1"/>
                      <w:highlight w:val="none"/>
                      <w:lang w:val="en-US" w:eastAsia="zh-CN"/>
                      <w14:textFill>
                        <w14:solidFill>
                          <w14:schemeClr w14:val="tx1"/>
                        </w14:solidFill>
                      </w14:textFill>
                    </w:rPr>
                  </w:pPr>
                </w:p>
              </w:tc>
              <w:tc>
                <w:tcPr>
                  <w:tcW w:w="1046" w:type="dxa"/>
                  <w:vMerge w:val="continue"/>
                  <w:tcMar>
                    <w:top w:w="0" w:type="dxa"/>
                    <w:left w:w="108" w:type="dxa"/>
                    <w:bottom w:w="0" w:type="dxa"/>
                    <w:right w:w="108" w:type="dxa"/>
                  </w:tcMar>
                  <w:vAlign w:val="center"/>
                </w:tcPr>
                <w:p>
                  <w:pPr>
                    <w:pStyle w:val="47"/>
                    <w:bidi w:val="0"/>
                    <w:rPr>
                      <w:rFonts w:hint="eastAsia"/>
                      <w:color w:val="000000" w:themeColor="text1"/>
                      <w:highlight w:val="none"/>
                      <w:lang w:val="en-US" w:eastAsia="zh-CN"/>
                      <w14:textFill>
                        <w14:solidFill>
                          <w14:schemeClr w14:val="tx1"/>
                        </w14:solidFill>
                      </w14:textFill>
                    </w:rPr>
                  </w:pPr>
                </w:p>
              </w:tc>
              <w:tc>
                <w:tcPr>
                  <w:tcW w:w="1139" w:type="dxa"/>
                  <w:vMerge w:val="continue"/>
                  <w:vAlign w:val="center"/>
                </w:tcPr>
                <w:p>
                  <w:pPr>
                    <w:pStyle w:val="47"/>
                    <w:bidi w:val="0"/>
                    <w:rPr>
                      <w:rFonts w:hint="eastAsia"/>
                      <w:color w:val="000000" w:themeColor="text1"/>
                      <w:highlight w:val="none"/>
                      <w:lang w:val="en-US" w:eastAsia="zh-CN"/>
                      <w14:textFill>
                        <w14:solidFill>
                          <w14:schemeClr w14:val="tx1"/>
                        </w14:solidFill>
                      </w14:textFill>
                    </w:rPr>
                  </w:pPr>
                </w:p>
              </w:tc>
            </w:tr>
            <w:tr>
              <w:tblPrEx>
                <w:tblLayout w:type="fixed"/>
              </w:tblPrEx>
              <w:trPr>
                <w:trHeight w:val="539" w:hRule="atLeast"/>
                <w:jc w:val="center"/>
              </w:trPr>
              <w:tc>
                <w:tcPr>
                  <w:tcW w:w="462" w:type="dxa"/>
                  <w:tcMar>
                    <w:top w:w="0" w:type="dxa"/>
                    <w:left w:w="108" w:type="dxa"/>
                    <w:bottom w:w="0" w:type="dxa"/>
                    <w:right w:w="108" w:type="dxa"/>
                  </w:tcMar>
                  <w:vAlign w:val="center"/>
                </w:tcPr>
                <w:p>
                  <w:pPr>
                    <w:pStyle w:val="47"/>
                    <w:bidi w:val="0"/>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2339" w:type="dxa"/>
                  <w:gridSpan w:val="2"/>
                  <w:tcMar>
                    <w:top w:w="0" w:type="dxa"/>
                    <w:left w:w="108" w:type="dxa"/>
                    <w:bottom w:w="0" w:type="dxa"/>
                    <w:right w:w="108" w:type="dxa"/>
                  </w:tcMar>
                  <w:vAlign w:val="center"/>
                </w:tcPr>
                <w:p>
                  <w:pPr>
                    <w:pStyle w:val="47"/>
                    <w:bidi w:val="0"/>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地下水及风险防范措施</w:t>
                  </w:r>
                </w:p>
              </w:tc>
              <w:tc>
                <w:tcPr>
                  <w:tcW w:w="3403" w:type="dxa"/>
                  <w:tcMar>
                    <w:top w:w="0" w:type="dxa"/>
                    <w:left w:w="108" w:type="dxa"/>
                    <w:bottom w:w="0" w:type="dxa"/>
                    <w:right w:w="108" w:type="dxa"/>
                  </w:tcMar>
                  <w:vAlign w:val="center"/>
                </w:tcPr>
                <w:p>
                  <w:pPr>
                    <w:pStyle w:val="47"/>
                    <w:bidi w:val="0"/>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采取分区防渗措施</w:t>
                  </w:r>
                </w:p>
              </w:tc>
              <w:tc>
                <w:tcPr>
                  <w:tcW w:w="1046" w:type="dxa"/>
                  <w:tcMar>
                    <w:top w:w="0" w:type="dxa"/>
                    <w:left w:w="108" w:type="dxa"/>
                    <w:bottom w:w="0" w:type="dxa"/>
                    <w:right w:w="108" w:type="dxa"/>
                  </w:tcMar>
                  <w:vAlign w:val="center"/>
                </w:tcPr>
                <w:p>
                  <w:pPr>
                    <w:pStyle w:val="47"/>
                    <w:bidi w:val="0"/>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w:t>
                  </w:r>
                </w:p>
              </w:tc>
              <w:tc>
                <w:tcPr>
                  <w:tcW w:w="1139" w:type="dxa"/>
                  <w:vAlign w:val="center"/>
                </w:tcPr>
                <w:p>
                  <w:pPr>
                    <w:pStyle w:val="47"/>
                    <w:bidi w:val="0"/>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w:t>
                  </w:r>
                </w:p>
              </w:tc>
            </w:tr>
            <w:tr>
              <w:tblPrEx>
                <w:tblLayout w:type="fixed"/>
              </w:tblPrEx>
              <w:trPr>
                <w:trHeight w:val="368" w:hRule="atLeast"/>
                <w:jc w:val="center"/>
              </w:trPr>
              <w:tc>
                <w:tcPr>
                  <w:tcW w:w="6204" w:type="dxa"/>
                  <w:gridSpan w:val="4"/>
                  <w:tcMar>
                    <w:top w:w="0" w:type="dxa"/>
                    <w:left w:w="108" w:type="dxa"/>
                    <w:bottom w:w="0" w:type="dxa"/>
                    <w:right w:w="108" w:type="dxa"/>
                  </w:tcMar>
                  <w:vAlign w:val="center"/>
                </w:tcPr>
                <w:p>
                  <w:pPr>
                    <w:pStyle w:val="47"/>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合计</w:t>
                  </w:r>
                </w:p>
              </w:tc>
              <w:tc>
                <w:tcPr>
                  <w:tcW w:w="2185" w:type="dxa"/>
                  <w:gridSpan w:val="2"/>
                  <w:tcMar>
                    <w:top w:w="0" w:type="dxa"/>
                    <w:left w:w="108" w:type="dxa"/>
                    <w:bottom w:w="0" w:type="dxa"/>
                    <w:right w:w="108" w:type="dxa"/>
                  </w:tcMar>
                  <w:vAlign w:val="center"/>
                </w:tcPr>
                <w:p>
                  <w:pPr>
                    <w:pStyle w:val="47"/>
                    <w:bidi w:val="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30</w:t>
                  </w:r>
                </w:p>
              </w:tc>
            </w:tr>
          </w:tbl>
          <w:p>
            <w:pPr>
              <w:pStyle w:val="23"/>
              <w:ind w:left="0" w:leftChars="0" w:firstLine="0" w:firstLineChars="0"/>
              <w:rPr>
                <w:rFonts w:hint="eastAsia"/>
                <w:color w:val="000000" w:themeColor="text1"/>
                <w:highlight w:val="none"/>
                <w:lang w:eastAsia="zh-CN"/>
                <w14:textFill>
                  <w14:solidFill>
                    <w14:schemeClr w14:val="tx1"/>
                  </w14:solidFill>
                </w14:textFill>
              </w:rPr>
            </w:pPr>
          </w:p>
          <w:p>
            <w:pPr>
              <w:pStyle w:val="23"/>
              <w:ind w:left="0" w:leftChars="0" w:firstLine="0" w:firstLineChars="0"/>
              <w:rPr>
                <w:rFonts w:hint="eastAsia"/>
                <w:color w:val="000000" w:themeColor="text1"/>
                <w:highlight w:val="none"/>
                <w:lang w:eastAsia="zh-CN"/>
                <w14:textFill>
                  <w14:solidFill>
                    <w14:schemeClr w14:val="tx1"/>
                  </w14:solidFill>
                </w14:textFill>
              </w:rPr>
            </w:pPr>
          </w:p>
          <w:p>
            <w:pPr>
              <w:pStyle w:val="23"/>
              <w:ind w:left="0" w:leftChars="0" w:firstLine="0" w:firstLineChars="0"/>
              <w:rPr>
                <w:rFonts w:hint="eastAsia" w:eastAsia="宋体"/>
                <w:color w:val="000000" w:themeColor="text1"/>
                <w:highlight w:val="none"/>
                <w:lang w:eastAsia="zh-CN"/>
                <w14:textFill>
                  <w14:solidFill>
                    <w14:schemeClr w14:val="tx1"/>
                  </w14:solidFill>
                </w14:textFill>
              </w:rPr>
            </w:pPr>
          </w:p>
        </w:tc>
      </w:tr>
    </w:tbl>
    <w:p>
      <w:pPr>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br w:type="page"/>
      </w:r>
    </w:p>
    <w:p>
      <w:pPr>
        <w:pStyle w:val="5"/>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五、</w:t>
      </w:r>
      <w:bookmarkStart w:id="14" w:name="_Hlk54167917"/>
      <w:r>
        <w:rPr>
          <w:rFonts w:hint="default"/>
          <w:color w:val="000000" w:themeColor="text1"/>
          <w:highlight w:val="none"/>
          <w14:textFill>
            <w14:solidFill>
              <w14:schemeClr w14:val="tx1"/>
            </w14:solidFill>
          </w14:textFill>
        </w:rPr>
        <w:t>环境保护措施监督检查清单</w:t>
      </w:r>
      <w:bookmarkEnd w:id="14"/>
    </w:p>
    <w:tbl>
      <w:tblPr>
        <w:tblStyle w:val="37"/>
        <w:tblW w:w="4994" w:type="pct"/>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492"/>
        <w:gridCol w:w="1357"/>
        <w:gridCol w:w="2924"/>
        <w:gridCol w:w="2553"/>
      </w:tblGrid>
      <w:tr>
        <w:tblPrEx>
          <w:tblLayout w:type="fixed"/>
        </w:tblPrEx>
        <w:trPr>
          <w:trHeight w:val="397" w:hRule="atLeast"/>
          <w:jc w:val="center"/>
        </w:trPr>
        <w:tc>
          <w:tcPr>
            <w:tcW w:w="951" w:type="dxa"/>
            <w:tcBorders>
              <w:tl2br w:val="single" w:color="auto" w:sz="4" w:space="0"/>
            </w:tcBorders>
            <w:vAlign w:val="center"/>
          </w:tcPr>
          <w:p>
            <w:pPr>
              <w:pStyle w:val="47"/>
              <w:bidi w:val="0"/>
              <w:rPr>
                <w:rFonts w:hint="default"/>
                <w:b/>
                <w:bCs/>
                <w:color w:val="000000" w:themeColor="text1"/>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 xml:space="preserve">  </w:t>
            </w:r>
            <w:r>
              <w:rPr>
                <w:rFonts w:hint="default"/>
                <w:b/>
                <w:bCs/>
                <w:color w:val="000000" w:themeColor="text1"/>
                <w:highlight w:val="none"/>
                <w14:textFill>
                  <w14:solidFill>
                    <w14:schemeClr w14:val="tx1"/>
                  </w14:solidFill>
                </w14:textFill>
              </w:rPr>
              <w:t>内容</w:t>
            </w:r>
          </w:p>
          <w:p>
            <w:pPr>
              <w:pStyle w:val="47"/>
              <w:bidi w:val="0"/>
              <w:rPr>
                <w:rFonts w:hint="default"/>
                <w:b/>
                <w:bCs/>
                <w:color w:val="000000" w:themeColor="text1"/>
                <w:highlight w:val="none"/>
                <w14:textFill>
                  <w14:solidFill>
                    <w14:schemeClr w14:val="tx1"/>
                  </w14:solidFill>
                </w14:textFill>
              </w:rPr>
            </w:pPr>
          </w:p>
          <w:p>
            <w:pPr>
              <w:pStyle w:val="47"/>
              <w:bidi w:val="0"/>
              <w:jc w:val="both"/>
              <w:rPr>
                <w:rFonts w:hint="default"/>
                <w:b/>
                <w:bCs/>
                <w:color w:val="000000" w:themeColor="text1"/>
                <w:highlight w:val="none"/>
                <w14:textFill>
                  <w14:solidFill>
                    <w14:schemeClr w14:val="tx1"/>
                  </w14:solidFill>
                </w14:textFill>
              </w:rPr>
            </w:pPr>
            <w:r>
              <w:rPr>
                <w:rFonts w:hint="default"/>
                <w:b/>
                <w:bCs/>
                <w:color w:val="000000" w:themeColor="text1"/>
                <w:highlight w:val="none"/>
                <w14:textFill>
                  <w14:solidFill>
                    <w14:schemeClr w14:val="tx1"/>
                  </w14:solidFill>
                </w14:textFill>
              </w:rPr>
              <w:t>要素</w:t>
            </w:r>
          </w:p>
        </w:tc>
        <w:tc>
          <w:tcPr>
            <w:tcW w:w="1492" w:type="dxa"/>
            <w:vAlign w:val="center"/>
          </w:tcPr>
          <w:p>
            <w:pPr>
              <w:pStyle w:val="47"/>
              <w:bidi w:val="0"/>
              <w:rPr>
                <w:rFonts w:hint="default"/>
                <w:b/>
                <w:bCs/>
                <w:color w:val="000000" w:themeColor="text1"/>
                <w:highlight w:val="none"/>
                <w14:textFill>
                  <w14:solidFill>
                    <w14:schemeClr w14:val="tx1"/>
                  </w14:solidFill>
                </w14:textFill>
              </w:rPr>
            </w:pPr>
            <w:r>
              <w:rPr>
                <w:rFonts w:hint="default"/>
                <w:b/>
                <w:bCs/>
                <w:color w:val="000000" w:themeColor="text1"/>
                <w:highlight w:val="none"/>
                <w14:textFill>
                  <w14:solidFill>
                    <w14:schemeClr w14:val="tx1"/>
                  </w14:solidFill>
                </w14:textFill>
              </w:rPr>
              <w:t>排放口</w:t>
            </w:r>
            <w:r>
              <w:rPr>
                <w:rFonts w:hint="eastAsia"/>
                <w:b/>
                <w:bCs/>
                <w:color w:val="000000" w:themeColor="text1"/>
                <w:highlight w:val="none"/>
                <w:lang w:eastAsia="zh-CN"/>
                <w14:textFill>
                  <w14:solidFill>
                    <w14:schemeClr w14:val="tx1"/>
                  </w14:solidFill>
                </w14:textFill>
              </w:rPr>
              <w:t>（</w:t>
            </w:r>
            <w:r>
              <w:rPr>
                <w:rFonts w:hint="default"/>
                <w:b/>
                <w:bCs/>
                <w:color w:val="000000" w:themeColor="text1"/>
                <w:highlight w:val="none"/>
                <w14:textFill>
                  <w14:solidFill>
                    <w14:schemeClr w14:val="tx1"/>
                  </w14:solidFill>
                </w14:textFill>
              </w:rPr>
              <w:t>编号、名称</w:t>
            </w:r>
            <w:r>
              <w:rPr>
                <w:rFonts w:hint="eastAsia"/>
                <w:b/>
                <w:bCs/>
                <w:color w:val="000000" w:themeColor="text1"/>
                <w:highlight w:val="none"/>
                <w:lang w:eastAsia="zh-CN"/>
                <w14:textFill>
                  <w14:solidFill>
                    <w14:schemeClr w14:val="tx1"/>
                  </w14:solidFill>
                </w14:textFill>
              </w:rPr>
              <w:t>）</w:t>
            </w:r>
            <w:r>
              <w:rPr>
                <w:rFonts w:hint="default"/>
                <w:b/>
                <w:bCs/>
                <w:color w:val="000000" w:themeColor="text1"/>
                <w:highlight w:val="none"/>
                <w14:textFill>
                  <w14:solidFill>
                    <w14:schemeClr w14:val="tx1"/>
                  </w14:solidFill>
                </w14:textFill>
              </w:rPr>
              <w:t>/污染源</w:t>
            </w:r>
          </w:p>
        </w:tc>
        <w:tc>
          <w:tcPr>
            <w:tcW w:w="1357" w:type="dxa"/>
            <w:vAlign w:val="center"/>
          </w:tcPr>
          <w:p>
            <w:pPr>
              <w:pStyle w:val="47"/>
              <w:bidi w:val="0"/>
              <w:rPr>
                <w:rFonts w:hint="default"/>
                <w:b/>
                <w:bCs/>
                <w:color w:val="000000" w:themeColor="text1"/>
                <w:highlight w:val="none"/>
                <w14:textFill>
                  <w14:solidFill>
                    <w14:schemeClr w14:val="tx1"/>
                  </w14:solidFill>
                </w14:textFill>
              </w:rPr>
            </w:pPr>
            <w:r>
              <w:rPr>
                <w:rFonts w:hint="default"/>
                <w:b/>
                <w:bCs/>
                <w:color w:val="000000" w:themeColor="text1"/>
                <w:highlight w:val="none"/>
                <w14:textFill>
                  <w14:solidFill>
                    <w14:schemeClr w14:val="tx1"/>
                  </w14:solidFill>
                </w14:textFill>
              </w:rPr>
              <w:t>污染物项目</w:t>
            </w:r>
          </w:p>
        </w:tc>
        <w:tc>
          <w:tcPr>
            <w:tcW w:w="2924" w:type="dxa"/>
            <w:vAlign w:val="center"/>
          </w:tcPr>
          <w:p>
            <w:pPr>
              <w:pStyle w:val="47"/>
              <w:bidi w:val="0"/>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环境保护措施</w:t>
            </w:r>
          </w:p>
        </w:tc>
        <w:tc>
          <w:tcPr>
            <w:tcW w:w="2553" w:type="dxa"/>
            <w:vAlign w:val="center"/>
          </w:tcPr>
          <w:p>
            <w:pPr>
              <w:pStyle w:val="47"/>
              <w:bidi w:val="0"/>
              <w:rPr>
                <w:rFonts w:hint="default"/>
                <w:b/>
                <w:bCs/>
                <w:color w:val="000000" w:themeColor="text1"/>
                <w:highlight w:val="none"/>
                <w14:textFill>
                  <w14:solidFill>
                    <w14:schemeClr w14:val="tx1"/>
                  </w14:solidFill>
                </w14:textFill>
              </w:rPr>
            </w:pPr>
            <w:r>
              <w:rPr>
                <w:rFonts w:hint="default"/>
                <w:b/>
                <w:bCs/>
                <w:color w:val="000000" w:themeColor="text1"/>
                <w:highlight w:val="none"/>
                <w14:textFill>
                  <w14:solidFill>
                    <w14:schemeClr w14:val="tx1"/>
                  </w14:solidFill>
                </w14:textFill>
              </w:rPr>
              <w:t>执行标准</w:t>
            </w:r>
          </w:p>
        </w:tc>
      </w:tr>
      <w:tr>
        <w:tblPrEx>
          <w:tblLayout w:type="fixed"/>
        </w:tblPrEx>
        <w:trPr>
          <w:trHeight w:val="397" w:hRule="atLeast"/>
          <w:jc w:val="center"/>
        </w:trPr>
        <w:tc>
          <w:tcPr>
            <w:tcW w:w="951" w:type="dxa"/>
            <w:vMerge w:val="restart"/>
            <w:vAlign w:val="center"/>
          </w:tcPr>
          <w:p>
            <w:pPr>
              <w:pStyle w:val="47"/>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大气环境</w:t>
            </w:r>
          </w:p>
        </w:tc>
        <w:tc>
          <w:tcPr>
            <w:tcW w:w="1492" w:type="dxa"/>
            <w:vAlign w:val="center"/>
          </w:tcPr>
          <w:p>
            <w:pPr>
              <w:pStyle w:val="47"/>
              <w:bidi w:val="0"/>
              <w:rPr>
                <w:rFonts w:hint="default"/>
                <w:color w:val="000000" w:themeColor="text1"/>
                <w:highlight w:val="none"/>
                <w:lang w:val="en-US"/>
                <w14:textFill>
                  <w14:solidFill>
                    <w14:schemeClr w14:val="tx1"/>
                  </w14:solidFill>
                </w14:textFill>
              </w:rPr>
            </w:pPr>
            <w:r>
              <w:rPr>
                <w:rFonts w:hint="default"/>
                <w:color w:val="000000" w:themeColor="text1"/>
                <w:highlight w:val="none"/>
                <w:lang w:val="en-US" w:eastAsia="zh-CN"/>
                <w14:textFill>
                  <w14:solidFill>
                    <w14:schemeClr w14:val="tx1"/>
                  </w14:solidFill>
                </w14:textFill>
              </w:rPr>
              <w:t>DA00</w:t>
            </w:r>
            <w:r>
              <w:rPr>
                <w:rFonts w:hint="eastAsia"/>
                <w:color w:val="000000" w:themeColor="text1"/>
                <w:highlight w:val="none"/>
                <w:lang w:val="en-US" w:eastAsia="zh-CN"/>
                <w14:textFill>
                  <w14:solidFill>
                    <w14:schemeClr w14:val="tx1"/>
                  </w14:solidFill>
                </w14:textFill>
              </w:rPr>
              <w:t>1排气筒</w:t>
            </w:r>
          </w:p>
        </w:tc>
        <w:tc>
          <w:tcPr>
            <w:tcW w:w="1357" w:type="dxa"/>
            <w:vAlign w:val="center"/>
          </w:tcPr>
          <w:p>
            <w:pPr>
              <w:pStyle w:val="47"/>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颗粒物</w:t>
            </w:r>
          </w:p>
        </w:tc>
        <w:tc>
          <w:tcPr>
            <w:tcW w:w="2924" w:type="dxa"/>
            <w:vAlign w:val="center"/>
          </w:tcPr>
          <w:p>
            <w:pPr>
              <w:pStyle w:val="47"/>
              <w:keepNext w:val="0"/>
              <w:keepLines w:val="0"/>
              <w:pageBreakBefore w:val="0"/>
              <w:widowControl w:val="0"/>
              <w:kinsoku/>
              <w:wordWrap/>
              <w:overflowPunct/>
              <w:topLinePunct w:val="0"/>
              <w:autoSpaceDE/>
              <w:autoSpaceDN/>
              <w:bidi w:val="0"/>
              <w:ind w:firstLine="0" w:firstLineChars="0"/>
              <w:jc w:val="center"/>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切割、打磨</w:t>
            </w:r>
            <w:r>
              <w:rPr>
                <w:rFonts w:hint="eastAsia" w:ascii="Times New Roman" w:hAnsi="Times New Roman" w:eastAsia="宋体"/>
                <w:color w:val="000000" w:themeColor="text1"/>
                <w:highlight w:val="none"/>
                <w:lang w:val="en-US" w:eastAsia="zh-CN"/>
                <w14:textFill>
                  <w14:solidFill>
                    <w14:schemeClr w14:val="tx1"/>
                  </w14:solidFill>
                </w14:textFill>
              </w:rPr>
              <w:t>粉尘经集气罩收集后</w:t>
            </w:r>
            <w:r>
              <w:rPr>
                <w:rFonts w:hint="eastAsia"/>
                <w:color w:val="000000" w:themeColor="text1"/>
                <w:highlight w:val="none"/>
                <w:lang w:val="en-US" w:eastAsia="zh-CN"/>
                <w14:textFill>
                  <w14:solidFill>
                    <w14:schemeClr w14:val="tx1"/>
                  </w14:solidFill>
                </w14:textFill>
              </w:rPr>
              <w:t>，</w:t>
            </w:r>
            <w:r>
              <w:rPr>
                <w:rFonts w:hint="eastAsia" w:ascii="Times New Roman" w:hAnsi="Times New Roman" w:eastAsia="宋体"/>
                <w:color w:val="000000" w:themeColor="text1"/>
                <w:highlight w:val="none"/>
                <w:lang w:val="en-US" w:eastAsia="zh-CN"/>
                <w14:textFill>
                  <w14:solidFill>
                    <w14:schemeClr w14:val="tx1"/>
                  </w14:solidFill>
                </w14:textFill>
              </w:rPr>
              <w:t>经集气罩收集一起通过布袋除尘器处理后由1根15m高的排气筒（DA001）排放</w:t>
            </w:r>
          </w:p>
        </w:tc>
        <w:tc>
          <w:tcPr>
            <w:tcW w:w="2553" w:type="dxa"/>
            <w:vAlign w:val="center"/>
          </w:tcPr>
          <w:p>
            <w:pPr>
              <w:pStyle w:val="47"/>
              <w:bidi w:val="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《大气污染物综合排放标准》（GB16297-1996）表2二级标椎</w:t>
            </w:r>
          </w:p>
        </w:tc>
      </w:tr>
      <w:tr>
        <w:tblPrEx>
          <w:tblLayout w:type="fixed"/>
        </w:tblPrEx>
        <w:trPr>
          <w:trHeight w:val="397" w:hRule="atLeast"/>
          <w:jc w:val="center"/>
        </w:trPr>
        <w:tc>
          <w:tcPr>
            <w:tcW w:w="951" w:type="dxa"/>
            <w:vMerge w:val="continue"/>
            <w:vAlign w:val="center"/>
          </w:tcPr>
          <w:p>
            <w:pPr>
              <w:pStyle w:val="47"/>
              <w:bidi w:val="0"/>
              <w:rPr>
                <w:rFonts w:hint="default"/>
                <w:color w:val="000000" w:themeColor="text1"/>
                <w:highlight w:val="none"/>
                <w14:textFill>
                  <w14:solidFill>
                    <w14:schemeClr w14:val="tx1"/>
                  </w14:solidFill>
                </w14:textFill>
              </w:rPr>
            </w:pPr>
          </w:p>
        </w:tc>
        <w:tc>
          <w:tcPr>
            <w:tcW w:w="1492" w:type="dxa"/>
            <w:vAlign w:val="center"/>
          </w:tcPr>
          <w:p>
            <w:pPr>
              <w:pStyle w:val="47"/>
              <w:bidi w:val="0"/>
              <w:rPr>
                <w:rFonts w:hint="default"/>
                <w:color w:val="000000" w:themeColor="text1"/>
                <w:highlight w:val="none"/>
                <w14:textFill>
                  <w14:solidFill>
                    <w14:schemeClr w14:val="tx1"/>
                  </w14:solidFill>
                </w14:textFill>
              </w:rPr>
            </w:pPr>
            <w:r>
              <w:rPr>
                <w:rFonts w:hint="default"/>
                <w:color w:val="000000" w:themeColor="text1"/>
                <w:highlight w:val="none"/>
                <w:lang w:val="en-US" w:eastAsia="zh-CN"/>
                <w14:textFill>
                  <w14:solidFill>
                    <w14:schemeClr w14:val="tx1"/>
                  </w14:solidFill>
                </w14:textFill>
              </w:rPr>
              <w:t>无组织排放</w:t>
            </w:r>
          </w:p>
        </w:tc>
        <w:tc>
          <w:tcPr>
            <w:tcW w:w="1357" w:type="dxa"/>
            <w:tcBorders>
              <w:bottom w:val="single" w:color="auto" w:sz="4" w:space="0"/>
            </w:tcBorders>
            <w:vAlign w:val="center"/>
          </w:tcPr>
          <w:p>
            <w:pPr>
              <w:pStyle w:val="47"/>
              <w:bidi w:val="0"/>
              <w:rPr>
                <w:rFonts w:hint="default"/>
                <w:color w:val="000000" w:themeColor="text1"/>
                <w:highlight w:val="none"/>
                <w:lang w:val="en-US"/>
                <w14:textFill>
                  <w14:solidFill>
                    <w14:schemeClr w14:val="tx1"/>
                  </w14:solidFill>
                </w14:textFill>
              </w:rPr>
            </w:pPr>
            <w:r>
              <w:rPr>
                <w:rFonts w:hint="default"/>
                <w:color w:val="000000" w:themeColor="text1"/>
                <w:highlight w:val="none"/>
                <w:lang w:val="en-US" w:eastAsia="zh-CN"/>
                <w14:textFill>
                  <w14:solidFill>
                    <w14:schemeClr w14:val="tx1"/>
                  </w14:solidFill>
                </w14:textFill>
              </w:rPr>
              <w:t>颗粒物</w:t>
            </w:r>
          </w:p>
        </w:tc>
        <w:tc>
          <w:tcPr>
            <w:tcW w:w="2924" w:type="dxa"/>
            <w:tcBorders>
              <w:bottom w:val="single" w:color="auto" w:sz="4" w:space="0"/>
            </w:tcBorders>
            <w:vAlign w:val="center"/>
          </w:tcPr>
          <w:p>
            <w:pPr>
              <w:pStyle w:val="47"/>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焊接粉尘经</w:t>
            </w:r>
            <w:r>
              <w:rPr>
                <w:rFonts w:hint="default" w:ascii="Times New Roman" w:hAnsi="Times New Roman" w:eastAsia="宋体" w:cs="Times New Roman"/>
                <w:bCs/>
                <w:color w:val="000000"/>
                <w:kern w:val="2"/>
                <w:sz w:val="21"/>
                <w:szCs w:val="21"/>
                <w:highlight w:val="none"/>
                <w:lang w:val="en-US" w:eastAsia="zh-CN" w:bidi="ar-SA"/>
              </w:rPr>
              <w:t>移动式焊接烟尘净化器</w:t>
            </w:r>
            <w:r>
              <w:rPr>
                <w:rFonts w:hint="eastAsia" w:ascii="Times New Roman" w:hAnsi="Times New Roman" w:eastAsia="宋体" w:cs="Times New Roman"/>
                <w:bCs/>
                <w:color w:val="000000"/>
                <w:kern w:val="2"/>
                <w:sz w:val="21"/>
                <w:szCs w:val="21"/>
                <w:highlight w:val="none"/>
                <w:lang w:val="en-US" w:eastAsia="zh-CN" w:bidi="ar-SA"/>
              </w:rPr>
              <w:t>收集处理后，厂区无组织排放；车间通风</w:t>
            </w:r>
          </w:p>
        </w:tc>
        <w:tc>
          <w:tcPr>
            <w:tcW w:w="2553" w:type="dxa"/>
            <w:tcBorders>
              <w:bottom w:val="single" w:color="auto" w:sz="4" w:space="0"/>
            </w:tcBorders>
            <w:vAlign w:val="center"/>
          </w:tcPr>
          <w:p>
            <w:pPr>
              <w:pStyle w:val="47"/>
              <w:bidi w:val="0"/>
              <w:rPr>
                <w:rFonts w:hint="default"/>
                <w:color w:val="000000" w:themeColor="text1"/>
                <w:highlight w:val="none"/>
                <w14:textFill>
                  <w14:solidFill>
                    <w14:schemeClr w14:val="tx1"/>
                  </w14:solidFill>
                </w14:textFill>
              </w:rPr>
            </w:pPr>
            <w:r>
              <w:rPr>
                <w:rFonts w:hint="default"/>
                <w:color w:val="000000" w:themeColor="text1"/>
                <w:highlight w:val="none"/>
                <w:lang w:val="en-US" w:eastAsia="zh-CN"/>
                <w14:textFill>
                  <w14:solidFill>
                    <w14:schemeClr w14:val="tx1"/>
                  </w14:solidFill>
                </w14:textFill>
              </w:rPr>
              <w:t>《大气污染物综合排放标准》（GB16297-1996）表2二级标椎</w:t>
            </w:r>
          </w:p>
        </w:tc>
      </w:tr>
      <w:tr>
        <w:tblPrEx>
          <w:tblLayout w:type="fixed"/>
        </w:tblPrEx>
        <w:trPr>
          <w:trHeight w:val="397" w:hRule="atLeast"/>
          <w:jc w:val="center"/>
        </w:trPr>
        <w:tc>
          <w:tcPr>
            <w:tcW w:w="951" w:type="dxa"/>
            <w:vAlign w:val="center"/>
          </w:tcPr>
          <w:p>
            <w:pPr>
              <w:pStyle w:val="47"/>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地表水环境</w:t>
            </w:r>
          </w:p>
        </w:tc>
        <w:tc>
          <w:tcPr>
            <w:tcW w:w="1492" w:type="dxa"/>
            <w:tcBorders>
              <w:bottom w:val="single" w:color="auto" w:sz="4" w:space="0"/>
            </w:tcBorders>
            <w:vAlign w:val="center"/>
          </w:tcPr>
          <w:p>
            <w:pPr>
              <w:pStyle w:val="47"/>
              <w:bidi w:val="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14:textFill>
                  <w14:solidFill>
                    <w14:schemeClr w14:val="tx1"/>
                  </w14:solidFill>
                </w14:textFill>
              </w:rPr>
              <w:t>生活污水</w:t>
            </w:r>
          </w:p>
        </w:tc>
        <w:tc>
          <w:tcPr>
            <w:tcW w:w="1357" w:type="dxa"/>
            <w:vAlign w:val="center"/>
          </w:tcPr>
          <w:p>
            <w:pPr>
              <w:pStyle w:val="47"/>
              <w:bidi w:val="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14:textFill>
                  <w14:solidFill>
                    <w14:schemeClr w14:val="tx1"/>
                  </w14:solidFill>
                </w14:textFill>
              </w:rPr>
              <w:t>CODCr、BOD</w:t>
            </w:r>
            <w:r>
              <w:rPr>
                <w:rFonts w:hint="default"/>
                <w:color w:val="000000" w:themeColor="text1"/>
                <w:highlight w:val="none"/>
                <w:vertAlign w:val="subscript"/>
                <w14:textFill>
                  <w14:solidFill>
                    <w14:schemeClr w14:val="tx1"/>
                  </w14:solidFill>
                </w14:textFill>
              </w:rPr>
              <w:t>5</w:t>
            </w:r>
            <w:r>
              <w:rPr>
                <w:rFonts w:hint="default"/>
                <w:color w:val="000000" w:themeColor="text1"/>
                <w:highlight w:val="none"/>
                <w14:textFill>
                  <w14:solidFill>
                    <w14:schemeClr w14:val="tx1"/>
                  </w14:solidFill>
                </w14:textFill>
              </w:rPr>
              <w:t>、SS、氨氮</w:t>
            </w:r>
            <w:r>
              <w:rPr>
                <w:rFonts w:hint="eastAsia"/>
                <w:color w:val="000000" w:themeColor="text1"/>
                <w:highlight w:val="none"/>
                <w:lang w:val="en-US" w:eastAsia="zh-CN"/>
                <w14:textFill>
                  <w14:solidFill>
                    <w14:schemeClr w14:val="tx1"/>
                  </w14:solidFill>
                </w14:textFill>
              </w:rPr>
              <w:t>等</w:t>
            </w:r>
          </w:p>
        </w:tc>
        <w:tc>
          <w:tcPr>
            <w:tcW w:w="2924" w:type="dxa"/>
            <w:vAlign w:val="center"/>
          </w:tcPr>
          <w:p>
            <w:pPr>
              <w:pStyle w:val="47"/>
              <w:bidi w:val="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依托安徽飞松机械股份有限公司化粪池处理后，</w:t>
            </w:r>
            <w:r>
              <w:rPr>
                <w:rFonts w:hint="eastAsia"/>
                <w:color w:val="000000" w:themeColor="text1"/>
                <w:highlight w:val="none"/>
                <w:lang w:val="en-US" w:eastAsia="zh-CN"/>
                <w14:textFill>
                  <w14:solidFill>
                    <w14:schemeClr w14:val="tx1"/>
                  </w14:solidFill>
                </w14:textFill>
              </w:rPr>
              <w:t>排入市政管网，由</w:t>
            </w:r>
            <w:r>
              <w:rPr>
                <w:rFonts w:hint="default"/>
                <w:color w:val="000000" w:themeColor="text1"/>
                <w:highlight w:val="none"/>
                <w:lang w:val="en-US" w:eastAsia="zh-CN"/>
                <w14:textFill>
                  <w14:solidFill>
                    <w14:schemeClr w14:val="tx1"/>
                  </w14:solidFill>
                </w14:textFill>
              </w:rPr>
              <w:t>灵璧开发区北部新区污水处理厂</w:t>
            </w:r>
            <w:r>
              <w:rPr>
                <w:rFonts w:hint="eastAsia"/>
                <w:color w:val="000000" w:themeColor="text1"/>
                <w:highlight w:val="none"/>
                <w:lang w:val="en-US" w:eastAsia="zh-CN"/>
                <w14:textFill>
                  <w14:solidFill>
                    <w14:schemeClr w14:val="tx1"/>
                  </w14:solidFill>
                </w14:textFill>
              </w:rPr>
              <w:t>处理达标后，排入阎河</w:t>
            </w:r>
          </w:p>
        </w:tc>
        <w:tc>
          <w:tcPr>
            <w:tcW w:w="2553" w:type="dxa"/>
            <w:vAlign w:val="center"/>
          </w:tcPr>
          <w:p>
            <w:pPr>
              <w:pStyle w:val="47"/>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r>
      <w:tr>
        <w:tblPrEx>
          <w:tblLayout w:type="fixed"/>
        </w:tblPrEx>
        <w:trPr>
          <w:trHeight w:val="397" w:hRule="atLeast"/>
          <w:jc w:val="center"/>
        </w:trPr>
        <w:tc>
          <w:tcPr>
            <w:tcW w:w="951" w:type="dxa"/>
            <w:tcBorders>
              <w:bottom w:val="single" w:color="auto" w:sz="4" w:space="0"/>
            </w:tcBorders>
            <w:vAlign w:val="center"/>
          </w:tcPr>
          <w:p>
            <w:pPr>
              <w:pStyle w:val="47"/>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声环境</w:t>
            </w:r>
          </w:p>
        </w:tc>
        <w:tc>
          <w:tcPr>
            <w:tcW w:w="1492" w:type="dxa"/>
            <w:tcBorders>
              <w:bottom w:val="single" w:color="auto" w:sz="4" w:space="0"/>
            </w:tcBorders>
            <w:vAlign w:val="center"/>
          </w:tcPr>
          <w:p>
            <w:pPr>
              <w:pStyle w:val="47"/>
              <w:bidi w:val="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生产设备</w:t>
            </w:r>
          </w:p>
        </w:tc>
        <w:tc>
          <w:tcPr>
            <w:tcW w:w="1357" w:type="dxa"/>
            <w:tcBorders>
              <w:bottom w:val="single" w:color="auto" w:sz="4" w:space="0"/>
            </w:tcBorders>
            <w:vAlign w:val="center"/>
          </w:tcPr>
          <w:p>
            <w:pPr>
              <w:pStyle w:val="47"/>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噪声</w:t>
            </w:r>
          </w:p>
        </w:tc>
        <w:tc>
          <w:tcPr>
            <w:tcW w:w="2924" w:type="dxa"/>
            <w:tcBorders>
              <w:bottom w:val="single" w:color="auto" w:sz="4" w:space="0"/>
            </w:tcBorders>
            <w:vAlign w:val="center"/>
          </w:tcPr>
          <w:p>
            <w:pPr>
              <w:pStyle w:val="47"/>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采取消声、减</w:t>
            </w:r>
            <w:r>
              <w:rPr>
                <w:rFonts w:hint="default"/>
                <w:color w:val="000000" w:themeColor="text1"/>
                <w:highlight w:val="none"/>
                <w:lang w:val="en-US" w:eastAsia="zh-CN"/>
                <w14:textFill>
                  <w14:solidFill>
                    <w14:schemeClr w14:val="tx1"/>
                  </w14:solidFill>
                </w14:textFill>
              </w:rPr>
              <w:t>振</w:t>
            </w:r>
            <w:r>
              <w:rPr>
                <w:rFonts w:hint="default"/>
                <w:color w:val="000000" w:themeColor="text1"/>
                <w:highlight w:val="none"/>
                <w14:textFill>
                  <w14:solidFill>
                    <w14:schemeClr w14:val="tx1"/>
                  </w14:solidFill>
                </w14:textFill>
              </w:rPr>
              <w:t>、隔声等措施</w:t>
            </w:r>
          </w:p>
        </w:tc>
        <w:tc>
          <w:tcPr>
            <w:tcW w:w="2553" w:type="dxa"/>
            <w:tcBorders>
              <w:bottom w:val="single" w:color="auto" w:sz="4" w:space="0"/>
            </w:tcBorders>
            <w:vAlign w:val="center"/>
          </w:tcPr>
          <w:p>
            <w:pPr>
              <w:pStyle w:val="47"/>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《工业企业厂界环境噪声排放标准》（GB12348-2008）中</w:t>
            </w:r>
            <w:r>
              <w:rPr>
                <w:rFonts w:hint="eastAsia"/>
                <w:color w:val="000000" w:themeColor="text1"/>
                <w:highlight w:val="none"/>
                <w:lang w:val="en-US" w:eastAsia="zh-CN"/>
                <w14:textFill>
                  <w14:solidFill>
                    <w14:schemeClr w14:val="tx1"/>
                  </w14:solidFill>
                </w14:textFill>
              </w:rPr>
              <w:t>3</w:t>
            </w:r>
            <w:r>
              <w:rPr>
                <w:rFonts w:hint="eastAsia"/>
                <w:color w:val="auto"/>
                <w:highlight w:val="none"/>
                <w:lang w:val="en-US" w:eastAsia="zh-CN"/>
              </w:rPr>
              <w:t>类</w:t>
            </w:r>
            <w:r>
              <w:rPr>
                <w:rFonts w:hint="default"/>
                <w:color w:val="000000" w:themeColor="text1"/>
                <w:highlight w:val="none"/>
                <w14:textFill>
                  <w14:solidFill>
                    <w14:schemeClr w14:val="tx1"/>
                  </w14:solidFill>
                </w14:textFill>
              </w:rPr>
              <w:t>标准</w:t>
            </w:r>
          </w:p>
        </w:tc>
      </w:tr>
      <w:tr>
        <w:tblPrEx>
          <w:tblLayout w:type="fixed"/>
        </w:tblPrEx>
        <w:trPr>
          <w:trHeight w:val="397" w:hRule="atLeast"/>
          <w:jc w:val="center"/>
        </w:trPr>
        <w:tc>
          <w:tcPr>
            <w:tcW w:w="951" w:type="dxa"/>
            <w:tcBorders>
              <w:bottom w:val="single" w:color="auto" w:sz="4" w:space="0"/>
            </w:tcBorders>
            <w:vAlign w:val="center"/>
          </w:tcPr>
          <w:p>
            <w:pPr>
              <w:pStyle w:val="47"/>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电磁辐射</w:t>
            </w:r>
          </w:p>
        </w:tc>
        <w:tc>
          <w:tcPr>
            <w:tcW w:w="1492" w:type="dxa"/>
            <w:tcBorders>
              <w:bottom w:val="single" w:color="auto" w:sz="4" w:space="0"/>
            </w:tcBorders>
            <w:vAlign w:val="center"/>
          </w:tcPr>
          <w:p>
            <w:pPr>
              <w:pStyle w:val="47"/>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w:t>
            </w:r>
          </w:p>
        </w:tc>
        <w:tc>
          <w:tcPr>
            <w:tcW w:w="1357" w:type="dxa"/>
            <w:tcBorders>
              <w:bottom w:val="single" w:color="auto" w:sz="4" w:space="0"/>
            </w:tcBorders>
            <w:vAlign w:val="center"/>
          </w:tcPr>
          <w:p>
            <w:pPr>
              <w:pStyle w:val="47"/>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w:t>
            </w:r>
          </w:p>
        </w:tc>
        <w:tc>
          <w:tcPr>
            <w:tcW w:w="2924" w:type="dxa"/>
            <w:tcBorders>
              <w:bottom w:val="single" w:color="auto" w:sz="4" w:space="0"/>
            </w:tcBorders>
            <w:vAlign w:val="center"/>
          </w:tcPr>
          <w:p>
            <w:pPr>
              <w:pStyle w:val="47"/>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w:t>
            </w:r>
          </w:p>
        </w:tc>
        <w:tc>
          <w:tcPr>
            <w:tcW w:w="2553" w:type="dxa"/>
            <w:tcBorders>
              <w:bottom w:val="single" w:color="auto" w:sz="4" w:space="0"/>
            </w:tcBorders>
            <w:vAlign w:val="center"/>
          </w:tcPr>
          <w:p>
            <w:pPr>
              <w:pStyle w:val="47"/>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w:t>
            </w:r>
          </w:p>
        </w:tc>
      </w:tr>
      <w:tr>
        <w:tblPrEx>
          <w:tblLayout w:type="fixed"/>
        </w:tblPrEx>
        <w:trPr>
          <w:trHeight w:val="397" w:hRule="atLeast"/>
          <w:jc w:val="center"/>
        </w:trPr>
        <w:tc>
          <w:tcPr>
            <w:tcW w:w="951" w:type="dxa"/>
            <w:vAlign w:val="center"/>
          </w:tcPr>
          <w:p>
            <w:pPr>
              <w:pStyle w:val="47"/>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固体废物</w:t>
            </w:r>
          </w:p>
        </w:tc>
        <w:tc>
          <w:tcPr>
            <w:tcW w:w="8326" w:type="dxa"/>
            <w:gridSpan w:val="4"/>
            <w:vAlign w:val="center"/>
          </w:tcPr>
          <w:p>
            <w:pPr>
              <w:pStyle w:val="47"/>
              <w:bidi w:val="0"/>
              <w:rPr>
                <w:rFonts w:hint="default"/>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全厂</w:t>
            </w:r>
            <w:r>
              <w:rPr>
                <w:rFonts w:hint="default"/>
                <w:color w:val="000000" w:themeColor="text1"/>
                <w:highlight w:val="none"/>
                <w14:textFill>
                  <w14:solidFill>
                    <w14:schemeClr w14:val="tx1"/>
                  </w14:solidFill>
                </w14:textFill>
              </w:rPr>
              <w:t>固体废物的产生情况及处置去向：</w:t>
            </w:r>
          </w:p>
          <w:tbl>
            <w:tblPr>
              <w:tblStyle w:val="3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161"/>
              <w:gridCol w:w="1011"/>
              <w:gridCol w:w="687"/>
              <w:gridCol w:w="995"/>
              <w:gridCol w:w="947"/>
              <w:gridCol w:w="964"/>
              <w:gridCol w:w="821"/>
              <w:gridCol w:w="926"/>
            </w:tblGrid>
            <w:tr>
              <w:tblPrEx>
                <w:tblLayout w:type="fixed"/>
              </w:tblPrEx>
              <w:tc>
                <w:tcPr>
                  <w:tcW w:w="580"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default" w:ascii="Times New Roman" w:hAnsi="Times New Roman" w:eastAsia="宋体"/>
                      <w:color w:val="000000" w:themeColor="text1"/>
                      <w:highlight w:val="none"/>
                      <w:lang w:val="en-US" w:eastAsia="zh-CN"/>
                      <w14:textFill>
                        <w14:solidFill>
                          <w14:schemeClr w14:val="tx1"/>
                        </w14:solidFill>
                      </w14:textFill>
                    </w:rPr>
                    <w:t>序号</w:t>
                  </w:r>
                </w:p>
              </w:tc>
              <w:tc>
                <w:tcPr>
                  <w:tcW w:w="1161"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default" w:ascii="Times New Roman" w:hAnsi="Times New Roman" w:eastAsia="宋体"/>
                      <w:color w:val="000000" w:themeColor="text1"/>
                      <w:highlight w:val="none"/>
                      <w:lang w:val="en-US" w:eastAsia="zh-CN"/>
                      <w14:textFill>
                        <w14:solidFill>
                          <w14:schemeClr w14:val="tx1"/>
                        </w14:solidFill>
                      </w14:textFill>
                    </w:rPr>
                    <w:t>固体废物</w:t>
                  </w:r>
                </w:p>
              </w:tc>
              <w:tc>
                <w:tcPr>
                  <w:tcW w:w="1011"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default" w:ascii="Times New Roman" w:hAnsi="Times New Roman" w:eastAsia="宋体"/>
                      <w:color w:val="000000" w:themeColor="text1"/>
                      <w:highlight w:val="none"/>
                      <w:lang w:val="en-US" w:eastAsia="zh-CN"/>
                      <w14:textFill>
                        <w14:solidFill>
                          <w14:schemeClr w14:val="tx1"/>
                        </w14:solidFill>
                      </w14:textFill>
                    </w:rPr>
                    <w:t>产生工序</w:t>
                  </w:r>
                </w:p>
              </w:tc>
              <w:tc>
                <w:tcPr>
                  <w:tcW w:w="687"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default" w:ascii="Times New Roman" w:hAnsi="Times New Roman" w:eastAsia="宋体"/>
                      <w:color w:val="000000" w:themeColor="text1"/>
                      <w:highlight w:val="none"/>
                      <w:lang w:val="en-US" w:eastAsia="zh-CN"/>
                      <w14:textFill>
                        <w14:solidFill>
                          <w14:schemeClr w14:val="tx1"/>
                        </w14:solidFill>
                      </w14:textFill>
                    </w:rPr>
                    <w:t>形态</w:t>
                  </w:r>
                </w:p>
              </w:tc>
              <w:tc>
                <w:tcPr>
                  <w:tcW w:w="995"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属性</w:t>
                  </w:r>
                </w:p>
              </w:tc>
              <w:tc>
                <w:tcPr>
                  <w:tcW w:w="947"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产生量t/a</w:t>
                  </w:r>
                </w:p>
              </w:tc>
              <w:tc>
                <w:tcPr>
                  <w:tcW w:w="964"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处置量</w:t>
                  </w:r>
                  <w:r>
                    <w:rPr>
                      <w:rFonts w:hint="default" w:ascii="Times New Roman" w:hAnsi="Times New Roman" w:eastAsia="宋体"/>
                      <w:color w:val="000000" w:themeColor="text1"/>
                      <w:highlight w:val="none"/>
                      <w:lang w:val="en-US" w:eastAsia="zh-CN"/>
                      <w14:textFill>
                        <w14:solidFill>
                          <w14:schemeClr w14:val="tx1"/>
                        </w14:solidFill>
                      </w14:textFill>
                    </w:rPr>
                    <w:t>t/a</w:t>
                  </w:r>
                </w:p>
              </w:tc>
              <w:tc>
                <w:tcPr>
                  <w:tcW w:w="821"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default" w:ascii="Times New Roman" w:hAnsi="Times New Roman" w:eastAsia="宋体"/>
                      <w:color w:val="000000" w:themeColor="text1"/>
                      <w:highlight w:val="none"/>
                      <w:lang w:val="en-US" w:eastAsia="zh-CN"/>
                      <w14:textFill>
                        <w14:solidFill>
                          <w14:schemeClr w14:val="tx1"/>
                        </w14:solidFill>
                      </w14:textFill>
                    </w:rPr>
                    <w:t>产废周期</w:t>
                  </w:r>
                </w:p>
              </w:tc>
              <w:tc>
                <w:tcPr>
                  <w:tcW w:w="926" w:type="dxa"/>
                  <w:vAlign w:val="center"/>
                </w:tcPr>
                <w:p>
                  <w:pPr>
                    <w:pStyle w:val="47"/>
                    <w:keepNext w:val="0"/>
                    <w:keepLines w:val="0"/>
                    <w:pageBreakBefore w:val="0"/>
                    <w:widowControl w:val="0"/>
                    <w:kinsoku/>
                    <w:wordWrap/>
                    <w:overflowPunct/>
                    <w:topLinePunct w:val="0"/>
                    <w:autoSpaceDE/>
                    <w:autoSpaceDN/>
                    <w:bidi w:val="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处置方式</w:t>
                  </w:r>
                </w:p>
              </w:tc>
            </w:tr>
            <w:tr>
              <w:tblPrEx>
                <w:tblLayout w:type="fixed"/>
              </w:tblPrEx>
              <w:tc>
                <w:tcPr>
                  <w:tcW w:w="580"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1</w:t>
                  </w:r>
                </w:p>
              </w:tc>
              <w:tc>
                <w:tcPr>
                  <w:tcW w:w="1161" w:type="dxa"/>
                  <w:vAlign w:val="center"/>
                </w:tcPr>
                <w:p>
                  <w:pPr>
                    <w:pStyle w:val="47"/>
                    <w:keepNext w:val="0"/>
                    <w:keepLines w:val="0"/>
                    <w:pageBreakBefore w:val="0"/>
                    <w:widowControl w:val="0"/>
                    <w:kinsoku/>
                    <w:wordWrap/>
                    <w:overflowPunct/>
                    <w:topLinePunct w:val="0"/>
                    <w:autoSpaceDE/>
                    <w:autoSpaceDN/>
                    <w:bidi w:val="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布袋除尘器收尘</w:t>
                  </w:r>
                </w:p>
              </w:tc>
              <w:tc>
                <w:tcPr>
                  <w:tcW w:w="1011" w:type="dxa"/>
                  <w:vAlign w:val="center"/>
                </w:tcPr>
                <w:p>
                  <w:pPr>
                    <w:pStyle w:val="47"/>
                    <w:keepNext w:val="0"/>
                    <w:keepLines w:val="0"/>
                    <w:pageBreakBefore w:val="0"/>
                    <w:widowControl w:val="0"/>
                    <w:kinsoku/>
                    <w:wordWrap/>
                    <w:overflowPunct/>
                    <w:topLinePunct w:val="0"/>
                    <w:autoSpaceDE/>
                    <w:autoSpaceDN/>
                    <w:bidi w:val="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废气处理</w:t>
                  </w:r>
                </w:p>
              </w:tc>
              <w:tc>
                <w:tcPr>
                  <w:tcW w:w="687" w:type="dxa"/>
                  <w:vAlign w:val="center"/>
                </w:tcPr>
                <w:p>
                  <w:pPr>
                    <w:pStyle w:val="47"/>
                    <w:keepNext w:val="0"/>
                    <w:keepLines w:val="0"/>
                    <w:pageBreakBefore w:val="0"/>
                    <w:widowControl w:val="0"/>
                    <w:kinsoku/>
                    <w:wordWrap/>
                    <w:overflowPunct/>
                    <w:topLinePunct w:val="0"/>
                    <w:autoSpaceDE/>
                    <w:autoSpaceDN/>
                    <w:bidi w:val="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固态</w:t>
                  </w:r>
                </w:p>
              </w:tc>
              <w:tc>
                <w:tcPr>
                  <w:tcW w:w="995" w:type="dxa"/>
                  <w:vAlign w:val="center"/>
                </w:tcPr>
                <w:p>
                  <w:pPr>
                    <w:pStyle w:val="47"/>
                    <w:keepNext w:val="0"/>
                    <w:keepLines w:val="0"/>
                    <w:pageBreakBefore w:val="0"/>
                    <w:widowControl w:val="0"/>
                    <w:kinsoku/>
                    <w:wordWrap/>
                    <w:overflowPunct/>
                    <w:topLinePunct w:val="0"/>
                    <w:autoSpaceDE/>
                    <w:autoSpaceDN/>
                    <w:bidi w:val="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一般固废</w:t>
                  </w:r>
                </w:p>
              </w:tc>
              <w:tc>
                <w:tcPr>
                  <w:tcW w:w="947"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1.671</w:t>
                  </w:r>
                </w:p>
              </w:tc>
              <w:tc>
                <w:tcPr>
                  <w:tcW w:w="964"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1.671</w:t>
                  </w:r>
                </w:p>
              </w:tc>
              <w:tc>
                <w:tcPr>
                  <w:tcW w:w="821" w:type="dxa"/>
                  <w:vAlign w:val="center"/>
                </w:tcPr>
                <w:p>
                  <w:pPr>
                    <w:pStyle w:val="47"/>
                    <w:keepNext w:val="0"/>
                    <w:keepLines w:val="0"/>
                    <w:pageBreakBefore w:val="0"/>
                    <w:widowControl w:val="0"/>
                    <w:kinsoku/>
                    <w:wordWrap/>
                    <w:overflowPunct/>
                    <w:topLinePunct w:val="0"/>
                    <w:autoSpaceDE/>
                    <w:autoSpaceDN/>
                    <w:bidi w:val="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每天</w:t>
                  </w:r>
                </w:p>
              </w:tc>
              <w:tc>
                <w:tcPr>
                  <w:tcW w:w="926" w:type="dxa"/>
                  <w:vMerge w:val="restart"/>
                  <w:vAlign w:val="center"/>
                </w:tcPr>
                <w:p>
                  <w:pPr>
                    <w:pStyle w:val="47"/>
                    <w:keepNext w:val="0"/>
                    <w:keepLines w:val="0"/>
                    <w:pageBreakBefore w:val="0"/>
                    <w:widowControl w:val="0"/>
                    <w:kinsoku/>
                    <w:wordWrap/>
                    <w:overflowPunct/>
                    <w:topLinePunct w:val="0"/>
                    <w:autoSpaceDE/>
                    <w:autoSpaceDN/>
                    <w:bidi w:val="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szCs w:val="21"/>
                    </w:rPr>
                    <w:t>外售物资回收单位综合利用</w:t>
                  </w:r>
                </w:p>
              </w:tc>
            </w:tr>
            <w:tr>
              <w:tblPrEx>
                <w:tblLayout w:type="fixed"/>
              </w:tblPrEx>
              <w:tc>
                <w:tcPr>
                  <w:tcW w:w="580"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2</w:t>
                  </w:r>
                </w:p>
              </w:tc>
              <w:tc>
                <w:tcPr>
                  <w:tcW w:w="1161" w:type="dxa"/>
                  <w:vAlign w:val="center"/>
                </w:tcPr>
                <w:p>
                  <w:pPr>
                    <w:pStyle w:val="47"/>
                    <w:keepNext w:val="0"/>
                    <w:keepLines w:val="0"/>
                    <w:pageBreakBefore w:val="0"/>
                    <w:widowControl w:val="0"/>
                    <w:kinsoku/>
                    <w:wordWrap/>
                    <w:overflowPunct/>
                    <w:topLinePunct w:val="0"/>
                    <w:autoSpaceDE/>
                    <w:autoSpaceDN/>
                    <w:bidi w:val="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边角料</w:t>
                  </w:r>
                </w:p>
              </w:tc>
              <w:tc>
                <w:tcPr>
                  <w:tcW w:w="1011"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切割</w:t>
                  </w:r>
                </w:p>
              </w:tc>
              <w:tc>
                <w:tcPr>
                  <w:tcW w:w="687" w:type="dxa"/>
                  <w:vAlign w:val="center"/>
                </w:tcPr>
                <w:p>
                  <w:pPr>
                    <w:pStyle w:val="47"/>
                    <w:keepNext w:val="0"/>
                    <w:keepLines w:val="0"/>
                    <w:pageBreakBefore w:val="0"/>
                    <w:widowControl w:val="0"/>
                    <w:kinsoku/>
                    <w:wordWrap/>
                    <w:overflowPunct/>
                    <w:topLinePunct w:val="0"/>
                    <w:autoSpaceDE/>
                    <w:autoSpaceDN/>
                    <w:bidi w:val="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固态</w:t>
                  </w:r>
                </w:p>
              </w:tc>
              <w:tc>
                <w:tcPr>
                  <w:tcW w:w="995" w:type="dxa"/>
                  <w:vAlign w:val="center"/>
                </w:tcPr>
                <w:p>
                  <w:pPr>
                    <w:pStyle w:val="47"/>
                    <w:keepNext w:val="0"/>
                    <w:keepLines w:val="0"/>
                    <w:pageBreakBefore w:val="0"/>
                    <w:widowControl w:val="0"/>
                    <w:kinsoku/>
                    <w:wordWrap/>
                    <w:overflowPunct/>
                    <w:topLinePunct w:val="0"/>
                    <w:autoSpaceDE/>
                    <w:autoSpaceDN/>
                    <w:bidi w:val="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一般固废</w:t>
                  </w:r>
                </w:p>
              </w:tc>
              <w:tc>
                <w:tcPr>
                  <w:tcW w:w="947"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25.86</w:t>
                  </w:r>
                </w:p>
              </w:tc>
              <w:tc>
                <w:tcPr>
                  <w:tcW w:w="964"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25.86</w:t>
                  </w:r>
                </w:p>
              </w:tc>
              <w:tc>
                <w:tcPr>
                  <w:tcW w:w="821"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每天</w:t>
                  </w:r>
                </w:p>
              </w:tc>
              <w:tc>
                <w:tcPr>
                  <w:tcW w:w="926" w:type="dxa"/>
                  <w:vMerge w:val="continue"/>
                  <w:vAlign w:val="center"/>
                </w:tcPr>
                <w:p>
                  <w:pPr>
                    <w:pStyle w:val="47"/>
                    <w:keepNext w:val="0"/>
                    <w:keepLines w:val="0"/>
                    <w:pageBreakBefore w:val="0"/>
                    <w:widowControl w:val="0"/>
                    <w:kinsoku/>
                    <w:wordWrap/>
                    <w:overflowPunct/>
                    <w:topLinePunct w:val="0"/>
                    <w:autoSpaceDE/>
                    <w:autoSpaceDN/>
                    <w:bidi w:val="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p>
              </w:tc>
            </w:tr>
            <w:tr>
              <w:tblPrEx>
                <w:tblLayout w:type="fixed"/>
              </w:tblPrEx>
              <w:tc>
                <w:tcPr>
                  <w:tcW w:w="580"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3</w:t>
                  </w:r>
                </w:p>
              </w:tc>
              <w:tc>
                <w:tcPr>
                  <w:tcW w:w="1161"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焊渣</w:t>
                  </w:r>
                </w:p>
              </w:tc>
              <w:tc>
                <w:tcPr>
                  <w:tcW w:w="1011"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焊接</w:t>
                  </w:r>
                </w:p>
              </w:tc>
              <w:tc>
                <w:tcPr>
                  <w:tcW w:w="687" w:type="dxa"/>
                  <w:vAlign w:val="center"/>
                </w:tcPr>
                <w:p>
                  <w:pPr>
                    <w:pStyle w:val="47"/>
                    <w:keepNext w:val="0"/>
                    <w:keepLines w:val="0"/>
                    <w:pageBreakBefore w:val="0"/>
                    <w:widowControl w:val="0"/>
                    <w:kinsoku/>
                    <w:wordWrap/>
                    <w:overflowPunct/>
                    <w:topLinePunct w:val="0"/>
                    <w:autoSpaceDE/>
                    <w:autoSpaceDN/>
                    <w:bidi w:val="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固态</w:t>
                  </w:r>
                </w:p>
              </w:tc>
              <w:tc>
                <w:tcPr>
                  <w:tcW w:w="995" w:type="dxa"/>
                  <w:vAlign w:val="center"/>
                </w:tcPr>
                <w:p>
                  <w:pPr>
                    <w:pStyle w:val="47"/>
                    <w:keepNext w:val="0"/>
                    <w:keepLines w:val="0"/>
                    <w:pageBreakBefore w:val="0"/>
                    <w:widowControl w:val="0"/>
                    <w:kinsoku/>
                    <w:wordWrap/>
                    <w:overflowPunct/>
                    <w:topLinePunct w:val="0"/>
                    <w:autoSpaceDE/>
                    <w:autoSpaceDN/>
                    <w:bidi w:val="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一般固废</w:t>
                  </w:r>
                </w:p>
              </w:tc>
              <w:tc>
                <w:tcPr>
                  <w:tcW w:w="947"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0.18</w:t>
                  </w:r>
                </w:p>
              </w:tc>
              <w:tc>
                <w:tcPr>
                  <w:tcW w:w="964"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0.18</w:t>
                  </w:r>
                </w:p>
              </w:tc>
              <w:tc>
                <w:tcPr>
                  <w:tcW w:w="821" w:type="dxa"/>
                  <w:vAlign w:val="center"/>
                </w:tcPr>
                <w:p>
                  <w:pPr>
                    <w:pStyle w:val="47"/>
                    <w:keepNext w:val="0"/>
                    <w:keepLines w:val="0"/>
                    <w:pageBreakBefore w:val="0"/>
                    <w:widowControl w:val="0"/>
                    <w:kinsoku/>
                    <w:wordWrap/>
                    <w:overflowPunct/>
                    <w:topLinePunct w:val="0"/>
                    <w:autoSpaceDE/>
                    <w:autoSpaceDN/>
                    <w:bidi w:val="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每天</w:t>
                  </w:r>
                </w:p>
              </w:tc>
              <w:tc>
                <w:tcPr>
                  <w:tcW w:w="926" w:type="dxa"/>
                  <w:vMerge w:val="continue"/>
                  <w:vAlign w:val="center"/>
                </w:tcPr>
                <w:p>
                  <w:pPr>
                    <w:pStyle w:val="47"/>
                    <w:keepNext w:val="0"/>
                    <w:keepLines w:val="0"/>
                    <w:pageBreakBefore w:val="0"/>
                    <w:widowControl w:val="0"/>
                    <w:kinsoku/>
                    <w:wordWrap/>
                    <w:overflowPunct/>
                    <w:topLinePunct w:val="0"/>
                    <w:autoSpaceDE/>
                    <w:autoSpaceDN/>
                    <w:bidi w:val="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p>
              </w:tc>
            </w:tr>
            <w:tr>
              <w:tblPrEx>
                <w:tblLayout w:type="fixed"/>
              </w:tblPrEx>
              <w:tc>
                <w:tcPr>
                  <w:tcW w:w="580"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p>
              </w:tc>
              <w:tc>
                <w:tcPr>
                  <w:tcW w:w="1161" w:type="dxa"/>
                  <w:vAlign w:val="center"/>
                </w:tcPr>
                <w:p>
                  <w:pPr>
                    <w:pStyle w:val="47"/>
                    <w:keepNext w:val="0"/>
                    <w:keepLines w:val="0"/>
                    <w:pageBreakBefore w:val="0"/>
                    <w:widowControl w:val="0"/>
                    <w:kinsoku/>
                    <w:wordWrap/>
                    <w:overflowPunct/>
                    <w:topLinePunct w:val="0"/>
                    <w:autoSpaceDE/>
                    <w:autoSpaceDN/>
                    <w:bidi w:val="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废包装材料</w:t>
                  </w:r>
                </w:p>
              </w:tc>
              <w:tc>
                <w:tcPr>
                  <w:tcW w:w="1011" w:type="dxa"/>
                  <w:vAlign w:val="center"/>
                </w:tcPr>
                <w:p>
                  <w:pPr>
                    <w:pStyle w:val="47"/>
                    <w:keepNext w:val="0"/>
                    <w:keepLines w:val="0"/>
                    <w:pageBreakBefore w:val="0"/>
                    <w:widowControl w:val="0"/>
                    <w:kinsoku/>
                    <w:wordWrap/>
                    <w:overflowPunct/>
                    <w:topLinePunct w:val="0"/>
                    <w:autoSpaceDE/>
                    <w:autoSpaceDN/>
                    <w:bidi w:val="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原料包装</w:t>
                  </w:r>
                </w:p>
              </w:tc>
              <w:tc>
                <w:tcPr>
                  <w:tcW w:w="687" w:type="dxa"/>
                  <w:vAlign w:val="center"/>
                </w:tcPr>
                <w:p>
                  <w:pPr>
                    <w:pStyle w:val="47"/>
                    <w:keepNext w:val="0"/>
                    <w:keepLines w:val="0"/>
                    <w:pageBreakBefore w:val="0"/>
                    <w:widowControl w:val="0"/>
                    <w:kinsoku/>
                    <w:wordWrap/>
                    <w:overflowPunct/>
                    <w:topLinePunct w:val="0"/>
                    <w:autoSpaceDE/>
                    <w:autoSpaceDN/>
                    <w:bidi w:val="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固态</w:t>
                  </w:r>
                </w:p>
              </w:tc>
              <w:tc>
                <w:tcPr>
                  <w:tcW w:w="995" w:type="dxa"/>
                  <w:vAlign w:val="center"/>
                </w:tcPr>
                <w:p>
                  <w:pPr>
                    <w:pStyle w:val="47"/>
                    <w:keepNext w:val="0"/>
                    <w:keepLines w:val="0"/>
                    <w:pageBreakBefore w:val="0"/>
                    <w:widowControl w:val="0"/>
                    <w:kinsoku/>
                    <w:wordWrap/>
                    <w:overflowPunct/>
                    <w:topLinePunct w:val="0"/>
                    <w:autoSpaceDE/>
                    <w:autoSpaceDN/>
                    <w:bidi w:val="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一般固废</w:t>
                  </w:r>
                </w:p>
              </w:tc>
              <w:tc>
                <w:tcPr>
                  <w:tcW w:w="947" w:type="dxa"/>
                  <w:vAlign w:val="center"/>
                </w:tcPr>
                <w:p>
                  <w:pPr>
                    <w:pStyle w:val="47"/>
                    <w:keepNext w:val="0"/>
                    <w:keepLines w:val="0"/>
                    <w:pageBreakBefore w:val="0"/>
                    <w:widowControl w:val="0"/>
                    <w:kinsoku/>
                    <w:wordWrap/>
                    <w:overflowPunct/>
                    <w:topLinePunct w:val="0"/>
                    <w:autoSpaceDE/>
                    <w:autoSpaceDN/>
                    <w:bidi w:val="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0.1</w:t>
                  </w:r>
                </w:p>
              </w:tc>
              <w:tc>
                <w:tcPr>
                  <w:tcW w:w="964"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0.1</w:t>
                  </w:r>
                </w:p>
              </w:tc>
              <w:tc>
                <w:tcPr>
                  <w:tcW w:w="821" w:type="dxa"/>
                  <w:vAlign w:val="center"/>
                </w:tcPr>
                <w:p>
                  <w:pPr>
                    <w:pStyle w:val="47"/>
                    <w:keepNext w:val="0"/>
                    <w:keepLines w:val="0"/>
                    <w:pageBreakBefore w:val="0"/>
                    <w:widowControl w:val="0"/>
                    <w:kinsoku/>
                    <w:wordWrap/>
                    <w:overflowPunct/>
                    <w:topLinePunct w:val="0"/>
                    <w:autoSpaceDE/>
                    <w:autoSpaceDN/>
                    <w:bidi w:val="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每天</w:t>
                  </w:r>
                </w:p>
              </w:tc>
              <w:tc>
                <w:tcPr>
                  <w:tcW w:w="926" w:type="dxa"/>
                  <w:vMerge w:val="continue"/>
                  <w:vAlign w:val="center"/>
                </w:tcPr>
                <w:p>
                  <w:pPr>
                    <w:pStyle w:val="47"/>
                    <w:keepNext w:val="0"/>
                    <w:keepLines w:val="0"/>
                    <w:pageBreakBefore w:val="0"/>
                    <w:widowControl w:val="0"/>
                    <w:kinsoku/>
                    <w:wordWrap/>
                    <w:overflowPunct/>
                    <w:topLinePunct w:val="0"/>
                    <w:autoSpaceDE/>
                    <w:autoSpaceDN/>
                    <w:bidi w:val="0"/>
                    <w:textAlignment w:val="auto"/>
                    <w:rPr>
                      <w:rFonts w:hint="eastAsia"/>
                      <w:szCs w:val="21"/>
                    </w:rPr>
                  </w:pPr>
                </w:p>
              </w:tc>
            </w:tr>
            <w:tr>
              <w:tblPrEx>
                <w:tblLayout w:type="fixed"/>
              </w:tblPrEx>
              <w:tc>
                <w:tcPr>
                  <w:tcW w:w="580"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5</w:t>
                  </w:r>
                </w:p>
              </w:tc>
              <w:tc>
                <w:tcPr>
                  <w:tcW w:w="1161"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废润滑油</w:t>
                  </w:r>
                </w:p>
              </w:tc>
              <w:tc>
                <w:tcPr>
                  <w:tcW w:w="1011"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设备保养</w:t>
                  </w:r>
                </w:p>
              </w:tc>
              <w:tc>
                <w:tcPr>
                  <w:tcW w:w="687"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液态</w:t>
                  </w:r>
                </w:p>
              </w:tc>
              <w:tc>
                <w:tcPr>
                  <w:tcW w:w="995"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危险废物</w:t>
                  </w:r>
                </w:p>
              </w:tc>
              <w:tc>
                <w:tcPr>
                  <w:tcW w:w="947"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0.1</w:t>
                  </w:r>
                </w:p>
              </w:tc>
              <w:tc>
                <w:tcPr>
                  <w:tcW w:w="964"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0.1</w:t>
                  </w:r>
                </w:p>
              </w:tc>
              <w:tc>
                <w:tcPr>
                  <w:tcW w:w="821"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6个月</w:t>
                  </w:r>
                </w:p>
              </w:tc>
              <w:tc>
                <w:tcPr>
                  <w:tcW w:w="926" w:type="dxa"/>
                  <w:vMerge w:val="restart"/>
                  <w:vAlign w:val="center"/>
                </w:tcPr>
                <w:p>
                  <w:pPr>
                    <w:pStyle w:val="47"/>
                    <w:keepNext w:val="0"/>
                    <w:keepLines w:val="0"/>
                    <w:pageBreakBefore w:val="0"/>
                    <w:widowControl w:val="0"/>
                    <w:kinsoku/>
                    <w:wordWrap/>
                    <w:overflowPunct/>
                    <w:topLinePunct w:val="0"/>
                    <w:autoSpaceDE/>
                    <w:autoSpaceDN/>
                    <w:bidi w:val="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委托有资质单位处置</w:t>
                  </w:r>
                </w:p>
              </w:tc>
            </w:tr>
            <w:tr>
              <w:tblPrEx>
                <w:tblLayout w:type="fixed"/>
              </w:tblPrEx>
              <w:tc>
                <w:tcPr>
                  <w:tcW w:w="580"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p>
              </w:tc>
              <w:tc>
                <w:tcPr>
                  <w:tcW w:w="1161"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废润滑油桶</w:t>
                  </w:r>
                </w:p>
              </w:tc>
              <w:tc>
                <w:tcPr>
                  <w:tcW w:w="1011"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设备保养</w:t>
                  </w:r>
                </w:p>
              </w:tc>
              <w:tc>
                <w:tcPr>
                  <w:tcW w:w="687"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固态</w:t>
                  </w:r>
                </w:p>
              </w:tc>
              <w:tc>
                <w:tcPr>
                  <w:tcW w:w="995"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危险废物</w:t>
                  </w:r>
                </w:p>
              </w:tc>
              <w:tc>
                <w:tcPr>
                  <w:tcW w:w="947"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ascii="Times New Roman" w:hAnsi="Times New Roman" w:eastAsia="宋体"/>
                      <w:color w:val="000000" w:themeColor="text1"/>
                      <w:highlight w:val="none"/>
                      <w:lang w:val="en-US" w:eastAsia="zh-CN"/>
                      <w14:textFill>
                        <w14:solidFill>
                          <w14:schemeClr w14:val="tx1"/>
                        </w14:solidFill>
                      </w14:textFill>
                    </w:rPr>
                    <w:t>kg/a</w:t>
                  </w:r>
                </w:p>
              </w:tc>
              <w:tc>
                <w:tcPr>
                  <w:tcW w:w="964"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ascii="Times New Roman" w:hAnsi="Times New Roman" w:eastAsia="宋体"/>
                      <w:color w:val="000000" w:themeColor="text1"/>
                      <w:highlight w:val="none"/>
                      <w:lang w:val="en-US" w:eastAsia="zh-CN"/>
                      <w14:textFill>
                        <w14:solidFill>
                          <w14:schemeClr w14:val="tx1"/>
                        </w14:solidFill>
                      </w14:textFill>
                    </w:rPr>
                    <w:t>kg/a</w:t>
                  </w:r>
                </w:p>
              </w:tc>
              <w:tc>
                <w:tcPr>
                  <w:tcW w:w="821"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6个月</w:t>
                  </w:r>
                </w:p>
              </w:tc>
              <w:tc>
                <w:tcPr>
                  <w:tcW w:w="926" w:type="dxa"/>
                  <w:vMerge w:val="continue"/>
                  <w:vAlign w:val="center"/>
                </w:tcPr>
                <w:p>
                  <w:pPr>
                    <w:jc w:val="center"/>
                    <w:rPr>
                      <w:rFonts w:hint="eastAsia"/>
                      <w:szCs w:val="21"/>
                      <w:lang w:eastAsia="zh-CN"/>
                    </w:rPr>
                  </w:pPr>
                </w:p>
              </w:tc>
            </w:tr>
            <w:tr>
              <w:tblPrEx>
                <w:tblLayout w:type="fixed"/>
              </w:tblPrEx>
              <w:tc>
                <w:tcPr>
                  <w:tcW w:w="580"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w:t>
                  </w:r>
                </w:p>
              </w:tc>
              <w:tc>
                <w:tcPr>
                  <w:tcW w:w="1161"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废切削液</w:t>
                  </w:r>
                </w:p>
              </w:tc>
              <w:tc>
                <w:tcPr>
                  <w:tcW w:w="1011"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切割</w:t>
                  </w:r>
                </w:p>
              </w:tc>
              <w:tc>
                <w:tcPr>
                  <w:tcW w:w="687"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液态</w:t>
                  </w:r>
                </w:p>
              </w:tc>
              <w:tc>
                <w:tcPr>
                  <w:tcW w:w="995"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危险废物</w:t>
                  </w:r>
                </w:p>
              </w:tc>
              <w:tc>
                <w:tcPr>
                  <w:tcW w:w="947"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0.12</w:t>
                  </w:r>
                </w:p>
              </w:tc>
              <w:tc>
                <w:tcPr>
                  <w:tcW w:w="964"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0.12</w:t>
                  </w:r>
                </w:p>
              </w:tc>
              <w:tc>
                <w:tcPr>
                  <w:tcW w:w="821"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6个月</w:t>
                  </w:r>
                </w:p>
              </w:tc>
              <w:tc>
                <w:tcPr>
                  <w:tcW w:w="926" w:type="dxa"/>
                  <w:vMerge w:val="continue"/>
                  <w:vAlign w:val="center"/>
                </w:tcPr>
                <w:p>
                  <w:pPr>
                    <w:jc w:val="center"/>
                    <w:rPr>
                      <w:rFonts w:hint="eastAsia"/>
                      <w:szCs w:val="21"/>
                      <w:lang w:eastAsia="zh-CN"/>
                    </w:rPr>
                  </w:pPr>
                </w:p>
              </w:tc>
            </w:tr>
            <w:tr>
              <w:tblPrEx>
                <w:tblLayout w:type="fixed"/>
              </w:tblPrEx>
              <w:tc>
                <w:tcPr>
                  <w:tcW w:w="580" w:type="dxa"/>
                  <w:vAlign w:val="center"/>
                </w:tcPr>
                <w:p>
                  <w:pPr>
                    <w:pStyle w:val="47"/>
                    <w:keepNext w:val="0"/>
                    <w:keepLines w:val="0"/>
                    <w:pageBreakBefore w:val="0"/>
                    <w:widowControl w:val="0"/>
                    <w:kinsoku/>
                    <w:wordWrap/>
                    <w:overflowPunct/>
                    <w:topLinePunct w:val="0"/>
                    <w:autoSpaceDE/>
                    <w:autoSpaceDN/>
                    <w:bidi w:val="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p>
              </w:tc>
              <w:tc>
                <w:tcPr>
                  <w:tcW w:w="1161"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生活垃圾</w:t>
                  </w:r>
                </w:p>
              </w:tc>
              <w:tc>
                <w:tcPr>
                  <w:tcW w:w="1011"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职工生活</w:t>
                  </w:r>
                </w:p>
              </w:tc>
              <w:tc>
                <w:tcPr>
                  <w:tcW w:w="687"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固态</w:t>
                  </w:r>
                </w:p>
              </w:tc>
              <w:tc>
                <w:tcPr>
                  <w:tcW w:w="995"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生活垃圾</w:t>
                  </w:r>
                </w:p>
              </w:tc>
              <w:tc>
                <w:tcPr>
                  <w:tcW w:w="947"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2.5</w:t>
                  </w:r>
                </w:p>
              </w:tc>
              <w:tc>
                <w:tcPr>
                  <w:tcW w:w="964"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2.5</w:t>
                  </w:r>
                </w:p>
              </w:tc>
              <w:tc>
                <w:tcPr>
                  <w:tcW w:w="821"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每天</w:t>
                  </w:r>
                </w:p>
              </w:tc>
              <w:tc>
                <w:tcPr>
                  <w:tcW w:w="926"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ascii="Times New Roman" w:hAnsi="Times New Roman" w:eastAsia="宋体"/>
                      <w:color w:val="000000" w:themeColor="text1"/>
                      <w:highlight w:val="none"/>
                      <w:lang w:val="en-US" w:eastAsia="zh-CN"/>
                      <w14:textFill>
                        <w14:solidFill>
                          <w14:schemeClr w14:val="tx1"/>
                        </w14:solidFill>
                      </w14:textFill>
                    </w:rPr>
                  </w:pPr>
                  <w:r>
                    <w:rPr>
                      <w:rFonts w:hint="eastAsia" w:ascii="Times New Roman" w:hAnsi="Times New Roman" w:eastAsia="宋体"/>
                      <w:color w:val="000000" w:themeColor="text1"/>
                      <w:highlight w:val="none"/>
                      <w:lang w:val="en-US" w:eastAsia="zh-CN"/>
                      <w14:textFill>
                        <w14:solidFill>
                          <w14:schemeClr w14:val="tx1"/>
                        </w14:solidFill>
                      </w14:textFill>
                    </w:rPr>
                    <w:t>由环卫部门统一清运</w:t>
                  </w:r>
                </w:p>
              </w:tc>
            </w:tr>
          </w:tbl>
          <w:p>
            <w:pPr>
              <w:pStyle w:val="47"/>
              <w:bidi w:val="0"/>
              <w:rPr>
                <w:rFonts w:hint="default"/>
                <w:color w:val="000000" w:themeColor="text1"/>
                <w:highlight w:val="none"/>
                <w14:textFill>
                  <w14:solidFill>
                    <w14:schemeClr w14:val="tx1"/>
                  </w14:solidFill>
                </w14:textFill>
              </w:rPr>
            </w:pPr>
          </w:p>
        </w:tc>
      </w:tr>
      <w:tr>
        <w:tblPrEx>
          <w:tblLayout w:type="fixed"/>
        </w:tblPrEx>
        <w:trPr>
          <w:trHeight w:val="397" w:hRule="atLeast"/>
          <w:jc w:val="center"/>
        </w:trPr>
        <w:tc>
          <w:tcPr>
            <w:tcW w:w="951" w:type="dxa"/>
            <w:vAlign w:val="center"/>
          </w:tcPr>
          <w:p>
            <w:pPr>
              <w:pStyle w:val="47"/>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土壤及地下水污染防治措施</w:t>
            </w:r>
          </w:p>
        </w:tc>
        <w:tc>
          <w:tcPr>
            <w:tcW w:w="8326" w:type="dxa"/>
            <w:gridSpan w:val="4"/>
            <w:vAlign w:val="center"/>
          </w:tcPr>
          <w:p>
            <w:pPr>
              <w:pStyle w:val="47"/>
              <w:bidi w:val="0"/>
              <w:rPr>
                <w:rFonts w:hint="default"/>
                <w:color w:val="000000" w:themeColor="text1"/>
                <w:highlight w:val="none"/>
                <w14:textFill>
                  <w14:solidFill>
                    <w14:schemeClr w14:val="tx1"/>
                  </w14:solidFill>
                </w14:textFill>
              </w:rPr>
            </w:pPr>
            <w:r>
              <w:rPr>
                <w:rFonts w:hint="default" w:ascii="Times New Roman" w:hAnsi="Times New Roman" w:eastAsia="宋体" w:cs="Times New Roman"/>
                <w:color w:val="000000"/>
                <w:kern w:val="2"/>
                <w:sz w:val="21"/>
                <w:szCs w:val="21"/>
                <w:highlight w:val="none"/>
                <w:lang w:val="en-US" w:eastAsia="zh-CN" w:bidi="ar-SA"/>
              </w:rPr>
              <w:t>本</w:t>
            </w:r>
            <w:r>
              <w:rPr>
                <w:rFonts w:hint="eastAsia" w:cs="Times New Roman"/>
                <w:color w:val="000000"/>
                <w:kern w:val="2"/>
                <w:sz w:val="21"/>
                <w:szCs w:val="21"/>
                <w:highlight w:val="none"/>
                <w:lang w:val="en-US" w:eastAsia="zh-CN" w:bidi="ar-SA"/>
              </w:rPr>
              <w:t>项目危废仓库设置重点防渗</w:t>
            </w:r>
            <w:r>
              <w:rPr>
                <w:rFonts w:hint="default" w:ascii="Times New Roman" w:hAnsi="Times New Roman" w:eastAsia="宋体" w:cs="Times New Roman"/>
                <w:color w:val="000000"/>
                <w:kern w:val="2"/>
                <w:sz w:val="21"/>
                <w:szCs w:val="21"/>
                <w:highlight w:val="none"/>
                <w:lang w:val="en-US" w:eastAsia="zh-CN" w:bidi="ar-SA"/>
              </w:rPr>
              <w:t>，</w:t>
            </w:r>
            <w:r>
              <w:rPr>
                <w:rFonts w:hint="default" w:ascii="Times New Roman" w:hAnsi="Times New Roman" w:cs="Times New Roman"/>
                <w:b w:val="0"/>
                <w:bCs w:val="0"/>
                <w:color w:val="auto"/>
                <w:sz w:val="21"/>
                <w:szCs w:val="21"/>
              </w:rPr>
              <w:t>防渗混凝土+环氧树脂地坪，渗透系数不大于1.0×10</w:t>
            </w:r>
            <w:r>
              <w:rPr>
                <w:rFonts w:hint="default" w:ascii="Times New Roman" w:hAnsi="Times New Roman" w:cs="Times New Roman"/>
                <w:b w:val="0"/>
                <w:bCs w:val="0"/>
                <w:color w:val="auto"/>
                <w:sz w:val="21"/>
                <w:szCs w:val="21"/>
                <w:vertAlign w:val="superscript"/>
              </w:rPr>
              <w:t>-10</w:t>
            </w:r>
            <w:r>
              <w:rPr>
                <w:rFonts w:hint="default" w:ascii="Times New Roman" w:hAnsi="Times New Roman" w:cs="Times New Roman"/>
                <w:b w:val="0"/>
                <w:bCs w:val="0"/>
                <w:color w:val="auto"/>
                <w:sz w:val="21"/>
                <w:szCs w:val="21"/>
              </w:rPr>
              <w:t>cm/s，建议建设单位在做了地面硬化的基础上刷涂环氧树脂漆，使其渗透系数不大于1.0×10</w:t>
            </w:r>
            <w:r>
              <w:rPr>
                <w:rFonts w:hint="default" w:ascii="Times New Roman" w:hAnsi="Times New Roman" w:cs="Times New Roman"/>
                <w:b w:val="0"/>
                <w:bCs w:val="0"/>
                <w:color w:val="auto"/>
                <w:sz w:val="21"/>
                <w:szCs w:val="21"/>
                <w:vertAlign w:val="superscript"/>
              </w:rPr>
              <w:t>-10</w:t>
            </w:r>
            <w:r>
              <w:rPr>
                <w:rFonts w:hint="default" w:ascii="Times New Roman" w:hAnsi="Times New Roman" w:cs="Times New Roman"/>
                <w:b w:val="0"/>
                <w:bCs w:val="0"/>
                <w:color w:val="auto"/>
                <w:sz w:val="21"/>
                <w:szCs w:val="21"/>
              </w:rPr>
              <w:t>cm/s；其他区域</w:t>
            </w:r>
            <w:r>
              <w:rPr>
                <w:rFonts w:hint="default" w:ascii="Times New Roman" w:hAnsi="Times New Roman" w:eastAsia="宋体" w:cs="Times New Roman"/>
                <w:b w:val="0"/>
                <w:bCs w:val="0"/>
                <w:color w:val="auto"/>
                <w:sz w:val="21"/>
                <w:szCs w:val="21"/>
                <w:lang w:val="en-US" w:eastAsia="zh-CN"/>
              </w:rPr>
              <w:t>要求等效粘土防渗层Mb≥1.5m，渗透系数K≤10</w:t>
            </w:r>
            <w:r>
              <w:rPr>
                <w:rFonts w:hint="default" w:ascii="Times New Roman" w:hAnsi="Times New Roman" w:eastAsia="宋体" w:cs="Times New Roman"/>
                <w:b w:val="0"/>
                <w:bCs w:val="0"/>
                <w:color w:val="auto"/>
                <w:sz w:val="21"/>
                <w:szCs w:val="21"/>
                <w:vertAlign w:val="superscript"/>
                <w:lang w:val="en-US" w:eastAsia="zh-CN"/>
              </w:rPr>
              <w:t>-7</w:t>
            </w:r>
            <w:r>
              <w:rPr>
                <w:rFonts w:hint="default" w:ascii="Times New Roman" w:hAnsi="Times New Roman" w:eastAsia="宋体" w:cs="Times New Roman"/>
                <w:b w:val="0"/>
                <w:bCs w:val="0"/>
                <w:color w:val="auto"/>
                <w:sz w:val="21"/>
                <w:szCs w:val="21"/>
                <w:lang w:val="en-US" w:eastAsia="zh-CN"/>
              </w:rPr>
              <w:t>cm/s</w:t>
            </w:r>
            <w:r>
              <w:rPr>
                <w:rFonts w:hint="eastAsia" w:cs="Times New Roman"/>
                <w:color w:val="000000"/>
                <w:kern w:val="2"/>
                <w:sz w:val="21"/>
                <w:szCs w:val="21"/>
                <w:highlight w:val="none"/>
                <w:lang w:val="en-US" w:eastAsia="zh-CN" w:bidi="ar-SA"/>
              </w:rPr>
              <w:t>，</w:t>
            </w:r>
            <w:r>
              <w:rPr>
                <w:rFonts w:hint="default" w:ascii="Times New Roman" w:hAnsi="Times New Roman" w:eastAsia="宋体" w:cs="Times New Roman"/>
                <w:color w:val="000000"/>
                <w:kern w:val="2"/>
                <w:sz w:val="21"/>
                <w:szCs w:val="21"/>
                <w:highlight w:val="none"/>
                <w:lang w:val="en-US" w:eastAsia="zh-CN" w:bidi="ar-SA"/>
              </w:rPr>
              <w:t>本项目不会对地下水及土壤产生污染</w:t>
            </w:r>
          </w:p>
        </w:tc>
      </w:tr>
      <w:tr>
        <w:tblPrEx>
          <w:tblLayout w:type="fixed"/>
        </w:tblPrEx>
        <w:trPr>
          <w:trHeight w:val="397" w:hRule="atLeast"/>
          <w:jc w:val="center"/>
        </w:trPr>
        <w:tc>
          <w:tcPr>
            <w:tcW w:w="951" w:type="dxa"/>
            <w:vAlign w:val="center"/>
          </w:tcPr>
          <w:p>
            <w:pPr>
              <w:pStyle w:val="47"/>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生态保护措施</w:t>
            </w:r>
          </w:p>
        </w:tc>
        <w:tc>
          <w:tcPr>
            <w:tcW w:w="8326" w:type="dxa"/>
            <w:gridSpan w:val="4"/>
            <w:vAlign w:val="center"/>
          </w:tcPr>
          <w:p>
            <w:pPr>
              <w:pStyle w:val="47"/>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无</w:t>
            </w:r>
          </w:p>
        </w:tc>
      </w:tr>
      <w:tr>
        <w:tblPrEx>
          <w:tblLayout w:type="fixed"/>
        </w:tblPrEx>
        <w:trPr>
          <w:trHeight w:val="397" w:hRule="atLeast"/>
          <w:jc w:val="center"/>
        </w:trPr>
        <w:tc>
          <w:tcPr>
            <w:tcW w:w="951" w:type="dxa"/>
            <w:vAlign w:val="center"/>
          </w:tcPr>
          <w:p>
            <w:pPr>
              <w:pStyle w:val="47"/>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环境风险防范措施</w:t>
            </w:r>
          </w:p>
        </w:tc>
        <w:tc>
          <w:tcPr>
            <w:tcW w:w="8326" w:type="dxa"/>
            <w:gridSpan w:val="4"/>
            <w:vAlign w:val="center"/>
          </w:tcPr>
          <w:p>
            <w:pPr>
              <w:pStyle w:val="47"/>
              <w:bidi w:val="0"/>
              <w:jc w:val="both"/>
              <w:rPr>
                <w:rFonts w:hint="eastAsia"/>
                <w:color w:val="000000" w:themeColor="text1"/>
                <w:highlight w:val="none"/>
                <w:lang w:eastAsia="zh-CN"/>
                <w14:textFill>
                  <w14:solidFill>
                    <w14:schemeClr w14:val="tx1"/>
                  </w14:solidFill>
                </w14:textFill>
              </w:rPr>
            </w:pPr>
            <w:r>
              <w:rPr>
                <w:rFonts w:hint="default"/>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w:t>
            </w:r>
            <w:r>
              <w:rPr>
                <w:rFonts w:hint="default"/>
                <w:color w:val="000000" w:themeColor="text1"/>
                <w:highlight w:val="none"/>
                <w14:textFill>
                  <w14:solidFill>
                    <w14:schemeClr w14:val="tx1"/>
                  </w14:solidFill>
                </w14:textFill>
              </w:rPr>
              <w:t>）加强用火管理，厂区内严禁烟火，配备一定数量的干粉等灭火器，并定期检查确保其可正常使用，加强电气设备及线路检查，防止线路和设备老化造成的引发事故</w:t>
            </w:r>
            <w:r>
              <w:rPr>
                <w:rFonts w:hint="eastAsia"/>
                <w:color w:val="000000" w:themeColor="text1"/>
                <w:highlight w:val="none"/>
                <w:lang w:eastAsia="zh-CN"/>
                <w14:textFill>
                  <w14:solidFill>
                    <w14:schemeClr w14:val="tx1"/>
                  </w14:solidFill>
                </w14:textFill>
              </w:rPr>
              <w:t>。</w:t>
            </w:r>
          </w:p>
          <w:p>
            <w:pPr>
              <w:pStyle w:val="47"/>
              <w:bidi w:val="0"/>
              <w:jc w:val="both"/>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w:t>
            </w:r>
            <w:r>
              <w:rPr>
                <w:rFonts w:hint="default"/>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制</w:t>
            </w:r>
            <w:r>
              <w:rPr>
                <w:rFonts w:hint="default"/>
                <w:color w:val="000000" w:themeColor="text1"/>
                <w:highlight w:val="none"/>
                <w14:textFill>
                  <w14:solidFill>
                    <w14:schemeClr w14:val="tx1"/>
                  </w14:solidFill>
                </w14:textFill>
              </w:rPr>
              <w:t>定严格的生产操作规程，加强作业工人的安全教育，杜绝工作失误造成的事故。</w:t>
            </w:r>
          </w:p>
          <w:p>
            <w:pPr>
              <w:pStyle w:val="47"/>
              <w:bidi w:val="0"/>
              <w:jc w:val="both"/>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3）废气处理设施必须确保日常运行；平时加强废气处理装置的维护，定期清理布袋除尘器。</w:t>
            </w:r>
          </w:p>
        </w:tc>
      </w:tr>
      <w:tr>
        <w:tblPrEx>
          <w:tblLayout w:type="fixed"/>
        </w:tblPrEx>
        <w:trPr>
          <w:trHeight w:val="397" w:hRule="atLeast"/>
          <w:jc w:val="center"/>
        </w:trPr>
        <w:tc>
          <w:tcPr>
            <w:tcW w:w="951" w:type="dxa"/>
            <w:vAlign w:val="center"/>
          </w:tcPr>
          <w:p>
            <w:pPr>
              <w:pStyle w:val="47"/>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其他环境管理要求</w:t>
            </w:r>
          </w:p>
        </w:tc>
        <w:tc>
          <w:tcPr>
            <w:tcW w:w="8326" w:type="dxa"/>
            <w:gridSpan w:val="4"/>
            <w:vAlign w:val="center"/>
          </w:tcPr>
          <w:p>
            <w:pPr>
              <w:pStyle w:val="47"/>
              <w:bidi w:val="0"/>
              <w:spacing w:line="360" w:lineRule="auto"/>
              <w:jc w:val="both"/>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default"/>
                <w:color w:val="000000" w:themeColor="text1"/>
                <w:highlight w:val="none"/>
                <w:lang w:val="en-US" w:eastAsia="zh-CN"/>
                <w14:textFill>
                  <w14:solidFill>
                    <w14:schemeClr w14:val="tx1"/>
                  </w14:solidFill>
                </w14:textFill>
              </w:rPr>
              <w:t>排污许可</w:t>
            </w:r>
          </w:p>
          <w:p>
            <w:pPr>
              <w:pStyle w:val="47"/>
              <w:bidi w:val="0"/>
              <w:spacing w:line="360" w:lineRule="auto"/>
              <w:ind w:firstLine="420" w:firstLineChars="200"/>
              <w:jc w:val="both"/>
              <w:rPr>
                <w:rFonts w:hint="default"/>
                <w:color w:val="000000" w:themeColor="text1"/>
                <w:highlight w:val="none"/>
                <w:lang w:val="en-US" w:eastAsia="zh-CN"/>
                <w14:textFill>
                  <w14:solidFill>
                    <w14:schemeClr w14:val="tx1"/>
                  </w14:solidFill>
                </w14:textFill>
              </w:rPr>
            </w:pPr>
            <w:r>
              <w:rPr>
                <w:rFonts w:hint="default" w:ascii="Times New Roman" w:hAnsi="Times New Roman" w:eastAsia="宋体"/>
                <w:color w:val="000000" w:themeColor="text1"/>
                <w:highlight w:val="none"/>
                <w:lang w:val="en-US" w:eastAsia="zh-CN"/>
                <w14:textFill>
                  <w14:solidFill>
                    <w14:schemeClr w14:val="tx1"/>
                  </w14:solidFill>
                </w14:textFill>
              </w:rPr>
              <w:t>根据《国民经济行业分类（GB/T 4754-2017）》判定本项目的国民经济行业类别为：C3630改装汽车制造；对照《固定污染源排污许可分类管理名录》(2019 年版)，本项目属于固定污染源排污许可分类管理名录表中的“三十一、汽车制造业”中的“</w:t>
            </w:r>
            <w:r>
              <w:rPr>
                <w:rFonts w:hint="eastAsia"/>
                <w:color w:val="000000" w:themeColor="text1"/>
                <w:highlight w:val="none"/>
                <w:lang w:val="en-US" w:eastAsia="zh-CN"/>
                <w14:textFill>
                  <w14:solidFill>
                    <w14:schemeClr w14:val="tx1"/>
                  </w14:solidFill>
                </w14:textFill>
              </w:rPr>
              <w:t>其他</w:t>
            </w:r>
            <w:r>
              <w:rPr>
                <w:rFonts w:hint="default" w:ascii="Times New Roman" w:hAnsi="Times New Roman" w:eastAsia="宋体"/>
                <w:color w:val="000000" w:themeColor="text1"/>
                <w:highlight w:val="none"/>
                <w:lang w:val="en-US" w:eastAsia="zh-CN"/>
                <w14:textFill>
                  <w14:solidFill>
                    <w14:schemeClr w14:val="tx1"/>
                  </w14:solidFill>
                </w14:textFill>
              </w:rPr>
              <w:t>”，管理类别属于“</w:t>
            </w:r>
            <w:r>
              <w:rPr>
                <w:rFonts w:hint="eastAsia"/>
                <w:color w:val="000000" w:themeColor="text1"/>
                <w:highlight w:val="none"/>
                <w:lang w:val="en-US" w:eastAsia="zh-CN"/>
                <w14:textFill>
                  <w14:solidFill>
                    <w14:schemeClr w14:val="tx1"/>
                  </w14:solidFill>
                </w14:textFill>
              </w:rPr>
              <w:t>登记</w:t>
            </w:r>
            <w:r>
              <w:rPr>
                <w:rFonts w:hint="default" w:ascii="Times New Roman" w:hAnsi="Times New Roman" w:eastAsia="宋体"/>
                <w:color w:val="000000" w:themeColor="text1"/>
                <w:highlight w:val="none"/>
                <w:lang w:val="en-US" w:eastAsia="zh-CN"/>
                <w14:textFill>
                  <w14:solidFill>
                    <w14:schemeClr w14:val="tx1"/>
                  </w14:solidFill>
                </w14:textFill>
              </w:rPr>
              <w:t>管理”；综上，本项目的排污许可填报“管理类别”应为“</w:t>
            </w:r>
            <w:r>
              <w:rPr>
                <w:rFonts w:hint="eastAsia"/>
                <w:color w:val="000000" w:themeColor="text1"/>
                <w:highlight w:val="none"/>
                <w:lang w:val="en-US" w:eastAsia="zh-CN"/>
                <w14:textFill>
                  <w14:solidFill>
                    <w14:schemeClr w14:val="tx1"/>
                  </w14:solidFill>
                </w14:textFill>
              </w:rPr>
              <w:t>登记</w:t>
            </w:r>
            <w:r>
              <w:rPr>
                <w:rFonts w:hint="default" w:ascii="Times New Roman" w:hAnsi="Times New Roman" w:eastAsia="宋体"/>
                <w:color w:val="000000" w:themeColor="text1"/>
                <w:highlight w:val="none"/>
                <w:lang w:val="en-US" w:eastAsia="zh-CN"/>
                <w14:textFill>
                  <w14:solidFill>
                    <w14:schemeClr w14:val="tx1"/>
                  </w14:solidFill>
                </w14:textFill>
              </w:rPr>
              <w:t>管理”。企业应在实际排污前申领排污许可证。</w:t>
            </w:r>
          </w:p>
          <w:p>
            <w:pPr>
              <w:pStyle w:val="47"/>
              <w:bidi w:val="0"/>
              <w:spacing w:line="360" w:lineRule="auto"/>
              <w:ind w:firstLine="420" w:firstLineChars="200"/>
              <w:jc w:val="both"/>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建设单位应规范化设置排污口；按照《安徽省生态环境厅关于统筹做好固定污染源排污许可日常监管工作的通知》（皖环发〔2021〕7号）等要求，加强排污许可证申领后的日常执行管理。</w:t>
            </w:r>
          </w:p>
          <w:p>
            <w:pPr>
              <w:pStyle w:val="47"/>
              <w:bidi w:val="0"/>
              <w:spacing w:line="360" w:lineRule="auto"/>
              <w:jc w:val="both"/>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（1）排污口管理：</w:t>
            </w:r>
          </w:p>
          <w:p>
            <w:pPr>
              <w:pStyle w:val="47"/>
              <w:bidi w:val="0"/>
              <w:spacing w:line="360" w:lineRule="auto"/>
              <w:ind w:firstLine="420" w:firstLineChars="200"/>
              <w:jc w:val="both"/>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建设单位应在各排污口处设立较明显的排污口标志牌，其上应注明主要排放污染物的名称以警示周围群众；</w:t>
            </w:r>
          </w:p>
          <w:p>
            <w:pPr>
              <w:pStyle w:val="47"/>
              <w:bidi w:val="0"/>
              <w:spacing w:line="360" w:lineRule="auto"/>
              <w:ind w:firstLine="420" w:firstLineChars="200"/>
              <w:jc w:val="both"/>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建设单位应如实填写《中华人民共和国规范化排污口标志登记证》的有关内容，由环保主管部门签发登记证；</w:t>
            </w:r>
          </w:p>
          <w:p>
            <w:pPr>
              <w:pStyle w:val="47"/>
              <w:bidi w:val="0"/>
              <w:spacing w:line="360" w:lineRule="auto"/>
              <w:ind w:firstLine="420" w:firstLineChars="200"/>
              <w:jc w:val="both"/>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规范化排污口的有关设置属环保设施，建设单位必须负责日常的维护保养，任何单位和个人不得擅自拆除，如果需要变更的必须报环境监察部门同意并办理变更手续；</w:t>
            </w:r>
          </w:p>
          <w:p>
            <w:pPr>
              <w:pStyle w:val="47"/>
              <w:bidi w:val="0"/>
              <w:spacing w:line="360" w:lineRule="auto"/>
              <w:ind w:firstLine="420" w:firstLineChars="200"/>
              <w:jc w:val="both"/>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建设单位应将有关排污口的情况，如：排污口的性质、编号，排污口的位置；主要排放的污染物种类、数量、浓度、排放规律、排放去向；污染治理设施的运行情况等进行建档管理，并报送环保主管部门备案。</w:t>
            </w:r>
          </w:p>
          <w:p>
            <w:pPr>
              <w:pStyle w:val="47"/>
              <w:bidi w:val="0"/>
              <w:spacing w:line="360" w:lineRule="auto"/>
              <w:jc w:val="both"/>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（2）台账的管理：</w:t>
            </w:r>
          </w:p>
          <w:p>
            <w:pPr>
              <w:pStyle w:val="47"/>
              <w:bidi w:val="0"/>
              <w:spacing w:line="360" w:lineRule="auto"/>
              <w:ind w:firstLine="420" w:firstLineChars="200"/>
              <w:jc w:val="both"/>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根据生产特点和污染物排放特点，按照排污口和有组织排放源进行记录。台账记录保存期限不少于五年。</w:t>
            </w:r>
          </w:p>
          <w:p>
            <w:pPr>
              <w:pStyle w:val="47"/>
              <w:bidi w:val="0"/>
              <w:spacing w:line="360" w:lineRule="auto"/>
              <w:jc w:val="both"/>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（3）严格执行各项环境管理制度，保证各排污口的正常运行；</w:t>
            </w:r>
          </w:p>
          <w:p>
            <w:pPr>
              <w:pStyle w:val="47"/>
              <w:bidi w:val="0"/>
              <w:spacing w:line="360" w:lineRule="auto"/>
              <w:jc w:val="both"/>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（4）对各项环保设施操作、维护定量考核，建立环保设施运行档案；</w:t>
            </w:r>
          </w:p>
          <w:p>
            <w:pPr>
              <w:pStyle w:val="47"/>
              <w:bidi w:val="0"/>
              <w:spacing w:line="360" w:lineRule="auto"/>
              <w:jc w:val="both"/>
              <w:rPr>
                <w:rFonts w:hint="default"/>
                <w:color w:val="000000" w:themeColor="text1"/>
                <w:highlight w:val="none"/>
                <w14:textFill>
                  <w14:solidFill>
                    <w14:schemeClr w14:val="tx1"/>
                  </w14:solidFill>
                </w14:textFill>
              </w:rPr>
            </w:pPr>
            <w:r>
              <w:rPr>
                <w:rFonts w:hint="default"/>
                <w:color w:val="000000" w:themeColor="text1"/>
                <w:highlight w:val="none"/>
                <w:lang w:val="en-US" w:eastAsia="zh-CN"/>
                <w14:textFill>
                  <w14:solidFill>
                    <w14:schemeClr w14:val="tx1"/>
                  </w14:solidFill>
                </w14:textFill>
              </w:rPr>
              <w:t>（5）按规定程序实施竣工环境保护验收，验收合格方可投入生产。</w:t>
            </w:r>
          </w:p>
        </w:tc>
      </w:tr>
    </w:tbl>
    <w:p>
      <w:pPr>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br w:type="page"/>
      </w:r>
    </w:p>
    <w:p>
      <w:pPr>
        <w:pStyle w:val="5"/>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六、结论</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Layout w:type="fixed"/>
        </w:tblPrEx>
        <w:trPr>
          <w:trHeight w:val="90" w:hRule="atLeast"/>
        </w:trPr>
        <w:tc>
          <w:tcPr>
            <w:tcW w:w="9288" w:type="dxa"/>
          </w:tcPr>
          <w:p>
            <w:pPr>
              <w:bidi w:val="0"/>
              <w:rPr>
                <w:rFonts w:hint="default"/>
                <w:color w:val="000000" w:themeColor="text1"/>
                <w:highlight w:val="none"/>
                <w14:textFill>
                  <w14:solidFill>
                    <w14:schemeClr w14:val="tx1"/>
                  </w14:solidFill>
                </w14:textFill>
              </w:rPr>
            </w:pPr>
            <w:r>
              <w:rPr>
                <w:rFonts w:hint="default"/>
                <w:color w:val="000000" w:themeColor="text1"/>
                <w:highlight w:val="none"/>
                <w14:textFill>
                  <w14:solidFill>
                    <w14:schemeClr w14:val="tx1"/>
                  </w14:solidFill>
                </w14:textFill>
              </w:rPr>
              <w:t>因此，从环境保护角度，本项目的建设是可行的。</w:t>
            </w:r>
          </w:p>
          <w:p>
            <w:pPr>
              <w:bidi w:val="0"/>
              <w:rPr>
                <w:rFonts w:hint="default"/>
                <w:color w:val="000000" w:themeColor="text1"/>
                <w:highlight w:val="none"/>
                <w:lang w:val="en-US" w:eastAsia="zh-CN"/>
                <w14:textFill>
                  <w14:solidFill>
                    <w14:schemeClr w14:val="tx1"/>
                  </w14:solidFill>
                </w14:textFill>
              </w:rPr>
            </w:pPr>
          </w:p>
          <w:p>
            <w:pPr>
              <w:bidi w:val="0"/>
              <w:rPr>
                <w:rFonts w:hint="default"/>
                <w:color w:val="000000" w:themeColor="text1"/>
                <w:highlight w:val="none"/>
                <w:lang w:val="en-US" w:eastAsia="zh-CN"/>
                <w14:textFill>
                  <w14:solidFill>
                    <w14:schemeClr w14:val="tx1"/>
                  </w14:solidFill>
                </w14:textFill>
              </w:rPr>
            </w:pPr>
          </w:p>
          <w:p>
            <w:pPr>
              <w:bidi w:val="0"/>
              <w:rPr>
                <w:rFonts w:hint="default"/>
                <w:color w:val="000000" w:themeColor="text1"/>
                <w:highlight w:val="none"/>
                <w:lang w:val="en-US" w:eastAsia="zh-CN"/>
                <w14:textFill>
                  <w14:solidFill>
                    <w14:schemeClr w14:val="tx1"/>
                  </w14:solidFill>
                </w14:textFill>
              </w:rPr>
            </w:pPr>
          </w:p>
          <w:p>
            <w:pPr>
              <w:bidi w:val="0"/>
              <w:rPr>
                <w:rFonts w:hint="default"/>
                <w:color w:val="000000" w:themeColor="text1"/>
                <w:highlight w:val="none"/>
                <w:lang w:val="en-US" w:eastAsia="zh-CN"/>
                <w14:textFill>
                  <w14:solidFill>
                    <w14:schemeClr w14:val="tx1"/>
                  </w14:solidFill>
                </w14:textFill>
              </w:rPr>
            </w:pPr>
          </w:p>
          <w:p>
            <w:pPr>
              <w:bidi w:val="0"/>
              <w:rPr>
                <w:rFonts w:hint="default"/>
                <w:color w:val="000000" w:themeColor="text1"/>
                <w:highlight w:val="none"/>
                <w:lang w:val="en-US" w:eastAsia="zh-CN"/>
                <w14:textFill>
                  <w14:solidFill>
                    <w14:schemeClr w14:val="tx1"/>
                  </w14:solidFill>
                </w14:textFill>
              </w:rPr>
            </w:pPr>
          </w:p>
          <w:p>
            <w:pPr>
              <w:bidi w:val="0"/>
              <w:rPr>
                <w:rFonts w:hint="default"/>
                <w:color w:val="000000" w:themeColor="text1"/>
                <w:highlight w:val="none"/>
                <w:lang w:val="en-US" w:eastAsia="zh-CN"/>
                <w14:textFill>
                  <w14:solidFill>
                    <w14:schemeClr w14:val="tx1"/>
                  </w14:solidFill>
                </w14:textFill>
              </w:rPr>
            </w:pPr>
          </w:p>
          <w:p>
            <w:pPr>
              <w:bidi w:val="0"/>
              <w:rPr>
                <w:rFonts w:hint="default"/>
                <w:color w:val="000000" w:themeColor="text1"/>
                <w:highlight w:val="none"/>
                <w:lang w:val="en-US" w:eastAsia="zh-CN"/>
                <w14:textFill>
                  <w14:solidFill>
                    <w14:schemeClr w14:val="tx1"/>
                  </w14:solidFill>
                </w14:textFill>
              </w:rPr>
            </w:pPr>
          </w:p>
          <w:p>
            <w:pPr>
              <w:bidi w:val="0"/>
              <w:rPr>
                <w:rFonts w:hint="default"/>
                <w:color w:val="000000" w:themeColor="text1"/>
                <w:highlight w:val="none"/>
                <w:lang w:val="en-US" w:eastAsia="zh-CN"/>
                <w14:textFill>
                  <w14:solidFill>
                    <w14:schemeClr w14:val="tx1"/>
                  </w14:solidFill>
                </w14:textFill>
              </w:rPr>
            </w:pPr>
          </w:p>
          <w:p>
            <w:pPr>
              <w:bidi w:val="0"/>
              <w:rPr>
                <w:rFonts w:hint="default"/>
                <w:color w:val="000000" w:themeColor="text1"/>
                <w:highlight w:val="none"/>
                <w:lang w:val="en-US" w:eastAsia="zh-CN"/>
                <w14:textFill>
                  <w14:solidFill>
                    <w14:schemeClr w14:val="tx1"/>
                  </w14:solidFill>
                </w14:textFill>
              </w:rPr>
            </w:pPr>
          </w:p>
          <w:p>
            <w:pPr>
              <w:bidi w:val="0"/>
              <w:rPr>
                <w:rFonts w:hint="default"/>
                <w:color w:val="000000" w:themeColor="text1"/>
                <w:highlight w:val="none"/>
                <w:lang w:val="en-US" w:eastAsia="zh-CN"/>
                <w14:textFill>
                  <w14:solidFill>
                    <w14:schemeClr w14:val="tx1"/>
                  </w14:solidFill>
                </w14:textFill>
              </w:rPr>
            </w:pPr>
          </w:p>
          <w:p>
            <w:pPr>
              <w:bidi w:val="0"/>
              <w:rPr>
                <w:rFonts w:hint="default"/>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ind w:left="0" w:leftChars="0" w:firstLine="0" w:firstLineChars="0"/>
              <w:rPr>
                <w:rFonts w:hint="default"/>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rPr>
                <w:rFonts w:hint="eastAsia"/>
                <w:color w:val="000000" w:themeColor="text1"/>
                <w:highlight w:val="none"/>
                <w:lang w:val="en-US" w:eastAsia="zh-CN"/>
                <w14:textFill>
                  <w14:solidFill>
                    <w14:schemeClr w14:val="tx1"/>
                  </w14:solidFill>
                </w14:textFill>
              </w:rPr>
            </w:pPr>
          </w:p>
          <w:p>
            <w:pPr>
              <w:bidi w:val="0"/>
              <w:ind w:left="0" w:leftChars="0" w:firstLine="0" w:firstLineChars="0"/>
              <w:rPr>
                <w:rFonts w:hint="eastAsia"/>
                <w:color w:val="000000" w:themeColor="text1"/>
                <w:highlight w:val="none"/>
                <w:lang w:val="en-US" w:eastAsia="zh-CN"/>
                <w14:textFill>
                  <w14:solidFill>
                    <w14:schemeClr w14:val="tx1"/>
                  </w14:solidFill>
                </w14:textFill>
              </w:rPr>
            </w:pPr>
          </w:p>
          <w:p>
            <w:pPr>
              <w:bidi w:val="0"/>
              <w:ind w:left="0" w:leftChars="0" w:firstLine="0" w:firstLineChars="0"/>
              <w:rPr>
                <w:rFonts w:hint="eastAsia"/>
                <w:color w:val="000000" w:themeColor="text1"/>
                <w:highlight w:val="none"/>
                <w:lang w:val="en-US" w:eastAsia="zh-CN"/>
                <w14:textFill>
                  <w14:solidFill>
                    <w14:schemeClr w14:val="tx1"/>
                  </w14:solidFill>
                </w14:textFill>
              </w:rPr>
            </w:pPr>
          </w:p>
          <w:p>
            <w:pPr>
              <w:bidi w:val="0"/>
              <w:ind w:left="0" w:leftChars="0" w:firstLine="0" w:firstLineChars="0"/>
              <w:rPr>
                <w:rFonts w:hint="default"/>
                <w:color w:val="000000" w:themeColor="text1"/>
                <w:highlight w:val="none"/>
                <w:lang w:val="en-US" w:eastAsia="zh-CN"/>
                <w14:textFill>
                  <w14:solidFill>
                    <w14:schemeClr w14:val="tx1"/>
                  </w14:solidFill>
                </w14:textFill>
              </w:rPr>
            </w:pPr>
          </w:p>
        </w:tc>
      </w:tr>
    </w:tbl>
    <w:p>
      <w:pPr>
        <w:bidi w:val="0"/>
        <w:rPr>
          <w:rFonts w:hint="default"/>
          <w:color w:val="000000" w:themeColor="text1"/>
          <w:highlight w:val="none"/>
          <w:lang w:val="en-US" w:eastAsia="zh-CN"/>
          <w14:textFill>
            <w14:solidFill>
              <w14:schemeClr w14:val="tx1"/>
            </w14:solidFill>
          </w14:textFill>
        </w:rPr>
        <w:sectPr>
          <w:pgSz w:w="11906" w:h="16838"/>
          <w:pgMar w:top="1417" w:right="1417" w:bottom="1417" w:left="1417" w:header="851" w:footer="992" w:gutter="0"/>
          <w:pgBorders>
            <w:top w:val="none" w:color="auto" w:sz="0" w:space="0"/>
            <w:left w:val="none" w:color="auto" w:sz="0" w:space="0"/>
            <w:bottom w:val="none" w:color="auto" w:sz="0" w:space="0"/>
            <w:right w:val="none" w:color="auto" w:sz="0" w:space="0"/>
          </w:pgBorders>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640" w:firstLineChars="200"/>
        <w:jc w:val="left"/>
        <w:textAlignment w:val="auto"/>
        <w:outlineLvl w:val="0"/>
        <w:rPr>
          <w:rFonts w:hint="default" w:ascii="Times New Roman" w:hAnsi="Times New Roman" w:eastAsia="黑体" w:cs="Times New Roman"/>
          <w:snapToGrid w:val="0"/>
          <w:color w:val="000000" w:themeColor="text1"/>
          <w:kern w:val="0"/>
          <w:sz w:val="32"/>
          <w:szCs w:val="32"/>
          <w:highlight w:val="none"/>
          <w:lang w:val="en-US" w:eastAsia="zh-CN" w:bidi="ar-SA"/>
          <w14:textFill>
            <w14:solidFill>
              <w14:schemeClr w14:val="tx1"/>
            </w14:solidFill>
          </w14:textFill>
        </w:rPr>
      </w:pPr>
      <w:r>
        <w:rPr>
          <w:rFonts w:hint="default" w:ascii="Times New Roman" w:hAnsi="Times New Roman" w:eastAsia="黑体" w:cs="Times New Roman"/>
          <w:snapToGrid w:val="0"/>
          <w:color w:val="000000" w:themeColor="text1"/>
          <w:kern w:val="0"/>
          <w:sz w:val="32"/>
          <w:szCs w:val="32"/>
          <w:highlight w:val="none"/>
          <w:lang w:val="en-US" w:eastAsia="zh-CN" w:bidi="ar-SA"/>
          <w14:textFill>
            <w14:solidFill>
              <w14:schemeClr w14:val="tx1"/>
            </w14:solidFill>
          </w14:textFill>
        </w:rPr>
        <w:t>附表</w:t>
      </w:r>
    </w:p>
    <w:p>
      <w:pPr>
        <w:keepNext/>
        <w:keepLines/>
        <w:pageBreakBefore w:val="0"/>
        <w:widowControl w:val="0"/>
        <w:kinsoku/>
        <w:wordWrap/>
        <w:overflowPunct/>
        <w:topLinePunct w:val="0"/>
        <w:autoSpaceDE/>
        <w:autoSpaceDN/>
        <w:bidi w:val="0"/>
        <w:adjustRightInd/>
        <w:snapToGrid/>
        <w:spacing w:beforeLines="0" w:beforeAutospacing="0" w:afterLines="0" w:afterAutospacing="0" w:line="480" w:lineRule="auto"/>
        <w:ind w:firstLine="0" w:firstLineChars="0"/>
        <w:jc w:val="center"/>
        <w:textAlignment w:val="auto"/>
        <w:outlineLvl w:val="0"/>
        <w:rPr>
          <w:rFonts w:hint="default" w:ascii="Times New Roman" w:hAnsi="Times New Roman" w:eastAsia="宋体" w:cs="Times New Roman"/>
          <w:b/>
          <w:color w:val="000000" w:themeColor="text1"/>
          <w:kern w:val="44"/>
          <w:sz w:val="44"/>
          <w:szCs w:val="44"/>
          <w:highlight w:val="none"/>
          <w:lang w:val="en-US" w:eastAsia="zh-CN" w:bidi="ar-SA"/>
          <w14:textFill>
            <w14:solidFill>
              <w14:schemeClr w14:val="tx1"/>
            </w14:solidFill>
          </w14:textFill>
        </w:rPr>
      </w:pPr>
      <w:r>
        <w:rPr>
          <w:rFonts w:hint="default" w:ascii="Times New Roman" w:hAnsi="Times New Roman" w:eastAsia="宋体" w:cs="Times New Roman"/>
          <w:b/>
          <w:color w:val="000000" w:themeColor="text1"/>
          <w:kern w:val="44"/>
          <w:sz w:val="44"/>
          <w:szCs w:val="44"/>
          <w:highlight w:val="none"/>
          <w:lang w:val="en-US" w:eastAsia="zh-CN" w:bidi="ar-SA"/>
          <w14:textFill>
            <w14:solidFill>
              <w14:schemeClr w14:val="tx1"/>
            </w14:solidFill>
          </w14:textFill>
        </w:rPr>
        <w:t>建设项目污染物排放量汇总表</w:t>
      </w:r>
    </w:p>
    <w:tbl>
      <w:tblPr>
        <w:tblStyle w:val="38"/>
        <w:tblW w:w="508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1432"/>
        <w:gridCol w:w="1676"/>
        <w:gridCol w:w="1487"/>
        <w:gridCol w:w="1665"/>
        <w:gridCol w:w="1740"/>
        <w:gridCol w:w="1846"/>
        <w:gridCol w:w="1981"/>
        <w:gridCol w:w="1228"/>
      </w:tblGrid>
      <w:tr>
        <w:tblPrEx>
          <w:tblLayout w:type="fixed"/>
        </w:tblPrEx>
        <w:trPr>
          <w:trHeight w:val="397" w:hRule="atLeast"/>
          <w:jc w:val="center"/>
        </w:trPr>
        <w:tc>
          <w:tcPr>
            <w:tcW w:w="1394"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widowControl w:val="0"/>
              <w:bidi w:val="0"/>
              <w:adjustRightInd w:val="0"/>
              <w:snapToGrid w:val="0"/>
              <w:spacing w:line="240" w:lineRule="auto"/>
              <w:ind w:firstLine="0" w:firstLineChars="0"/>
              <w:jc w:val="center"/>
              <w:rPr>
                <w:rFonts w:hint="eastAsia"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pPr>
          </w:p>
          <w:p>
            <w:pPr>
              <w:widowControl w:val="0"/>
              <w:bidi w:val="0"/>
              <w:adjustRightInd w:val="0"/>
              <w:snapToGrid w:val="0"/>
              <w:spacing w:line="240" w:lineRule="auto"/>
              <w:ind w:firstLine="0" w:firstLineChars="0"/>
              <w:jc w:val="center"/>
              <mc:AlternateContent>
                <mc:Choice Requires="wpsCustomData">
                  <wpsCustomData:diagonalParaType/>
                </mc:Choice>
              </mc:AlternateContent>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t>分类</w:t>
            </w:r>
          </w:p>
          <w:p>
            <w:pPr>
              <w:widowControl w:val="0"/>
              <w:bidi w:val="0"/>
              <w:adjustRightInd w:val="0"/>
              <w:snapToGrid w:val="0"/>
              <w:spacing w:line="240" w:lineRule="auto"/>
              <w:ind w:firstLine="0" w:firstLineChars="0"/>
              <w:jc w:val="cente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t>项目</w:t>
            </w:r>
          </w:p>
        </w:tc>
        <w:tc>
          <w:tcPr>
            <w:tcW w:w="1432" w:type="dxa"/>
            <w:vAlign w:val="center"/>
          </w:tcPr>
          <w:p>
            <w:pPr>
              <w:widowControl w:val="0"/>
              <w:bidi w:val="0"/>
              <w:adjustRightInd w:val="0"/>
              <w:snapToGrid w:val="0"/>
              <w:spacing w:line="240" w:lineRule="auto"/>
              <w:ind w:firstLine="0" w:firstLineChars="0"/>
              <w:jc w:val="cente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t>污染物名称</w:t>
            </w:r>
          </w:p>
        </w:tc>
        <w:tc>
          <w:tcPr>
            <w:tcW w:w="1676" w:type="dxa"/>
            <w:vAlign w:val="center"/>
          </w:tcPr>
          <w:p>
            <w:pPr>
              <w:widowControl w:val="0"/>
              <w:bidi w:val="0"/>
              <w:adjustRightInd w:val="0"/>
              <w:snapToGrid w:val="0"/>
              <w:spacing w:line="240" w:lineRule="auto"/>
              <w:ind w:firstLine="0" w:firstLineChars="0"/>
              <w:jc w:val="cente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pP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t>现有工程</w:t>
            </w:r>
          </w:p>
          <w:p>
            <w:pPr>
              <w:widowControl w:val="0"/>
              <w:bidi w:val="0"/>
              <w:adjustRightInd w:val="0"/>
              <w:snapToGrid w:val="0"/>
              <w:spacing w:line="240" w:lineRule="auto"/>
              <w:ind w:firstLine="0" w:firstLineChars="0"/>
              <w:jc w:val="cente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pP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t>排放量（固体废物产生量）</w:t>
            </w: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fldChar w:fldCharType="begin"/>
            </w: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instrText xml:space="preserve"> = 1 \* GB3 \* MERGEFORMAT </w:instrText>
            </w: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fldChar w:fldCharType="separate"/>
            </w: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t>①</w:t>
            </w: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fldChar w:fldCharType="end"/>
            </w:r>
          </w:p>
        </w:tc>
        <w:tc>
          <w:tcPr>
            <w:tcW w:w="1487" w:type="dxa"/>
            <w:vAlign w:val="center"/>
          </w:tcPr>
          <w:p>
            <w:pPr>
              <w:widowControl w:val="0"/>
              <w:bidi w:val="0"/>
              <w:adjustRightInd w:val="0"/>
              <w:snapToGrid w:val="0"/>
              <w:spacing w:line="240" w:lineRule="auto"/>
              <w:ind w:firstLine="0" w:firstLineChars="0"/>
              <w:jc w:val="cente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pP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t>现有工程</w:t>
            </w:r>
          </w:p>
          <w:p>
            <w:pPr>
              <w:widowControl w:val="0"/>
              <w:bidi w:val="0"/>
              <w:adjustRightInd w:val="0"/>
              <w:snapToGrid w:val="0"/>
              <w:spacing w:line="240" w:lineRule="auto"/>
              <w:ind w:firstLine="0" w:firstLineChars="0"/>
              <w:jc w:val="cente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pP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t>许可排放量</w:t>
            </w:r>
          </w:p>
          <w:p>
            <w:pPr>
              <w:widowControl w:val="0"/>
              <w:bidi w:val="0"/>
              <w:adjustRightInd w:val="0"/>
              <w:snapToGrid w:val="0"/>
              <w:spacing w:line="240" w:lineRule="auto"/>
              <w:ind w:firstLine="0" w:firstLineChars="0"/>
              <w:jc w:val="cente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pP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fldChar w:fldCharType="begin"/>
            </w: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instrText xml:space="preserve"> = 2 \* GB3 \* MERGEFORMAT </w:instrText>
            </w: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fldChar w:fldCharType="separate"/>
            </w: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t>②</w:t>
            </w: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fldChar w:fldCharType="end"/>
            </w:r>
          </w:p>
        </w:tc>
        <w:tc>
          <w:tcPr>
            <w:tcW w:w="1665" w:type="dxa"/>
            <w:vAlign w:val="center"/>
          </w:tcPr>
          <w:p>
            <w:pPr>
              <w:widowControl w:val="0"/>
              <w:bidi w:val="0"/>
              <w:adjustRightInd w:val="0"/>
              <w:snapToGrid w:val="0"/>
              <w:spacing w:line="240" w:lineRule="auto"/>
              <w:ind w:firstLine="0" w:firstLineChars="0"/>
              <w:jc w:val="cente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pP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t>在建工程</w:t>
            </w:r>
          </w:p>
          <w:p>
            <w:pPr>
              <w:widowControl w:val="0"/>
              <w:bidi w:val="0"/>
              <w:adjustRightInd w:val="0"/>
              <w:snapToGrid w:val="0"/>
              <w:spacing w:line="240" w:lineRule="auto"/>
              <w:ind w:firstLine="0" w:firstLineChars="0"/>
              <w:jc w:val="cente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pP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t>排放量（固体废物产生量）</w:t>
            </w: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fldChar w:fldCharType="begin"/>
            </w: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instrText xml:space="preserve"> = 3 \* GB3 \* MERGEFORMAT </w:instrText>
            </w: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fldChar w:fldCharType="separate"/>
            </w: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t>③</w:t>
            </w: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fldChar w:fldCharType="end"/>
            </w:r>
          </w:p>
        </w:tc>
        <w:tc>
          <w:tcPr>
            <w:tcW w:w="1740" w:type="dxa"/>
            <w:vAlign w:val="center"/>
          </w:tcPr>
          <w:p>
            <w:pPr>
              <w:widowControl w:val="0"/>
              <w:bidi w:val="0"/>
              <w:adjustRightInd w:val="0"/>
              <w:snapToGrid w:val="0"/>
              <w:spacing w:line="240" w:lineRule="auto"/>
              <w:ind w:firstLine="0" w:firstLineChars="0"/>
              <w:jc w:val="cente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pP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t>本项目</w:t>
            </w:r>
          </w:p>
          <w:p>
            <w:pPr>
              <w:widowControl w:val="0"/>
              <w:bidi w:val="0"/>
              <w:adjustRightInd w:val="0"/>
              <w:snapToGrid w:val="0"/>
              <w:spacing w:line="240" w:lineRule="auto"/>
              <w:ind w:firstLine="0" w:firstLineChars="0"/>
              <w:jc w:val="cente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pP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t>排放量（固体废物产生量）</w:t>
            </w: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fldChar w:fldCharType="begin"/>
            </w: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instrText xml:space="preserve"> = 4 \* GB3 \* MERGEFORMAT </w:instrText>
            </w: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fldChar w:fldCharType="separate"/>
            </w: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t>④</w:t>
            </w: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fldChar w:fldCharType="end"/>
            </w:r>
          </w:p>
        </w:tc>
        <w:tc>
          <w:tcPr>
            <w:tcW w:w="1846" w:type="dxa"/>
            <w:vAlign w:val="center"/>
          </w:tcPr>
          <w:p>
            <w:pPr>
              <w:widowControl w:val="0"/>
              <w:bidi w:val="0"/>
              <w:adjustRightInd w:val="0"/>
              <w:snapToGrid w:val="0"/>
              <w:spacing w:line="240" w:lineRule="auto"/>
              <w:ind w:firstLine="0" w:firstLineChars="0"/>
              <w:jc w:val="cente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pP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t>以新带老削减量</w:t>
            </w:r>
          </w:p>
          <w:p>
            <w:pPr>
              <w:widowControl w:val="0"/>
              <w:bidi w:val="0"/>
              <w:adjustRightInd w:val="0"/>
              <w:snapToGrid w:val="0"/>
              <w:spacing w:line="240" w:lineRule="auto"/>
              <w:ind w:firstLine="0" w:firstLineChars="0"/>
              <w:jc w:val="cente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pP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t>（新建项目不填）</w:t>
            </w: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fldChar w:fldCharType="begin"/>
            </w: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instrText xml:space="preserve"> = 5 \* GB3 \* MERGEFORMAT </w:instrText>
            </w: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fldChar w:fldCharType="separate"/>
            </w: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t>⑤</w:t>
            </w: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fldChar w:fldCharType="end"/>
            </w:r>
          </w:p>
        </w:tc>
        <w:tc>
          <w:tcPr>
            <w:tcW w:w="1981" w:type="dxa"/>
            <w:vAlign w:val="center"/>
          </w:tcPr>
          <w:p>
            <w:pPr>
              <w:widowControl w:val="0"/>
              <w:bidi w:val="0"/>
              <w:adjustRightInd w:val="0"/>
              <w:snapToGrid w:val="0"/>
              <w:spacing w:line="240" w:lineRule="auto"/>
              <w:ind w:firstLine="0" w:firstLineChars="0"/>
              <w:jc w:val="cente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pP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t>本项目建成后</w:t>
            </w:r>
          </w:p>
          <w:p>
            <w:pPr>
              <w:widowControl w:val="0"/>
              <w:bidi w:val="0"/>
              <w:adjustRightInd w:val="0"/>
              <w:snapToGrid w:val="0"/>
              <w:spacing w:line="240" w:lineRule="auto"/>
              <w:ind w:firstLine="0" w:firstLineChars="0"/>
              <w:jc w:val="cente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pP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t>全厂排放量（固体废物产生量）</w:t>
            </w: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fldChar w:fldCharType="begin"/>
            </w: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instrText xml:space="preserve"> = 6 \* GB3 \* MERGEFORMAT </w:instrText>
            </w: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fldChar w:fldCharType="separate"/>
            </w: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t>⑥</w:t>
            </w: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fldChar w:fldCharType="end"/>
            </w:r>
          </w:p>
        </w:tc>
        <w:tc>
          <w:tcPr>
            <w:tcW w:w="1228" w:type="dxa"/>
            <w:vAlign w:val="center"/>
          </w:tcPr>
          <w:p>
            <w:pPr>
              <w:widowControl w:val="0"/>
              <w:bidi w:val="0"/>
              <w:adjustRightInd w:val="0"/>
              <w:snapToGrid w:val="0"/>
              <w:spacing w:line="240" w:lineRule="auto"/>
              <w:ind w:firstLine="0" w:firstLineChars="0"/>
              <w:jc w:val="cente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pP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t>变化量</w:t>
            </w:r>
          </w:p>
          <w:p>
            <w:pPr>
              <w:widowControl w:val="0"/>
              <w:bidi w:val="0"/>
              <w:adjustRightInd w:val="0"/>
              <w:snapToGrid w:val="0"/>
              <w:spacing w:line="240" w:lineRule="auto"/>
              <w:ind w:firstLine="0" w:firstLineChars="0"/>
              <w:jc w:val="cente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pP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fldChar w:fldCharType="begin"/>
            </w: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instrText xml:space="preserve"> = 7 \* GB3 \* MERGEFORMAT </w:instrText>
            </w: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fldChar w:fldCharType="separate"/>
            </w: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t>⑦</w:t>
            </w:r>
            <w:r>
              <w:rPr>
                <w:rFonts w:hint="default" w:ascii="Times New Roman" w:hAnsi="Times New Roman" w:eastAsia="宋体" w:cstheme="minorBidi"/>
                <w:b/>
                <w:bCs/>
                <w:color w:val="000000" w:themeColor="text1"/>
                <w:kern w:val="2"/>
                <w:sz w:val="21"/>
                <w:szCs w:val="24"/>
                <w:highlight w:val="none"/>
                <w:lang w:val="en-US" w:eastAsia="zh-CN" w:bidi="ar-SA"/>
                <w14:textFill>
                  <w14:solidFill>
                    <w14:schemeClr w14:val="tx1"/>
                  </w14:solidFill>
                </w14:textFill>
              </w:rPr>
              <w:fldChar w:fldCharType="end"/>
            </w:r>
          </w:p>
        </w:tc>
      </w:tr>
      <w:tr>
        <w:tblPrEx>
          <w:tblLayout w:type="fixed"/>
        </w:tblPrEx>
        <w:trPr>
          <w:trHeight w:val="397" w:hRule="atLeast"/>
          <w:jc w:val="center"/>
        </w:trPr>
        <w:tc>
          <w:tcPr>
            <w:tcW w:w="1394" w:type="dxa"/>
            <w:vAlign w:val="center"/>
          </w:tcPr>
          <w:p>
            <w:pPr>
              <w:widowControl w:val="0"/>
              <w:bidi w:val="0"/>
              <w:adjustRightInd w:val="0"/>
              <w:snapToGrid w:val="0"/>
              <w:spacing w:line="240" w:lineRule="auto"/>
              <w:ind w:firstLine="0" w:firstLineChars="0"/>
              <w:jc w:val="center"/>
              <w:rPr>
                <w:rFonts w:hint="default"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t>废气</w:t>
            </w:r>
          </w:p>
        </w:tc>
        <w:tc>
          <w:tcPr>
            <w:tcW w:w="1432" w:type="dxa"/>
            <w:vAlign w:val="center"/>
          </w:tcPr>
          <w:p>
            <w:pPr>
              <w:pStyle w:val="47"/>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颗粒物</w:t>
            </w:r>
          </w:p>
        </w:tc>
        <w:tc>
          <w:tcPr>
            <w:tcW w:w="167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000000" w:themeColor="text1"/>
                <w:kern w:val="21"/>
                <w:sz w:val="24"/>
                <w:szCs w:val="21"/>
                <w:highlight w:val="none"/>
                <w:lang w:val="en-US" w:eastAsia="zh-CN" w:bidi="ar-SA"/>
                <w14:textFill>
                  <w14:solidFill>
                    <w14:schemeClr w14:val="tx1"/>
                  </w14:solidFill>
                </w14:textFill>
              </w:rPr>
            </w:pPr>
            <w:r>
              <w:rPr>
                <w:rFonts w:hint="eastAsia" w:cs="Times New Roman"/>
                <w:snapToGrid w:val="0"/>
                <w:color w:val="000000" w:themeColor="text1"/>
                <w:kern w:val="21"/>
                <w:sz w:val="24"/>
                <w:szCs w:val="21"/>
                <w:highlight w:val="none"/>
                <w:lang w:val="en-US" w:eastAsia="zh-CN" w:bidi="ar-SA"/>
                <w14:textFill>
                  <w14:solidFill>
                    <w14:schemeClr w14:val="tx1"/>
                  </w14:solidFill>
                </w14:textFill>
              </w:rPr>
              <w:t>/</w:t>
            </w:r>
          </w:p>
        </w:tc>
        <w:tc>
          <w:tcPr>
            <w:tcW w:w="1487"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000000" w:themeColor="text1"/>
                <w:kern w:val="21"/>
                <w:sz w:val="24"/>
                <w:szCs w:val="21"/>
                <w:highlight w:val="none"/>
                <w:lang w:val="en-US" w:eastAsia="zh-CN" w:bidi="ar-SA"/>
                <w14:textFill>
                  <w14:solidFill>
                    <w14:schemeClr w14:val="tx1"/>
                  </w14:solidFill>
                </w14:textFill>
              </w:rPr>
            </w:pPr>
            <w:r>
              <w:rPr>
                <w:rFonts w:hint="eastAsia" w:cs="Times New Roman"/>
                <w:snapToGrid w:val="0"/>
                <w:color w:val="000000" w:themeColor="text1"/>
                <w:kern w:val="21"/>
                <w:sz w:val="24"/>
                <w:szCs w:val="21"/>
                <w:highlight w:val="none"/>
                <w:lang w:val="en-US" w:eastAsia="zh-CN" w:bidi="ar-SA"/>
                <w14:textFill>
                  <w14:solidFill>
                    <w14:schemeClr w14:val="tx1"/>
                  </w14:solidFill>
                </w14:textFill>
              </w:rPr>
              <w:t>/</w:t>
            </w:r>
          </w:p>
        </w:tc>
        <w:tc>
          <w:tcPr>
            <w:tcW w:w="166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000000" w:themeColor="text1"/>
                <w:kern w:val="21"/>
                <w:sz w:val="24"/>
                <w:szCs w:val="21"/>
                <w:highlight w:val="none"/>
                <w:lang w:val="en-US" w:eastAsia="zh-CN" w:bidi="ar-SA"/>
                <w14:textFill>
                  <w14:solidFill>
                    <w14:schemeClr w14:val="tx1"/>
                  </w14:solidFill>
                </w14:textFill>
              </w:rPr>
            </w:pPr>
            <w:r>
              <w:rPr>
                <w:rFonts w:hint="eastAsia" w:cs="Times New Roman"/>
                <w:snapToGrid w:val="0"/>
                <w:color w:val="000000" w:themeColor="text1"/>
                <w:kern w:val="21"/>
                <w:sz w:val="24"/>
                <w:szCs w:val="21"/>
                <w:highlight w:val="none"/>
                <w:lang w:val="en-US" w:eastAsia="zh-CN" w:bidi="ar-SA"/>
                <w14:textFill>
                  <w14:solidFill>
                    <w14:schemeClr w14:val="tx1"/>
                  </w14:solidFill>
                </w14:textFill>
              </w:rPr>
              <w:t>/</w:t>
            </w:r>
          </w:p>
        </w:tc>
        <w:tc>
          <w:tcPr>
            <w:tcW w:w="1740" w:type="dxa"/>
            <w:vAlign w:val="center"/>
          </w:tcPr>
          <w:p>
            <w:pPr>
              <w:pStyle w:val="47"/>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0.0831t/a</w:t>
            </w:r>
          </w:p>
        </w:tc>
        <w:tc>
          <w:tcPr>
            <w:tcW w:w="184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000000" w:themeColor="text1"/>
                <w:kern w:val="21"/>
                <w:sz w:val="24"/>
                <w:szCs w:val="21"/>
                <w:highlight w:val="none"/>
                <w:lang w:val="en-US" w:eastAsia="zh-CN" w:bidi="ar-SA"/>
                <w14:textFill>
                  <w14:solidFill>
                    <w14:schemeClr w14:val="tx1"/>
                  </w14:solidFill>
                </w14:textFill>
              </w:rPr>
            </w:pPr>
            <w:r>
              <w:rPr>
                <w:rFonts w:hint="eastAsia" w:cs="Times New Roman"/>
                <w:snapToGrid w:val="0"/>
                <w:color w:val="000000" w:themeColor="text1"/>
                <w:kern w:val="21"/>
                <w:sz w:val="24"/>
                <w:szCs w:val="21"/>
                <w:highlight w:val="none"/>
                <w:lang w:val="en-US" w:eastAsia="zh-CN" w:bidi="ar-SA"/>
                <w14:textFill>
                  <w14:solidFill>
                    <w14:schemeClr w14:val="tx1"/>
                  </w14:solidFill>
                </w14:textFill>
              </w:rPr>
              <w:t>/</w:t>
            </w:r>
          </w:p>
        </w:tc>
        <w:tc>
          <w:tcPr>
            <w:tcW w:w="1981" w:type="dxa"/>
            <w:vAlign w:val="center"/>
          </w:tcPr>
          <w:p>
            <w:pPr>
              <w:pStyle w:val="47"/>
              <w:bidi w:val="0"/>
              <w:ind w:firstLine="0" w:firstLineChars="0"/>
              <w:rPr>
                <w:rFonts w:hint="default"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0.0831t/a</w:t>
            </w:r>
          </w:p>
        </w:tc>
        <w:tc>
          <w:tcPr>
            <w:tcW w:w="1228" w:type="dxa"/>
            <w:vAlign w:val="center"/>
          </w:tcPr>
          <w:p>
            <w:pPr>
              <w:pStyle w:val="47"/>
              <w:bidi w:val="0"/>
              <w:ind w:firstLine="0" w:firstLineChars="0"/>
              <w:rPr>
                <w:rFonts w:hint="default"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+0.0831t/a</w:t>
            </w:r>
          </w:p>
        </w:tc>
      </w:tr>
      <w:tr>
        <w:tblPrEx>
          <w:tblLayout w:type="fixed"/>
        </w:tblPrEx>
        <w:trPr>
          <w:trHeight w:val="397" w:hRule="atLeast"/>
          <w:jc w:val="center"/>
        </w:trPr>
        <w:tc>
          <w:tcPr>
            <w:tcW w:w="1394" w:type="dxa"/>
            <w:vMerge w:val="restart"/>
            <w:vAlign w:val="center"/>
          </w:tcPr>
          <w:p>
            <w:pPr>
              <w:widowControl w:val="0"/>
              <w:bidi w:val="0"/>
              <w:adjustRightInd w:val="0"/>
              <w:snapToGrid w:val="0"/>
              <w:spacing w:line="240" w:lineRule="auto"/>
              <w:ind w:firstLine="0" w:firstLineChars="0"/>
              <w:jc w:val="center"/>
              <w:rPr>
                <w:rFonts w:hint="default"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t>废水</w:t>
            </w:r>
          </w:p>
        </w:tc>
        <w:tc>
          <w:tcPr>
            <w:tcW w:w="1432" w:type="dxa"/>
            <w:vAlign w:val="center"/>
          </w:tcPr>
          <w:p>
            <w:pPr>
              <w:pStyle w:val="47"/>
              <w:bidi w:val="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COD</w:t>
            </w:r>
          </w:p>
        </w:tc>
        <w:tc>
          <w:tcPr>
            <w:tcW w:w="167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cs="Times New Roman"/>
                <w:snapToGrid w:val="0"/>
                <w:color w:val="000000" w:themeColor="text1"/>
                <w:kern w:val="21"/>
                <w:sz w:val="21"/>
                <w:szCs w:val="21"/>
                <w:highlight w:val="none"/>
                <w:lang w:val="en-US" w:eastAsia="zh-CN" w:bidi="ar-SA"/>
                <w14:textFill>
                  <w14:solidFill>
                    <w14:schemeClr w14:val="tx1"/>
                  </w14:solidFill>
                </w14:textFill>
              </w:rPr>
              <w:t>/</w:t>
            </w:r>
          </w:p>
        </w:tc>
        <w:tc>
          <w:tcPr>
            <w:tcW w:w="1487"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000000" w:themeColor="text1"/>
                <w:kern w:val="21"/>
                <w:sz w:val="24"/>
                <w:szCs w:val="21"/>
                <w:highlight w:val="none"/>
                <w:lang w:val="en-US" w:eastAsia="zh-CN" w:bidi="ar-SA"/>
                <w14:textFill>
                  <w14:solidFill>
                    <w14:schemeClr w14:val="tx1"/>
                  </w14:solidFill>
                </w14:textFill>
              </w:rPr>
            </w:pPr>
            <w:r>
              <w:rPr>
                <w:rFonts w:hint="eastAsia" w:cs="Times New Roman"/>
                <w:snapToGrid w:val="0"/>
                <w:color w:val="000000" w:themeColor="text1"/>
                <w:kern w:val="21"/>
                <w:sz w:val="24"/>
                <w:szCs w:val="21"/>
                <w:highlight w:val="none"/>
                <w:lang w:val="en-US" w:eastAsia="zh-CN" w:bidi="ar-SA"/>
                <w14:textFill>
                  <w14:solidFill>
                    <w14:schemeClr w14:val="tx1"/>
                  </w14:solidFill>
                </w14:textFill>
              </w:rPr>
              <w:t>/</w:t>
            </w:r>
          </w:p>
        </w:tc>
        <w:tc>
          <w:tcPr>
            <w:tcW w:w="166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000000" w:themeColor="text1"/>
                <w:kern w:val="21"/>
                <w:sz w:val="24"/>
                <w:szCs w:val="21"/>
                <w:highlight w:val="none"/>
                <w:lang w:val="en-US" w:eastAsia="zh-CN" w:bidi="ar-SA"/>
                <w14:textFill>
                  <w14:solidFill>
                    <w14:schemeClr w14:val="tx1"/>
                  </w14:solidFill>
                </w14:textFill>
              </w:rPr>
            </w:pPr>
            <w:r>
              <w:rPr>
                <w:rFonts w:hint="eastAsia" w:cs="Times New Roman"/>
                <w:snapToGrid w:val="0"/>
                <w:color w:val="000000" w:themeColor="text1"/>
                <w:kern w:val="21"/>
                <w:sz w:val="24"/>
                <w:szCs w:val="21"/>
                <w:highlight w:val="none"/>
                <w:lang w:val="en-US" w:eastAsia="zh-CN" w:bidi="ar-SA"/>
                <w14:textFill>
                  <w14:solidFill>
                    <w14:schemeClr w14:val="tx1"/>
                  </w14:solidFill>
                </w14:textFill>
              </w:rPr>
              <w:t>/</w:t>
            </w:r>
          </w:p>
        </w:tc>
        <w:tc>
          <w:tcPr>
            <w:tcW w:w="174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cs="Times New Roman"/>
                <w:snapToGrid w:val="0"/>
                <w:color w:val="000000" w:themeColor="text1"/>
                <w:kern w:val="21"/>
                <w:sz w:val="21"/>
                <w:szCs w:val="21"/>
                <w:highlight w:val="none"/>
                <w:lang w:val="en-US" w:eastAsia="zh-CN" w:bidi="ar-SA"/>
                <w14:textFill>
                  <w14:solidFill>
                    <w14:schemeClr w14:val="tx1"/>
                  </w14:solidFill>
                </w14:textFill>
              </w:rPr>
              <w:t>0</w:t>
            </w:r>
          </w:p>
        </w:tc>
        <w:tc>
          <w:tcPr>
            <w:tcW w:w="184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cs="Times New Roman"/>
                <w:snapToGrid w:val="0"/>
                <w:color w:val="000000" w:themeColor="text1"/>
                <w:kern w:val="21"/>
                <w:sz w:val="21"/>
                <w:szCs w:val="21"/>
                <w:highlight w:val="none"/>
                <w:lang w:val="en-US" w:eastAsia="zh-CN" w:bidi="ar-SA"/>
                <w14:textFill>
                  <w14:solidFill>
                    <w14:schemeClr w14:val="tx1"/>
                  </w14:solidFill>
                </w14:textFill>
              </w:rPr>
              <w:t>/</w:t>
            </w:r>
          </w:p>
        </w:tc>
        <w:tc>
          <w:tcPr>
            <w:tcW w:w="198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cs="Times New Roman"/>
                <w:snapToGrid w:val="0"/>
                <w:color w:val="000000" w:themeColor="text1"/>
                <w:kern w:val="21"/>
                <w:sz w:val="21"/>
                <w:szCs w:val="21"/>
                <w:highlight w:val="none"/>
                <w:lang w:val="en-US" w:eastAsia="zh-CN" w:bidi="ar-SA"/>
                <w14:textFill>
                  <w14:solidFill>
                    <w14:schemeClr w14:val="tx1"/>
                  </w14:solidFill>
                </w14:textFill>
              </w:rPr>
              <w:t>0</w:t>
            </w:r>
          </w:p>
        </w:tc>
        <w:tc>
          <w:tcPr>
            <w:tcW w:w="1228" w:type="dxa"/>
            <w:vAlign w:val="center"/>
          </w:tcPr>
          <w:p>
            <w:pPr>
              <w:widowControl w:val="0"/>
              <w:bidi w:val="0"/>
              <w:adjustRightInd w:val="0"/>
              <w:snapToGrid w:val="0"/>
              <w:spacing w:line="240" w:lineRule="auto"/>
              <w:ind w:firstLine="0" w:firstLineChars="0"/>
              <w:jc w:val="center"/>
              <w:rPr>
                <w:rFonts w:hint="default" w:ascii="Times New Roman" w:hAnsi="Times New Roman" w:eastAsia="宋体" w:cstheme="minorBidi"/>
                <w:color w:val="000000" w:themeColor="text1"/>
                <w:kern w:val="2"/>
                <w:sz w:val="21"/>
                <w:szCs w:val="21"/>
                <w:highlight w:val="none"/>
                <w:lang w:val="en-US" w:eastAsia="zh-CN" w:bidi="ar-SA"/>
                <w14:textFill>
                  <w14:solidFill>
                    <w14:schemeClr w14:val="tx1"/>
                  </w14:solidFill>
                </w14:textFill>
              </w:rPr>
            </w:pPr>
            <w:r>
              <w:rPr>
                <w:rFonts w:hint="eastAsia" w:cstheme="minorBidi"/>
                <w:color w:val="000000" w:themeColor="text1"/>
                <w:kern w:val="2"/>
                <w:sz w:val="21"/>
                <w:szCs w:val="21"/>
                <w:highlight w:val="none"/>
                <w:lang w:val="en-US" w:eastAsia="zh-CN" w:bidi="ar-SA"/>
                <w14:textFill>
                  <w14:solidFill>
                    <w14:schemeClr w14:val="tx1"/>
                  </w14:solidFill>
                </w14:textFill>
              </w:rPr>
              <w:t>0</w:t>
            </w:r>
          </w:p>
        </w:tc>
      </w:tr>
      <w:tr>
        <w:tblPrEx>
          <w:tblLayout w:type="fixed"/>
        </w:tblPrEx>
        <w:trPr>
          <w:trHeight w:val="397" w:hRule="atLeast"/>
          <w:jc w:val="center"/>
        </w:trPr>
        <w:tc>
          <w:tcPr>
            <w:tcW w:w="1394" w:type="dxa"/>
            <w:vMerge w:val="continue"/>
            <w:vAlign w:val="center"/>
          </w:tcPr>
          <w:p>
            <w:pPr>
              <w:widowControl w:val="0"/>
              <w:bidi w:val="0"/>
              <w:adjustRightInd w:val="0"/>
              <w:snapToGrid w:val="0"/>
              <w:spacing w:line="240" w:lineRule="auto"/>
              <w:ind w:firstLine="0" w:firstLineChars="0"/>
              <w:jc w:val="center"/>
              <w:rPr>
                <w:rFonts w:hint="default"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p>
        </w:tc>
        <w:tc>
          <w:tcPr>
            <w:tcW w:w="1432" w:type="dxa"/>
            <w:vAlign w:val="center"/>
          </w:tcPr>
          <w:p>
            <w:pPr>
              <w:pStyle w:val="47"/>
              <w:bidi w:val="0"/>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氨氮</w:t>
            </w:r>
          </w:p>
        </w:tc>
        <w:tc>
          <w:tcPr>
            <w:tcW w:w="167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cs="Times New Roman"/>
                <w:snapToGrid w:val="0"/>
                <w:color w:val="000000" w:themeColor="text1"/>
                <w:kern w:val="21"/>
                <w:sz w:val="21"/>
                <w:szCs w:val="21"/>
                <w:highlight w:val="none"/>
                <w:lang w:val="en-US" w:eastAsia="zh-CN" w:bidi="ar-SA"/>
                <w14:textFill>
                  <w14:solidFill>
                    <w14:schemeClr w14:val="tx1"/>
                  </w14:solidFill>
                </w14:textFill>
              </w:rPr>
              <w:t>/</w:t>
            </w:r>
          </w:p>
        </w:tc>
        <w:tc>
          <w:tcPr>
            <w:tcW w:w="1487"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cs="Times New Roman"/>
                <w:snapToGrid w:val="0"/>
                <w:color w:val="000000" w:themeColor="text1"/>
                <w:kern w:val="21"/>
                <w:sz w:val="21"/>
                <w:szCs w:val="21"/>
                <w:highlight w:val="none"/>
                <w:lang w:val="en-US" w:eastAsia="zh-CN" w:bidi="ar-SA"/>
                <w14:textFill>
                  <w14:solidFill>
                    <w14:schemeClr w14:val="tx1"/>
                  </w14:solidFill>
                </w14:textFill>
              </w:rPr>
              <w:t>/</w:t>
            </w:r>
          </w:p>
        </w:tc>
        <w:tc>
          <w:tcPr>
            <w:tcW w:w="166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cs="Times New Roman"/>
                <w:snapToGrid w:val="0"/>
                <w:color w:val="000000" w:themeColor="text1"/>
                <w:kern w:val="21"/>
                <w:sz w:val="21"/>
                <w:szCs w:val="21"/>
                <w:highlight w:val="none"/>
                <w:lang w:val="en-US" w:eastAsia="zh-CN" w:bidi="ar-SA"/>
                <w14:textFill>
                  <w14:solidFill>
                    <w14:schemeClr w14:val="tx1"/>
                  </w14:solidFill>
                </w14:textFill>
              </w:rPr>
              <w:t>/</w:t>
            </w:r>
          </w:p>
        </w:tc>
        <w:tc>
          <w:tcPr>
            <w:tcW w:w="174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cs="Times New Roman"/>
                <w:snapToGrid w:val="0"/>
                <w:color w:val="000000" w:themeColor="text1"/>
                <w:kern w:val="21"/>
                <w:sz w:val="21"/>
                <w:szCs w:val="21"/>
                <w:highlight w:val="none"/>
                <w:lang w:val="en-US" w:eastAsia="zh-CN" w:bidi="ar-SA"/>
                <w14:textFill>
                  <w14:solidFill>
                    <w14:schemeClr w14:val="tx1"/>
                  </w14:solidFill>
                </w14:textFill>
              </w:rPr>
              <w:t>0</w:t>
            </w:r>
          </w:p>
        </w:tc>
        <w:tc>
          <w:tcPr>
            <w:tcW w:w="184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cs="Times New Roman"/>
                <w:snapToGrid w:val="0"/>
                <w:color w:val="000000" w:themeColor="text1"/>
                <w:kern w:val="21"/>
                <w:sz w:val="21"/>
                <w:szCs w:val="21"/>
                <w:highlight w:val="none"/>
                <w:lang w:val="en-US" w:eastAsia="zh-CN" w:bidi="ar-SA"/>
                <w14:textFill>
                  <w14:solidFill>
                    <w14:schemeClr w14:val="tx1"/>
                  </w14:solidFill>
                </w14:textFill>
              </w:rPr>
              <w:t>/</w:t>
            </w:r>
          </w:p>
        </w:tc>
        <w:tc>
          <w:tcPr>
            <w:tcW w:w="198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cs="Times New Roman"/>
                <w:snapToGrid w:val="0"/>
                <w:color w:val="000000" w:themeColor="text1"/>
                <w:kern w:val="21"/>
                <w:sz w:val="21"/>
                <w:szCs w:val="21"/>
                <w:highlight w:val="none"/>
                <w:lang w:val="en-US" w:eastAsia="zh-CN" w:bidi="ar-SA"/>
                <w14:textFill>
                  <w14:solidFill>
                    <w14:schemeClr w14:val="tx1"/>
                  </w14:solidFill>
                </w14:textFill>
              </w:rPr>
              <w:t>0</w:t>
            </w:r>
          </w:p>
        </w:tc>
        <w:tc>
          <w:tcPr>
            <w:tcW w:w="1228" w:type="dxa"/>
            <w:vAlign w:val="center"/>
          </w:tcPr>
          <w:p>
            <w:pPr>
              <w:widowControl w:val="0"/>
              <w:bidi w:val="0"/>
              <w:adjustRightInd w:val="0"/>
              <w:snapToGrid w:val="0"/>
              <w:spacing w:line="240" w:lineRule="auto"/>
              <w:ind w:firstLine="0" w:firstLineChars="0"/>
              <w:jc w:val="center"/>
              <w:rPr>
                <w:rFonts w:hint="default" w:ascii="Times New Roman" w:hAnsi="Times New Roman" w:eastAsia="宋体" w:cstheme="minorBidi"/>
                <w:color w:val="000000" w:themeColor="text1"/>
                <w:kern w:val="2"/>
                <w:sz w:val="21"/>
                <w:szCs w:val="21"/>
                <w:highlight w:val="none"/>
                <w:lang w:val="en-US" w:eastAsia="zh-CN" w:bidi="ar-SA"/>
                <w14:textFill>
                  <w14:solidFill>
                    <w14:schemeClr w14:val="tx1"/>
                  </w14:solidFill>
                </w14:textFill>
              </w:rPr>
            </w:pPr>
            <w:r>
              <w:rPr>
                <w:rFonts w:hint="eastAsia" w:cstheme="minorBidi"/>
                <w:color w:val="000000" w:themeColor="text1"/>
                <w:kern w:val="2"/>
                <w:sz w:val="21"/>
                <w:szCs w:val="21"/>
                <w:highlight w:val="none"/>
                <w:lang w:val="en-US" w:eastAsia="zh-CN" w:bidi="ar-SA"/>
                <w14:textFill>
                  <w14:solidFill>
                    <w14:schemeClr w14:val="tx1"/>
                  </w14:solidFill>
                </w14:textFill>
              </w:rPr>
              <w:t>0</w:t>
            </w:r>
          </w:p>
        </w:tc>
      </w:tr>
      <w:tr>
        <w:tblPrEx>
          <w:tblLayout w:type="fixed"/>
        </w:tblPrEx>
        <w:trPr>
          <w:trHeight w:val="397" w:hRule="atLeast"/>
          <w:jc w:val="center"/>
        </w:trPr>
        <w:tc>
          <w:tcPr>
            <w:tcW w:w="1394" w:type="dxa"/>
            <w:vMerge w:val="restart"/>
            <w:vAlign w:val="center"/>
          </w:tcPr>
          <w:p>
            <w:pPr>
              <w:widowControl w:val="0"/>
              <w:bidi w:val="0"/>
              <w:adjustRightInd w:val="0"/>
              <w:snapToGrid w:val="0"/>
              <w:spacing w:line="240" w:lineRule="auto"/>
              <w:ind w:firstLine="0" w:firstLineChars="0"/>
              <w:jc w:val="center"/>
              <w:rPr>
                <w:rFonts w:hint="default"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r>
              <w:rPr>
                <w:rFonts w:hint="eastAsia"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t>一般工业固体废物</w:t>
            </w:r>
          </w:p>
        </w:tc>
        <w:tc>
          <w:tcPr>
            <w:tcW w:w="1432"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生活垃圾</w:t>
            </w:r>
          </w:p>
        </w:tc>
        <w:tc>
          <w:tcPr>
            <w:tcW w:w="1676" w:type="dxa"/>
            <w:vAlign w:val="center"/>
          </w:tcPr>
          <w:p>
            <w:pPr>
              <w:pStyle w:val="47"/>
              <w:bidi w:val="0"/>
              <w:ind w:firstLine="0" w:firstLineChars="0"/>
              <w:rPr>
                <w:rFonts w:hint="default"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r>
              <w:rPr>
                <w:rFonts w:hint="eastAsia" w:cstheme="minorBidi"/>
                <w:color w:val="000000" w:themeColor="text1"/>
                <w:kern w:val="2"/>
                <w:sz w:val="21"/>
                <w:szCs w:val="24"/>
                <w:highlight w:val="none"/>
                <w:lang w:val="en-US" w:eastAsia="zh-CN" w:bidi="ar-SA"/>
                <w14:textFill>
                  <w14:solidFill>
                    <w14:schemeClr w14:val="tx1"/>
                  </w14:solidFill>
                </w14:textFill>
              </w:rPr>
              <w:t>/</w:t>
            </w:r>
          </w:p>
        </w:tc>
        <w:tc>
          <w:tcPr>
            <w:tcW w:w="1487"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cs="Times New Roman"/>
                <w:snapToGrid w:val="0"/>
                <w:color w:val="000000" w:themeColor="text1"/>
                <w:kern w:val="21"/>
                <w:sz w:val="21"/>
                <w:szCs w:val="21"/>
                <w:highlight w:val="none"/>
                <w:lang w:val="en-US" w:eastAsia="zh-CN" w:bidi="ar-SA"/>
                <w14:textFill>
                  <w14:solidFill>
                    <w14:schemeClr w14:val="tx1"/>
                  </w14:solidFill>
                </w14:textFill>
              </w:rPr>
              <w:t>/</w:t>
            </w:r>
          </w:p>
        </w:tc>
        <w:tc>
          <w:tcPr>
            <w:tcW w:w="166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cs="Times New Roman"/>
                <w:snapToGrid w:val="0"/>
                <w:color w:val="000000" w:themeColor="text1"/>
                <w:kern w:val="21"/>
                <w:sz w:val="21"/>
                <w:szCs w:val="21"/>
                <w:highlight w:val="none"/>
                <w:lang w:val="en-US" w:eastAsia="zh-CN" w:bidi="ar-SA"/>
                <w14:textFill>
                  <w14:solidFill>
                    <w14:schemeClr w14:val="tx1"/>
                  </w14:solidFill>
                </w14:textFill>
              </w:rPr>
              <w:t>/</w:t>
            </w:r>
          </w:p>
        </w:tc>
        <w:tc>
          <w:tcPr>
            <w:tcW w:w="1740"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2.5t/a</w:t>
            </w:r>
          </w:p>
        </w:tc>
        <w:tc>
          <w:tcPr>
            <w:tcW w:w="184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cs="Times New Roman"/>
                <w:snapToGrid w:val="0"/>
                <w:color w:val="000000" w:themeColor="text1"/>
                <w:kern w:val="21"/>
                <w:sz w:val="21"/>
                <w:szCs w:val="21"/>
                <w:highlight w:val="none"/>
                <w:lang w:val="en-US" w:eastAsia="zh-CN" w:bidi="ar-SA"/>
                <w14:textFill>
                  <w14:solidFill>
                    <w14:schemeClr w14:val="tx1"/>
                  </w14:solidFill>
                </w14:textFill>
              </w:rPr>
              <w:t>/</w:t>
            </w:r>
          </w:p>
        </w:tc>
        <w:tc>
          <w:tcPr>
            <w:tcW w:w="1981"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2.5t/a</w:t>
            </w:r>
          </w:p>
        </w:tc>
        <w:tc>
          <w:tcPr>
            <w:tcW w:w="1228"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+2.5t/a</w:t>
            </w:r>
          </w:p>
        </w:tc>
      </w:tr>
      <w:tr>
        <w:tblPrEx>
          <w:tblLayout w:type="fixed"/>
        </w:tblPrEx>
        <w:trPr>
          <w:trHeight w:val="397" w:hRule="atLeast"/>
          <w:jc w:val="center"/>
        </w:trPr>
        <w:tc>
          <w:tcPr>
            <w:tcW w:w="1394" w:type="dxa"/>
            <w:vMerge w:val="continue"/>
            <w:vAlign w:val="center"/>
          </w:tcPr>
          <w:p>
            <w:pPr>
              <w:widowControl w:val="0"/>
              <w:bidi w:val="0"/>
              <w:adjustRightInd w:val="0"/>
              <w:snapToGrid w:val="0"/>
              <w:spacing w:line="240" w:lineRule="auto"/>
              <w:ind w:firstLine="0" w:firstLineChars="0"/>
              <w:jc w:val="center"/>
              <w:rPr>
                <w:rFonts w:hint="default"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p>
        </w:tc>
        <w:tc>
          <w:tcPr>
            <w:tcW w:w="1432"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布袋除尘器收尘</w:t>
            </w:r>
          </w:p>
        </w:tc>
        <w:tc>
          <w:tcPr>
            <w:tcW w:w="1676" w:type="dxa"/>
            <w:vAlign w:val="center"/>
          </w:tcPr>
          <w:p>
            <w:pPr>
              <w:pStyle w:val="47"/>
              <w:bidi w:val="0"/>
              <w:ind w:firstLine="0" w:firstLineChars="0"/>
              <w:rPr>
                <w:rFonts w:hint="default"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r>
              <w:rPr>
                <w:rFonts w:hint="eastAsia" w:cstheme="minorBidi"/>
                <w:color w:val="000000" w:themeColor="text1"/>
                <w:kern w:val="2"/>
                <w:sz w:val="21"/>
                <w:szCs w:val="24"/>
                <w:highlight w:val="none"/>
                <w:lang w:val="en-US" w:eastAsia="zh-CN" w:bidi="ar-SA"/>
                <w14:textFill>
                  <w14:solidFill>
                    <w14:schemeClr w14:val="tx1"/>
                  </w14:solidFill>
                </w14:textFill>
              </w:rPr>
              <w:t>/</w:t>
            </w:r>
          </w:p>
        </w:tc>
        <w:tc>
          <w:tcPr>
            <w:tcW w:w="1487"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cs="Times New Roman"/>
                <w:snapToGrid w:val="0"/>
                <w:color w:val="000000" w:themeColor="text1"/>
                <w:kern w:val="21"/>
                <w:sz w:val="21"/>
                <w:szCs w:val="21"/>
                <w:highlight w:val="none"/>
                <w:lang w:val="en-US" w:eastAsia="zh-CN" w:bidi="ar-SA"/>
                <w14:textFill>
                  <w14:solidFill>
                    <w14:schemeClr w14:val="tx1"/>
                  </w14:solidFill>
                </w14:textFill>
              </w:rPr>
              <w:t>/</w:t>
            </w:r>
          </w:p>
        </w:tc>
        <w:tc>
          <w:tcPr>
            <w:tcW w:w="166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cs="Times New Roman"/>
                <w:snapToGrid w:val="0"/>
                <w:color w:val="000000" w:themeColor="text1"/>
                <w:kern w:val="21"/>
                <w:sz w:val="21"/>
                <w:szCs w:val="21"/>
                <w:highlight w:val="none"/>
                <w:lang w:val="en-US" w:eastAsia="zh-CN" w:bidi="ar-SA"/>
                <w14:textFill>
                  <w14:solidFill>
                    <w14:schemeClr w14:val="tx1"/>
                  </w14:solidFill>
                </w14:textFill>
              </w:rPr>
              <w:t>/</w:t>
            </w:r>
          </w:p>
        </w:tc>
        <w:tc>
          <w:tcPr>
            <w:tcW w:w="1740"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r>
              <w:rPr>
                <w:rFonts w:hint="eastAsia" w:cstheme="minorBidi"/>
                <w:color w:val="000000" w:themeColor="text1"/>
                <w:kern w:val="2"/>
                <w:sz w:val="21"/>
                <w:szCs w:val="24"/>
                <w:highlight w:val="none"/>
                <w:lang w:val="en-US" w:eastAsia="zh-CN" w:bidi="ar-SA"/>
                <w14:textFill>
                  <w14:solidFill>
                    <w14:schemeClr w14:val="tx1"/>
                  </w14:solidFill>
                </w14:textFill>
              </w:rPr>
              <w:t>1.671t/a</w:t>
            </w:r>
          </w:p>
        </w:tc>
        <w:tc>
          <w:tcPr>
            <w:tcW w:w="184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cs="Times New Roman"/>
                <w:snapToGrid w:val="0"/>
                <w:color w:val="000000" w:themeColor="text1"/>
                <w:kern w:val="21"/>
                <w:sz w:val="21"/>
                <w:szCs w:val="21"/>
                <w:highlight w:val="none"/>
                <w:lang w:val="en-US" w:eastAsia="zh-CN" w:bidi="ar-SA"/>
                <w14:textFill>
                  <w14:solidFill>
                    <w14:schemeClr w14:val="tx1"/>
                  </w14:solidFill>
                </w14:textFill>
              </w:rPr>
              <w:t>/</w:t>
            </w:r>
          </w:p>
        </w:tc>
        <w:tc>
          <w:tcPr>
            <w:tcW w:w="1981"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r>
              <w:rPr>
                <w:rFonts w:hint="eastAsia" w:cstheme="minorBidi"/>
                <w:color w:val="000000" w:themeColor="text1"/>
                <w:kern w:val="2"/>
                <w:sz w:val="21"/>
                <w:szCs w:val="24"/>
                <w:highlight w:val="none"/>
                <w:lang w:val="en-US" w:eastAsia="zh-CN" w:bidi="ar-SA"/>
                <w14:textFill>
                  <w14:solidFill>
                    <w14:schemeClr w14:val="tx1"/>
                  </w14:solidFill>
                </w14:textFill>
              </w:rPr>
              <w:t>1.671t/a</w:t>
            </w:r>
          </w:p>
        </w:tc>
        <w:tc>
          <w:tcPr>
            <w:tcW w:w="1228"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r>
              <w:rPr>
                <w:rFonts w:hint="eastAsia" w:cstheme="minorBidi"/>
                <w:color w:val="000000" w:themeColor="text1"/>
                <w:kern w:val="2"/>
                <w:sz w:val="21"/>
                <w:szCs w:val="24"/>
                <w:highlight w:val="none"/>
                <w:lang w:val="en-US" w:eastAsia="zh-CN" w:bidi="ar-SA"/>
                <w14:textFill>
                  <w14:solidFill>
                    <w14:schemeClr w14:val="tx1"/>
                  </w14:solidFill>
                </w14:textFill>
              </w:rPr>
              <w:t>+1.671t/a</w:t>
            </w:r>
          </w:p>
        </w:tc>
      </w:tr>
      <w:tr>
        <w:tblPrEx>
          <w:tblLayout w:type="fixed"/>
        </w:tblPrEx>
        <w:trPr>
          <w:trHeight w:val="397" w:hRule="atLeast"/>
          <w:jc w:val="center"/>
        </w:trPr>
        <w:tc>
          <w:tcPr>
            <w:tcW w:w="1394" w:type="dxa"/>
            <w:vMerge w:val="continue"/>
            <w:vAlign w:val="center"/>
          </w:tcPr>
          <w:p>
            <w:pPr>
              <w:widowControl w:val="0"/>
              <w:bidi w:val="0"/>
              <w:adjustRightInd w:val="0"/>
              <w:snapToGrid w:val="0"/>
              <w:spacing w:line="240" w:lineRule="auto"/>
              <w:ind w:firstLine="0" w:firstLineChars="0"/>
              <w:jc w:val="center"/>
              <w:rPr>
                <w:rFonts w:hint="default"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p>
        </w:tc>
        <w:tc>
          <w:tcPr>
            <w:tcW w:w="1432"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焊渣</w:t>
            </w:r>
          </w:p>
        </w:tc>
        <w:tc>
          <w:tcPr>
            <w:tcW w:w="1676" w:type="dxa"/>
            <w:vAlign w:val="center"/>
          </w:tcPr>
          <w:p>
            <w:pPr>
              <w:pStyle w:val="47"/>
              <w:bidi w:val="0"/>
              <w:ind w:firstLine="0" w:firstLineChars="0"/>
              <w:rPr>
                <w:rFonts w:hint="default" w:cstheme="minorBidi"/>
                <w:color w:val="000000" w:themeColor="text1"/>
                <w:kern w:val="2"/>
                <w:sz w:val="21"/>
                <w:szCs w:val="24"/>
                <w:highlight w:val="none"/>
                <w:lang w:val="en-US" w:eastAsia="zh-CN" w:bidi="ar-SA"/>
                <w14:textFill>
                  <w14:solidFill>
                    <w14:schemeClr w14:val="tx1"/>
                  </w14:solidFill>
                </w14:textFill>
              </w:rPr>
            </w:pPr>
            <w:r>
              <w:rPr>
                <w:rFonts w:hint="eastAsia" w:cstheme="minorBidi"/>
                <w:color w:val="000000" w:themeColor="text1"/>
                <w:kern w:val="2"/>
                <w:sz w:val="21"/>
                <w:szCs w:val="24"/>
                <w:highlight w:val="none"/>
                <w:lang w:val="en-US" w:eastAsia="zh-CN" w:bidi="ar-SA"/>
                <w14:textFill>
                  <w14:solidFill>
                    <w14:schemeClr w14:val="tx1"/>
                  </w14:solidFill>
                </w14:textFill>
              </w:rPr>
              <w:t>/</w:t>
            </w:r>
          </w:p>
        </w:tc>
        <w:tc>
          <w:tcPr>
            <w:tcW w:w="1487"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cs="Times New Roman"/>
                <w:snapToGrid w:val="0"/>
                <w:color w:val="000000" w:themeColor="text1"/>
                <w:kern w:val="21"/>
                <w:sz w:val="21"/>
                <w:szCs w:val="21"/>
                <w:highlight w:val="none"/>
                <w:lang w:val="en-US" w:eastAsia="zh-CN" w:bidi="ar-SA"/>
                <w14:textFill>
                  <w14:solidFill>
                    <w14:schemeClr w14:val="tx1"/>
                  </w14:solidFill>
                </w14:textFill>
              </w:rPr>
              <w:t>/</w:t>
            </w:r>
          </w:p>
        </w:tc>
        <w:tc>
          <w:tcPr>
            <w:tcW w:w="166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cs="Times New Roman"/>
                <w:snapToGrid w:val="0"/>
                <w:color w:val="000000" w:themeColor="text1"/>
                <w:kern w:val="21"/>
                <w:sz w:val="21"/>
                <w:szCs w:val="21"/>
                <w:highlight w:val="none"/>
                <w:lang w:val="en-US" w:eastAsia="zh-CN" w:bidi="ar-SA"/>
                <w14:textFill>
                  <w14:solidFill>
                    <w14:schemeClr w14:val="tx1"/>
                  </w14:solidFill>
                </w14:textFill>
              </w:rPr>
              <w:t>/</w:t>
            </w:r>
          </w:p>
        </w:tc>
        <w:tc>
          <w:tcPr>
            <w:tcW w:w="1740"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cstheme="minorBidi"/>
                <w:color w:val="000000" w:themeColor="text1"/>
                <w:kern w:val="2"/>
                <w:sz w:val="21"/>
                <w:szCs w:val="24"/>
                <w:highlight w:val="none"/>
                <w:lang w:val="en-US" w:eastAsia="zh-CN" w:bidi="ar-SA"/>
                <w14:textFill>
                  <w14:solidFill>
                    <w14:schemeClr w14:val="tx1"/>
                  </w14:solidFill>
                </w14:textFill>
              </w:rPr>
            </w:pPr>
            <w:r>
              <w:rPr>
                <w:rFonts w:hint="eastAsia" w:cstheme="minorBidi"/>
                <w:color w:val="000000" w:themeColor="text1"/>
                <w:kern w:val="2"/>
                <w:sz w:val="21"/>
                <w:szCs w:val="24"/>
                <w:highlight w:val="none"/>
                <w:lang w:val="en-US" w:eastAsia="zh-CN" w:bidi="ar-SA"/>
                <w14:textFill>
                  <w14:solidFill>
                    <w14:schemeClr w14:val="tx1"/>
                  </w14:solidFill>
                </w14:textFill>
              </w:rPr>
              <w:t>0.18t/a</w:t>
            </w:r>
          </w:p>
        </w:tc>
        <w:tc>
          <w:tcPr>
            <w:tcW w:w="184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cs="Times New Roman"/>
                <w:snapToGrid w:val="0"/>
                <w:color w:val="000000" w:themeColor="text1"/>
                <w:kern w:val="21"/>
                <w:sz w:val="21"/>
                <w:szCs w:val="21"/>
                <w:highlight w:val="none"/>
                <w:lang w:val="en-US" w:eastAsia="zh-CN" w:bidi="ar-SA"/>
                <w14:textFill>
                  <w14:solidFill>
                    <w14:schemeClr w14:val="tx1"/>
                  </w14:solidFill>
                </w14:textFill>
              </w:rPr>
              <w:t>/</w:t>
            </w:r>
          </w:p>
        </w:tc>
        <w:tc>
          <w:tcPr>
            <w:tcW w:w="1981"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cstheme="minorBidi"/>
                <w:color w:val="000000" w:themeColor="text1"/>
                <w:kern w:val="2"/>
                <w:sz w:val="21"/>
                <w:szCs w:val="24"/>
                <w:highlight w:val="none"/>
                <w:lang w:val="en-US" w:eastAsia="zh-CN" w:bidi="ar-SA"/>
                <w14:textFill>
                  <w14:solidFill>
                    <w14:schemeClr w14:val="tx1"/>
                  </w14:solidFill>
                </w14:textFill>
              </w:rPr>
            </w:pPr>
            <w:r>
              <w:rPr>
                <w:rFonts w:hint="eastAsia" w:cstheme="minorBidi"/>
                <w:color w:val="000000" w:themeColor="text1"/>
                <w:kern w:val="2"/>
                <w:sz w:val="21"/>
                <w:szCs w:val="24"/>
                <w:highlight w:val="none"/>
                <w:lang w:val="en-US" w:eastAsia="zh-CN" w:bidi="ar-SA"/>
                <w14:textFill>
                  <w14:solidFill>
                    <w14:schemeClr w14:val="tx1"/>
                  </w14:solidFill>
                </w14:textFill>
              </w:rPr>
              <w:t>0.18t/a</w:t>
            </w:r>
          </w:p>
        </w:tc>
        <w:tc>
          <w:tcPr>
            <w:tcW w:w="1228"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cstheme="minorBidi"/>
                <w:color w:val="000000" w:themeColor="text1"/>
                <w:kern w:val="2"/>
                <w:sz w:val="21"/>
                <w:szCs w:val="24"/>
                <w:highlight w:val="none"/>
                <w:lang w:val="en-US" w:eastAsia="zh-CN" w:bidi="ar-SA"/>
                <w14:textFill>
                  <w14:solidFill>
                    <w14:schemeClr w14:val="tx1"/>
                  </w14:solidFill>
                </w14:textFill>
              </w:rPr>
            </w:pPr>
            <w:r>
              <w:rPr>
                <w:rFonts w:hint="eastAsia" w:cstheme="minorBidi"/>
                <w:color w:val="000000" w:themeColor="text1"/>
                <w:kern w:val="2"/>
                <w:sz w:val="21"/>
                <w:szCs w:val="24"/>
                <w:highlight w:val="none"/>
                <w:lang w:val="en-US" w:eastAsia="zh-CN" w:bidi="ar-SA"/>
                <w14:textFill>
                  <w14:solidFill>
                    <w14:schemeClr w14:val="tx1"/>
                  </w14:solidFill>
                </w14:textFill>
              </w:rPr>
              <w:t>+0.18t/a</w:t>
            </w:r>
          </w:p>
        </w:tc>
      </w:tr>
      <w:tr>
        <w:tblPrEx>
          <w:tblLayout w:type="fixed"/>
        </w:tblPrEx>
        <w:trPr>
          <w:trHeight w:val="397" w:hRule="atLeast"/>
          <w:jc w:val="center"/>
        </w:trPr>
        <w:tc>
          <w:tcPr>
            <w:tcW w:w="1394" w:type="dxa"/>
            <w:vMerge w:val="continue"/>
            <w:vAlign w:val="center"/>
          </w:tcPr>
          <w:p>
            <w:pPr>
              <w:widowControl w:val="0"/>
              <w:bidi w:val="0"/>
              <w:adjustRightInd w:val="0"/>
              <w:snapToGrid w:val="0"/>
              <w:spacing w:line="240" w:lineRule="auto"/>
              <w:ind w:firstLine="0" w:firstLineChars="0"/>
              <w:jc w:val="center"/>
              <w:rPr>
                <w:rFonts w:hint="default"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p>
        </w:tc>
        <w:tc>
          <w:tcPr>
            <w:tcW w:w="1432"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废包装材料</w:t>
            </w:r>
          </w:p>
        </w:tc>
        <w:tc>
          <w:tcPr>
            <w:tcW w:w="1676" w:type="dxa"/>
            <w:vAlign w:val="center"/>
          </w:tcPr>
          <w:p>
            <w:pPr>
              <w:pStyle w:val="47"/>
              <w:bidi w:val="0"/>
              <w:ind w:firstLine="0" w:firstLineChars="0"/>
              <w:rPr>
                <w:rFonts w:hint="default" w:cstheme="minorBidi"/>
                <w:color w:val="000000" w:themeColor="text1"/>
                <w:kern w:val="2"/>
                <w:sz w:val="21"/>
                <w:szCs w:val="24"/>
                <w:highlight w:val="none"/>
                <w:lang w:val="en-US" w:eastAsia="zh-CN" w:bidi="ar-SA"/>
                <w14:textFill>
                  <w14:solidFill>
                    <w14:schemeClr w14:val="tx1"/>
                  </w14:solidFill>
                </w14:textFill>
              </w:rPr>
            </w:pPr>
            <w:r>
              <w:rPr>
                <w:rFonts w:hint="eastAsia" w:cstheme="minorBidi"/>
                <w:color w:val="000000" w:themeColor="text1"/>
                <w:kern w:val="2"/>
                <w:sz w:val="21"/>
                <w:szCs w:val="24"/>
                <w:highlight w:val="none"/>
                <w:lang w:val="en-US" w:eastAsia="zh-CN" w:bidi="ar-SA"/>
                <w14:textFill>
                  <w14:solidFill>
                    <w14:schemeClr w14:val="tx1"/>
                  </w14:solidFill>
                </w14:textFill>
              </w:rPr>
              <w:t>/</w:t>
            </w:r>
          </w:p>
        </w:tc>
        <w:tc>
          <w:tcPr>
            <w:tcW w:w="1487"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cs="Times New Roman"/>
                <w:snapToGrid w:val="0"/>
                <w:color w:val="000000" w:themeColor="text1"/>
                <w:kern w:val="21"/>
                <w:sz w:val="21"/>
                <w:szCs w:val="21"/>
                <w:highlight w:val="none"/>
                <w:lang w:val="en-US" w:eastAsia="zh-CN" w:bidi="ar-SA"/>
                <w14:textFill>
                  <w14:solidFill>
                    <w14:schemeClr w14:val="tx1"/>
                  </w14:solidFill>
                </w14:textFill>
              </w:rPr>
              <w:t>/</w:t>
            </w:r>
          </w:p>
        </w:tc>
        <w:tc>
          <w:tcPr>
            <w:tcW w:w="166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cs="Times New Roman"/>
                <w:snapToGrid w:val="0"/>
                <w:color w:val="000000" w:themeColor="text1"/>
                <w:kern w:val="21"/>
                <w:sz w:val="21"/>
                <w:szCs w:val="21"/>
                <w:highlight w:val="none"/>
                <w:lang w:val="en-US" w:eastAsia="zh-CN" w:bidi="ar-SA"/>
                <w14:textFill>
                  <w14:solidFill>
                    <w14:schemeClr w14:val="tx1"/>
                  </w14:solidFill>
                </w14:textFill>
              </w:rPr>
              <w:t>/</w:t>
            </w:r>
          </w:p>
        </w:tc>
        <w:tc>
          <w:tcPr>
            <w:tcW w:w="1740"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cstheme="minorBidi"/>
                <w:color w:val="000000" w:themeColor="text1"/>
                <w:kern w:val="2"/>
                <w:sz w:val="21"/>
                <w:szCs w:val="24"/>
                <w:highlight w:val="none"/>
                <w:lang w:val="en-US" w:eastAsia="zh-CN" w:bidi="ar-SA"/>
                <w14:textFill>
                  <w14:solidFill>
                    <w14:schemeClr w14:val="tx1"/>
                  </w14:solidFill>
                </w14:textFill>
              </w:rPr>
            </w:pPr>
            <w:r>
              <w:rPr>
                <w:rFonts w:hint="eastAsia" w:cstheme="minorBidi"/>
                <w:color w:val="000000" w:themeColor="text1"/>
                <w:kern w:val="2"/>
                <w:sz w:val="21"/>
                <w:szCs w:val="24"/>
                <w:highlight w:val="none"/>
                <w:lang w:val="en-US" w:eastAsia="zh-CN" w:bidi="ar-SA"/>
                <w14:textFill>
                  <w14:solidFill>
                    <w14:schemeClr w14:val="tx1"/>
                  </w14:solidFill>
                </w14:textFill>
              </w:rPr>
              <w:t>0.1t/a</w:t>
            </w:r>
          </w:p>
        </w:tc>
        <w:tc>
          <w:tcPr>
            <w:tcW w:w="184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cs="Times New Roman"/>
                <w:snapToGrid w:val="0"/>
                <w:color w:val="000000" w:themeColor="text1"/>
                <w:kern w:val="21"/>
                <w:sz w:val="21"/>
                <w:szCs w:val="21"/>
                <w:highlight w:val="none"/>
                <w:lang w:val="en-US" w:eastAsia="zh-CN" w:bidi="ar-SA"/>
                <w14:textFill>
                  <w14:solidFill>
                    <w14:schemeClr w14:val="tx1"/>
                  </w14:solidFill>
                </w14:textFill>
              </w:rPr>
              <w:t>/</w:t>
            </w:r>
          </w:p>
        </w:tc>
        <w:tc>
          <w:tcPr>
            <w:tcW w:w="1981"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cstheme="minorBidi"/>
                <w:color w:val="000000" w:themeColor="text1"/>
                <w:kern w:val="2"/>
                <w:sz w:val="21"/>
                <w:szCs w:val="24"/>
                <w:highlight w:val="none"/>
                <w:lang w:val="en-US" w:eastAsia="zh-CN" w:bidi="ar-SA"/>
                <w14:textFill>
                  <w14:solidFill>
                    <w14:schemeClr w14:val="tx1"/>
                  </w14:solidFill>
                </w14:textFill>
              </w:rPr>
            </w:pPr>
            <w:r>
              <w:rPr>
                <w:rFonts w:hint="eastAsia" w:cstheme="minorBidi"/>
                <w:color w:val="000000" w:themeColor="text1"/>
                <w:kern w:val="2"/>
                <w:sz w:val="21"/>
                <w:szCs w:val="24"/>
                <w:highlight w:val="none"/>
                <w:lang w:val="en-US" w:eastAsia="zh-CN" w:bidi="ar-SA"/>
                <w14:textFill>
                  <w14:solidFill>
                    <w14:schemeClr w14:val="tx1"/>
                  </w14:solidFill>
                </w14:textFill>
              </w:rPr>
              <w:t>0.1t/a</w:t>
            </w:r>
          </w:p>
        </w:tc>
        <w:tc>
          <w:tcPr>
            <w:tcW w:w="1228"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cstheme="minorBidi"/>
                <w:color w:val="000000" w:themeColor="text1"/>
                <w:kern w:val="2"/>
                <w:sz w:val="21"/>
                <w:szCs w:val="24"/>
                <w:highlight w:val="none"/>
                <w:lang w:val="en-US" w:eastAsia="zh-CN" w:bidi="ar-SA"/>
                <w14:textFill>
                  <w14:solidFill>
                    <w14:schemeClr w14:val="tx1"/>
                  </w14:solidFill>
                </w14:textFill>
              </w:rPr>
            </w:pPr>
            <w:r>
              <w:rPr>
                <w:rFonts w:hint="eastAsia" w:cstheme="minorBidi"/>
                <w:color w:val="000000" w:themeColor="text1"/>
                <w:kern w:val="2"/>
                <w:sz w:val="21"/>
                <w:szCs w:val="24"/>
                <w:highlight w:val="none"/>
                <w:lang w:val="en-US" w:eastAsia="zh-CN" w:bidi="ar-SA"/>
                <w14:textFill>
                  <w14:solidFill>
                    <w14:schemeClr w14:val="tx1"/>
                  </w14:solidFill>
                </w14:textFill>
              </w:rPr>
              <w:t>+0.1t/a</w:t>
            </w:r>
          </w:p>
        </w:tc>
      </w:tr>
      <w:tr>
        <w:tblPrEx>
          <w:tblLayout w:type="fixed"/>
        </w:tblPrEx>
        <w:trPr>
          <w:trHeight w:val="397" w:hRule="atLeast"/>
          <w:jc w:val="center"/>
        </w:trPr>
        <w:tc>
          <w:tcPr>
            <w:tcW w:w="1394" w:type="dxa"/>
            <w:vMerge w:val="continue"/>
            <w:vAlign w:val="center"/>
          </w:tcPr>
          <w:p>
            <w:pPr>
              <w:widowControl w:val="0"/>
              <w:bidi w:val="0"/>
              <w:adjustRightInd w:val="0"/>
              <w:snapToGrid w:val="0"/>
              <w:spacing w:line="240" w:lineRule="auto"/>
              <w:ind w:firstLine="0" w:firstLineChars="0"/>
              <w:jc w:val="center"/>
              <w:rPr>
                <w:rFonts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p>
        </w:tc>
        <w:tc>
          <w:tcPr>
            <w:tcW w:w="1432"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r>
              <w:rPr>
                <w:rFonts w:hint="eastAsia"/>
                <w:color w:val="000000" w:themeColor="text1"/>
                <w:highlight w:val="none"/>
                <w:lang w:val="en-US" w:eastAsia="zh-CN"/>
                <w14:textFill>
                  <w14:solidFill>
                    <w14:schemeClr w14:val="tx1"/>
                  </w14:solidFill>
                </w14:textFill>
              </w:rPr>
              <w:t>边角料</w:t>
            </w:r>
          </w:p>
        </w:tc>
        <w:tc>
          <w:tcPr>
            <w:tcW w:w="1676" w:type="dxa"/>
            <w:vAlign w:val="center"/>
          </w:tcPr>
          <w:p>
            <w:pPr>
              <w:pStyle w:val="47"/>
              <w:bidi w:val="0"/>
              <w:ind w:firstLine="0" w:firstLineChars="0"/>
              <w:rPr>
                <w:rFonts w:hint="default"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r>
              <w:rPr>
                <w:rFonts w:hint="eastAsia" w:cstheme="minorBidi"/>
                <w:color w:val="000000" w:themeColor="text1"/>
                <w:kern w:val="2"/>
                <w:sz w:val="21"/>
                <w:szCs w:val="24"/>
                <w:highlight w:val="none"/>
                <w:lang w:val="en-US" w:eastAsia="zh-CN" w:bidi="ar-SA"/>
                <w14:textFill>
                  <w14:solidFill>
                    <w14:schemeClr w14:val="tx1"/>
                  </w14:solidFill>
                </w14:textFill>
              </w:rPr>
              <w:t>/</w:t>
            </w:r>
          </w:p>
        </w:tc>
        <w:tc>
          <w:tcPr>
            <w:tcW w:w="1487"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Times New Roman" w:hAnsi="Times New Roman" w:eastAsia="宋体" w:cs="Times New Roman"/>
                <w:snapToGrid w:val="0"/>
                <w:color w:val="000000" w:themeColor="text1"/>
                <w:kern w:val="21"/>
                <w:sz w:val="24"/>
                <w:szCs w:val="21"/>
                <w:highlight w:val="none"/>
                <w:lang w:val="en-US" w:eastAsia="zh-CN" w:bidi="ar-SA"/>
                <w14:textFill>
                  <w14:solidFill>
                    <w14:schemeClr w14:val="tx1"/>
                  </w14:solidFill>
                </w14:textFill>
              </w:rPr>
            </w:pPr>
            <w:r>
              <w:rPr>
                <w:rFonts w:hint="eastAsia" w:cs="Times New Roman"/>
                <w:snapToGrid w:val="0"/>
                <w:color w:val="000000" w:themeColor="text1"/>
                <w:kern w:val="21"/>
                <w:sz w:val="24"/>
                <w:szCs w:val="21"/>
                <w:highlight w:val="none"/>
                <w:lang w:val="en-US" w:eastAsia="zh-CN" w:bidi="ar-SA"/>
                <w14:textFill>
                  <w14:solidFill>
                    <w14:schemeClr w14:val="tx1"/>
                  </w14:solidFill>
                </w14:textFill>
              </w:rPr>
              <w:t>/</w:t>
            </w:r>
          </w:p>
        </w:tc>
        <w:tc>
          <w:tcPr>
            <w:tcW w:w="166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ascii="Times New Roman" w:hAnsi="Times New Roman" w:eastAsia="宋体" w:cs="Times New Roman"/>
                <w:snapToGrid w:val="0"/>
                <w:color w:val="000000" w:themeColor="text1"/>
                <w:kern w:val="21"/>
                <w:sz w:val="24"/>
                <w:szCs w:val="21"/>
                <w:highlight w:val="none"/>
                <w:lang w:val="en-US" w:eastAsia="zh-CN" w:bidi="ar-SA"/>
                <w14:textFill>
                  <w14:solidFill>
                    <w14:schemeClr w14:val="tx1"/>
                  </w14:solidFill>
                </w14:textFill>
              </w:rPr>
            </w:pPr>
            <w:r>
              <w:rPr>
                <w:rFonts w:hint="eastAsia" w:cs="Times New Roman"/>
                <w:snapToGrid w:val="0"/>
                <w:color w:val="000000" w:themeColor="text1"/>
                <w:kern w:val="21"/>
                <w:sz w:val="24"/>
                <w:szCs w:val="21"/>
                <w:highlight w:val="none"/>
                <w:lang w:val="en-US" w:eastAsia="zh-CN" w:bidi="ar-SA"/>
                <w14:textFill>
                  <w14:solidFill>
                    <w14:schemeClr w14:val="tx1"/>
                  </w14:solidFill>
                </w14:textFill>
              </w:rPr>
              <w:t>/</w:t>
            </w:r>
          </w:p>
        </w:tc>
        <w:tc>
          <w:tcPr>
            <w:tcW w:w="1740"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r>
              <w:rPr>
                <w:rFonts w:hint="eastAsia" w:cstheme="minorBidi"/>
                <w:color w:val="000000" w:themeColor="text1"/>
                <w:kern w:val="2"/>
                <w:sz w:val="21"/>
                <w:szCs w:val="24"/>
                <w:highlight w:val="none"/>
                <w:lang w:val="en-US" w:eastAsia="zh-CN" w:bidi="ar-SA"/>
                <w14:textFill>
                  <w14:solidFill>
                    <w14:schemeClr w14:val="tx1"/>
                  </w14:solidFill>
                </w14:textFill>
              </w:rPr>
              <w:t>25.86t/a</w:t>
            </w:r>
          </w:p>
        </w:tc>
        <w:tc>
          <w:tcPr>
            <w:tcW w:w="184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Times New Roman" w:hAnsi="Times New Roman" w:eastAsia="宋体"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cs="Times New Roman"/>
                <w:snapToGrid w:val="0"/>
                <w:color w:val="000000" w:themeColor="text1"/>
                <w:kern w:val="21"/>
                <w:sz w:val="21"/>
                <w:szCs w:val="21"/>
                <w:highlight w:val="none"/>
                <w:lang w:val="en-US" w:eastAsia="zh-CN" w:bidi="ar-SA"/>
                <w14:textFill>
                  <w14:solidFill>
                    <w14:schemeClr w14:val="tx1"/>
                  </w14:solidFill>
                </w14:textFill>
              </w:rPr>
              <w:t>/</w:t>
            </w:r>
          </w:p>
        </w:tc>
        <w:tc>
          <w:tcPr>
            <w:tcW w:w="1981"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r>
              <w:rPr>
                <w:rFonts w:hint="eastAsia" w:cstheme="minorBidi"/>
                <w:color w:val="000000" w:themeColor="text1"/>
                <w:kern w:val="2"/>
                <w:sz w:val="21"/>
                <w:szCs w:val="24"/>
                <w:highlight w:val="none"/>
                <w:lang w:val="en-US" w:eastAsia="zh-CN" w:bidi="ar-SA"/>
                <w14:textFill>
                  <w14:solidFill>
                    <w14:schemeClr w14:val="tx1"/>
                  </w14:solidFill>
                </w14:textFill>
              </w:rPr>
              <w:t>25.86t/a</w:t>
            </w:r>
          </w:p>
        </w:tc>
        <w:tc>
          <w:tcPr>
            <w:tcW w:w="1228"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default"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r>
              <w:rPr>
                <w:rFonts w:hint="eastAsia" w:cstheme="minorBidi"/>
                <w:color w:val="000000" w:themeColor="text1"/>
                <w:kern w:val="2"/>
                <w:sz w:val="21"/>
                <w:szCs w:val="24"/>
                <w:highlight w:val="none"/>
                <w:lang w:val="en-US" w:eastAsia="zh-CN" w:bidi="ar-SA"/>
                <w14:textFill>
                  <w14:solidFill>
                    <w14:schemeClr w14:val="tx1"/>
                  </w14:solidFill>
                </w14:textFill>
              </w:rPr>
              <w:t>+25.86t/a</w:t>
            </w:r>
          </w:p>
        </w:tc>
      </w:tr>
      <w:tr>
        <w:tblPrEx>
          <w:tblLayout w:type="fixed"/>
        </w:tblPrEx>
        <w:trPr>
          <w:trHeight w:val="397" w:hRule="atLeast"/>
          <w:jc w:val="center"/>
        </w:trPr>
        <w:tc>
          <w:tcPr>
            <w:tcW w:w="1394" w:type="dxa"/>
            <w:vMerge w:val="restart"/>
            <w:vAlign w:val="center"/>
          </w:tcPr>
          <w:p>
            <w:pPr>
              <w:widowControl w:val="0"/>
              <w:bidi w:val="0"/>
              <w:adjustRightInd w:val="0"/>
              <w:snapToGrid w:val="0"/>
              <w:spacing w:line="240" w:lineRule="auto"/>
              <w:ind w:firstLine="0" w:firstLineChars="0"/>
              <w:jc w:val="center"/>
              <w:rPr>
                <w:rFonts w:hint="eastAsia" w:ascii="Times New Roman" w:hAnsi="Times New Roman" w:eastAsia="宋体" w:cstheme="minorBidi"/>
                <w:color w:val="000000" w:themeColor="text1"/>
                <w:kern w:val="2"/>
                <w:sz w:val="21"/>
                <w:szCs w:val="24"/>
                <w:highlight w:val="none"/>
                <w:lang w:val="en-US" w:eastAsia="zh-CN" w:bidi="ar-SA"/>
                <w14:textFill>
                  <w14:solidFill>
                    <w14:schemeClr w14:val="tx1"/>
                  </w14:solidFill>
                </w14:textFill>
              </w:rPr>
            </w:pPr>
            <w:r>
              <w:rPr>
                <w:rFonts w:hint="eastAsia" w:cstheme="minorBidi"/>
                <w:color w:val="000000" w:themeColor="text1"/>
                <w:kern w:val="2"/>
                <w:sz w:val="21"/>
                <w:szCs w:val="24"/>
                <w:highlight w:val="none"/>
                <w:lang w:val="en-US" w:eastAsia="zh-CN" w:bidi="ar-SA"/>
                <w14:textFill>
                  <w14:solidFill>
                    <w14:schemeClr w14:val="tx1"/>
                  </w14:solidFill>
                </w14:textFill>
              </w:rPr>
              <w:t>危险废物</w:t>
            </w:r>
          </w:p>
        </w:tc>
        <w:tc>
          <w:tcPr>
            <w:tcW w:w="1432"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废润滑油</w:t>
            </w:r>
          </w:p>
        </w:tc>
        <w:tc>
          <w:tcPr>
            <w:tcW w:w="1676" w:type="dxa"/>
            <w:vAlign w:val="center"/>
          </w:tcPr>
          <w:p>
            <w:pPr>
              <w:pStyle w:val="47"/>
              <w:bidi w:val="0"/>
              <w:ind w:firstLine="0" w:firstLineChars="0"/>
              <w:rPr>
                <w:rFonts w:hint="eastAsia" w:cstheme="minorBidi"/>
                <w:color w:val="000000" w:themeColor="text1"/>
                <w:kern w:val="2"/>
                <w:sz w:val="21"/>
                <w:szCs w:val="24"/>
                <w:highlight w:val="none"/>
                <w:lang w:val="en-US" w:eastAsia="zh-CN" w:bidi="ar-SA"/>
                <w14:textFill>
                  <w14:solidFill>
                    <w14:schemeClr w14:val="tx1"/>
                  </w14:solidFill>
                </w14:textFill>
              </w:rPr>
            </w:pPr>
            <w:r>
              <w:rPr>
                <w:rFonts w:hint="eastAsia" w:cstheme="minorBidi"/>
                <w:color w:val="000000" w:themeColor="text1"/>
                <w:kern w:val="2"/>
                <w:sz w:val="21"/>
                <w:szCs w:val="24"/>
                <w:highlight w:val="none"/>
                <w:lang w:val="en-US" w:eastAsia="zh-CN" w:bidi="ar-SA"/>
                <w14:textFill>
                  <w14:solidFill>
                    <w14:schemeClr w14:val="tx1"/>
                  </w14:solidFill>
                </w14:textFill>
              </w:rPr>
              <w:t>/</w:t>
            </w:r>
          </w:p>
        </w:tc>
        <w:tc>
          <w:tcPr>
            <w:tcW w:w="1487"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cs="Times New Roman"/>
                <w:snapToGrid w:val="0"/>
                <w:color w:val="000000" w:themeColor="text1"/>
                <w:kern w:val="21"/>
                <w:sz w:val="24"/>
                <w:szCs w:val="21"/>
                <w:highlight w:val="none"/>
                <w:lang w:val="en-US" w:eastAsia="zh-CN" w:bidi="ar-SA"/>
                <w14:textFill>
                  <w14:solidFill>
                    <w14:schemeClr w14:val="tx1"/>
                  </w14:solidFill>
                </w14:textFill>
              </w:rPr>
              <w:t>/</w:t>
            </w:r>
          </w:p>
        </w:tc>
        <w:tc>
          <w:tcPr>
            <w:tcW w:w="166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cs="Times New Roman"/>
                <w:snapToGrid w:val="0"/>
                <w:color w:val="000000" w:themeColor="text1"/>
                <w:kern w:val="21"/>
                <w:sz w:val="24"/>
                <w:szCs w:val="21"/>
                <w:highlight w:val="none"/>
                <w:lang w:val="en-US" w:eastAsia="zh-CN" w:bidi="ar-SA"/>
                <w14:textFill>
                  <w14:solidFill>
                    <w14:schemeClr w14:val="tx1"/>
                  </w14:solidFill>
                </w14:textFill>
              </w:rPr>
              <w:t>/</w:t>
            </w:r>
          </w:p>
        </w:tc>
        <w:tc>
          <w:tcPr>
            <w:tcW w:w="1740"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0.1t</w:t>
            </w:r>
            <w:r>
              <w:rPr>
                <w:rFonts w:hint="eastAsia" w:ascii="Times New Roman" w:hAnsi="Times New Roman" w:eastAsia="宋体"/>
                <w:color w:val="000000" w:themeColor="text1"/>
                <w:highlight w:val="none"/>
                <w:lang w:val="en-US" w:eastAsia="zh-CN"/>
                <w14:textFill>
                  <w14:solidFill>
                    <w14:schemeClr w14:val="tx1"/>
                  </w14:solidFill>
                </w14:textFill>
              </w:rPr>
              <w:t>/a</w:t>
            </w:r>
          </w:p>
        </w:tc>
        <w:tc>
          <w:tcPr>
            <w:tcW w:w="184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cs="Times New Roman"/>
                <w:snapToGrid w:val="0"/>
                <w:color w:val="000000" w:themeColor="text1"/>
                <w:kern w:val="21"/>
                <w:sz w:val="21"/>
                <w:szCs w:val="21"/>
                <w:highlight w:val="none"/>
                <w:lang w:val="en-US" w:eastAsia="zh-CN" w:bidi="ar-SA"/>
                <w14:textFill>
                  <w14:solidFill>
                    <w14:schemeClr w14:val="tx1"/>
                  </w14:solidFill>
                </w14:textFill>
              </w:rPr>
              <w:t>/</w:t>
            </w:r>
          </w:p>
        </w:tc>
        <w:tc>
          <w:tcPr>
            <w:tcW w:w="1981"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0.1t</w:t>
            </w:r>
            <w:r>
              <w:rPr>
                <w:rFonts w:hint="eastAsia" w:ascii="Times New Roman" w:hAnsi="Times New Roman" w:eastAsia="宋体"/>
                <w:color w:val="000000" w:themeColor="text1"/>
                <w:highlight w:val="none"/>
                <w:lang w:val="en-US" w:eastAsia="zh-CN"/>
                <w14:textFill>
                  <w14:solidFill>
                    <w14:schemeClr w14:val="tx1"/>
                  </w14:solidFill>
                </w14:textFill>
              </w:rPr>
              <w:t>/a</w:t>
            </w:r>
          </w:p>
        </w:tc>
        <w:tc>
          <w:tcPr>
            <w:tcW w:w="1228"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0.1t</w:t>
            </w:r>
            <w:r>
              <w:rPr>
                <w:rFonts w:hint="eastAsia" w:ascii="Times New Roman" w:hAnsi="Times New Roman" w:eastAsia="宋体"/>
                <w:color w:val="000000" w:themeColor="text1"/>
                <w:highlight w:val="none"/>
                <w:lang w:val="en-US" w:eastAsia="zh-CN"/>
                <w14:textFill>
                  <w14:solidFill>
                    <w14:schemeClr w14:val="tx1"/>
                  </w14:solidFill>
                </w14:textFill>
              </w:rPr>
              <w:t>/a</w:t>
            </w:r>
          </w:p>
        </w:tc>
      </w:tr>
      <w:tr>
        <w:tblPrEx>
          <w:tblLayout w:type="fixed"/>
        </w:tblPrEx>
        <w:trPr>
          <w:trHeight w:val="397" w:hRule="atLeast"/>
          <w:jc w:val="center"/>
        </w:trPr>
        <w:tc>
          <w:tcPr>
            <w:tcW w:w="1394" w:type="dxa"/>
            <w:vMerge w:val="continue"/>
            <w:vAlign w:val="center"/>
          </w:tcPr>
          <w:p>
            <w:pPr>
              <w:widowControl w:val="0"/>
              <w:bidi w:val="0"/>
              <w:adjustRightInd w:val="0"/>
              <w:snapToGrid w:val="0"/>
              <w:spacing w:line="240" w:lineRule="auto"/>
              <w:ind w:firstLine="0" w:firstLineChars="0"/>
              <w:jc w:val="center"/>
              <w:rPr>
                <w:rFonts w:hint="eastAsia" w:cstheme="minorBidi"/>
                <w:color w:val="000000" w:themeColor="text1"/>
                <w:kern w:val="2"/>
                <w:sz w:val="21"/>
                <w:szCs w:val="24"/>
                <w:highlight w:val="none"/>
                <w:lang w:val="en-US" w:eastAsia="zh-CN" w:bidi="ar-SA"/>
                <w14:textFill>
                  <w14:solidFill>
                    <w14:schemeClr w14:val="tx1"/>
                  </w14:solidFill>
                </w14:textFill>
              </w:rPr>
            </w:pPr>
          </w:p>
        </w:tc>
        <w:tc>
          <w:tcPr>
            <w:tcW w:w="1432"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废润滑油桶</w:t>
            </w:r>
          </w:p>
        </w:tc>
        <w:tc>
          <w:tcPr>
            <w:tcW w:w="1676" w:type="dxa"/>
            <w:vAlign w:val="center"/>
          </w:tcPr>
          <w:p>
            <w:pPr>
              <w:pStyle w:val="47"/>
              <w:bidi w:val="0"/>
              <w:ind w:firstLine="0" w:firstLineChars="0"/>
              <w:rPr>
                <w:rFonts w:hint="eastAsia" w:cstheme="minorBidi"/>
                <w:color w:val="000000" w:themeColor="text1"/>
                <w:kern w:val="2"/>
                <w:sz w:val="21"/>
                <w:szCs w:val="24"/>
                <w:highlight w:val="none"/>
                <w:lang w:val="en-US" w:eastAsia="zh-CN" w:bidi="ar-SA"/>
                <w14:textFill>
                  <w14:solidFill>
                    <w14:schemeClr w14:val="tx1"/>
                  </w14:solidFill>
                </w14:textFill>
              </w:rPr>
            </w:pPr>
            <w:r>
              <w:rPr>
                <w:rFonts w:hint="eastAsia" w:cstheme="minorBidi"/>
                <w:color w:val="000000" w:themeColor="text1"/>
                <w:kern w:val="2"/>
                <w:sz w:val="21"/>
                <w:szCs w:val="24"/>
                <w:highlight w:val="none"/>
                <w:lang w:val="en-US" w:eastAsia="zh-CN" w:bidi="ar-SA"/>
                <w14:textFill>
                  <w14:solidFill>
                    <w14:schemeClr w14:val="tx1"/>
                  </w14:solidFill>
                </w14:textFill>
              </w:rPr>
              <w:t>/</w:t>
            </w:r>
          </w:p>
        </w:tc>
        <w:tc>
          <w:tcPr>
            <w:tcW w:w="1487"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cs="Times New Roman"/>
                <w:snapToGrid w:val="0"/>
                <w:color w:val="000000" w:themeColor="text1"/>
                <w:kern w:val="21"/>
                <w:sz w:val="21"/>
                <w:szCs w:val="21"/>
                <w:highlight w:val="none"/>
                <w:lang w:val="en-US" w:eastAsia="zh-CN" w:bidi="ar-SA"/>
                <w14:textFill>
                  <w14:solidFill>
                    <w14:schemeClr w14:val="tx1"/>
                  </w14:solidFill>
                </w14:textFill>
              </w:rPr>
              <w:t>/</w:t>
            </w:r>
          </w:p>
        </w:tc>
        <w:tc>
          <w:tcPr>
            <w:tcW w:w="166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eastAsia"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cs="Times New Roman"/>
                <w:snapToGrid w:val="0"/>
                <w:color w:val="000000" w:themeColor="text1"/>
                <w:kern w:val="21"/>
                <w:sz w:val="21"/>
                <w:szCs w:val="21"/>
                <w:highlight w:val="none"/>
                <w:lang w:val="en-US" w:eastAsia="zh-CN" w:bidi="ar-SA"/>
                <w14:textFill>
                  <w14:solidFill>
                    <w14:schemeClr w14:val="tx1"/>
                  </w14:solidFill>
                </w14:textFill>
              </w:rPr>
              <w:t>/</w:t>
            </w:r>
          </w:p>
        </w:tc>
        <w:tc>
          <w:tcPr>
            <w:tcW w:w="1740"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ascii="Times New Roman" w:hAnsi="Times New Roman" w:eastAsia="宋体"/>
                <w:color w:val="000000" w:themeColor="text1"/>
                <w:highlight w:val="none"/>
                <w:lang w:val="en-US" w:eastAsia="zh-CN"/>
                <w14:textFill>
                  <w14:solidFill>
                    <w14:schemeClr w14:val="tx1"/>
                  </w14:solidFill>
                </w14:textFill>
              </w:rPr>
              <w:t>kg/a</w:t>
            </w:r>
          </w:p>
        </w:tc>
        <w:tc>
          <w:tcPr>
            <w:tcW w:w="184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cs="Times New Roman"/>
                <w:snapToGrid w:val="0"/>
                <w:color w:val="000000" w:themeColor="text1"/>
                <w:kern w:val="21"/>
                <w:sz w:val="21"/>
                <w:szCs w:val="21"/>
                <w:highlight w:val="none"/>
                <w:lang w:val="en-US" w:eastAsia="zh-CN" w:bidi="ar-SA"/>
                <w14:textFill>
                  <w14:solidFill>
                    <w14:schemeClr w14:val="tx1"/>
                  </w14:solidFill>
                </w14:textFill>
              </w:rPr>
              <w:t>/</w:t>
            </w:r>
          </w:p>
        </w:tc>
        <w:tc>
          <w:tcPr>
            <w:tcW w:w="1981"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ascii="Times New Roman" w:hAnsi="Times New Roman" w:eastAsia="宋体"/>
                <w:color w:val="000000" w:themeColor="text1"/>
                <w:highlight w:val="none"/>
                <w:lang w:val="en-US" w:eastAsia="zh-CN"/>
                <w14:textFill>
                  <w14:solidFill>
                    <w14:schemeClr w14:val="tx1"/>
                  </w14:solidFill>
                </w14:textFill>
              </w:rPr>
              <w:t>kg/a</w:t>
            </w:r>
          </w:p>
        </w:tc>
        <w:tc>
          <w:tcPr>
            <w:tcW w:w="1228" w:type="dxa"/>
            <w:vAlign w:val="center"/>
          </w:tcPr>
          <w:p>
            <w:pPr>
              <w:pStyle w:val="47"/>
              <w:keepNext w:val="0"/>
              <w:keepLines w:val="0"/>
              <w:pageBreakBefore w:val="0"/>
              <w:widowControl w:val="0"/>
              <w:kinsoku/>
              <w:wordWrap/>
              <w:overflowPunct/>
              <w:topLinePunct w:val="0"/>
              <w:autoSpaceDE/>
              <w:autoSpaceDN/>
              <w:bidi w:val="0"/>
              <w:ind w:firstLine="0" w:firstLineChars="0"/>
              <w:textAlignment w:val="auto"/>
              <w:rPr>
                <w:rFonts w:hint="eastAsia"/>
                <w:color w:val="000000" w:themeColor="text1"/>
                <w:highlight w:val="none"/>
                <w:lang w:val="en-US" w:eastAsia="zh-CN"/>
                <w14:textFill>
                  <w14:solidFill>
                    <w14:schemeClr w14:val="tx1"/>
                  </w14:solidFill>
                </w14:textFill>
              </w:rPr>
            </w:pPr>
            <w:r>
              <w:rPr>
                <w:rFonts w:hint="eastAsia" w:ascii="Times New Roman" w:hAnsi="Times New Roman"/>
                <w:color w:val="000000" w:themeColor="text1"/>
                <w:highlight w:val="none"/>
                <w:lang w:val="en-US"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5</w:t>
            </w:r>
            <w:r>
              <w:rPr>
                <w:rFonts w:hint="eastAsia" w:ascii="Times New Roman" w:hAnsi="Times New Roman" w:eastAsia="宋体"/>
                <w:color w:val="000000" w:themeColor="text1"/>
                <w:highlight w:val="none"/>
                <w:lang w:val="en-US" w:eastAsia="zh-CN"/>
                <w14:textFill>
                  <w14:solidFill>
                    <w14:schemeClr w14:val="tx1"/>
                  </w14:solidFill>
                </w14:textFill>
              </w:rPr>
              <w:t>kg/a</w:t>
            </w:r>
          </w:p>
        </w:tc>
      </w:tr>
      <w:tr>
        <w:tblPrEx>
          <w:tblLayout w:type="fixed"/>
        </w:tblPrEx>
        <w:trPr>
          <w:trHeight w:val="397" w:hRule="atLeast"/>
          <w:jc w:val="center"/>
        </w:trPr>
        <w:tc>
          <w:tcPr>
            <w:tcW w:w="1394" w:type="dxa"/>
            <w:vMerge w:val="continue"/>
            <w:vAlign w:val="center"/>
          </w:tcPr>
          <w:p>
            <w:pPr>
              <w:widowControl w:val="0"/>
              <w:bidi w:val="0"/>
              <w:adjustRightInd w:val="0"/>
              <w:snapToGrid w:val="0"/>
              <w:spacing w:line="240" w:lineRule="auto"/>
              <w:ind w:firstLine="0" w:firstLineChars="0"/>
              <w:jc w:val="center"/>
              <w:rPr>
                <w:rFonts w:hint="eastAsia" w:cstheme="minorBidi"/>
                <w:color w:val="000000" w:themeColor="text1"/>
                <w:kern w:val="2"/>
                <w:sz w:val="21"/>
                <w:szCs w:val="24"/>
                <w:highlight w:val="none"/>
                <w:lang w:val="en-US" w:eastAsia="zh-CN" w:bidi="ar-SA"/>
                <w14:textFill>
                  <w14:solidFill>
                    <w14:schemeClr w14:val="tx1"/>
                  </w14:solidFill>
                </w14:textFill>
              </w:rPr>
            </w:pPr>
          </w:p>
        </w:tc>
        <w:tc>
          <w:tcPr>
            <w:tcW w:w="1432" w:type="dxa"/>
            <w:vAlign w:val="center"/>
          </w:tcPr>
          <w:p>
            <w:pPr>
              <w:pStyle w:val="47"/>
              <w:keepNext w:val="0"/>
              <w:keepLines w:val="0"/>
              <w:pageBreakBefore w:val="0"/>
              <w:widowControl w:val="0"/>
              <w:kinsoku/>
              <w:wordWrap/>
              <w:overflowPunct/>
              <w:topLinePunct w:val="0"/>
              <w:autoSpaceDE/>
              <w:autoSpaceDN/>
              <w:bidi w:val="0"/>
              <w:spacing w:line="240" w:lineRule="auto"/>
              <w:ind w:firstLine="0" w:firstLineChars="0"/>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废切削液</w:t>
            </w:r>
          </w:p>
        </w:tc>
        <w:tc>
          <w:tcPr>
            <w:tcW w:w="1676" w:type="dxa"/>
            <w:vAlign w:val="center"/>
          </w:tcPr>
          <w:p>
            <w:pPr>
              <w:keepNext w:val="0"/>
              <w:keepLines w:val="0"/>
              <w:pageBreakBefore w:val="0"/>
              <w:widowControl w:val="0"/>
              <w:kinsoku/>
              <w:wordWrap/>
              <w:overflowPunct/>
              <w:topLinePunct w:val="0"/>
              <w:autoSpaceDE/>
              <w:autoSpaceDN/>
              <w:bidi w:val="0"/>
              <w:spacing w:line="240" w:lineRule="auto"/>
              <w:ind w:firstLine="0" w:firstLineChars="0"/>
              <w:textAlignment w:val="auto"/>
              <w:rPr>
                <w:rFonts w:hint="eastAsia" w:cstheme="minorBidi"/>
                <w:color w:val="000000" w:themeColor="text1"/>
                <w:kern w:val="2"/>
                <w:sz w:val="21"/>
                <w:szCs w:val="24"/>
                <w:highlight w:val="none"/>
                <w:lang w:val="en-US" w:eastAsia="zh-CN" w:bidi="ar-SA"/>
                <w14:textFill>
                  <w14:solidFill>
                    <w14:schemeClr w14:val="tx1"/>
                  </w14:solidFill>
                </w14:textFill>
              </w:rPr>
            </w:pPr>
            <w:r>
              <w:rPr>
                <w:rFonts w:hint="eastAsia" w:cstheme="minorBidi"/>
                <w:color w:val="000000" w:themeColor="text1"/>
                <w:kern w:val="2"/>
                <w:sz w:val="21"/>
                <w:szCs w:val="24"/>
                <w:highlight w:val="none"/>
                <w:lang w:val="en-US" w:eastAsia="zh-CN" w:bidi="ar-SA"/>
                <w14:textFill>
                  <w14:solidFill>
                    <w14:schemeClr w14:val="tx1"/>
                  </w14:solidFill>
                </w14:textFill>
              </w:rPr>
              <w:t>/</w:t>
            </w:r>
          </w:p>
        </w:tc>
        <w:tc>
          <w:tcPr>
            <w:tcW w:w="148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cstheme="minorBidi"/>
                <w:color w:val="000000" w:themeColor="text1"/>
                <w:kern w:val="2"/>
                <w:sz w:val="21"/>
                <w:szCs w:val="24"/>
                <w:highlight w:val="none"/>
                <w:lang w:val="en-US" w:eastAsia="zh-CN" w:bidi="ar-SA"/>
                <w14:textFill>
                  <w14:solidFill>
                    <w14:schemeClr w14:val="tx1"/>
                  </w14:solidFill>
                </w14:textFill>
              </w:rPr>
              <w:t>/</w:t>
            </w:r>
          </w:p>
        </w:tc>
        <w:tc>
          <w:tcPr>
            <w:tcW w:w="166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cstheme="minorBidi"/>
                <w:color w:val="000000" w:themeColor="text1"/>
                <w:kern w:val="2"/>
                <w:sz w:val="21"/>
                <w:szCs w:val="24"/>
                <w:highlight w:val="none"/>
                <w:lang w:val="en-US" w:eastAsia="zh-CN" w:bidi="ar-SA"/>
                <w14:textFill>
                  <w14:solidFill>
                    <w14:schemeClr w14:val="tx1"/>
                  </w14:solidFill>
                </w14:textFill>
              </w:rPr>
              <w:t>/</w:t>
            </w:r>
          </w:p>
        </w:tc>
        <w:tc>
          <w:tcPr>
            <w:tcW w:w="1740" w:type="dxa"/>
            <w:vAlign w:val="center"/>
          </w:tcPr>
          <w:p>
            <w:pPr>
              <w:pStyle w:val="47"/>
              <w:keepNext w:val="0"/>
              <w:keepLines w:val="0"/>
              <w:pageBreakBefore w:val="0"/>
              <w:widowControl w:val="0"/>
              <w:kinsoku/>
              <w:wordWrap/>
              <w:overflowPunct/>
              <w:topLinePunct w:val="0"/>
              <w:autoSpaceDE/>
              <w:autoSpaceDN/>
              <w:bidi w:val="0"/>
              <w:spacing w:line="240" w:lineRule="auto"/>
              <w:ind w:firstLine="0" w:firstLineChars="0"/>
              <w:textAlignment w:val="auto"/>
              <w:rPr>
                <w:rFonts w:hint="default" w:ascii="Times New Roman" w:hAnsi="Times New Roman"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0.12t</w:t>
            </w:r>
            <w:r>
              <w:rPr>
                <w:rFonts w:hint="eastAsia" w:ascii="Times New Roman" w:hAnsi="Times New Roman" w:eastAsia="宋体"/>
                <w:color w:val="000000" w:themeColor="text1"/>
                <w:highlight w:val="none"/>
                <w:lang w:val="en-US" w:eastAsia="zh-CN"/>
                <w14:textFill>
                  <w14:solidFill>
                    <w14:schemeClr w14:val="tx1"/>
                  </w14:solidFill>
                </w14:textFill>
              </w:rPr>
              <w:t>/a</w:t>
            </w:r>
          </w:p>
        </w:tc>
        <w:tc>
          <w:tcPr>
            <w:tcW w:w="184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s="Times New Roman"/>
                <w:snapToGrid w:val="0"/>
                <w:color w:val="000000" w:themeColor="text1"/>
                <w:kern w:val="21"/>
                <w:sz w:val="21"/>
                <w:szCs w:val="21"/>
                <w:highlight w:val="none"/>
                <w:lang w:val="en-US" w:eastAsia="zh-CN" w:bidi="ar-SA"/>
                <w14:textFill>
                  <w14:solidFill>
                    <w14:schemeClr w14:val="tx1"/>
                  </w14:solidFill>
                </w14:textFill>
              </w:rPr>
            </w:pPr>
            <w:r>
              <w:rPr>
                <w:rFonts w:hint="eastAsia" w:cs="Times New Roman"/>
                <w:snapToGrid w:val="0"/>
                <w:color w:val="000000" w:themeColor="text1"/>
                <w:kern w:val="21"/>
                <w:sz w:val="21"/>
                <w:szCs w:val="21"/>
                <w:highlight w:val="none"/>
                <w:lang w:val="en-US" w:eastAsia="zh-CN" w:bidi="ar-SA"/>
                <w14:textFill>
                  <w14:solidFill>
                    <w14:schemeClr w14:val="tx1"/>
                  </w14:solidFill>
                </w14:textFill>
              </w:rPr>
              <w:t>/</w:t>
            </w:r>
          </w:p>
        </w:tc>
        <w:tc>
          <w:tcPr>
            <w:tcW w:w="1981" w:type="dxa"/>
            <w:vAlign w:val="center"/>
          </w:tcPr>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ascii="Times New Roman" w:hAnsi="Times New Roman"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0.12t</w:t>
            </w: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/a</w:t>
            </w:r>
          </w:p>
        </w:tc>
        <w:tc>
          <w:tcPr>
            <w:tcW w:w="1228" w:type="dxa"/>
            <w:vAlign w:val="center"/>
          </w:tcPr>
          <w:p>
            <w:pPr>
              <w:keepNext w:val="0"/>
              <w:keepLines w:val="0"/>
              <w:pageBreakBefore w:val="0"/>
              <w:widowControl w:val="0"/>
              <w:kinsoku/>
              <w:wordWrap/>
              <w:overflowPunct/>
              <w:topLinePunct w:val="0"/>
              <w:autoSpaceDE/>
              <w:autoSpaceDN/>
              <w:bidi w:val="0"/>
              <w:spacing w:line="240" w:lineRule="auto"/>
              <w:ind w:left="0" w:leftChars="0" w:firstLine="0" w:firstLineChars="0"/>
              <w:jc w:val="center"/>
              <w:textAlignment w:val="auto"/>
              <w:rPr>
                <w:rFonts w:hint="eastAsia" w:ascii="Times New Roman" w:hAnsi="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olor w:val="000000" w:themeColor="text1"/>
                <w:sz w:val="21"/>
                <w:szCs w:val="21"/>
                <w:highlight w:val="none"/>
                <w:lang w:val="en-US" w:eastAsia="zh-CN"/>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0.12t</w:t>
            </w:r>
            <w:r>
              <w:rPr>
                <w:rFonts w:hint="eastAsia" w:ascii="Times New Roman" w:hAnsi="Times New Roman" w:eastAsia="宋体"/>
                <w:color w:val="000000" w:themeColor="text1"/>
                <w:sz w:val="21"/>
                <w:szCs w:val="21"/>
                <w:highlight w:val="none"/>
                <w:lang w:val="en-US" w:eastAsia="zh-CN"/>
                <w14:textFill>
                  <w14:solidFill>
                    <w14:schemeClr w14:val="tx1"/>
                  </w14:solidFill>
                </w14:textFill>
              </w:rPr>
              <w:t>/a</w:t>
            </w:r>
          </w:p>
        </w:tc>
      </w:tr>
    </w:tbl>
    <w:p>
      <w:pPr>
        <w:pStyle w:val="40"/>
        <w:spacing w:beforeLines="0" w:afterLines="0"/>
        <w:ind w:left="480" w:leftChars="0" w:hanging="420"/>
        <w:jc w:val="left"/>
        <w:rPr>
          <w:rFonts w:hAnsi="宋体" w:eastAsia="黑体"/>
        </w:rPr>
      </w:pPr>
      <w:r>
        <w:rPr>
          <w:rFonts w:hAnsi="宋体"/>
          <w:snapToGrid w:val="0"/>
          <w:kern w:val="21"/>
          <w:szCs w:val="21"/>
        </w:rPr>
        <w:t>注：</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3 \* GB3 \* MERGEFORMAT </w:instrText>
      </w:r>
      <w:r>
        <w:rPr>
          <w:rFonts w:hAnsi="宋体"/>
          <w:snapToGrid w:val="0"/>
          <w:spacing w:val="-6"/>
          <w:kern w:val="21"/>
          <w:szCs w:val="21"/>
        </w:rPr>
        <w:fldChar w:fldCharType="separate"/>
      </w:r>
      <w:r>
        <w:rPr>
          <w:rFonts w:hint="eastAsia" w:hAnsi="宋体"/>
          <w:szCs w:val="21"/>
        </w:rPr>
        <w:t>③</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4 \* GB3 \* MERGEFORMAT </w:instrText>
      </w:r>
      <w:r>
        <w:rPr>
          <w:rFonts w:hAnsi="宋体"/>
          <w:snapToGrid w:val="0"/>
          <w:spacing w:val="-6"/>
          <w:kern w:val="21"/>
          <w:szCs w:val="21"/>
        </w:rPr>
        <w:fldChar w:fldCharType="separate"/>
      </w:r>
      <w:r>
        <w:rPr>
          <w:rFonts w:hint="eastAsia" w:hAnsi="宋体"/>
          <w:szCs w:val="21"/>
        </w:rPr>
        <w:t>④</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5 \* GB3 \* MERGEFORMAT </w:instrText>
      </w:r>
      <w:r>
        <w:rPr>
          <w:rFonts w:hAnsi="宋体"/>
          <w:snapToGrid w:val="0"/>
          <w:spacing w:val="-16"/>
          <w:kern w:val="21"/>
          <w:szCs w:val="21"/>
        </w:rPr>
        <w:fldChar w:fldCharType="separate"/>
      </w:r>
      <w:r>
        <w:rPr>
          <w:rFonts w:hint="eastAsia" w:hAnsi="宋体"/>
          <w:szCs w:val="21"/>
        </w:rPr>
        <w:t>⑤</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7 \* GB3 \* MERGEFORMAT </w:instrText>
      </w:r>
      <w:r>
        <w:rPr>
          <w:rFonts w:hAnsi="宋体"/>
          <w:snapToGrid w:val="0"/>
          <w:spacing w:val="-6"/>
          <w:kern w:val="21"/>
          <w:szCs w:val="21"/>
        </w:rPr>
        <w:fldChar w:fldCharType="separate"/>
      </w:r>
      <w:r>
        <w:rPr>
          <w:rFonts w:hint="eastAsia" w:hAnsi="宋体"/>
          <w:szCs w:val="21"/>
        </w:rPr>
        <w:t>⑦</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p>
    <w:p>
      <w:pPr>
        <w:pStyle w:val="39"/>
        <w:bidi w:val="0"/>
        <w:jc w:val="both"/>
        <w:rPr>
          <w:rFonts w:hint="eastAsia"/>
          <w:color w:val="000000" w:themeColor="text1"/>
          <w:sz w:val="32"/>
          <w:szCs w:val="32"/>
          <w:highlight w:val="none"/>
          <w:lang w:val="en-US" w:eastAsia="zh-CN"/>
          <w14:textFill>
            <w14:solidFill>
              <w14:schemeClr w14:val="tx1"/>
            </w14:solidFill>
          </w14:textFill>
        </w:rPr>
      </w:pPr>
    </w:p>
    <w:p>
      <w:pPr>
        <w:rPr>
          <w:rFonts w:hint="eastAsia"/>
          <w:lang w:val="en-US" w:eastAsia="zh-CN"/>
        </w:rPr>
      </w:pPr>
    </w:p>
    <w:p>
      <w:pPr>
        <w:pStyle w:val="22"/>
        <w:ind w:left="0" w:leftChars="0" w:firstLine="0" w:firstLineChars="0"/>
        <w:rPr>
          <w:rFonts w:hint="default"/>
          <w:color w:val="000000" w:themeColor="text1"/>
          <w:highlight w:val="none"/>
          <w:lang w:val="en-US" w:eastAsia="zh-CN"/>
          <w14:textFill>
            <w14:solidFill>
              <w14:schemeClr w14:val="tx1"/>
            </w14:solidFill>
          </w14:textFill>
        </w:rPr>
      </w:pPr>
    </w:p>
    <w:sectPr>
      <w:pgSz w:w="16838" w:h="11906" w:orient="landscape"/>
      <w:pgMar w:top="1417" w:right="1417" w:bottom="1417" w:left="1417" w:header="851" w:footer="992" w:gutter="0"/>
      <w:pgBorders>
        <w:top w:val="none" w:color="auto" w:sz="0" w:space="0"/>
        <w:left w:val="none" w:color="auto" w:sz="0" w:space="0"/>
        <w:bottom w:val="none" w:color="auto" w:sz="0" w:space="0"/>
        <w:right w:val="none" w:color="auto" w:sz="0" w:space="0"/>
      </w:pgBorders>
      <w:pgNumType w:fmt="decimal"/>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fan" w:date="2024-01-22T17:09:00Z" w:initials="">
    <w:p w14:paraId="4898F028" w14:textId="77777777" w14:rsidR="009C144F" w14:rsidRDefault="009C144F">
      <w:pPr>
        <w:pStyle w:val="19"/>
        <w:rPr>
          <w:rFonts w:hint="default" w:eastAsia="宋体"/>
          <w:lang w:val="en-US" w:eastAsia="zh-CN"/>
        </w:rPr>
      </w:pPr>
      <w:r>
        <w:rPr>
          <w:rFonts w:hint="eastAsia"/>
          <w:lang w:val="en-US" w:eastAsia="zh-CN"/>
        </w:rPr>
        <w:t>看看备案和租赁协议，厂房到底是新建还已经建设好的</w:t>
      </w:r>
    </w:p>
  </w:comment>
  <w:comment w:id="1" w:author="渊" w:date="2024-01-23T12:48:00Z" w:initials="">
    <w:p w14:paraId="74FFB401" w14:textId="77777777" w14:rsidR="009C144F" w14:rsidRDefault="009C144F">
      <w:pPr>
        <w:pStyle w:val="19"/>
        <w:rPr>
          <w:rFonts w:hint="default" w:eastAsia="宋体"/>
          <w:lang w:val="en-US" w:eastAsia="zh-CN"/>
        </w:rPr>
      </w:pPr>
      <w:r>
        <w:rPr>
          <w:rFonts w:hint="eastAsia"/>
          <w:lang w:val="en-US" w:eastAsia="zh-CN"/>
        </w:rPr>
        <w:t>还未建设 由飞松机械建设</w:t>
      </w:r>
    </w:p>
  </w:comment>
  <w:comment w:id="2" w:author="fan" w:date="2024-01-22T17:16:00Z" w:initials="">
    <w:p w14:paraId="46DBCC66" w14:textId="77777777" w14:rsidR="009C144F" w14:rsidRDefault="009C144F">
      <w:pPr>
        <w:pStyle w:val="19"/>
        <w:rPr>
          <w:rFonts w:hint="default" w:eastAsia="宋体"/>
          <w:lang w:val="en-US" w:eastAsia="zh-CN"/>
        </w:rPr>
      </w:pPr>
      <w:r>
        <w:rPr>
          <w:rFonts w:hint="eastAsia"/>
          <w:lang w:val="en-US" w:eastAsia="zh-CN"/>
        </w:rPr>
        <w:t>补充规划图，项目的工业用地后面的附图看不出来。</w:t>
      </w:r>
    </w:p>
  </w:comment>
  <w:comment w:id="3" w:author="渊" w:date="2024-01-23T13:13:00Z" w:initials="">
    <w:p w14:paraId="1F74D7E0" w14:textId="77777777" w14:rsidR="009C144F" w14:rsidRDefault="009C144F">
      <w:pPr>
        <w:pStyle w:val="19"/>
        <w:rPr>
          <w:rFonts w:hint="eastAsia" w:eastAsia="宋体"/>
          <w:lang w:val="en-US" w:eastAsia="zh-CN"/>
        </w:rPr>
      </w:pPr>
      <w:r>
        <w:rPr>
          <w:rFonts w:hint="eastAsia"/>
          <w:lang w:val="en-US" w:eastAsia="zh-CN"/>
        </w:rPr>
        <w:t>已修改</w:t>
      </w:r>
    </w:p>
  </w:comment>
  <w:comment w:id="4" w:author="fan" w:date="2024-01-22T17:10:00Z" w:initials="">
    <w:p w14:paraId="4ACF293A" w14:textId="77777777" w14:rsidR="009C144F" w14:rsidRDefault="009C144F">
      <w:pPr>
        <w:pStyle w:val="19"/>
        <w:rPr>
          <w:rFonts w:hint="default" w:eastAsia="宋体"/>
          <w:lang w:val="en-US" w:eastAsia="zh-CN"/>
        </w:rPr>
      </w:pPr>
      <w:r>
        <w:rPr>
          <w:rFonts w:hint="eastAsia"/>
          <w:lang w:val="en-US" w:eastAsia="zh-CN"/>
        </w:rPr>
        <w:t>看看可有跟踪评价。</w:t>
      </w:r>
    </w:p>
  </w:comment>
  <w:comment w:id="5" w:author="渊" w:date="2024-01-23T13:25:00Z" w:initials="">
    <w:p w14:paraId="7D40A0ED" w14:textId="77777777" w14:rsidR="009C144F" w14:rsidRDefault="009C144F">
      <w:pPr>
        <w:pStyle w:val="19"/>
        <w:rPr>
          <w:rFonts w:hint="default" w:eastAsia="宋体"/>
          <w:lang w:val="en-US" w:eastAsia="zh-CN"/>
        </w:rPr>
      </w:pPr>
      <w:r>
        <w:rPr>
          <w:rFonts w:hint="eastAsia"/>
          <w:lang w:val="en-US" w:eastAsia="zh-CN"/>
        </w:rPr>
        <w:t>已添加</w:t>
      </w:r>
    </w:p>
  </w:comment>
  <w:comment w:id="6" w:author="fan" w:date="2024-01-22T17:12:00Z" w:initials="">
    <w:p w14:paraId="179BE727" w14:textId="77777777" w14:rsidR="009C144F" w14:rsidRDefault="009C144F">
      <w:pPr>
        <w:pStyle w:val="19"/>
        <w:rPr>
          <w:rFonts w:hint="default" w:eastAsia="宋体"/>
          <w:lang w:val="en-US" w:eastAsia="zh-CN"/>
        </w:rPr>
      </w:pPr>
      <w:r>
        <w:rPr>
          <w:rFonts w:hint="eastAsia"/>
          <w:lang w:val="en-US" w:eastAsia="zh-CN"/>
        </w:rPr>
        <w:t>环境空气是达标区还是不达标区</w:t>
      </w:r>
    </w:p>
  </w:comment>
  <w:comment w:id="7" w:author="渊" w:date="2024-01-23T13:27:00Z" w:initials="">
    <w:p w14:paraId="6686BE38" w14:textId="77777777" w14:rsidR="009C144F" w14:rsidRDefault="009C144F">
      <w:pPr>
        <w:pStyle w:val="19"/>
        <w:rPr>
          <w:rFonts w:hint="eastAsia" w:eastAsia="宋体"/>
          <w:lang w:val="en-US" w:eastAsia="zh-CN"/>
        </w:rPr>
      </w:pPr>
      <w:r>
        <w:rPr>
          <w:rFonts w:hint="eastAsia"/>
          <w:lang w:val="en-US" w:eastAsia="zh-CN"/>
        </w:rPr>
        <w:t>已修改</w:t>
      </w:r>
    </w:p>
  </w:comment>
  <w:comment w:id="8" w:author="fan" w:date="2024-01-22T17:13:00Z" w:initials="">
    <w:p w14:paraId="4C90BA74" w14:textId="77777777" w14:rsidR="009C144F" w14:rsidRDefault="009C144F">
      <w:pPr>
        <w:pStyle w:val="19"/>
        <w:rPr>
          <w:rFonts w:hint="default"/>
          <w:lang w:val="en-US"/>
        </w:rPr>
      </w:pPr>
      <w:r>
        <w:rPr>
          <w:rFonts w:hint="eastAsia" w:cs="Times New Roman"/>
          <w:color w:val="auto"/>
          <w:sz w:val="24"/>
          <w:highlight w:val="none"/>
          <w:lang w:val="en-US" w:eastAsia="zh-CN"/>
        </w:rPr>
        <w:t>闫河的水质达不达标</w:t>
      </w:r>
    </w:p>
  </w:comment>
  <w:comment w:id="9" w:author="渊" w:date="2024-01-23T14:39:00Z" w:initials="">
    <w:p w14:paraId="2EF825AD" w14:textId="77777777" w14:rsidR="009C144F" w14:rsidRDefault="009C144F">
      <w:pPr>
        <w:pStyle w:val="19"/>
        <w:rPr>
          <w:rFonts w:hint="eastAsia" w:eastAsia="宋体"/>
          <w:lang w:val="en-US" w:eastAsia="zh-CN"/>
        </w:rPr>
      </w:pPr>
      <w:r>
        <w:rPr>
          <w:rFonts w:hint="eastAsia"/>
          <w:lang w:val="en-US" w:eastAsia="zh-CN"/>
        </w:rPr>
        <w:t>已修改</w:t>
      </w:r>
    </w:p>
  </w:comment>
  <w:comment w:id="10" w:author="fan" w:date="2024-01-22T17:13:00Z" w:initials="">
    <w:p w14:paraId="1808ED90" w14:textId="77777777" w14:rsidR="009C144F" w14:rsidRDefault="009C144F">
      <w:pPr>
        <w:pStyle w:val="19"/>
        <w:rPr>
          <w:rFonts w:hint="default" w:eastAsia="宋体"/>
          <w:lang w:val="en-US" w:eastAsia="zh-CN"/>
        </w:rPr>
      </w:pPr>
      <w:r>
        <w:rPr>
          <w:rFonts w:hint="eastAsia"/>
          <w:lang w:val="en-US" w:eastAsia="zh-CN"/>
        </w:rPr>
        <w:t>核实，在开发区噪声是2类区还是3类区</w:t>
      </w:r>
    </w:p>
  </w:comment>
  <w:comment w:id="11" w:author="渊" w:date="2024-01-23T13:29:00Z" w:initials="">
    <w:p w14:paraId="54C500E0" w14:textId="77777777" w14:rsidR="009C144F" w14:rsidRDefault="009C144F">
      <w:pPr>
        <w:pStyle w:val="19"/>
        <w:rPr>
          <w:rFonts w:hint="default" w:eastAsia="宋体"/>
          <w:lang w:val="en-US" w:eastAsia="zh-CN"/>
        </w:rPr>
      </w:pPr>
      <w:r>
        <w:rPr>
          <w:rFonts w:hint="eastAsia"/>
          <w:lang w:val="en-US" w:eastAsia="zh-CN"/>
        </w:rPr>
        <w:t>已核实</w:t>
      </w:r>
    </w:p>
  </w:comment>
  <w:comment w:id="12" w:author="fan" w:date="2024-01-22T17:14:00Z" w:initials="">
    <w:p w14:paraId="17D032CA" w14:textId="77777777" w14:rsidR="009C144F" w14:rsidRDefault="009C144F">
      <w:pPr>
        <w:pStyle w:val="19"/>
        <w:rPr>
          <w:rFonts w:hint="default" w:eastAsia="宋体"/>
          <w:lang w:val="en-US" w:eastAsia="zh-CN"/>
        </w:rPr>
      </w:pPr>
      <w:r>
        <w:rPr>
          <w:rFonts w:hint="eastAsia"/>
          <w:lang w:val="en-US" w:eastAsia="zh-CN"/>
        </w:rPr>
        <w:t>补充三区三线和三线一单分区管控的要求</w:t>
      </w:r>
    </w:p>
  </w:comment>
  <w:comment w:id="13" w:author="渊" w:date="2024-01-23T15:37:00Z" w:initials="">
    <w:p w14:paraId="0774201A" w14:textId="77777777" w14:rsidR="009C144F" w14:rsidRDefault="009C144F">
      <w:pPr>
        <w:pStyle w:val="19"/>
        <w:rPr>
          <w:rFonts w:hint="eastAsia" w:eastAsia="宋体"/>
          <w:lang w:val="en-US" w:eastAsia="zh-CN"/>
        </w:rPr>
      </w:pPr>
      <w:r>
        <w:rPr>
          <w:rFonts w:hint="eastAsia"/>
          <w:lang w:val="en-US" w:eastAsia="zh-CN"/>
        </w:rPr>
        <w:t>已添加</w:t>
      </w:r>
    </w:p>
  </w:comment>
  <w:comment w:id="14" w:author="fan" w:date="2024-01-22T17:21:00Z" w:initials="">
    <w:p w14:paraId="26848E33" w14:textId="77777777" w14:rsidR="009C144F" w14:rsidRDefault="009C144F">
      <w:pPr>
        <w:pStyle w:val="19"/>
        <w:rPr>
          <w:rFonts w:hint="default" w:eastAsia="宋体"/>
          <w:lang w:val="en-US" w:eastAsia="zh-CN"/>
        </w:rPr>
      </w:pPr>
      <w:r>
        <w:rPr>
          <w:rFonts w:hint="eastAsia"/>
          <w:lang w:val="en-US" w:eastAsia="zh-CN"/>
        </w:rPr>
        <w:t>要附上规划图</w:t>
      </w:r>
    </w:p>
  </w:comment>
  <w:comment w:id="15" w:author="渊" w:date="2024-01-23T14:39:00Z" w:initials="">
    <w:p w14:paraId="367C6327" w14:textId="77777777" w14:rsidR="009C144F" w14:rsidRDefault="009C144F">
      <w:pPr>
        <w:pStyle w:val="19"/>
        <w:rPr>
          <w:rFonts w:hint="eastAsia" w:eastAsia="宋体"/>
          <w:lang w:val="en-US" w:eastAsia="zh-CN"/>
        </w:rPr>
      </w:pPr>
      <w:r>
        <w:rPr>
          <w:rFonts w:hint="eastAsia"/>
          <w:lang w:val="en-US" w:eastAsia="zh-CN"/>
        </w:rPr>
        <w:t>已添加</w:t>
      </w:r>
    </w:p>
  </w:comment>
  <w:comment w:id="16" w:author="fan" w:date="2024-01-22T17:23:00Z" w:initials="">
    <w:p w14:paraId="63620EF0" w14:textId="77777777" w14:rsidR="009C144F" w14:rsidRDefault="009C144F">
      <w:pPr>
        <w:pStyle w:val="19"/>
        <w:rPr>
          <w:rFonts w:hint="default" w:eastAsia="宋体"/>
          <w:lang w:val="en-US" w:eastAsia="zh-CN"/>
        </w:rPr>
      </w:pPr>
      <w:r>
        <w:rPr>
          <w:rFonts w:hint="eastAsia"/>
          <w:lang w:val="en-US" w:eastAsia="zh-CN"/>
        </w:rPr>
        <w:t>字体统一</w:t>
      </w:r>
    </w:p>
  </w:comment>
  <w:comment w:id="17" w:author="渊" w:date="2024-01-23T15:42:00Z" w:initials="">
    <w:p w14:paraId="005ABFC0" w14:textId="77777777" w14:rsidR="009C144F" w14:rsidRDefault="009C144F">
      <w:pPr>
        <w:pStyle w:val="19"/>
        <w:rPr>
          <w:rFonts w:hint="eastAsia" w:eastAsia="宋体"/>
          <w:lang w:val="en-US" w:eastAsia="zh-CN"/>
        </w:rPr>
      </w:pPr>
      <w:r>
        <w:rPr>
          <w:rFonts w:hint="eastAsia"/>
          <w:lang w:val="en-US" w:eastAsia="zh-CN"/>
        </w:rPr>
        <w:t>已修改</w:t>
      </w:r>
    </w:p>
  </w:comment>
  <w:comment w:id="18" w:author="fan" w:date="2024-01-22T17:26:00Z" w:initials="">
    <w:p w14:paraId="421CB460" w14:textId="77777777" w14:rsidR="009C144F" w14:rsidRDefault="009C144F">
      <w:pPr>
        <w:pStyle w:val="19"/>
        <w:rPr>
          <w:rFonts w:hint="default" w:eastAsia="宋体"/>
          <w:lang w:val="en-US" w:eastAsia="zh-CN"/>
        </w:rPr>
      </w:pPr>
      <w:r>
        <w:rPr>
          <w:rFonts w:hint="eastAsia"/>
          <w:lang w:val="en-US" w:eastAsia="zh-CN"/>
        </w:rPr>
        <w:t>核实，从平面布置图上看，厂区基本就是2个车间了，就16000m</w:t>
      </w:r>
      <w:r>
        <w:rPr>
          <w:rFonts w:hint="eastAsia"/>
          <w:vertAlign w:val="superscript"/>
          <w:lang w:val="en-US" w:eastAsia="zh-CN"/>
        </w:rPr>
        <w:t>2</w:t>
      </w:r>
    </w:p>
  </w:comment>
  <w:comment w:id="19" w:author="渊" w:date="2024-01-23T15:42:00Z" w:initials="">
    <w:p w14:paraId="2AE31DA2" w14:textId="77777777" w14:rsidR="009C144F" w14:rsidRDefault="009C144F">
      <w:pPr>
        <w:pStyle w:val="19"/>
        <w:rPr>
          <w:rFonts w:hint="eastAsia" w:eastAsia="宋体"/>
          <w:lang w:val="en-US" w:eastAsia="zh-CN"/>
        </w:rPr>
      </w:pPr>
      <w:r>
        <w:rPr>
          <w:rFonts w:hint="eastAsia"/>
          <w:lang w:val="en-US" w:eastAsia="zh-CN"/>
        </w:rPr>
        <w:t>已修改</w:t>
      </w:r>
    </w:p>
  </w:comment>
  <w:comment w:id="20" w:author="fan" w:date="2024-01-22T17:24:00Z" w:initials="">
    <w:p w14:paraId="286D5762" w14:textId="77777777" w14:rsidR="009C144F" w14:rsidRDefault="009C144F">
      <w:pPr>
        <w:pStyle w:val="19"/>
        <w:ind w:left="0" w:leftChars="0" w:firstLine="0" w:firstLineChars="0"/>
        <w:rPr>
          <w:rFonts w:hint="default" w:eastAsia="宋体"/>
          <w:lang w:val="en-US" w:eastAsia="zh-CN"/>
        </w:rPr>
      </w:pPr>
      <w:r>
        <w:rPr>
          <w:rFonts w:hint="eastAsia"/>
          <w:lang w:val="en-US" w:eastAsia="zh-CN"/>
        </w:rPr>
        <w:t>租赁协议上有厂房，核实下，到底哪些厂房是新建，哪些是租赁，厂房多高</w:t>
      </w:r>
    </w:p>
  </w:comment>
  <w:comment w:id="21" w:author="渊" w:date="2024-01-23T16:01:00Z" w:initials="">
    <w:p w14:paraId="37AB08AF" w14:textId="77777777" w14:rsidR="009C144F" w14:rsidRDefault="009C144F">
      <w:pPr>
        <w:pStyle w:val="19"/>
        <w:rPr>
          <w:rFonts w:hint="eastAsia" w:eastAsia="宋体"/>
          <w:lang w:val="en-US" w:eastAsia="zh-CN"/>
        </w:rPr>
      </w:pPr>
      <w:r>
        <w:rPr>
          <w:rFonts w:hint="eastAsia"/>
          <w:lang w:val="en-US" w:eastAsia="zh-CN"/>
        </w:rPr>
        <w:t>已修改</w:t>
      </w:r>
    </w:p>
  </w:comment>
  <w:comment w:id="22" w:author="fan" w:date="2024-01-22T17:26:00Z" w:initials="">
    <w:p w14:paraId="184793F0" w14:textId="77777777" w14:rsidR="009C144F" w14:rsidRDefault="009C144F">
      <w:pPr>
        <w:pStyle w:val="19"/>
        <w:rPr>
          <w:rFonts w:hint="default" w:eastAsia="宋体"/>
          <w:lang w:val="en-US" w:eastAsia="zh-CN"/>
        </w:rPr>
      </w:pPr>
      <w:r>
        <w:rPr>
          <w:rFonts w:hint="eastAsia"/>
          <w:lang w:val="en-US" w:eastAsia="zh-CN"/>
        </w:rPr>
        <w:t>核实，和</w:t>
      </w:r>
      <w:r>
        <w:rPr>
          <w:rFonts w:hint="eastAsia"/>
          <w:color w:val="000000" w:themeColor="text1"/>
          <w:highlight w:val="none"/>
          <w:lang w:eastAsia="zh-CN"/>
          <w14:textFill>
            <w14:solidFill>
              <w14:schemeClr w14:val="tx1"/>
            </w14:solidFill>
          </w14:textFill>
        </w:rPr>
        <w:t>路面彩砖</w:t>
      </w:r>
      <w:r>
        <w:rPr>
          <w:rFonts w:hint="eastAsia"/>
          <w:color w:val="000000" w:themeColor="text1"/>
          <w:highlight w:val="none"/>
          <w:lang w:val="en-US" w:eastAsia="zh-CN"/>
          <w14:textFill>
            <w14:solidFill>
              <w14:schemeClr w14:val="tx1"/>
            </w14:solidFill>
          </w14:textFill>
        </w:rPr>
        <w:t>有什么关系。</w:t>
      </w:r>
    </w:p>
  </w:comment>
  <w:comment w:id="23" w:author="渊" w:date="2024-01-23T16:05:00Z" w:initials="">
    <w:p w14:paraId="4973D908" w14:textId="77777777" w14:rsidR="009C144F" w14:rsidRDefault="009C144F">
      <w:pPr>
        <w:pStyle w:val="19"/>
        <w:rPr>
          <w:rFonts w:hint="eastAsia" w:eastAsia="宋体"/>
          <w:lang w:val="en-US" w:eastAsia="zh-CN"/>
        </w:rPr>
      </w:pPr>
      <w:r>
        <w:rPr>
          <w:rFonts w:hint="eastAsia"/>
          <w:lang w:val="en-US" w:eastAsia="zh-CN"/>
        </w:rPr>
        <w:t>已核实</w:t>
      </w:r>
    </w:p>
  </w:comment>
  <w:comment w:id="24" w:author="fan" w:date="2024-01-22T17:32:00Z" w:initials="">
    <w:p w14:paraId="16CF354F" w14:textId="77777777" w14:rsidR="009C144F" w14:rsidRDefault="009C144F">
      <w:pPr>
        <w:pStyle w:val="19"/>
        <w:rPr>
          <w:rFonts w:hint="default" w:eastAsia="宋体"/>
          <w:lang w:val="en-US" w:eastAsia="zh-CN"/>
        </w:rPr>
      </w:pPr>
      <w:r>
        <w:rPr>
          <w:rFonts w:hint="eastAsia"/>
          <w:lang w:val="en-US" w:eastAsia="zh-CN"/>
        </w:rPr>
        <w:t>包装方式是什么？</w:t>
      </w:r>
    </w:p>
  </w:comment>
  <w:comment w:id="25" w:author="渊" w:date="2024-01-23T17:47:00Z" w:initials="">
    <w:p w14:paraId="180E17E3" w14:textId="77777777" w14:rsidR="009C144F" w14:rsidRDefault="009C144F">
      <w:pPr>
        <w:pStyle w:val="19"/>
        <w:rPr>
          <w:rFonts w:hint="eastAsia" w:eastAsia="宋体"/>
          <w:lang w:val="en-US" w:eastAsia="zh-CN"/>
        </w:rPr>
      </w:pPr>
      <w:r>
        <w:rPr>
          <w:rFonts w:hint="eastAsia"/>
          <w:lang w:val="en-US" w:eastAsia="zh-CN"/>
        </w:rPr>
        <w:t>已修改</w:t>
      </w:r>
    </w:p>
  </w:comment>
  <w:comment w:id="26" w:author="fan" w:date="2024-01-22T17:36:00Z" w:initials="">
    <w:p w14:paraId="7D2B2E7A" w14:textId="77777777" w14:rsidR="009C144F" w14:rsidRDefault="009C144F">
      <w:pPr>
        <w:pStyle w:val="19"/>
        <w:rPr>
          <w:rFonts w:hint="default" w:eastAsia="宋体"/>
          <w:lang w:val="en-US" w:eastAsia="zh-CN"/>
        </w:rPr>
      </w:pPr>
      <w:r>
        <w:rPr>
          <w:rFonts w:hint="eastAsia"/>
          <w:lang w:val="en-US" w:eastAsia="zh-CN"/>
        </w:rPr>
        <w:t>所有车辆的生产工艺都是一样的吗？</w:t>
      </w:r>
    </w:p>
  </w:comment>
  <w:comment w:id="27" w:author="渊" w:date="2024-01-23T16:14:00Z" w:initials="">
    <w:p w14:paraId="26C6BA0C" w14:textId="77777777" w14:rsidR="009C144F" w14:rsidRDefault="009C144F">
      <w:pPr>
        <w:pStyle w:val="19"/>
        <w:rPr>
          <w:rFonts w:hint="default" w:eastAsia="宋体"/>
          <w:lang w:val="en-US" w:eastAsia="zh-CN"/>
        </w:rPr>
      </w:pPr>
      <w:r>
        <w:rPr>
          <w:rFonts w:hint="eastAsia"/>
          <w:lang w:val="en-US" w:eastAsia="zh-CN"/>
        </w:rPr>
        <w:t>是的 主要就是生产罐体和车外组件</w:t>
      </w:r>
    </w:p>
  </w:comment>
  <w:comment w:id="28" w:author="fan" w:date="2024-01-22T17:40:00Z" w:initials="">
    <w:p w14:paraId="5EF49E97" w14:textId="77777777" w14:rsidR="009C144F" w14:rsidRDefault="009C144F">
      <w:pPr>
        <w:pStyle w:val="19"/>
        <w:rPr>
          <w:rFonts w:hint="default" w:eastAsia="宋体"/>
          <w:lang w:val="en-US" w:eastAsia="zh-CN"/>
        </w:rPr>
      </w:pPr>
      <w:r>
        <w:rPr>
          <w:rFonts w:hint="eastAsia"/>
          <w:lang w:val="en-US" w:eastAsia="zh-CN"/>
        </w:rPr>
        <w:t>达标区的判断</w:t>
      </w:r>
    </w:p>
  </w:comment>
  <w:comment w:id="29" w:author="渊" w:date="2024-01-23T18:07:00Z" w:initials="">
    <w:p w14:paraId="7818956D" w14:textId="77777777" w14:rsidR="009C144F" w14:rsidRDefault="009C144F">
      <w:pPr>
        <w:pStyle w:val="19"/>
        <w:rPr>
          <w:rFonts w:hint="eastAsia" w:eastAsia="宋体"/>
          <w:lang w:val="en-US" w:eastAsia="zh-CN"/>
        </w:rPr>
      </w:pPr>
      <w:r>
        <w:rPr>
          <w:rFonts w:hint="eastAsia"/>
          <w:lang w:val="en-US" w:eastAsia="zh-CN"/>
        </w:rPr>
        <w:t>已添加</w:t>
      </w:r>
    </w:p>
  </w:comment>
  <w:comment w:id="30" w:author="fan" w:date="2024-01-22T17:41:00Z" w:initials="">
    <w:p w14:paraId="46FC28FD" w14:textId="77777777" w14:rsidR="009C144F" w14:rsidRDefault="009C144F">
      <w:pPr>
        <w:pStyle w:val="19"/>
        <w:rPr>
          <w:rFonts w:hint="default" w:eastAsia="宋体"/>
          <w:lang w:val="en-US" w:eastAsia="zh-CN"/>
        </w:rPr>
      </w:pPr>
      <w:r>
        <w:rPr>
          <w:rFonts w:hint="eastAsia"/>
          <w:lang w:val="en-US" w:eastAsia="zh-CN"/>
        </w:rPr>
        <w:t>引用的地点离本项目的距离是多少</w:t>
      </w:r>
    </w:p>
  </w:comment>
  <w:comment w:id="31" w:author="渊" w:date="2024-01-23T18:14:00Z" w:initials="">
    <w:p w14:paraId="11D55E64" w14:textId="77777777" w14:rsidR="009C144F" w14:rsidRDefault="009C144F">
      <w:pPr>
        <w:pStyle w:val="19"/>
        <w:rPr>
          <w:rFonts w:hint="eastAsia" w:eastAsia="宋体"/>
          <w:lang w:val="en-US" w:eastAsia="zh-CN"/>
        </w:rPr>
      </w:pPr>
      <w:r>
        <w:rPr>
          <w:rFonts w:hint="eastAsia"/>
          <w:lang w:val="en-US" w:eastAsia="zh-CN"/>
        </w:rPr>
        <w:t>已添加</w:t>
      </w:r>
    </w:p>
  </w:comment>
  <w:comment w:id="32" w:author="fan" w:date="2024-01-22T17:42:00Z" w:initials="">
    <w:p w14:paraId="0EA67B58" w14:textId="77777777" w14:rsidR="009C144F" w14:rsidRDefault="009C144F">
      <w:pPr>
        <w:pStyle w:val="19"/>
        <w:rPr>
          <w:rFonts w:hint="default" w:eastAsia="宋体"/>
          <w:lang w:val="en-US" w:eastAsia="zh-CN"/>
        </w:rPr>
      </w:pPr>
      <w:r>
        <w:rPr>
          <w:rFonts w:hint="eastAsia"/>
          <w:lang w:val="en-US" w:eastAsia="zh-CN"/>
        </w:rPr>
        <w:t>项目涉及的地表水呢</w:t>
      </w:r>
    </w:p>
  </w:comment>
  <w:comment w:id="33" w:author="渊" w:date="2024-01-23T18:16:00Z" w:initials="">
    <w:p w14:paraId="0525A8EB" w14:textId="77777777" w14:rsidR="009C144F" w14:rsidRDefault="009C144F">
      <w:pPr>
        <w:pStyle w:val="19"/>
        <w:rPr>
          <w:rFonts w:hint="eastAsia" w:eastAsia="宋体"/>
          <w:lang w:val="en-US" w:eastAsia="zh-CN"/>
        </w:rPr>
      </w:pPr>
      <w:r>
        <w:rPr>
          <w:rFonts w:hint="eastAsia"/>
          <w:lang w:val="en-US" w:eastAsia="zh-CN"/>
        </w:rPr>
        <w:t>已修改</w:t>
      </w:r>
    </w:p>
  </w:comment>
  <w:comment w:id="34" w:author="渊" w:date="2024-01-23T18:27:00Z" w:initials="">
    <w:p w14:paraId="38AE0A65" w14:textId="77777777" w14:rsidR="009C144F" w14:rsidRDefault="009C144F">
      <w:pPr>
        <w:pStyle w:val="19"/>
        <w:rPr>
          <w:rFonts w:hint="eastAsia" w:eastAsia="宋体"/>
          <w:lang w:val="en-US" w:eastAsia="zh-CN"/>
        </w:rPr>
      </w:pPr>
      <w:r>
        <w:rPr>
          <w:rFonts w:hint="eastAsia"/>
          <w:lang w:val="en-US" w:eastAsia="zh-CN"/>
        </w:rPr>
        <w:t>已修改</w:t>
      </w:r>
    </w:p>
  </w:comment>
  <w:comment w:id="35" w:author="fan" w:date="2024-01-22T17:43:00Z" w:initials="">
    <w:p w14:paraId="6B91BBC5" w14:textId="77777777" w14:rsidR="009C144F" w14:rsidRDefault="009C144F">
      <w:pPr>
        <w:pStyle w:val="19"/>
        <w:rPr>
          <w:rFonts w:hint="eastAsia" w:eastAsia="宋体"/>
          <w:lang w:val="en-US" w:eastAsia="zh-CN"/>
        </w:rPr>
      </w:pPr>
      <w:r>
        <w:rPr>
          <w:rFonts w:hint="eastAsia"/>
          <w:lang w:val="en-US" w:eastAsia="zh-CN"/>
        </w:rPr>
        <w:t>核实</w:t>
      </w:r>
    </w:p>
  </w:comment>
  <w:comment w:id="36" w:author="渊" w:date="2024-01-23T15:39:00Z" w:initials="">
    <w:p w14:paraId="45D9DFDA" w14:textId="77777777" w14:rsidR="009C144F" w14:rsidRDefault="009C144F">
      <w:pPr>
        <w:pStyle w:val="19"/>
        <w:rPr>
          <w:rFonts w:hint="eastAsia" w:eastAsia="宋体"/>
          <w:lang w:val="en-US" w:eastAsia="zh-CN"/>
        </w:rPr>
      </w:pPr>
      <w:r>
        <w:rPr>
          <w:rFonts w:hint="eastAsia"/>
          <w:lang w:val="en-US" w:eastAsia="zh-CN"/>
        </w:rPr>
        <w:t>已核实</w:t>
      </w:r>
    </w:p>
  </w:comment>
  <w:comment w:id="37" w:author="fan" w:date="2024-01-22T17:43:00Z" w:initials="">
    <w:p w14:paraId="2EDD091C" w14:textId="77777777" w14:rsidR="009C144F" w14:rsidRDefault="009C144F">
      <w:pPr>
        <w:pStyle w:val="19"/>
        <w:rPr>
          <w:rFonts w:hint="default" w:eastAsia="宋体"/>
          <w:lang w:val="en-US" w:eastAsia="zh-CN"/>
        </w:rPr>
      </w:pPr>
      <w:r>
        <w:rPr>
          <w:rFonts w:hint="eastAsia"/>
          <w:lang w:val="en-US" w:eastAsia="zh-CN"/>
        </w:rPr>
        <w:t>到底是什么情况</w:t>
      </w:r>
    </w:p>
  </w:comment>
  <w:comment w:id="38" w:author="渊" w:date="2024-01-23T18:28:00Z" w:initials="">
    <w:p w14:paraId="0E4E417C" w14:textId="77777777" w14:rsidR="009C144F" w14:rsidRDefault="009C144F">
      <w:pPr>
        <w:pStyle w:val="19"/>
        <w:rPr>
          <w:rFonts w:hint="eastAsia" w:eastAsia="宋体"/>
          <w:lang w:val="en-US" w:eastAsia="zh-CN"/>
        </w:rPr>
      </w:pPr>
      <w:r>
        <w:rPr>
          <w:rFonts w:hint="eastAsia"/>
          <w:lang w:val="en-US" w:eastAsia="zh-CN"/>
        </w:rPr>
        <w:t>已修改</w:t>
      </w:r>
    </w:p>
  </w:comment>
  <w:comment w:id="39" w:author="fan" w:date="2024-01-22T17:45:00Z" w:initials="">
    <w:p w14:paraId="6165B4A7" w14:textId="77777777" w14:rsidR="009C144F" w14:rsidRDefault="009C144F">
      <w:pPr>
        <w:pStyle w:val="19"/>
        <w:rPr>
          <w:rFonts w:hint="default" w:eastAsia="宋体"/>
          <w:lang w:val="en-US" w:eastAsia="zh-CN"/>
        </w:rPr>
      </w:pPr>
      <w:r>
        <w:rPr>
          <w:rFonts w:hint="eastAsia"/>
          <w:lang w:val="en-US" w:eastAsia="zh-CN"/>
        </w:rPr>
        <w:t>除尘效率按照95%吧。不然后面的浓度有点低了</w:t>
      </w:r>
    </w:p>
  </w:comment>
  <w:comment w:id="40" w:author="渊" w:date="2024-01-23T18:30:00Z" w:initials="">
    <w:p w14:paraId="31327552" w14:textId="77777777" w14:rsidR="009C144F" w14:rsidRDefault="009C144F">
      <w:pPr>
        <w:pStyle w:val="19"/>
        <w:rPr>
          <w:rFonts w:hint="eastAsia" w:eastAsia="宋体"/>
          <w:lang w:val="en-US" w:eastAsia="zh-CN"/>
        </w:rPr>
      </w:pPr>
      <w:r>
        <w:rPr>
          <w:rFonts w:hint="eastAsia"/>
          <w:lang w:val="en-US" w:eastAsia="zh-CN"/>
        </w:rPr>
        <w:t>已修改</w:t>
      </w:r>
    </w:p>
  </w:comment>
  <w:comment w:id="41" w:author="fan" w:date="2024-01-22T17:48:00Z" w:initials="">
    <w:p w14:paraId="0E3AC49D" w14:textId="77777777" w14:rsidR="009C144F" w14:rsidRDefault="009C144F">
      <w:pPr>
        <w:pStyle w:val="19"/>
        <w:rPr>
          <w:rFonts w:hint="default" w:eastAsia="宋体"/>
          <w:lang w:val="en-US" w:eastAsia="zh-CN"/>
        </w:rPr>
      </w:pPr>
      <w:r>
        <w:rPr>
          <w:rFonts w:hint="eastAsia"/>
          <w:lang w:val="en-US" w:eastAsia="zh-CN"/>
        </w:rPr>
        <w:t>设置了几个打磨工位啊</w:t>
      </w:r>
    </w:p>
  </w:comment>
  <w:comment w:id="42" w:author="渊" w:date="2024-01-23T18:36:00Z" w:initials="">
    <w:p w14:paraId="5187DA00" w14:textId="77777777" w14:rsidR="009C144F" w14:rsidRDefault="009C144F">
      <w:pPr>
        <w:pStyle w:val="19"/>
        <w:rPr>
          <w:rFonts w:hint="eastAsia" w:eastAsia="宋体"/>
          <w:lang w:val="en-US" w:eastAsia="zh-CN"/>
        </w:rPr>
      </w:pPr>
      <w:r>
        <w:rPr>
          <w:rFonts w:hint="eastAsia"/>
          <w:lang w:val="en-US" w:eastAsia="zh-CN"/>
        </w:rPr>
        <w:t>已修改</w:t>
      </w:r>
    </w:p>
  </w:comment>
  <w:comment w:id="43" w:author="渊" w:date="2024-01-23T18:45:00Z" w:initials="">
    <w:p w14:paraId="7B82EA18" w14:textId="77777777" w14:rsidR="009C144F" w14:rsidRDefault="009C144F">
      <w:pPr>
        <w:pStyle w:val="19"/>
        <w:rPr>
          <w:rFonts w:hint="default" w:eastAsia="宋体"/>
          <w:lang w:val="en-US" w:eastAsia="zh-CN"/>
        </w:rPr>
      </w:pPr>
      <w:r>
        <w:rPr>
          <w:rFonts w:hint="eastAsia"/>
          <w:lang w:val="en-US" w:eastAsia="zh-CN"/>
        </w:rPr>
        <w:t>已修改</w:t>
      </w:r>
    </w:p>
  </w:comment>
  <w:comment w:id="44" w:author="渊" w:date="2024-01-23T18:57:00Z" w:initials="">
    <w:p w14:paraId="03A27DCD" w14:textId="77777777" w14:rsidR="009C144F" w14:rsidRDefault="009C144F">
      <w:pPr>
        <w:pStyle w:val="19"/>
        <w:rPr>
          <w:rFonts w:hint="eastAsia" w:eastAsia="宋体"/>
          <w:lang w:val="en-US" w:eastAsia="zh-CN"/>
        </w:rPr>
      </w:pPr>
      <w:r>
        <w:rPr>
          <w:rFonts w:hint="eastAsia"/>
          <w:lang w:val="en-US" w:eastAsia="zh-CN"/>
        </w:rPr>
        <w:t>已修改</w:t>
      </w:r>
    </w:p>
  </w:comment>
  <w:comment w:id="45" w:author="fan" w:date="2024-01-22T17:51:00Z" w:initials="">
    <w:p w14:paraId="024B24FA" w14:textId="77777777" w14:rsidR="009C144F" w14:rsidRDefault="009C144F">
      <w:pPr>
        <w:pStyle w:val="19"/>
        <w:rPr>
          <w:rFonts w:hint="default"/>
          <w:lang w:val="en-US"/>
        </w:rPr>
      </w:pPr>
      <w:r>
        <w:rPr>
          <w:rFonts w:hint="eastAsia" w:cs="Times New Roman"/>
          <w:color w:val="000000" w:themeColor="text1"/>
          <w:sz w:val="24"/>
          <w:szCs w:val="22"/>
          <w:highlight w:val="none"/>
          <w:lang w:val="en-US" w:eastAsia="zh-CN"/>
          <w14:textFill>
            <w14:solidFill>
              <w14:schemeClr w14:val="tx1"/>
            </w14:solidFill>
          </w14:textFill>
        </w:rPr>
        <w:t>切削液可需要用水配置</w:t>
      </w:r>
    </w:p>
  </w:comment>
  <w:comment w:id="46" w:author="渊" w:date="2024-01-23T18:59:00Z" w:initials="">
    <w:p w14:paraId="6AED2CB0" w14:textId="77777777" w14:rsidR="009C144F" w14:rsidRDefault="009C144F">
      <w:pPr>
        <w:pStyle w:val="19"/>
        <w:rPr>
          <w:rFonts w:hint="default" w:eastAsia="宋体"/>
          <w:lang w:val="en-US" w:eastAsia="zh-CN"/>
        </w:rPr>
      </w:pPr>
      <w:r>
        <w:rPr>
          <w:rFonts w:hint="eastAsia"/>
          <w:lang w:val="en-US" w:eastAsia="zh-CN"/>
        </w:rPr>
        <w:t>需要加水</w:t>
      </w:r>
    </w:p>
  </w:comment>
  <w:comment w:id="47" w:author="fan" w:date="2024-01-22T17:51:00Z" w:initials="">
    <w:p w14:paraId="0396FD5F" w14:textId="77777777" w14:rsidR="009C144F" w14:rsidRDefault="009C144F">
      <w:pPr>
        <w:pStyle w:val="19"/>
        <w:rPr>
          <w:rFonts w:hint="default"/>
          <w:lang w:val="en-US"/>
        </w:rPr>
      </w:pPr>
      <w:r>
        <w:rPr>
          <w:rFonts w:hint="eastAsia"/>
          <w:color w:val="000000" w:themeColor="text1"/>
          <w:highlight w:val="none"/>
          <w:lang w:val="en-US" w:eastAsia="zh-CN"/>
          <w14:textFill>
            <w14:solidFill>
              <w14:schemeClr w14:val="tx1"/>
            </w14:solidFill>
          </w14:textFill>
        </w:rPr>
        <w:t>化粪池不需要重点防渗</w:t>
      </w:r>
    </w:p>
  </w:comment>
  <w:comment w:id="48" w:author="渊" w:date="2024-01-23T19:01:00Z" w:initials="">
    <w:p w14:paraId="50613E4B" w14:textId="77777777" w14:rsidR="009C144F" w14:rsidRDefault="009C144F">
      <w:pPr>
        <w:pStyle w:val="19"/>
        <w:rPr>
          <w:rFonts w:hint="eastAsia" w:eastAsia="宋体"/>
          <w:lang w:val="en-US" w:eastAsia="zh-CN"/>
        </w:rPr>
      </w:pPr>
      <w:r>
        <w:rPr>
          <w:rFonts w:hint="eastAsia"/>
          <w:lang w:val="en-US" w:eastAsia="zh-CN"/>
        </w:rPr>
        <w:t>已修改</w:t>
      </w:r>
    </w:p>
  </w:comment>
  <w:comment w:id="49" w:author="fan" w:date="2024-01-22T17:51:00Z" w:initials="">
    <w:p w14:paraId="3AC4F7A6" w14:textId="77777777" w14:rsidR="009C144F" w14:rsidRDefault="009C144F">
      <w:pPr>
        <w:pStyle w:val="19"/>
        <w:rPr>
          <w:rFonts w:hint="default" w:eastAsia="宋体"/>
          <w:lang w:val="en-US" w:eastAsia="zh-CN"/>
        </w:rPr>
      </w:pPr>
      <w:r>
        <w:rPr>
          <w:rFonts w:hint="eastAsia"/>
          <w:lang w:val="en-US" w:eastAsia="zh-CN"/>
        </w:rPr>
        <w:t>危废的标识呢</w:t>
      </w:r>
    </w:p>
  </w:comment>
  <w:comment w:id="50" w:author="渊" w:date="2024-01-23T19:03:00Z" w:initials="">
    <w:p w14:paraId="4E47215D" w14:textId="77777777" w14:rsidR="009C144F" w14:rsidRDefault="009C144F">
      <w:pPr>
        <w:pStyle w:val="19"/>
        <w:rPr>
          <w:rFonts w:hint="eastAsia" w:eastAsia="宋体"/>
          <w:lang w:val="en-US" w:eastAsia="zh-CN"/>
        </w:rPr>
      </w:pPr>
      <w:r>
        <w:rPr>
          <w:rFonts w:hint="eastAsia"/>
          <w:lang w:val="en-US" w:eastAsia="zh-CN"/>
        </w:rPr>
        <w:t>已修改</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98F028" w15:done="0"/>
  <w15:commentEx w15:paraId="74FFB401" w15:paraIdParent="4898F028" w15:done="0"/>
  <w15:commentEx w15:paraId="46DBCC66" w15:done="0"/>
  <w15:commentEx w15:paraId="1F74D7E0" w15:paraIdParent="46DBCC66" w15:done="0"/>
  <w15:commentEx w15:paraId="4ACF293A" w15:done="0"/>
  <w15:commentEx w15:paraId="7D40A0ED" w15:paraIdParent="4ACF293A" w15:done="0"/>
  <w15:commentEx w15:paraId="179BE727" w15:done="0"/>
  <w15:commentEx w15:paraId="6686BE38" w15:paraIdParent="179BE727" w15:done="0"/>
  <w15:commentEx w15:paraId="4C90BA74" w15:done="0"/>
  <w15:commentEx w15:paraId="2EF825AD" w15:paraIdParent="4C90BA74" w15:done="0"/>
  <w15:commentEx w15:paraId="1808ED90" w15:done="0"/>
  <w15:commentEx w15:paraId="54C500E0" w15:paraIdParent="1808ED90" w15:done="0"/>
  <w15:commentEx w15:paraId="17D032CA" w15:done="0"/>
  <w15:commentEx w15:paraId="0774201A" w15:paraIdParent="17D032CA" w15:done="0"/>
  <w15:commentEx w15:paraId="26848E33" w15:done="0"/>
  <w15:commentEx w15:paraId="367C6327" w15:paraIdParent="26848E33" w15:done="0"/>
  <w15:commentEx w15:paraId="63620EF0" w15:done="0"/>
  <w15:commentEx w15:paraId="005ABFC0" w15:paraIdParent="63620EF0" w15:done="0"/>
  <w15:commentEx w15:paraId="421CB460" w15:done="0"/>
  <w15:commentEx w15:paraId="2AE31DA2" w15:paraIdParent="421CB460" w15:done="0"/>
  <w15:commentEx w15:paraId="286D5762" w15:done="0"/>
  <w15:commentEx w15:paraId="37AB08AF" w15:paraIdParent="286D5762" w15:done="0"/>
  <w15:commentEx w15:paraId="184793F0" w15:done="0"/>
  <w15:commentEx w15:paraId="4973D908" w15:paraIdParent="184793F0" w15:done="0"/>
  <w15:commentEx w15:paraId="16CF354F" w15:done="0"/>
  <w15:commentEx w15:paraId="180E17E3" w15:paraIdParent="16CF354F" w15:done="0"/>
  <w15:commentEx w15:paraId="7D2B2E7A" w15:done="0"/>
  <w15:commentEx w15:paraId="26C6BA0C" w15:paraIdParent="7D2B2E7A" w15:done="0"/>
  <w15:commentEx w15:paraId="5EF49E97" w15:done="0"/>
  <w15:commentEx w15:paraId="7818956D" w15:paraIdParent="5EF49E97" w15:done="0"/>
  <w15:commentEx w15:paraId="46FC28FD" w15:done="0"/>
  <w15:commentEx w15:paraId="11D55E64" w15:paraIdParent="46FC28FD" w15:done="0"/>
  <w15:commentEx w15:paraId="0EA67B58" w15:done="0"/>
  <w15:commentEx w15:paraId="0525A8EB" w15:paraIdParent="0EA67B58" w15:done="0"/>
  <w15:commentEx w15:paraId="38AE0A65" w15:done="0"/>
  <w15:commentEx w15:paraId="6B91BBC5" w15:done="0"/>
  <w15:commentEx w15:paraId="45D9DFDA" w15:paraIdParent="6B91BBC5" w15:done="0"/>
  <w15:commentEx w15:paraId="2EDD091C" w15:done="0"/>
  <w15:commentEx w15:paraId="0E4E417C" w15:paraIdParent="2EDD091C" w15:done="0"/>
  <w15:commentEx w15:paraId="6165B4A7" w15:done="0"/>
  <w15:commentEx w15:paraId="31327552" w15:paraIdParent="6165B4A7" w15:done="0"/>
  <w15:commentEx w15:paraId="0E3AC49D" w15:done="0"/>
  <w15:commentEx w15:paraId="5187DA00" w15:paraIdParent="0E3AC49D" w15:done="0"/>
  <w15:commentEx w15:paraId="7B82EA18" w15:done="0"/>
  <w15:commentEx w15:paraId="03A27DCD" w15:done="0"/>
  <w15:commentEx w15:paraId="024B24FA" w15:done="0"/>
  <w15:commentEx w15:paraId="6AED2CB0" w15:paraIdParent="024B24FA" w15:done="0"/>
  <w15:commentEx w15:paraId="0396FD5F" w15:done="0"/>
  <w15:commentEx w15:paraId="50613E4B" w15:paraIdParent="0396FD5F" w15:done="0"/>
  <w15:commentEx w15:paraId="3AC4F7A6" w15:done="0"/>
  <w15:commentEx w15:paraId="4E47215D" w15:paraIdParent="3AC4F7A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00000000" w:usb1="00000000" w:usb2="00000016" w:usb3="00000000" w:csb0="0004001F" w:csb1="00000000"/>
  </w:font>
  <w:font w:name="仿宋">
    <w:panose1 w:val="02010609060101010101"/>
    <w:charset w:val="86"/>
    <w:family w:val="auto"/>
    <w:pitch w:val="default"/>
    <w:sig w:usb0="00000000" w:usb1="00000000" w:usb2="00000016" w:usb3="00000000" w:csb0="00040001" w:csb1="00000000"/>
  </w:font>
  <w:font w:name="PMingLiU-ExtB">
    <w:panose1 w:val="02020500000000000000"/>
    <w:charset w:val="88"/>
    <w:family w:val="auto"/>
    <w:pitch w:val="default"/>
    <w:sig w:usb0="00000000" w:usb1="00000000" w:usb2="00000000" w:usb3="00000000" w:csb0="00100001" w:csb1="00000000"/>
  </w:font>
  <w:font w:name="楷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0D093"/>
    <w:multiLevelType w:val="singleLevel"/>
    <w:tmpl w:val="5960D093"/>
    <w:lvl w:ilvl="0" w:tentative="0">
      <w:start w:val="1"/>
      <w:numFmt w:val="decimal"/>
      <w:suff w:val="nothing"/>
      <w:lvlText w:val="%1、"/>
      <w:lvlJc w:val="left"/>
    </w:lvl>
  </w:abstractNum>
  <w:abstractNum w:abstractNumId="1">
    <w:nsid w:val="6B6B239E"/>
    <w:multiLevelType w:val="multilevel"/>
    <w:tmpl w:val="6B6B239E"/>
    <w:lvl w:ilvl="0" w:tentative="0">
      <w:start w:val="1"/>
      <w:numFmt w:val="decimal"/>
      <w:lvlText w:val="%1"/>
      <w:lvlJc w:val="left"/>
      <w:pPr>
        <w:tabs>
          <w:tab w:val="left" w:pos="558"/>
        </w:tabs>
        <w:ind w:left="558" w:hanging="432"/>
      </w:pPr>
      <w:rPr>
        <w:rFonts w:hint="eastAsia" w:ascii="仿宋_GB2312" w:eastAsia="仿宋_GB2312"/>
        <w:b w:val="0"/>
        <w:i w:val="0"/>
        <w:sz w:val="32"/>
        <w:szCs w:val="32"/>
      </w:rPr>
    </w:lvl>
    <w:lvl w:ilvl="1" w:tentative="0">
      <w:start w:val="1"/>
      <w:numFmt w:val="decimal"/>
      <w:lvlText w:val="%1.%2"/>
      <w:lvlJc w:val="left"/>
      <w:pPr>
        <w:tabs>
          <w:tab w:val="left" w:pos="807"/>
        </w:tabs>
        <w:ind w:left="807" w:hanging="576"/>
      </w:pPr>
      <w:rPr>
        <w:rFonts w:hint="eastAsia" w:ascii="仿宋_GB2312" w:eastAsia="仿宋_GB2312"/>
        <w:b/>
        <w:i w:val="0"/>
        <w:sz w:val="30"/>
      </w:rPr>
    </w:lvl>
    <w:lvl w:ilvl="2" w:tentative="0">
      <w:start w:val="1"/>
      <w:numFmt w:val="decimal"/>
      <w:lvlText w:val="%1.%2.%3"/>
      <w:lvlJc w:val="left"/>
      <w:pPr>
        <w:tabs>
          <w:tab w:val="left" w:pos="804"/>
        </w:tabs>
        <w:ind w:left="804" w:hanging="720"/>
      </w:pPr>
      <w:rPr>
        <w:rFonts w:hint="eastAsia" w:ascii="仿宋_GB2312" w:eastAsia="仿宋_GB2312"/>
      </w:rPr>
    </w:lvl>
    <w:lvl w:ilvl="3" w:tentative="0">
      <w:start w:val="1"/>
      <w:numFmt w:val="decimal"/>
      <w:lvlText w:val="%1.%2.%3.%4"/>
      <w:lvlJc w:val="left"/>
      <w:pPr>
        <w:tabs>
          <w:tab w:val="left" w:pos="2072"/>
        </w:tabs>
        <w:ind w:left="1856" w:hanging="864"/>
      </w:pPr>
      <w:rPr>
        <w:rFonts w:hint="eastAsia" w:ascii="仿宋_GB2312" w:eastAsia="仿宋_GB2312"/>
        <w:b w:val="0"/>
        <w:i w:val="0"/>
        <w:sz w:val="28"/>
      </w:rPr>
    </w:lvl>
    <w:lvl w:ilvl="4" w:tentative="0">
      <w:start w:val="1"/>
      <w:numFmt w:val="decimal"/>
      <w:lvlText w:val="%1.%2.%3.%4.%5"/>
      <w:lvlJc w:val="left"/>
      <w:pPr>
        <w:tabs>
          <w:tab w:val="left" w:pos="1008"/>
        </w:tabs>
        <w:ind w:left="1008" w:hanging="1008"/>
      </w:pPr>
      <w:rPr>
        <w:rFonts w:hint="eastAsia" w:ascii="仿宋_GB2312" w:eastAsia="仿宋_GB2312"/>
      </w:rPr>
    </w:lvl>
    <w:lvl w:ilvl="5" w:tentative="0">
      <w:start w:val="1"/>
      <w:numFmt w:val="decimal"/>
      <w:pStyle w:val="10"/>
      <w:lvlText w:val="%1.%2.%3.%4.%5.%6"/>
      <w:lvlJc w:val="left"/>
      <w:pPr>
        <w:tabs>
          <w:tab w:val="left" w:pos="3278"/>
        </w:tabs>
        <w:ind w:left="3278"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78730759"/>
    <w:multiLevelType w:val="singleLevel"/>
    <w:tmpl w:val="78730759"/>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semiHidden="0" w:name="heading 7"/>
    <w:lsdException w:qFormat="1" w:uiPriority="0" w:semiHidden="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02" w:firstLineChars="200"/>
      <w:jc w:val="both"/>
    </w:pPr>
    <w:rPr>
      <w:rFonts w:ascii="Times New Roman" w:hAnsi="Times New Roman" w:eastAsia="宋体" w:cstheme="minorBidi"/>
      <w:kern w:val="2"/>
      <w:sz w:val="24"/>
      <w:szCs w:val="24"/>
      <w:lang w:val="en-US" w:eastAsia="zh-CN" w:bidi="ar-SA"/>
    </w:rPr>
  </w:style>
  <w:style w:type="paragraph" w:styleId="5">
    <w:name w:val="heading 1"/>
    <w:basedOn w:val="1"/>
    <w:next w:val="1"/>
    <w:qFormat/>
    <w:uiPriority w:val="0"/>
    <w:pPr>
      <w:keepNext/>
      <w:keepLines/>
      <w:spacing w:beforeLines="0" w:beforeAutospacing="0" w:afterLines="0" w:afterAutospacing="0" w:line="480" w:lineRule="auto"/>
      <w:jc w:val="center"/>
      <w:outlineLvl w:val="0"/>
    </w:pPr>
    <w:rPr>
      <w:rFonts w:ascii="Times New Roman" w:hAnsi="Times New Roman" w:eastAsia="宋体" w:cs="Times New Roman"/>
      <w:b/>
      <w:kern w:val="44"/>
      <w:sz w:val="28"/>
    </w:rPr>
  </w:style>
  <w:style w:type="paragraph" w:styleId="6">
    <w:name w:val="heading 2"/>
    <w:basedOn w:val="1"/>
    <w:next w:val="1"/>
    <w:unhideWhenUsed/>
    <w:qFormat/>
    <w:uiPriority w:val="0"/>
    <w:pPr>
      <w:keepNext/>
      <w:keepLines/>
      <w:spacing w:beforeLines="0" w:beforeAutospacing="0" w:afterLines="0" w:afterAutospacing="0" w:line="360" w:lineRule="auto"/>
      <w:ind w:firstLine="562" w:firstLineChars="200"/>
      <w:outlineLvl w:val="1"/>
    </w:pPr>
    <w:rPr>
      <w:rFonts w:ascii="Times New Roman" w:hAnsi="Times New Roman" w:eastAsia="宋体"/>
      <w:b/>
    </w:rPr>
  </w:style>
  <w:style w:type="paragraph" w:styleId="7">
    <w:name w:val="heading 3"/>
    <w:basedOn w:val="1"/>
    <w:next w:val="8"/>
    <w:link w:val="43"/>
    <w:unhideWhenUsed/>
    <w:qFormat/>
    <w:uiPriority w:val="0"/>
    <w:pPr>
      <w:keepNext/>
      <w:keepLines/>
      <w:spacing w:beforeLines="0" w:beforeAutospacing="0" w:afterLines="0" w:afterAutospacing="0" w:line="360" w:lineRule="auto"/>
      <w:ind w:firstLine="602" w:firstLineChars="200"/>
      <w:outlineLvl w:val="2"/>
    </w:pPr>
    <w:rPr>
      <w:b/>
    </w:rPr>
  </w:style>
  <w:style w:type="paragraph" w:styleId="9">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10">
    <w:name w:val="heading 6"/>
    <w:basedOn w:val="1"/>
    <w:next w:val="1"/>
    <w:qFormat/>
    <w:uiPriority w:val="0"/>
    <w:pPr>
      <w:keepNext/>
      <w:keepLines/>
      <w:numPr>
        <w:ilvl w:val="5"/>
        <w:numId w:val="1"/>
      </w:numPr>
      <w:tabs>
        <w:tab w:val="left" w:pos="1152"/>
      </w:tabs>
      <w:spacing w:before="240" w:after="64" w:line="320" w:lineRule="auto"/>
      <w:outlineLvl w:val="5"/>
    </w:pPr>
    <w:rPr>
      <w:rFonts w:ascii="Arial" w:hAnsi="Arial" w:eastAsia="黑体"/>
      <w:b/>
      <w:bCs/>
      <w:sz w:val="24"/>
    </w:rPr>
  </w:style>
  <w:style w:type="paragraph" w:styleId="11">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paragraph" w:styleId="12">
    <w:name w:val="heading 8"/>
    <w:basedOn w:val="1"/>
    <w:next w:val="1"/>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character" w:default="1" w:styleId="34">
    <w:name w:val="Default Paragraph Font"/>
    <w:semiHidden/>
    <w:qFormat/>
    <w:uiPriority w:val="0"/>
  </w:style>
  <w:style w:type="table" w:default="1" w:styleId="37">
    <w:name w:val="Normal Table"/>
    <w:semiHidden/>
    <w:qFormat/>
    <w:uiPriority w:val="0"/>
    <w:tblPr>
      <w:tblLayout w:type="fixed"/>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宋体" w:hAnsi="Calibri" w:eastAsia="宋体" w:cs="Calibri"/>
      <w:kern w:val="2"/>
      <w:sz w:val="24"/>
      <w:szCs w:val="22"/>
      <w:lang w:val="en-US" w:eastAsia="zh-CN" w:bidi="ar-SA"/>
    </w:rPr>
  </w:style>
  <w:style w:type="paragraph" w:customStyle="1" w:styleId="3">
    <w:name w:val="文本"/>
    <w:basedOn w:val="1"/>
    <w:next w:val="1"/>
    <w:qFormat/>
    <w:uiPriority w:val="0"/>
    <w:pPr>
      <w:adjustRightInd/>
      <w:spacing w:line="360" w:lineRule="auto"/>
      <w:jc w:val="both"/>
      <w:textAlignment w:val="auto"/>
    </w:pPr>
  </w:style>
  <w:style w:type="paragraph" w:customStyle="1" w:styleId="4">
    <w:name w:val="1正文段落"/>
    <w:basedOn w:val="1"/>
    <w:qFormat/>
    <w:uiPriority w:val="0"/>
    <w:pPr>
      <w:adjustRightInd/>
      <w:spacing w:line="360" w:lineRule="auto"/>
      <w:textAlignment w:val="auto"/>
    </w:pPr>
    <w:rPr>
      <w:rFonts w:ascii="Times New Roman" w:hAnsi="Times New Roman"/>
      <w:snapToGrid w:val="0"/>
      <w:kern w:val="0"/>
    </w:rPr>
  </w:style>
  <w:style w:type="paragraph" w:customStyle="1" w:styleId="8">
    <w:name w:val="报告"/>
    <w:basedOn w:val="1"/>
    <w:qFormat/>
    <w:uiPriority w:val="0"/>
    <w:pPr>
      <w:overflowPunct w:val="0"/>
      <w:autoSpaceDE w:val="0"/>
      <w:autoSpaceDN w:val="0"/>
      <w:adjustRightInd w:val="0"/>
      <w:spacing w:before="62" w:beforeLines="20" w:after="62" w:afterLines="20" w:line="440" w:lineRule="atLeast"/>
      <w:ind w:right="-100" w:rightChars="-100" w:firstLine="200" w:firstLineChars="200"/>
    </w:pPr>
    <w:rPr>
      <w:rFonts w:ascii="Times New Roman" w:hAnsi="Times New Roman"/>
      <w:kern w:val="0"/>
      <w:sz w:val="24"/>
      <w:szCs w:val="20"/>
    </w:rPr>
  </w:style>
  <w:style w:type="paragraph" w:styleId="13">
    <w:name w:val="List 3"/>
    <w:basedOn w:val="1"/>
    <w:next w:val="1"/>
    <w:qFormat/>
    <w:uiPriority w:val="0"/>
    <w:pPr>
      <w:autoSpaceDE w:val="0"/>
      <w:autoSpaceDN w:val="0"/>
      <w:adjustRightInd w:val="0"/>
      <w:spacing w:line="288" w:lineRule="auto"/>
      <w:ind w:left="1260" w:hanging="420"/>
      <w:jc w:val="left"/>
      <w:textAlignment w:val="baseline"/>
    </w:pPr>
    <w:rPr>
      <w:kern w:val="0"/>
      <w:sz w:val="24"/>
      <w:szCs w:val="20"/>
    </w:rPr>
  </w:style>
  <w:style w:type="paragraph" w:styleId="14">
    <w:name w:val="Body Text First Indent"/>
    <w:basedOn w:val="15"/>
    <w:unhideWhenUsed/>
    <w:qFormat/>
    <w:uiPriority w:val="0"/>
    <w:pPr>
      <w:adjustRightInd w:val="0"/>
      <w:snapToGrid w:val="0"/>
      <w:spacing w:line="360" w:lineRule="auto"/>
      <w:ind w:firstLine="420" w:firstLineChars="100"/>
    </w:pPr>
    <w:rPr>
      <w:rFonts w:ascii="Times New Roman" w:hAnsi="Times New Roman"/>
      <w:kern w:val="2"/>
      <w:sz w:val="24"/>
      <w:szCs w:val="22"/>
      <w:lang w:val="zh-CN"/>
    </w:rPr>
  </w:style>
  <w:style w:type="paragraph" w:styleId="15">
    <w:name w:val="Body Text"/>
    <w:basedOn w:val="1"/>
    <w:next w:val="16"/>
    <w:qFormat/>
    <w:uiPriority w:val="0"/>
    <w:pPr>
      <w:adjustRightInd w:val="0"/>
      <w:snapToGrid w:val="0"/>
      <w:spacing w:line="360" w:lineRule="auto"/>
      <w:ind w:firstLine="380" w:firstLineChars="200"/>
    </w:pPr>
    <w:rPr>
      <w:rFonts w:ascii="宋体" w:hAnsi="宋体" w:eastAsia="宋体" w:cs="宋体"/>
      <w:sz w:val="24"/>
      <w:szCs w:val="24"/>
      <w:lang w:val="zh-CN" w:bidi="zh-CN"/>
    </w:rPr>
  </w:style>
  <w:style w:type="paragraph" w:customStyle="1" w:styleId="16">
    <w:name w:val="xl27"/>
    <w:next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PMingLiU" w:hAnsi="Times New Roman" w:eastAsia="PMingLiU" w:cs="Times New Roman"/>
      <w:sz w:val="16"/>
      <w:szCs w:val="16"/>
      <w:lang w:val="en-US" w:eastAsia="zh-TW" w:bidi="ar-SA"/>
    </w:rPr>
  </w:style>
  <w:style w:type="paragraph" w:styleId="17">
    <w:name w:val="Normal Indent"/>
    <w:basedOn w:val="1"/>
    <w:next w:val="1"/>
    <w:qFormat/>
    <w:uiPriority w:val="0"/>
    <w:pPr>
      <w:ind w:firstLine="420" w:firstLineChars="200"/>
    </w:pPr>
  </w:style>
  <w:style w:type="paragraph" w:styleId="18">
    <w:name w:val="caption"/>
    <w:basedOn w:val="1"/>
    <w:next w:val="1"/>
    <w:qFormat/>
    <w:uiPriority w:val="0"/>
    <w:pPr>
      <w:jc w:val="center"/>
    </w:pPr>
    <w:rPr>
      <w:rFonts w:cs="Arial"/>
      <w:b/>
      <w:kern w:val="0"/>
      <w:sz w:val="24"/>
      <w:lang w:val="zh-CN"/>
    </w:rPr>
  </w:style>
  <w:style w:type="paragraph" w:styleId="19">
    <w:name w:val="annotation text"/>
    <w:basedOn w:val="1"/>
    <w:qFormat/>
    <w:uiPriority w:val="0"/>
    <w:pPr>
      <w:jc w:val="left"/>
    </w:pPr>
    <w:rPr>
      <w:kern w:val="0"/>
      <w:sz w:val="24"/>
      <w:szCs w:val="20"/>
    </w:rPr>
  </w:style>
  <w:style w:type="paragraph" w:styleId="20">
    <w:name w:val="Salutation"/>
    <w:basedOn w:val="1"/>
    <w:next w:val="1"/>
    <w:unhideWhenUsed/>
    <w:qFormat/>
    <w:uiPriority w:val="99"/>
  </w:style>
  <w:style w:type="paragraph" w:styleId="21">
    <w:name w:val="Body Text Indent"/>
    <w:basedOn w:val="1"/>
    <w:next w:val="22"/>
    <w:qFormat/>
    <w:uiPriority w:val="0"/>
    <w:pPr>
      <w:spacing w:after="120"/>
      <w:ind w:left="420" w:leftChars="200"/>
    </w:pPr>
    <w:rPr>
      <w:kern w:val="0"/>
      <w:sz w:val="24"/>
      <w:szCs w:val="20"/>
    </w:rPr>
  </w:style>
  <w:style w:type="paragraph" w:styleId="22">
    <w:name w:val="Body Text Indent 2"/>
    <w:basedOn w:val="1"/>
    <w:next w:val="23"/>
    <w:unhideWhenUsed/>
    <w:qFormat/>
    <w:uiPriority w:val="99"/>
    <w:pPr>
      <w:spacing w:after="120" w:line="480" w:lineRule="auto"/>
      <w:ind w:left="420" w:leftChars="200"/>
    </w:pPr>
  </w:style>
  <w:style w:type="paragraph" w:styleId="23">
    <w:name w:val="Body Text First Indent 2"/>
    <w:basedOn w:val="21"/>
    <w:next w:val="1"/>
    <w:unhideWhenUsed/>
    <w:qFormat/>
    <w:uiPriority w:val="99"/>
    <w:pPr>
      <w:ind w:firstLine="420" w:firstLineChars="200"/>
    </w:pPr>
  </w:style>
  <w:style w:type="paragraph" w:styleId="24">
    <w:name w:val="Plain Text"/>
    <w:basedOn w:val="1"/>
    <w:next w:val="20"/>
    <w:qFormat/>
    <w:uiPriority w:val="0"/>
    <w:rPr>
      <w:rFonts w:ascii="宋体" w:hAnsi="Courier New"/>
    </w:rPr>
  </w:style>
  <w:style w:type="paragraph" w:styleId="25">
    <w:name w:val="footer"/>
    <w:basedOn w:val="1"/>
    <w:qFormat/>
    <w:uiPriority w:val="0"/>
    <w:pPr>
      <w:tabs>
        <w:tab w:val="center" w:pos="4153"/>
        <w:tab w:val="right" w:pos="8306"/>
      </w:tabs>
      <w:snapToGrid w:val="0"/>
      <w:jc w:val="left"/>
    </w:pPr>
    <w:rPr>
      <w:sz w:val="18"/>
    </w:rPr>
  </w:style>
  <w:style w:type="paragraph" w:styleId="2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7">
    <w:name w:val="index heading"/>
    <w:basedOn w:val="1"/>
    <w:next w:val="28"/>
    <w:qFormat/>
    <w:uiPriority w:val="0"/>
  </w:style>
  <w:style w:type="paragraph" w:styleId="28">
    <w:name w:val="index 1"/>
    <w:basedOn w:val="1"/>
    <w:next w:val="1"/>
    <w:unhideWhenUsed/>
    <w:qFormat/>
    <w:uiPriority w:val="99"/>
    <w:rPr>
      <w:rFonts w:hint="eastAsia"/>
    </w:rPr>
  </w:style>
  <w:style w:type="paragraph" w:styleId="29">
    <w:name w:val="table of figures"/>
    <w:basedOn w:val="1"/>
    <w:next w:val="1"/>
    <w:qFormat/>
    <w:uiPriority w:val="0"/>
    <w:pPr>
      <w:ind w:left="200" w:leftChars="200" w:hanging="200" w:hangingChars="200"/>
    </w:pPr>
  </w:style>
  <w:style w:type="paragraph" w:styleId="30">
    <w:name w:val="toc 9"/>
    <w:basedOn w:val="1"/>
    <w:next w:val="1"/>
    <w:qFormat/>
    <w:uiPriority w:val="0"/>
    <w:pPr>
      <w:widowControl/>
      <w:wordWrap w:val="0"/>
      <w:ind w:left="2975"/>
    </w:pPr>
    <w:rPr>
      <w:sz w:val="21"/>
      <w:szCs w:val="22"/>
    </w:rPr>
  </w:style>
  <w:style w:type="paragraph" w:styleId="31">
    <w:name w:val="Body Text 2"/>
    <w:basedOn w:val="1"/>
    <w:next w:val="1"/>
    <w:qFormat/>
    <w:uiPriority w:val="0"/>
    <w:pPr>
      <w:spacing w:after="120" w:line="480" w:lineRule="auto"/>
    </w:pPr>
  </w:style>
  <w:style w:type="paragraph" w:styleId="32">
    <w:name w:val="Normal (Web)"/>
    <w:basedOn w:val="1"/>
    <w:next w:val="33"/>
    <w:qFormat/>
    <w:uiPriority w:val="0"/>
    <w:pPr>
      <w:widowControl/>
      <w:spacing w:before="100" w:beforeAutospacing="1" w:after="100" w:afterAutospacing="1"/>
      <w:jc w:val="left"/>
    </w:pPr>
    <w:rPr>
      <w:rFonts w:ascii="宋体" w:hAnsi="宋体"/>
      <w:kern w:val="0"/>
      <w:sz w:val="24"/>
      <w:szCs w:val="20"/>
    </w:rPr>
  </w:style>
  <w:style w:type="paragraph" w:customStyle="1" w:styleId="33">
    <w:name w:val="表格文字"/>
    <w:basedOn w:val="24"/>
    <w:next w:val="1"/>
    <w:qFormat/>
    <w:uiPriority w:val="0"/>
    <w:pPr>
      <w:adjustRightInd w:val="0"/>
      <w:spacing w:line="320" w:lineRule="exact"/>
      <w:jc w:val="center"/>
    </w:pPr>
    <w:rPr>
      <w:sz w:val="24"/>
      <w:szCs w:val="20"/>
    </w:rPr>
  </w:style>
  <w:style w:type="character" w:styleId="35">
    <w:name w:val="Hyperlink"/>
    <w:basedOn w:val="34"/>
    <w:qFormat/>
    <w:uiPriority w:val="0"/>
    <w:rPr>
      <w:color w:val="0000FF"/>
      <w:u w:val="single"/>
    </w:rPr>
  </w:style>
  <w:style w:type="character" w:styleId="36">
    <w:name w:val="annotation reference"/>
    <w:unhideWhenUsed/>
    <w:qFormat/>
    <w:uiPriority w:val="0"/>
    <w:rPr>
      <w:sz w:val="21"/>
      <w:szCs w:val="21"/>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9">
    <w:name w:val="表头"/>
    <w:basedOn w:val="17"/>
    <w:next w:val="1"/>
    <w:qFormat/>
    <w:uiPriority w:val="0"/>
    <w:pPr>
      <w:keepNext/>
      <w:keepLines/>
      <w:spacing w:beforeLines="0" w:afterLines="0" w:line="240" w:lineRule="auto"/>
      <w:ind w:firstLine="0" w:firstLineChars="0"/>
      <w:jc w:val="center"/>
      <w:outlineLvl w:val="2"/>
    </w:pPr>
    <w:rPr>
      <w:rFonts w:ascii="Times New Roman" w:hAnsi="Times New Roman" w:eastAsia="宋体"/>
      <w:b/>
      <w:sz w:val="24"/>
    </w:rPr>
  </w:style>
  <w:style w:type="paragraph" w:customStyle="1" w:styleId="40">
    <w:name w:val="表格"/>
    <w:basedOn w:val="29"/>
    <w:next w:val="1"/>
    <w:qFormat/>
    <w:uiPriority w:val="99"/>
    <w:pPr>
      <w:jc w:val="center"/>
    </w:pPr>
    <w:rPr>
      <w:sz w:val="24"/>
    </w:rPr>
  </w:style>
  <w:style w:type="paragraph" w:customStyle="1" w:styleId="41">
    <w:name w:val="Body text|1"/>
    <w:basedOn w:val="1"/>
    <w:qFormat/>
    <w:uiPriority w:val="0"/>
    <w:pPr>
      <w:widowControl w:val="0"/>
      <w:shd w:val="clear" w:color="auto" w:fill="auto"/>
      <w:spacing w:line="403" w:lineRule="auto"/>
      <w:ind w:firstLine="400"/>
    </w:pPr>
    <w:rPr>
      <w:rFonts w:ascii="宋体" w:hAnsi="宋体" w:eastAsia="宋体" w:cs="宋体"/>
      <w:u w:val="none"/>
      <w:shd w:val="clear" w:color="auto" w:fill="auto"/>
      <w:lang w:val="zh-TW" w:eastAsia="zh-TW" w:bidi="zh-TW"/>
    </w:rPr>
  </w:style>
  <w:style w:type="paragraph" w:customStyle="1" w:styleId="42">
    <w:name w:val="A正文"/>
    <w:basedOn w:val="1"/>
    <w:qFormat/>
    <w:uiPriority w:val="0"/>
    <w:pPr>
      <w:spacing w:line="360" w:lineRule="auto"/>
      <w:ind w:firstLine="480" w:firstLineChars="200"/>
    </w:pPr>
    <w:rPr>
      <w:rFonts w:ascii="Times New Roman" w:hAnsi="Times New Roman"/>
      <w:kern w:val="0"/>
      <w:sz w:val="24"/>
      <w:szCs w:val="24"/>
    </w:rPr>
  </w:style>
  <w:style w:type="character" w:customStyle="1" w:styleId="43">
    <w:name w:val="标题 3 Char"/>
    <w:link w:val="7"/>
    <w:qFormat/>
    <w:uiPriority w:val="0"/>
    <w:rPr>
      <w:b/>
    </w:rPr>
  </w:style>
  <w:style w:type="paragraph" w:customStyle="1" w:styleId="44">
    <w:name w:val="Default1"/>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纯文本1"/>
    <w:basedOn w:val="1"/>
    <w:qFormat/>
    <w:uiPriority w:val="0"/>
    <w:pPr>
      <w:adjustRightInd w:val="0"/>
    </w:pPr>
    <w:rPr>
      <w:rFonts w:ascii="宋体" w:hAnsi="Courier New"/>
      <w:szCs w:val="20"/>
    </w:rPr>
  </w:style>
  <w:style w:type="paragraph" w:customStyle="1" w:styleId="46">
    <w:name w:val="表格前文字"/>
    <w:basedOn w:val="1"/>
    <w:qFormat/>
    <w:uiPriority w:val="0"/>
    <w:pPr>
      <w:spacing w:line="360" w:lineRule="auto"/>
      <w:ind w:firstLine="0" w:firstLineChars="0"/>
    </w:pPr>
  </w:style>
  <w:style w:type="paragraph" w:customStyle="1" w:styleId="47">
    <w:name w:val="表格内文字"/>
    <w:basedOn w:val="1"/>
    <w:link w:val="55"/>
    <w:qFormat/>
    <w:uiPriority w:val="0"/>
    <w:pPr>
      <w:adjustRightInd w:val="0"/>
      <w:snapToGrid w:val="0"/>
      <w:spacing w:line="240" w:lineRule="auto"/>
      <w:ind w:firstLine="0" w:firstLineChars="0"/>
      <w:jc w:val="center"/>
    </w:pPr>
    <w:rPr>
      <w:rFonts w:hint="eastAsia" w:ascii="Times New Roman" w:hAnsi="Times New Roman" w:eastAsia="宋体"/>
      <w:color w:val="auto"/>
      <w:sz w:val="21"/>
    </w:rPr>
  </w:style>
  <w:style w:type="paragraph" w:customStyle="1" w:styleId="48">
    <w:name w:val="Other|1"/>
    <w:basedOn w:val="1"/>
    <w:qFormat/>
    <w:uiPriority w:val="0"/>
    <w:pPr>
      <w:widowControl w:val="0"/>
      <w:shd w:val="clear" w:color="auto" w:fill="auto"/>
      <w:jc w:val="center"/>
    </w:pPr>
    <w:rPr>
      <w:rFonts w:ascii="宋体" w:hAnsi="宋体" w:eastAsia="宋体" w:cs="宋体"/>
      <w:sz w:val="20"/>
      <w:szCs w:val="20"/>
      <w:u w:val="none"/>
      <w:shd w:val="clear" w:color="auto" w:fill="auto"/>
      <w:lang w:val="zh-TW" w:eastAsia="zh-TW" w:bidi="zh-TW"/>
    </w:rPr>
  </w:style>
  <w:style w:type="paragraph" w:customStyle="1" w:styleId="49">
    <w:name w:val="注"/>
    <w:basedOn w:val="1"/>
    <w:qFormat/>
    <w:uiPriority w:val="0"/>
    <w:rPr>
      <w:rFonts w:ascii="Times New Roman" w:hAnsi="Times New Roman" w:eastAsia="宋体" w:cs="Times New Roman"/>
      <w:bCs/>
      <w:color w:val="auto"/>
      <w:sz w:val="18"/>
    </w:rPr>
  </w:style>
  <w:style w:type="paragraph" w:customStyle="1" w:styleId="50">
    <w:name w:val="环表头"/>
    <w:basedOn w:val="1"/>
    <w:qFormat/>
    <w:uiPriority w:val="0"/>
    <w:pPr>
      <w:spacing w:line="480" w:lineRule="exact"/>
      <w:jc w:val="center"/>
    </w:pPr>
    <w:rPr>
      <w:rFonts w:hAnsi="宋体"/>
      <w:b/>
      <w:iCs/>
      <w:snapToGrid w:val="0"/>
      <w:color w:val="000000"/>
      <w:szCs w:val="21"/>
    </w:rPr>
  </w:style>
  <w:style w:type="paragraph" w:customStyle="1" w:styleId="51">
    <w:name w:val="List Paragraph"/>
    <w:basedOn w:val="1"/>
    <w:qFormat/>
    <w:uiPriority w:val="1"/>
    <w:pPr>
      <w:ind w:left="240" w:firstLine="480"/>
    </w:pPr>
    <w:rPr>
      <w:rFonts w:ascii="宋体" w:hAnsi="宋体" w:eastAsia="宋体" w:cs="宋体"/>
      <w:lang w:val="zh-CN" w:eastAsia="zh-CN" w:bidi="zh-CN"/>
    </w:rPr>
  </w:style>
  <w:style w:type="paragraph" w:customStyle="1" w:styleId="52">
    <w:name w:val="Table Paragraph"/>
    <w:basedOn w:val="1"/>
    <w:qFormat/>
    <w:uiPriority w:val="1"/>
    <w:pPr>
      <w:jc w:val="center"/>
    </w:pPr>
    <w:rPr>
      <w:rFonts w:ascii="宋体" w:hAnsi="宋体" w:eastAsia="宋体" w:cs="宋体"/>
      <w:lang w:val="zh-CN" w:eastAsia="zh-CN" w:bidi="zh-CN"/>
    </w:rPr>
  </w:style>
  <w:style w:type="paragraph" w:customStyle="1" w:styleId="53">
    <w:name w:val="+正文"/>
    <w:basedOn w:val="1"/>
    <w:qFormat/>
    <w:uiPriority w:val="0"/>
    <w:pPr>
      <w:spacing w:line="360" w:lineRule="auto"/>
      <w:ind w:firstLine="200" w:firstLineChars="200"/>
    </w:pPr>
    <w:rPr>
      <w:sz w:val="24"/>
      <w:szCs w:val="28"/>
    </w:rPr>
  </w:style>
  <w:style w:type="paragraph" w:customStyle="1" w:styleId="54">
    <w:name w:val="p0"/>
    <w:basedOn w:val="1"/>
    <w:qFormat/>
    <w:uiPriority w:val="0"/>
    <w:pPr>
      <w:widowControl/>
      <w:jc w:val="left"/>
    </w:pPr>
    <w:rPr>
      <w:rFonts w:ascii="宋体" w:hAnsi="宋体"/>
      <w:kern w:val="0"/>
      <w:sz w:val="24"/>
      <w:szCs w:val="20"/>
    </w:rPr>
  </w:style>
  <w:style w:type="character" w:customStyle="1" w:styleId="55">
    <w:name w:val="表格内文字 Char"/>
    <w:link w:val="47"/>
    <w:qFormat/>
    <w:uiPriority w:val="0"/>
    <w:rPr>
      <w:rFonts w:hint="eastAsia" w:ascii="Times New Roman" w:hAnsi="Times New Roman" w:eastAsia="宋体"/>
      <w:color w:val="auto"/>
      <w:sz w:val="21"/>
    </w:rPr>
  </w:style>
  <w:style w:type="paragraph" w:customStyle="1" w:styleId="56">
    <w:name w:val="报告表三级标题"/>
    <w:basedOn w:val="57"/>
    <w:next w:val="1"/>
    <w:qFormat/>
    <w:uiPriority w:val="0"/>
    <w:pPr>
      <w:spacing w:before="0" w:after="0" w:line="360" w:lineRule="auto"/>
    </w:pPr>
    <w:rPr>
      <w:rFonts w:eastAsia="宋体"/>
      <w:b/>
      <w:sz w:val="28"/>
    </w:rPr>
  </w:style>
  <w:style w:type="paragraph" w:customStyle="1" w:styleId="57">
    <w:name w:val="报告表二级标题"/>
    <w:basedOn w:val="58"/>
    <w:next w:val="59"/>
    <w:qFormat/>
    <w:uiPriority w:val="0"/>
    <w:pPr>
      <w:spacing w:before="156"/>
    </w:pPr>
    <w:rPr>
      <w:sz w:val="30"/>
    </w:rPr>
  </w:style>
  <w:style w:type="paragraph" w:customStyle="1" w:styleId="58">
    <w:name w:val="报告表一级标题"/>
    <w:basedOn w:val="1"/>
    <w:next w:val="59"/>
    <w:qFormat/>
    <w:uiPriority w:val="0"/>
    <w:pPr>
      <w:spacing w:after="156" w:line="240" w:lineRule="auto"/>
      <w:jc w:val="left"/>
      <w:outlineLvl w:val="0"/>
    </w:pPr>
    <w:rPr>
      <w:rFonts w:eastAsia="黑体"/>
      <w:kern w:val="1"/>
      <w:sz w:val="32"/>
    </w:rPr>
  </w:style>
  <w:style w:type="paragraph" w:customStyle="1" w:styleId="59">
    <w:name w:val="报告表正文"/>
    <w:basedOn w:val="1"/>
    <w:qFormat/>
    <w:uiPriority w:val="0"/>
    <w:pPr>
      <w:adjustRightInd w:val="0"/>
      <w:spacing w:line="312" w:lineRule="auto"/>
      <w:ind w:left="113" w:right="113" w:firstLine="482"/>
      <w:jc w:val="left"/>
      <w:textAlignment w:val="baseline"/>
    </w:pPr>
    <w:rPr>
      <w:kern w:val="0"/>
      <w:sz w:val="24"/>
      <w:szCs w:val="20"/>
    </w:rPr>
  </w:style>
  <w:style w:type="table" w:customStyle="1" w:styleId="60">
    <w:name w:val="Table Normal"/>
    <w:unhideWhenUsed/>
    <w:qFormat/>
    <w:uiPriority w:val="0"/>
    <w:tblPr>
      <w:tblLayout w:type="fixed"/>
      <w:tblCellMar>
        <w:top w:w="0" w:type="dxa"/>
        <w:left w:w="0" w:type="dxa"/>
        <w:bottom w:w="0" w:type="dxa"/>
        <w:right w:w="0" w:type="dxa"/>
      </w:tblCellMar>
    </w:tblPr>
  </w:style>
  <w:style w:type="paragraph" w:customStyle="1" w:styleId="61">
    <w:name w:val="中文报告书样式"/>
    <w:basedOn w:val="1"/>
    <w:qFormat/>
    <w:uiPriority w:val="0"/>
    <w:pPr>
      <w:adjustRightInd w:val="0"/>
      <w:spacing w:line="480" w:lineRule="atLeast"/>
      <w:ind w:firstLine="482"/>
      <w:textAlignment w:val="baseline"/>
    </w:pPr>
    <w:rPr>
      <w:kern w:val="24"/>
      <w:sz w:val="24"/>
      <w:szCs w:val="20"/>
    </w:rPr>
  </w:style>
  <w:style w:type="paragraph" w:customStyle="1" w:styleId="62">
    <w:name w:val="列出段落1"/>
    <w:basedOn w:val="1"/>
    <w:qFormat/>
    <w:uiPriority w:val="34"/>
    <w:pPr>
      <w:widowControl/>
      <w:adjustRightInd w:val="0"/>
      <w:snapToGrid w:val="0"/>
      <w:spacing w:line="360" w:lineRule="auto"/>
      <w:ind w:left="720"/>
      <w:contextualSpacing/>
      <w:jc w:val="left"/>
    </w:pPr>
    <w:rPr>
      <w:rFonts w:cs="宋体"/>
      <w:kern w:val="0"/>
      <w:sz w:val="24"/>
    </w:rPr>
  </w:style>
  <w:style w:type="paragraph" w:customStyle="1" w:styleId="63">
    <w:name w:val="表格内容"/>
    <w:basedOn w:val="1"/>
    <w:next w:val="1"/>
    <w:qFormat/>
    <w:uiPriority w:val="0"/>
    <w:pPr>
      <w:adjustRightInd w:val="0"/>
      <w:jc w:val="center"/>
      <w:textAlignment w:val="baseline"/>
    </w:pPr>
    <w:rPr>
      <w:szCs w:val="21"/>
    </w:rPr>
  </w:style>
  <w:style w:type="paragraph" w:customStyle="1" w:styleId="64">
    <w:name w:val="君邦正文"/>
    <w:qFormat/>
    <w:uiPriority w:val="0"/>
    <w:pPr>
      <w:spacing w:after="60" w:line="360" w:lineRule="auto"/>
      <w:ind w:firstLine="480" w:firstLineChars="200"/>
      <w:jc w:val="both"/>
    </w:pPr>
    <w:rPr>
      <w:rFonts w:ascii="Times New Roman" w:hAnsi="Times New Roman" w:eastAsia="宋体" w:cs="Times New Roman"/>
      <w:bCs/>
      <w:snapToGrid w:val="0"/>
      <w:sz w:val="24"/>
      <w:lang w:val="en-US" w:eastAsia="zh-CN" w:bidi="ar-SA"/>
    </w:rPr>
  </w:style>
  <w:style w:type="paragraph" w:customStyle="1" w:styleId="65">
    <w:name w:val="表格 32"/>
    <w:basedOn w:val="1"/>
    <w:qFormat/>
    <w:uiPriority w:val="0"/>
    <w:pPr>
      <w:widowControl/>
      <w:autoSpaceDE w:val="0"/>
      <w:autoSpaceDN w:val="0"/>
      <w:adjustRightInd w:val="0"/>
      <w:snapToGrid w:val="0"/>
      <w:spacing w:line="360" w:lineRule="auto"/>
      <w:jc w:val="center"/>
      <w:textAlignment w:val="baseline"/>
    </w:pPr>
    <w:rPr>
      <w:rFonts w:eastAsia="楷体_GB2312" w:cs="黑体"/>
      <w:kern w:val="0"/>
      <w:sz w:val="24"/>
    </w:rPr>
  </w:style>
  <w:style w:type="paragraph" w:customStyle="1" w:styleId="66">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正文_20"/>
    <w:qFormat/>
    <w:uiPriority w:val="0"/>
    <w:pPr>
      <w:widowControl w:val="0"/>
      <w:jc w:val="both"/>
    </w:pPr>
    <w:rPr>
      <w:rFonts w:ascii="Calibri" w:hAnsi="Calibri" w:eastAsia="宋体" w:cs="Times New Roman"/>
      <w:kern w:val="2"/>
      <w:sz w:val="21"/>
      <w:lang w:val="en-US" w:eastAsia="zh-CN" w:bidi="ar-SA"/>
    </w:rPr>
  </w:style>
  <w:style w:type="paragraph" w:customStyle="1" w:styleId="68">
    <w:name w:val="No Spacing"/>
    <w:qFormat/>
    <w:uiPriority w:val="0"/>
    <w:pPr>
      <w:widowControl w:val="0"/>
      <w:jc w:val="both"/>
    </w:pPr>
    <w:rPr>
      <w:rFonts w:asciiTheme="minorHAnsi" w:hAnsiTheme="minorHAnsi" w:eastAsiaTheme="minorEastAsia" w:cstheme="minorBidi"/>
      <w:kern w:val="2"/>
      <w:sz w:val="24"/>
      <w:szCs w:val="22"/>
      <w:lang w:val="en-US" w:eastAsia="zh-CN" w:bidi="ar-SA"/>
    </w:rPr>
  </w:style>
  <w:style w:type="table" w:customStyle="1" w:styleId="69">
    <w:name w:val="网格型1"/>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comments" Target="comments.xml"/><Relationship Id="rId29" Type="http://schemas.openxmlformats.org/officeDocument/2006/relationships/image" Target="media/image23.jpe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wmf"/><Relationship Id="rId2" Type="http://schemas.openxmlformats.org/officeDocument/2006/relationships/settings" Target="settings.xml"/><Relationship Id="rId19" Type="http://schemas.openxmlformats.org/officeDocument/2006/relationships/image" Target="media/image13.wmf"/><Relationship Id="rId18" Type="http://schemas.openxmlformats.org/officeDocument/2006/relationships/image" Target="media/image12.wmf"/><Relationship Id="rId17" Type="http://schemas.openxmlformats.org/officeDocument/2006/relationships/image" Target="media/image11.wmf"/><Relationship Id="rId16" Type="http://schemas.openxmlformats.org/officeDocument/2006/relationships/image" Target="media/image10.wmf"/><Relationship Id="rId15" Type="http://schemas.openxmlformats.org/officeDocument/2006/relationships/image" Target="media/image9.wmf"/><Relationship Id="rId14" Type="http://schemas.openxmlformats.org/officeDocument/2006/relationships/image" Target="media/image8.png"/><Relationship Id="rId13" Type="http://schemas.openxmlformats.org/officeDocument/2006/relationships/image" Target="media/image7.wmf"/><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andalone="yes"?>
<s:customData xmlns="http://www.wps.cn/officeDocument/2013/wpsCustomData" xmlns:s="http://www.wps.cn/officeDocument/2013/wpsCustomData"><customSectProps><customSectPr/><customSectPr/><customSectPr/><customSectPr/><customSectPr/><customSectPr/></customSectProps><customShpExts><customShpInfo spid="_x0000_s1026" textRotate="1"/></customShpExts><extobjs><extobj name="ECB019B1-382A-4266-B25C-5B523AA43C14-1"><extobjdata type="ECB019B1-382A-4266-B25C-5B523AA43C14" data="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"/></extobj><extobj name="ECB019B1-382A-4266-B25C-5B523AA43C14-2"><extobjdata type="ECB019B1-382A-4266-B25C-5B523AA43C14" data="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"/></extobj><extobj name="ECB019B1-382A-4266-B25C-5B523AA43C14-3"><extobjdata type="ECB019B1-382A-4266-B25C-5B523AA43C14" data="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"/></extobj></extobjs></extobjs></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35079</Words>
  <Characters>39693</Characters>
  <Lines>0</Lines>
  <Paragraphs>0</Paragraphs>
  <ScaleCrop>false</ScaleCrop>
  <LinksUpToDate>false</LinksUpToDate>
  <CharactersWithSpaces>39896</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2023-02-27T22:29:00Z</dcterms:created>
  <dc:creator>石雨婷</dc:creator>
  <cp:lastModifiedBy>iPhone</cp:lastModifiedBy>
  <dcterms:modified xsi:type="dcterms:W3CDTF">2024-01-24T09:27:42Z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2052-12.8.1</vt:lpwstr>
  </property>
  <property fmtid="{D5CDD505-2E9C-101B-9397-08002B2CF9AE}" pid="3" name="ICV">
    <vt:lpwstr>2AFE50FB9D7F4859A4791DF959A696F4_13</vt:lpwstr>
  </property>
</Properties>
</file>