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textAlignment w:val="baseline"/>
        <w:rPr>
          <w:rFonts w:hint="eastAsia" w:ascii="仿宋_GB2312" w:eastAsia="仿宋_GB2312"/>
          <w:sz w:val="32"/>
        </w:rPr>
      </w:pPr>
    </w:p>
    <w:p>
      <w:pPr>
        <w:spacing w:line="700" w:lineRule="exact"/>
        <w:jc w:val="center"/>
        <w:textAlignment w:val="baseline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center"/>
        <w:textAlignment w:val="baseline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both"/>
        <w:textAlignment w:val="baseline"/>
        <w:rPr>
          <w:rFonts w:hint="eastAsia" w:ascii="宋体" w:hAnsi="宋体"/>
          <w:sz w:val="52"/>
          <w:szCs w:val="52"/>
        </w:rPr>
      </w:pPr>
    </w:p>
    <w:p>
      <w:pPr>
        <w:spacing w:line="360" w:lineRule="auto"/>
        <w:jc w:val="center"/>
        <w:textAlignment w:val="baseline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center"/>
        <w:textAlignment w:val="baseline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center"/>
        <w:textAlignment w:val="baseline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灵环建[202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]</w:t>
      </w:r>
      <w:r>
        <w:rPr>
          <w:rFonts w:hint="eastAsia" w:ascii="宋体" w:hAnsi="宋体"/>
          <w:sz w:val="30"/>
          <w:szCs w:val="30"/>
          <w:lang w:val="en-US" w:eastAsia="zh-CN"/>
        </w:rPr>
        <w:t>13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360" w:lineRule="auto"/>
        <w:jc w:val="center"/>
        <w:textAlignment w:val="baseline"/>
        <w:rPr>
          <w:rFonts w:hint="eastAsia" w:ascii="仿宋_GB2312" w:eastAsia="仿宋_GB2312"/>
          <w:sz w:val="13"/>
          <w:szCs w:val="1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安徽豆果果食品有限公司深加工项目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环境影响报告表审批意见的函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20" w:lineRule="exact"/>
        <w:jc w:val="center"/>
        <w:textAlignment w:val="auto"/>
        <w:rPr>
          <w:rFonts w:hint="eastAsia" w:ascii="宋体" w:hAnsi="宋体" w:cs="宋体"/>
          <w:sz w:val="15"/>
          <w:szCs w:val="15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安徽豆果果食品有限公司：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你公司报送的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《安徽豆果果食品有限公司深加工项目环境影响报告表》（以下简称《报告表》）收悉。根据该项目环评报告结论和专家审查意见,经研究批复如下:</w:t>
      </w:r>
    </w:p>
    <w:p>
      <w:pPr>
        <w:keepNext w:val="0"/>
        <w:keepLines w:val="0"/>
        <w:pageBreakBefore w:val="0"/>
        <w:tabs>
          <w:tab w:val="left" w:pos="67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Times New Roman"/>
          <w:sz w:val="32"/>
          <w:szCs w:val="32"/>
        </w:rPr>
        <w:t>原则同意《报告表》评价结论。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安徽豆果果食品有限公司</w:t>
      </w:r>
      <w:r>
        <w:rPr>
          <w:rFonts w:hint="eastAsia" w:ascii="仿宋" w:hAnsi="仿宋" w:eastAsia="仿宋" w:cs="Times New Roman"/>
          <w:sz w:val="32"/>
          <w:szCs w:val="32"/>
        </w:rPr>
        <w:t>在安徽省宿州市灵璧县娄庄镇娄北村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拟投资1500万元进行改建，在原厂址新增用地面积约3.6亩，改建后用地面积总计约4750m</w:t>
      </w:r>
      <w:r>
        <w:rPr>
          <w:rFonts w:hint="eastAsia" w:ascii="仿宋" w:hAnsi="仿宋" w:eastAsia="仿宋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，新建1座标准化厂房，购置千张机、豆腐流水线、豆干流水线、打包机等生产设备。项目建成后，可年产200t豆皮、200t豆腐、200t豆干、200t香干、150t素鸡、100t素牛肉、100t方干、150t豆泡、1000t豆芽的生产能力。</w:t>
      </w: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Times New Roman"/>
          <w:sz w:val="32"/>
          <w:szCs w:val="32"/>
        </w:rPr>
        <w:t>经灵璧县发展和改革委员会予以备案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项目代码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2312-341323-04-04-386056）</w:t>
      </w:r>
      <w:r>
        <w:rPr>
          <w:rFonts w:hint="eastAsia" w:ascii="仿宋" w:hAnsi="仿宋" w:eastAsia="仿宋" w:cs="Times New Roman"/>
          <w:sz w:val="32"/>
          <w:szCs w:val="32"/>
        </w:rPr>
        <w:t>。从生态</w:t>
      </w:r>
      <w:r>
        <w:rPr>
          <w:rFonts w:hint="eastAsia" w:ascii="仿宋_GB2312" w:hAnsi="宋体" w:eastAsia="仿宋_GB2312"/>
          <w:sz w:val="32"/>
        </w:rPr>
        <w:t>环境保护角度，</w:t>
      </w:r>
      <w:r>
        <w:rPr>
          <w:rFonts w:ascii="仿宋_GB2312" w:hAnsi="宋体" w:eastAsia="仿宋_GB2312"/>
          <w:sz w:val="32"/>
        </w:rPr>
        <w:t>同意</w:t>
      </w:r>
      <w:r>
        <w:rPr>
          <w:rFonts w:hint="eastAsia" w:ascii="仿宋_GB2312" w:hAnsi="宋体" w:eastAsia="仿宋_GB2312"/>
          <w:sz w:val="32"/>
        </w:rPr>
        <w:t>该项目按《报告表》中所列</w:t>
      </w:r>
      <w:r>
        <w:rPr>
          <w:rFonts w:hint="eastAsia" w:ascii="仿宋" w:hAnsi="仿宋" w:eastAsia="仿宋"/>
          <w:sz w:val="32"/>
          <w:szCs w:val="32"/>
        </w:rPr>
        <w:t>工程性质、规</w:t>
      </w:r>
      <w:r>
        <w:rPr>
          <w:rFonts w:hint="eastAsia" w:ascii="仿宋_GB2312" w:hAnsi="宋体" w:eastAsia="仿宋_GB2312"/>
          <w:sz w:val="32"/>
          <w:szCs w:val="32"/>
        </w:rPr>
        <w:t>模、内容、地点、采取的工艺和污染防治措施等进行建设。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kern w:val="0"/>
          <w:sz w:val="32"/>
          <w:szCs w:val="32"/>
          <w:lang w:bidi="ar"/>
        </w:rPr>
        <w:t>二、建设单位必须严格执行环境保护“三同时”制度，认真落实《报告书》提出的各项污染防治措施，确保相关的环境保护设施与主体工程同时设计、同时施工、同时投入使用。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kern w:val="0"/>
          <w:sz w:val="32"/>
          <w:szCs w:val="32"/>
          <w:lang w:bidi="ar"/>
        </w:rPr>
        <w:t>三、项目建设及运营过程中应重点落实以下要求：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</w:rPr>
        <w:t>强化施工期环境管理。合理安排施工时间，优化施工工艺，严格控制施工机械和车辆运输扬尘及噪声等环境影响，</w:t>
      </w:r>
      <w:r>
        <w:rPr>
          <w:rFonts w:hint="eastAsia" w:ascii="仿宋" w:hAnsi="仿宋" w:eastAsia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/>
          <w:sz w:val="32"/>
          <w:szCs w:val="32"/>
        </w:rPr>
        <w:t>加强施工期场地、物料的管理，落实扬尘污染防治措施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 xml:space="preserve">严格控制不利环境影响，防止施工造成环境污染或生态破坏。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严格落实《报告表》提出的各项废气治理措施，加强废气收集和处理设施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的日常维护和管理，确保达标排放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生物质燃烧废气收集后依托现有布袋除尘器处理后由25m高排气筒排放；污水处理站各单元池进行加盖通过管道收集产生的废气后，经生物除臭塔处理后通过15m高排气筒排放；煮制废气、卤制废气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通过排气扇采取通风换气的方式无组织排放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油炸油烟废气经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油烟净化器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净化处理后通过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15m高排气筒排放；食堂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油烟废气由烟罩收集后，经油烟净化装置处理后由烟道排放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kern w:val="0"/>
          <w:sz w:val="32"/>
          <w:szCs w:val="32"/>
          <w:lang w:bidi="ar"/>
        </w:rPr>
        <w:t>各项废气处理设施的处理效率不得低于《报告表》中所列要求。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/>
          <w:kern w:val="0"/>
          <w:sz w:val="32"/>
          <w:szCs w:val="32"/>
          <w:lang w:bidi="ar"/>
        </w:rPr>
        <w:t>加强污水处理设施的日常运维及</w:t>
      </w:r>
      <w:r>
        <w:rPr>
          <w:rFonts w:hint="eastAsia" w:ascii="仿宋" w:hAnsi="仿宋" w:eastAsia="仿宋" w:cs="Times New Roman"/>
          <w:kern w:val="0"/>
          <w:sz w:val="32"/>
          <w:szCs w:val="32"/>
          <w:lang w:bidi="ar"/>
        </w:rPr>
        <w:t>管理工作，项目生产废水经污水处理设施（混凝沉淀+A/O工艺）处理后，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用</w:t>
      </w:r>
      <w:r>
        <w:rPr>
          <w:rFonts w:hint="eastAsia" w:ascii="仿宋" w:hAnsi="仿宋" w:eastAsia="仿宋" w:cs="Times New Roman"/>
          <w:kern w:val="0"/>
          <w:sz w:val="32"/>
          <w:szCs w:val="32"/>
          <w:lang w:bidi="ar"/>
        </w:rPr>
        <w:t>污水泵车定期抽送至娄庄镇污水处理厂，生活污水经化粪池处理后定期由污</w:t>
      </w:r>
      <w:r>
        <w:rPr>
          <w:rFonts w:hint="eastAsia" w:ascii="仿宋" w:hAnsi="仿宋" w:eastAsia="仿宋" w:cs="仿宋"/>
          <w:sz w:val="32"/>
          <w:szCs w:val="32"/>
        </w:rPr>
        <w:t>水泵车抽送至娄庄镇污水处理厂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废水排入娄庄镇污水处理厂前执行娄庄镇污水处理厂接管标准及</w:t>
      </w:r>
      <w:r>
        <w:rPr>
          <w:rFonts w:hint="default" w:ascii="仿宋" w:hAnsi="仿宋" w:eastAsia="仿宋" w:cs="仿宋"/>
          <w:sz w:val="32"/>
          <w:szCs w:val="32"/>
        </w:rPr>
        <w:t>《污水综合排放标准》（GB8978-1996）三级标准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</w:t>
      </w:r>
      <w:r>
        <w:rPr>
          <w:rFonts w:hint="eastAsia" w:ascii="仿宋" w:hAnsi="仿宋" w:eastAsia="仿宋"/>
          <w:kern w:val="0"/>
          <w:sz w:val="32"/>
          <w:szCs w:val="32"/>
          <w:lang w:bidi="ar"/>
        </w:rPr>
        <w:t>格</w:t>
      </w:r>
      <w:r>
        <w:rPr>
          <w:rFonts w:hint="eastAsia" w:ascii="仿宋" w:hAnsi="仿宋" w:eastAsia="仿宋" w:cs="仿宋"/>
          <w:sz w:val="32"/>
          <w:szCs w:val="32"/>
        </w:rPr>
        <w:t>按照相关技术规范要求，切实做好厂区防渗，防止地下水及土壤污染。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highlight w:val="none"/>
        </w:rPr>
        <w:t>项目运行产生的固体废物应按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highlight w:val="none"/>
        </w:rPr>
        <w:t>报告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表》</w:t>
      </w:r>
      <w:r>
        <w:rPr>
          <w:rFonts w:hint="eastAsia" w:ascii="仿宋" w:hAnsi="仿宋" w:eastAsia="仿宋"/>
          <w:sz w:val="32"/>
          <w:szCs w:val="32"/>
          <w:highlight w:val="none"/>
        </w:rPr>
        <w:t>要求落实分类收集、储存、运输及处置措施，固废暂存场所应按规范建设，设置防雨、防渗、防晒、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防流失等措施，避免产生二次污染。</w:t>
      </w:r>
      <w:r>
        <w:rPr>
          <w:rFonts w:hint="default" w:ascii="仿宋" w:hAnsi="仿宋" w:eastAsia="仿宋" w:cs="Times New Roman"/>
          <w:sz w:val="32"/>
          <w:szCs w:val="32"/>
          <w:highlight w:val="none"/>
        </w:rPr>
        <w:t>生活垃圾妥善分类收集，交由环卫部门统一处理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；废包装材料、布袋除尘器收尘、生物质锅炉灰渣、豆渣收集后外售综合利用；废卤料、污泥、油烟净化器的废过滤网交由</w:t>
      </w:r>
      <w:r>
        <w:rPr>
          <w:rFonts w:hint="default" w:ascii="仿宋" w:hAnsi="仿宋" w:eastAsia="仿宋" w:cs="Times New Roman"/>
          <w:sz w:val="32"/>
          <w:szCs w:val="32"/>
          <w:highlight w:val="none"/>
        </w:rPr>
        <w:t>环卫部门统一处理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；废油脂、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废植物油及废植物油桶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交由废油回收单位进行规范化处理</w:t>
      </w:r>
      <w:r>
        <w:rPr>
          <w:rFonts w:hint="default" w:ascii="仿宋" w:hAnsi="仿宋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落实《报告表》提出的噪声污染防治措施。优先选用低噪声设备，并采取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隔声、减震、绿化吸声及加强管理等处理措施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，确保厂界噪声执行工业企业厂界环境噪声排放标准》（GB12348-2008）中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highlight w:val="none"/>
        </w:rPr>
        <w:t>强化环境风险防范和应急措施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制定环境风险应急预案</w:t>
      </w:r>
      <w:r>
        <w:rPr>
          <w:rFonts w:hint="eastAsia" w:ascii="仿宋" w:hAnsi="仿宋" w:eastAsia="仿宋"/>
          <w:sz w:val="32"/>
          <w:szCs w:val="32"/>
          <w:highlight w:val="none"/>
        </w:rPr>
        <w:t>并报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生态环境</w:t>
      </w:r>
      <w:r>
        <w:rPr>
          <w:rFonts w:hint="eastAsia" w:ascii="仿宋" w:hAnsi="仿宋" w:eastAsia="仿宋"/>
          <w:sz w:val="32"/>
          <w:szCs w:val="32"/>
          <w:highlight w:val="none"/>
        </w:rPr>
        <w:t>部门备案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全面落实环境风险事故防范措施，配备事故应急设施、物资和器材，定期进行应急培训和演练，有效防范和应对环境风险。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highlight w:val="none"/>
        </w:rPr>
        <w:t>在工程施工和运营过程中，应建立畅通的公众参与平台，及时解决公众提出的环境问题，满足公众合理的环境保护要求；建立健全内部环境管理机制，制定完善的环保规章制度和企业环境管理体系，</w:t>
      </w:r>
      <w:r>
        <w:rPr>
          <w:rFonts w:hint="eastAsia" w:ascii="仿宋" w:hAnsi="仿宋" w:eastAsia="仿宋"/>
          <w:sz w:val="32"/>
          <w:szCs w:val="32"/>
          <w:lang w:eastAsia="zh-CN"/>
        </w:rPr>
        <w:t>设立环保标识标牌，规范设置排污口。</w:t>
      </w:r>
      <w:r>
        <w:rPr>
          <w:rFonts w:hint="eastAsia" w:ascii="仿宋" w:hAnsi="仿宋" w:eastAsia="仿宋"/>
          <w:sz w:val="32"/>
          <w:szCs w:val="32"/>
          <w:highlight w:val="none"/>
        </w:rPr>
        <w:t>落实《报告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  <w:highlight w:val="none"/>
        </w:rPr>
        <w:t>》提出的环境监测计划，定期开展监测，并及时进行相关信息公开。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highlight w:val="none"/>
        </w:rPr>
        <w:t>做好与排污许可证申领的衔接，将批准的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highlight w:val="none"/>
        </w:rPr>
        <w:t>报告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highlight w:val="none"/>
        </w:rPr>
        <w:t>中环境保护措施、污染物排放清单及其他有关内容，按照排污许可技术规范要求，载入排污许可证。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项目环境影响评价文件经批准后，如工程的性质、规模、工艺、地点或者防治污染、防止生态破坏的措施发生重大变动的，你公司应当重新报批环境影响评价文件，否则不得建设。自环评批复文件批准之日起，如工程超过五年未开工建设，环境影响评价文件应当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五、项目竣工后须按照规定的程序进行竣工环保验收，经验收合格后方可正式投入使用。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六、请灵璧县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生态环境保护综合行政执法大队</w:t>
      </w:r>
      <w:r>
        <w:rPr>
          <w:rFonts w:hint="eastAsia" w:ascii="仿宋" w:hAnsi="仿宋" w:eastAsia="仿宋" w:cs="仿宋"/>
          <w:sz w:val="32"/>
          <w:szCs w:val="32"/>
        </w:rPr>
        <w:t>负责该项目日常监管工作，并将监管过程中出现的重大情况及时上报我局。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宿州市灵璧县生态环境分局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32"/>
          <w:szCs w:val="32"/>
          <w:u w:val="thick"/>
        </w:rPr>
      </w:pP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                                                               </w:t>
      </w:r>
    </w:p>
    <w:p>
      <w:pPr>
        <w:autoSpaceDN w:val="0"/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灵璧县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生态环境保护综合行政执法大队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，安徽沄湍环境科技有限公司。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宿州市</w:t>
      </w:r>
      <w:r>
        <w:rPr>
          <w:rFonts w:hint="eastAsia" w:ascii="仿宋" w:hAnsi="仿宋" w:eastAsia="仿宋"/>
          <w:sz w:val="32"/>
          <w:szCs w:val="32"/>
          <w:u w:val="thick"/>
          <w:lang w:val="en-US" w:eastAsia="zh-CN"/>
        </w:rPr>
        <w:t>灵璧县</w:t>
      </w:r>
      <w:r>
        <w:rPr>
          <w:rFonts w:hint="eastAsia" w:ascii="仿宋" w:hAnsi="仿宋" w:eastAsia="仿宋"/>
          <w:sz w:val="32"/>
          <w:szCs w:val="32"/>
          <w:u w:val="thick"/>
        </w:rPr>
        <w:t>生态环境</w:t>
      </w:r>
      <w:r>
        <w:rPr>
          <w:rFonts w:hint="eastAsia" w:ascii="仿宋" w:hAnsi="仿宋" w:eastAsia="仿宋"/>
          <w:sz w:val="32"/>
          <w:szCs w:val="32"/>
          <w:u w:val="thick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  <w:u w:val="thick"/>
        </w:rPr>
        <w:t>局办公室  202</w:t>
      </w:r>
      <w:r>
        <w:rPr>
          <w:rFonts w:hint="eastAsia" w:ascii="仿宋" w:hAnsi="仿宋" w:eastAsia="仿宋"/>
          <w:sz w:val="32"/>
          <w:szCs w:val="32"/>
          <w:u w:val="thick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thick"/>
        </w:rPr>
        <w:t>年</w:t>
      </w:r>
      <w:r>
        <w:rPr>
          <w:rFonts w:hint="eastAsia" w:ascii="仿宋" w:hAnsi="仿宋" w:eastAsia="仿宋"/>
          <w:sz w:val="32"/>
          <w:szCs w:val="32"/>
          <w:u w:val="thick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u w:val="thick"/>
        </w:rPr>
        <w:t>月</w:t>
      </w:r>
      <w:r>
        <w:rPr>
          <w:rFonts w:hint="eastAsia" w:ascii="仿宋" w:hAnsi="仿宋" w:eastAsia="仿宋"/>
          <w:sz w:val="32"/>
          <w:szCs w:val="32"/>
          <w:u w:val="thick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-180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2JkM2FjZjI5ODA3OWNlZTgyNzVkZTY5Zjk0OTYifQ=="/>
  </w:docVars>
  <w:rsids>
    <w:rsidRoot w:val="1EDC6B5F"/>
    <w:rsid w:val="02D83AC7"/>
    <w:rsid w:val="0EE2665D"/>
    <w:rsid w:val="1557497C"/>
    <w:rsid w:val="156B2891"/>
    <w:rsid w:val="15A90CD8"/>
    <w:rsid w:val="1EDC6B5F"/>
    <w:rsid w:val="1F096E94"/>
    <w:rsid w:val="21AB2FC8"/>
    <w:rsid w:val="230E732F"/>
    <w:rsid w:val="24E645FE"/>
    <w:rsid w:val="270933F2"/>
    <w:rsid w:val="2CBC341C"/>
    <w:rsid w:val="2DDC0C68"/>
    <w:rsid w:val="30510697"/>
    <w:rsid w:val="31085E6D"/>
    <w:rsid w:val="3923084B"/>
    <w:rsid w:val="3CFA54FF"/>
    <w:rsid w:val="408E2E10"/>
    <w:rsid w:val="4B28235C"/>
    <w:rsid w:val="4DA0482B"/>
    <w:rsid w:val="506B28C6"/>
    <w:rsid w:val="5AA03AFB"/>
    <w:rsid w:val="5FC8455B"/>
    <w:rsid w:val="603A015B"/>
    <w:rsid w:val="6808100B"/>
    <w:rsid w:val="73D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9"/>
    <w:pPr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4">
    <w:name w:val="Normal Indent"/>
    <w:basedOn w:val="1"/>
    <w:next w:val="5"/>
    <w:autoRedefine/>
    <w:qFormat/>
    <w:uiPriority w:val="99"/>
    <w:pPr>
      <w:ind w:firstLine="420" w:firstLineChars="200"/>
    </w:pPr>
  </w:style>
  <w:style w:type="paragraph" w:styleId="5">
    <w:name w:val="Body Text First Indent 2"/>
    <w:basedOn w:val="1"/>
    <w:next w:val="1"/>
    <w:autoRedefine/>
    <w:qFormat/>
    <w:uiPriority w:val="0"/>
    <w:pPr>
      <w:ind w:firstLine="420"/>
    </w:pPr>
  </w:style>
  <w:style w:type="paragraph" w:styleId="6">
    <w:name w:val="Body Text"/>
    <w:basedOn w:val="1"/>
    <w:next w:val="7"/>
    <w:autoRedefine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7">
    <w:name w:val="xl27"/>
    <w:basedOn w:val="1"/>
    <w:next w:val="1"/>
    <w:autoRedefine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-18030" w:hAnsi="???-18030" w:cs="???-18030"/>
      <w:kern w:val="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文本"/>
    <w:basedOn w:val="1"/>
    <w:autoRedefine/>
    <w:qFormat/>
    <w:uiPriority w:val="0"/>
    <w:pPr>
      <w:adjustRightInd w:val="0"/>
      <w:snapToGrid w:val="0"/>
      <w:spacing w:line="360" w:lineRule="auto"/>
      <w:ind w:firstLine="7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1528</Characters>
  <Lines>0</Lines>
  <Paragraphs>0</Paragraphs>
  <TotalTime>178</TotalTime>
  <ScaleCrop>false</ScaleCrop>
  <LinksUpToDate>false</LinksUpToDate>
  <CharactersWithSpaces>1557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2022-09-17T08:24:00Z</dcterms:created>
  <dc:creator>风轻云淡</dc:creator>
  <cp:lastModifiedBy>风轻云淡</cp:lastModifiedBy>
  <cp:lastPrinted>2024-05-16T06:40:39Z</cp:lastPrinted>
  <dcterms:modified xsi:type="dcterms:W3CDTF">2024-05-16T06:51:52Z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A27706C3F8994237BF0A4D293F339822</vt:lpwstr>
  </property>
</Properties>
</file>