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3"/>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auto"/>
        <w:jc w:val="center"/>
        <w:textAlignment w:val="auto"/>
        <w:outlineLvl w:val="0"/>
        <w:rPr>
          <w:rFonts w:hint="eastAsia" w:ascii="宋体" w:hAnsi="宋体" w:eastAsia="宋体" w:cs="宋体"/>
          <w:b/>
          <w:bCs/>
          <w:snapToGrid w:val="0"/>
          <w:color w:val="000000" w:themeColor="text1"/>
          <w:sz w:val="30"/>
          <w:szCs w:val="30"/>
          <w14:textFill>
            <w14:solidFill>
              <w14:schemeClr w14:val="tx1"/>
            </w14:solidFill>
          </w14:textFill>
        </w:rPr>
      </w:pPr>
      <w:r>
        <w:rPr>
          <w:rFonts w:hint="eastAsia" w:ascii="宋体" w:hAnsi="宋体" w:eastAsia="宋体" w:cs="宋体"/>
          <w:b/>
          <w:bCs/>
          <w:snapToGrid w:val="0"/>
          <w:color w:val="000000" w:themeColor="text1"/>
          <w:sz w:val="30"/>
          <w:szCs w:val="30"/>
          <w14:textFill>
            <w14:solidFill>
              <w14:schemeClr w14:val="tx1"/>
            </w14:solidFill>
          </w14:textFill>
        </w:rPr>
        <w:t>一、建设项目基本情况</w:t>
      </w:r>
    </w:p>
    <w:tbl>
      <w:tblPr>
        <w:tblStyle w:val="25"/>
        <w:tblW w:w="8808"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655"/>
        <w:gridCol w:w="1118"/>
        <w:gridCol w:w="1942"/>
        <w:gridCol w:w="2100"/>
        <w:gridCol w:w="299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773" w:type="dxa"/>
            <w:gridSpan w:val="2"/>
            <w:tcBorders>
              <w:tl2br w:val="nil"/>
              <w:tr2bl w:val="nil"/>
            </w:tcBorders>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jc w:val="center"/>
              <w:textAlignment w:val="auto"/>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z w:val="24"/>
                <w:szCs w:val="24"/>
                <w14:textFill>
                  <w14:solidFill>
                    <w14:schemeClr w14:val="tx1"/>
                  </w14:solidFill>
                </w14:textFill>
              </w:rPr>
              <w:t>建设项目名称</w:t>
            </w:r>
          </w:p>
        </w:tc>
        <w:tc>
          <w:tcPr>
            <w:tcW w:w="7035" w:type="dxa"/>
            <w:gridSpan w:val="3"/>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高端精密轴承钢球加工项目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773" w:type="dxa"/>
            <w:gridSpan w:val="2"/>
            <w:tcBorders>
              <w:tl2br w:val="nil"/>
              <w:tr2bl w:val="nil"/>
            </w:tcBorders>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jc w:val="center"/>
              <w:textAlignment w:val="auto"/>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14:textFill>
                  <w14:solidFill>
                    <w14:schemeClr w14:val="tx1"/>
                  </w14:solidFill>
                </w14:textFill>
              </w:rPr>
              <w:t>项目代码</w:t>
            </w:r>
          </w:p>
        </w:tc>
        <w:tc>
          <w:tcPr>
            <w:tcW w:w="7035" w:type="dxa"/>
            <w:gridSpan w:val="3"/>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2307-341323-04-01-886225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773" w:type="dxa"/>
            <w:gridSpan w:val="2"/>
            <w:tcBorders>
              <w:tl2br w:val="nil"/>
              <w:tr2bl w:val="nil"/>
            </w:tcBorders>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jc w:val="center"/>
              <w:textAlignment w:val="auto"/>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z w:val="24"/>
                <w:szCs w:val="24"/>
                <w14:textFill>
                  <w14:solidFill>
                    <w14:schemeClr w14:val="tx1"/>
                  </w14:solidFill>
                </w14:textFill>
              </w:rPr>
              <w:t>建设单位联系人</w:t>
            </w:r>
          </w:p>
        </w:tc>
        <w:tc>
          <w:tcPr>
            <w:tcW w:w="1942"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eastAsia" w:cs="Times New Roman"/>
                <w:color w:val="000000" w:themeColor="text1"/>
                <w:sz w:val="24"/>
                <w:szCs w:val="24"/>
                <w:lang w:eastAsia="zh-CN"/>
                <w14:textFill>
                  <w14:solidFill>
                    <w14:schemeClr w14:val="tx1"/>
                  </w14:solidFill>
                </w14:textFill>
              </w:rPr>
              <w:t>黄煦</w:t>
            </w:r>
          </w:p>
        </w:tc>
        <w:tc>
          <w:tcPr>
            <w:tcW w:w="2100"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联系方式</w:t>
            </w:r>
          </w:p>
        </w:tc>
        <w:tc>
          <w:tcPr>
            <w:tcW w:w="2993"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15720688055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773" w:type="dxa"/>
            <w:gridSpan w:val="2"/>
            <w:tcBorders>
              <w:tl2br w:val="nil"/>
              <w:tr2bl w:val="nil"/>
            </w:tcBorders>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jc w:val="center"/>
              <w:textAlignment w:val="auto"/>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z w:val="24"/>
                <w:szCs w:val="24"/>
                <w14:textFill>
                  <w14:solidFill>
                    <w14:schemeClr w14:val="tx1"/>
                  </w14:solidFill>
                </w14:textFill>
              </w:rPr>
              <w:t>建设地点</w:t>
            </w:r>
          </w:p>
        </w:tc>
        <w:tc>
          <w:tcPr>
            <w:tcW w:w="7035" w:type="dxa"/>
            <w:gridSpan w:val="3"/>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u w:val="single"/>
                <w:lang w:eastAsia="zh-CN"/>
                <w14:textFill>
                  <w14:solidFill>
                    <w14:schemeClr w14:val="tx1"/>
                  </w14:solidFill>
                </w14:textFill>
              </w:rPr>
              <w:t>安徽</w:t>
            </w:r>
            <w:r>
              <w:rPr>
                <w:rFonts w:hint="default" w:ascii="Times New Roman" w:hAnsi="Times New Roman" w:eastAsia="宋体" w:cs="Times New Roman"/>
                <w:color w:val="000000" w:themeColor="text1"/>
                <w:sz w:val="24"/>
                <w:szCs w:val="24"/>
                <w14:textFill>
                  <w14:solidFill>
                    <w14:schemeClr w14:val="tx1"/>
                  </w14:solidFill>
                </w14:textFill>
              </w:rPr>
              <w:t>省（自治区）</w:t>
            </w:r>
            <w:r>
              <w:rPr>
                <w:rFonts w:hint="default" w:ascii="Times New Roman" w:hAnsi="Times New Roman" w:eastAsia="宋体" w:cs="Times New Roman"/>
                <w:color w:val="000000" w:themeColor="text1"/>
                <w:sz w:val="24"/>
                <w:szCs w:val="24"/>
                <w:u w:val="single"/>
                <w:lang w:eastAsia="zh-CN"/>
                <w14:textFill>
                  <w14:solidFill>
                    <w14:schemeClr w14:val="tx1"/>
                  </w14:solidFill>
                </w14:textFill>
              </w:rPr>
              <w:t>宿州</w:t>
            </w:r>
            <w:r>
              <w:rPr>
                <w:rFonts w:hint="default" w:ascii="Times New Roman" w:hAnsi="Times New Roman" w:eastAsia="宋体" w:cs="Times New Roman"/>
                <w:color w:val="000000" w:themeColor="text1"/>
                <w:sz w:val="24"/>
                <w:szCs w:val="24"/>
                <w14:textFill>
                  <w14:solidFill>
                    <w14:schemeClr w14:val="tx1"/>
                  </w14:solidFill>
                </w14:textFill>
              </w:rPr>
              <w:t>市</w:t>
            </w:r>
            <w:r>
              <w:rPr>
                <w:rFonts w:hint="eastAsia" w:cs="Times New Roman"/>
                <w:color w:val="000000" w:themeColor="text1"/>
                <w:sz w:val="24"/>
                <w:szCs w:val="24"/>
                <w:u w:val="single"/>
                <w:lang w:eastAsia="zh-CN"/>
                <w14:textFill>
                  <w14:solidFill>
                    <w14:schemeClr w14:val="tx1"/>
                  </w14:solidFill>
                </w14:textFill>
              </w:rPr>
              <w:t>灵璧</w:t>
            </w:r>
            <w:r>
              <w:rPr>
                <w:rFonts w:hint="default" w:ascii="Times New Roman" w:hAnsi="Times New Roman" w:eastAsia="宋体" w:cs="Times New Roman"/>
                <w:color w:val="000000" w:themeColor="text1"/>
                <w:sz w:val="24"/>
                <w:szCs w:val="24"/>
                <w14:textFill>
                  <w14:solidFill>
                    <w14:schemeClr w14:val="tx1"/>
                  </w14:solidFill>
                </w14:textFill>
              </w:rPr>
              <w:t>县（区）</w:t>
            </w:r>
            <w:r>
              <w:rPr>
                <w:rFonts w:hint="eastAsia" w:cs="Times New Roman"/>
                <w:color w:val="000000" w:themeColor="text1"/>
                <w:sz w:val="24"/>
                <w:szCs w:val="24"/>
                <w:u w:val="single"/>
                <w:lang w:eastAsia="zh-CN"/>
                <w14:textFill>
                  <w14:solidFill>
                    <w14:schemeClr w14:val="tx1"/>
                  </w14:solidFill>
                </w14:textFill>
              </w:rPr>
              <w:t>经济</w:t>
            </w:r>
            <w:r>
              <w:rPr>
                <w:rFonts w:hint="default" w:ascii="Times New Roman" w:hAnsi="Times New Roman" w:eastAsia="宋体" w:cs="Times New Roman"/>
                <w:color w:val="000000" w:themeColor="text1"/>
                <w:sz w:val="24"/>
                <w:szCs w:val="24"/>
                <w:u w:val="single"/>
                <w14:textFill>
                  <w14:solidFill>
                    <w14:schemeClr w14:val="tx1"/>
                  </w14:solidFill>
                </w14:textFill>
              </w:rPr>
              <w:t>开发区轴承产业园</w:t>
            </w:r>
            <w:r>
              <w:rPr>
                <w:rFonts w:hint="eastAsia" w:cs="Times New Roman"/>
                <w:color w:val="000000" w:themeColor="text1"/>
                <w:sz w:val="24"/>
                <w:szCs w:val="24"/>
                <w:u w:val="single"/>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u w:val="single"/>
                <w14:textFill>
                  <w14:solidFill>
                    <w14:schemeClr w14:val="tx1"/>
                  </w14:solidFill>
                </w14:textFill>
              </w:rPr>
              <w:t>期</w:t>
            </w:r>
            <w:r>
              <w:rPr>
                <w:rFonts w:hint="eastAsia" w:cs="Times New Roman"/>
                <w:color w:val="000000" w:themeColor="text1"/>
                <w:sz w:val="24"/>
                <w:szCs w:val="24"/>
                <w:u w:val="single"/>
                <w:lang w:val="en-US" w:eastAsia="zh-CN"/>
                <w14:textFill>
                  <w14:solidFill>
                    <w14:schemeClr w14:val="tx1"/>
                  </w14:solidFill>
                </w14:textFill>
              </w:rPr>
              <w:t>10</w:t>
            </w:r>
            <w:r>
              <w:rPr>
                <w:rFonts w:hint="default" w:ascii="Times New Roman" w:hAnsi="Times New Roman" w:eastAsia="宋体" w:cs="Times New Roman"/>
                <w:color w:val="000000" w:themeColor="text1"/>
                <w:sz w:val="24"/>
                <w:szCs w:val="24"/>
                <w:u w:val="single"/>
                <w14:textFill>
                  <w14:solidFill>
                    <w14:schemeClr w14:val="tx1"/>
                  </w14:solidFill>
                </w14:textFill>
              </w:rPr>
              <w:t>号厂房</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773" w:type="dxa"/>
            <w:gridSpan w:val="2"/>
            <w:tcBorders>
              <w:tl2br w:val="nil"/>
              <w:tr2bl w:val="nil"/>
            </w:tcBorders>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jc w:val="center"/>
              <w:textAlignment w:val="auto"/>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z w:val="24"/>
                <w:szCs w:val="24"/>
                <w14:textFill>
                  <w14:solidFill>
                    <w14:schemeClr w14:val="tx1"/>
                  </w14:solidFill>
                </w14:textFill>
              </w:rPr>
              <w:t>地理坐标</w:t>
            </w:r>
          </w:p>
        </w:tc>
        <w:tc>
          <w:tcPr>
            <w:tcW w:w="7035" w:type="dxa"/>
            <w:gridSpan w:val="3"/>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cs="宋体"/>
                <w:color w:val="000000" w:themeColor="text1"/>
                <w:sz w:val="24"/>
                <w:szCs w:val="24"/>
                <w:lang w:eastAsia="zh-CN"/>
                <w14:textFill>
                  <w14:solidFill>
                    <w14:schemeClr w14:val="tx1"/>
                  </w14:solidFill>
                </w14:textFill>
              </w:rPr>
              <w:t>经度</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Times New Roman" w:hAnsi="Times New Roman" w:eastAsia="宋体" w:cs="Times New Roman"/>
                <w:color w:val="000000" w:themeColor="text1"/>
                <w:sz w:val="24"/>
                <w:szCs w:val="24"/>
                <w:u w:val="single"/>
                <w:lang w:val="en-US" w:eastAsia="zh-CN"/>
                <w14:textFill>
                  <w14:solidFill>
                    <w14:schemeClr w14:val="tx1"/>
                  </w14:solidFill>
                </w14:textFill>
              </w:rPr>
              <w:t>117</w:t>
            </w:r>
            <w:r>
              <w:rPr>
                <w:rFonts w:hint="default" w:ascii="Times New Roman" w:hAnsi="Times New Roman" w:eastAsia="宋体" w:cs="Times New Roman"/>
                <w:color w:val="000000" w:themeColor="text1"/>
                <w:sz w:val="24"/>
                <w:szCs w:val="24"/>
                <w14:textFill>
                  <w14:solidFill>
                    <w14:schemeClr w14:val="tx1"/>
                  </w14:solidFill>
                </w14:textFill>
              </w:rPr>
              <w:t>度</w:t>
            </w:r>
            <w:r>
              <w:rPr>
                <w:rFonts w:hint="default" w:ascii="Times New Roman" w:hAnsi="Times New Roman" w:eastAsia="宋体" w:cs="Times New Roman"/>
                <w:color w:val="000000" w:themeColor="text1"/>
                <w:sz w:val="24"/>
                <w:szCs w:val="24"/>
                <w:u w:val="single"/>
                <w14:textFill>
                  <w14:solidFill>
                    <w14:schemeClr w14:val="tx1"/>
                  </w14:solidFill>
                </w14:textFill>
              </w:rPr>
              <w:t xml:space="preserve"> </w:t>
            </w:r>
            <w:r>
              <w:rPr>
                <w:rFonts w:hint="eastAsia" w:cs="Times New Roman"/>
                <w:color w:val="000000" w:themeColor="text1"/>
                <w:sz w:val="24"/>
                <w:szCs w:val="24"/>
                <w:u w:val="single"/>
                <w:lang w:val="en-US" w:eastAsia="zh-CN"/>
                <w14:textFill>
                  <w14:solidFill>
                    <w14:schemeClr w14:val="tx1"/>
                  </w14:solidFill>
                </w14:textFill>
              </w:rPr>
              <w:t>32</w:t>
            </w:r>
            <w:r>
              <w:rPr>
                <w:rFonts w:hint="default" w:ascii="Times New Roman" w:hAnsi="Times New Roman" w:eastAsia="宋体" w:cs="Times New Roman"/>
                <w:color w:val="000000" w:themeColor="text1"/>
                <w:sz w:val="24"/>
                <w:szCs w:val="24"/>
                <w:u w:val="single"/>
                <w14:textFill>
                  <w14:solidFill>
                    <w14:schemeClr w14:val="tx1"/>
                  </w14:solidFill>
                </w14:textFill>
              </w:rPr>
              <w:t xml:space="preserve"> </w:t>
            </w:r>
            <w:r>
              <w:rPr>
                <w:rFonts w:hint="default" w:ascii="Times New Roman" w:hAnsi="Times New Roman" w:eastAsia="宋体" w:cs="Times New Roman"/>
                <w:color w:val="000000" w:themeColor="text1"/>
                <w:sz w:val="24"/>
                <w:szCs w:val="24"/>
                <w14:textFill>
                  <w14:solidFill>
                    <w14:schemeClr w14:val="tx1"/>
                  </w14:solidFill>
                </w14:textFill>
              </w:rPr>
              <w:t>分</w:t>
            </w:r>
            <w:r>
              <w:rPr>
                <w:rFonts w:hint="default" w:ascii="Times New Roman" w:hAnsi="Times New Roman" w:eastAsia="宋体" w:cs="Times New Roman"/>
                <w:color w:val="000000" w:themeColor="text1"/>
                <w:sz w:val="24"/>
                <w:szCs w:val="24"/>
                <w:u w:val="single"/>
                <w14:textFill>
                  <w14:solidFill>
                    <w14:schemeClr w14:val="tx1"/>
                  </w14:solidFill>
                </w14:textFill>
              </w:rPr>
              <w:t xml:space="preserve"> </w:t>
            </w:r>
            <w:r>
              <w:rPr>
                <w:rFonts w:hint="eastAsia" w:cs="Times New Roman"/>
                <w:color w:val="000000" w:themeColor="text1"/>
                <w:sz w:val="24"/>
                <w:szCs w:val="24"/>
                <w:u w:val="single"/>
                <w:lang w:val="en-US" w:eastAsia="zh-CN"/>
                <w14:textFill>
                  <w14:solidFill>
                    <w14:schemeClr w14:val="tx1"/>
                  </w14:solidFill>
                </w14:textFill>
              </w:rPr>
              <w:t xml:space="preserve">45.498 </w:t>
            </w:r>
            <w:r>
              <w:rPr>
                <w:rFonts w:hint="default" w:ascii="Times New Roman" w:hAnsi="Times New Roman" w:eastAsia="宋体" w:cs="Times New Roman"/>
                <w:color w:val="000000" w:themeColor="text1"/>
                <w:sz w:val="24"/>
                <w:szCs w:val="24"/>
                <w14:textFill>
                  <w14:solidFill>
                    <w14:schemeClr w14:val="tx1"/>
                  </w14:solidFill>
                </w14:textFill>
              </w:rPr>
              <w:t>秒，</w:t>
            </w:r>
            <w:r>
              <w:rPr>
                <w:rFonts w:hint="eastAsia" w:cs="Times New Roman"/>
                <w:color w:val="000000" w:themeColor="text1"/>
                <w:sz w:val="24"/>
                <w:szCs w:val="24"/>
                <w:lang w:eastAsia="zh-CN"/>
                <w14:textFill>
                  <w14:solidFill>
                    <w14:schemeClr w14:val="tx1"/>
                  </w14:solidFill>
                </w14:textFill>
              </w:rPr>
              <w:t>纬度</w:t>
            </w:r>
            <w:r>
              <w:rPr>
                <w:rFonts w:hint="default" w:ascii="Times New Roman" w:hAnsi="Times New Roman" w:eastAsia="宋体" w:cs="Times New Roman"/>
                <w:color w:val="000000" w:themeColor="text1"/>
                <w:sz w:val="24"/>
                <w:szCs w:val="24"/>
                <w:u w:val="single"/>
                <w14:textFill>
                  <w14:solidFill>
                    <w14:schemeClr w14:val="tx1"/>
                  </w14:solidFill>
                </w14:textFill>
              </w:rPr>
              <w:t xml:space="preserve"> </w:t>
            </w:r>
            <w:r>
              <w:rPr>
                <w:rFonts w:hint="default" w:ascii="Times New Roman" w:hAnsi="Times New Roman" w:eastAsia="宋体" w:cs="Times New Roman"/>
                <w:color w:val="000000" w:themeColor="text1"/>
                <w:sz w:val="24"/>
                <w:szCs w:val="24"/>
                <w:u w:val="single"/>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u w:val="singl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u w:val="single"/>
                <w14:textFill>
                  <w14:solidFill>
                    <w14:schemeClr w14:val="tx1"/>
                  </w14:solidFill>
                </w14:textFill>
              </w:rPr>
              <w:t xml:space="preserve"> </w:t>
            </w:r>
            <w:r>
              <w:rPr>
                <w:rFonts w:hint="default" w:ascii="Times New Roman" w:hAnsi="Times New Roman" w:eastAsia="宋体" w:cs="Times New Roman"/>
                <w:color w:val="000000" w:themeColor="text1"/>
                <w:sz w:val="24"/>
                <w:szCs w:val="24"/>
                <w14:textFill>
                  <w14:solidFill>
                    <w14:schemeClr w14:val="tx1"/>
                  </w14:solidFill>
                </w14:textFill>
              </w:rPr>
              <w:t>度</w:t>
            </w:r>
            <w:r>
              <w:rPr>
                <w:rFonts w:hint="default" w:ascii="Times New Roman" w:hAnsi="Times New Roman" w:eastAsia="宋体" w:cs="Times New Roman"/>
                <w:color w:val="000000" w:themeColor="text1"/>
                <w:sz w:val="24"/>
                <w:szCs w:val="24"/>
                <w:u w:val="single"/>
                <w14:textFill>
                  <w14:solidFill>
                    <w14:schemeClr w14:val="tx1"/>
                  </w14:solidFill>
                </w14:textFill>
              </w:rPr>
              <w:t xml:space="preserve"> </w:t>
            </w:r>
            <w:r>
              <w:rPr>
                <w:rFonts w:hint="eastAsia" w:cs="Times New Roman"/>
                <w:color w:val="000000" w:themeColor="text1"/>
                <w:sz w:val="24"/>
                <w:szCs w:val="24"/>
                <w:u w:val="single"/>
                <w:lang w:val="en-US" w:eastAsia="zh-CN"/>
                <w14:textFill>
                  <w14:solidFill>
                    <w14:schemeClr w14:val="tx1"/>
                  </w14:solidFill>
                </w14:textFill>
              </w:rPr>
              <w:t>36</w:t>
            </w:r>
            <w:r>
              <w:rPr>
                <w:rFonts w:hint="default" w:ascii="Times New Roman" w:hAnsi="Times New Roman" w:eastAsia="宋体" w:cs="Times New Roman"/>
                <w:color w:val="000000" w:themeColor="text1"/>
                <w:sz w:val="24"/>
                <w:szCs w:val="24"/>
                <w:u w:val="single"/>
                <w14:textFill>
                  <w14:solidFill>
                    <w14:schemeClr w14:val="tx1"/>
                  </w14:solidFill>
                </w14:textFill>
              </w:rPr>
              <w:t xml:space="preserve"> </w:t>
            </w:r>
            <w:r>
              <w:rPr>
                <w:rFonts w:hint="default" w:ascii="Times New Roman" w:hAnsi="Times New Roman" w:eastAsia="宋体" w:cs="Times New Roman"/>
                <w:color w:val="000000" w:themeColor="text1"/>
                <w:sz w:val="24"/>
                <w:szCs w:val="24"/>
                <w14:textFill>
                  <w14:solidFill>
                    <w14:schemeClr w14:val="tx1"/>
                  </w14:solidFill>
                </w14:textFill>
              </w:rPr>
              <w:t>分</w:t>
            </w:r>
            <w:r>
              <w:rPr>
                <w:rFonts w:hint="default" w:ascii="Times New Roman" w:hAnsi="Times New Roman" w:eastAsia="宋体" w:cs="Times New Roman"/>
                <w:color w:val="000000" w:themeColor="text1"/>
                <w:sz w:val="24"/>
                <w:szCs w:val="24"/>
                <w:u w:val="single"/>
                <w14:textFill>
                  <w14:solidFill>
                    <w14:schemeClr w14:val="tx1"/>
                  </w14:solidFill>
                </w14:textFill>
              </w:rPr>
              <w:t xml:space="preserve"> </w:t>
            </w:r>
            <w:r>
              <w:rPr>
                <w:rFonts w:hint="eastAsia" w:cs="Times New Roman"/>
                <w:color w:val="000000" w:themeColor="text1"/>
                <w:sz w:val="24"/>
                <w:szCs w:val="24"/>
                <w:u w:val="single"/>
                <w:lang w:val="en-US" w:eastAsia="zh-CN"/>
                <w14:textFill>
                  <w14:solidFill>
                    <w14:schemeClr w14:val="tx1"/>
                  </w14:solidFill>
                </w14:textFill>
              </w:rPr>
              <w:t>47.838</w:t>
            </w:r>
            <w:r>
              <w:rPr>
                <w:rFonts w:hint="default" w:ascii="Times New Roman" w:hAnsi="Times New Roman" w:eastAsia="宋体" w:cs="Times New Roman"/>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秒）</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773" w:type="dxa"/>
            <w:gridSpan w:val="2"/>
            <w:tcBorders>
              <w:tl2br w:val="nil"/>
              <w:tr2bl w:val="nil"/>
            </w:tcBorders>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jc w:val="center"/>
              <w:textAlignment w:val="auto"/>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z w:val="24"/>
                <w:szCs w:val="24"/>
                <w14:textFill>
                  <w14:solidFill>
                    <w14:schemeClr w14:val="tx1"/>
                  </w14:solidFill>
                </w14:textFill>
              </w:rPr>
              <w:t>国民经济</w:t>
            </w:r>
          </w:p>
          <w:p>
            <w:pPr>
              <w:keepNext w:val="0"/>
              <w:keepLines w:val="0"/>
              <w:pageBreakBefore w:val="0"/>
              <w:widowControl w:val="0"/>
              <w:kinsoku/>
              <w:wordWrap/>
              <w:overflowPunct/>
              <w:topLinePunct w:val="0"/>
              <w:bidi w:val="0"/>
              <w:adjustRightInd w:val="0"/>
              <w:snapToGrid w:val="0"/>
              <w:jc w:val="center"/>
              <w:textAlignment w:val="auto"/>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z w:val="24"/>
                <w:szCs w:val="24"/>
                <w14:textFill>
                  <w14:solidFill>
                    <w14:schemeClr w14:val="tx1"/>
                  </w14:solidFill>
                </w14:textFill>
              </w:rPr>
              <w:t>行业类别</w:t>
            </w:r>
          </w:p>
        </w:tc>
        <w:tc>
          <w:tcPr>
            <w:tcW w:w="1942"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宋体" w:hAnsi="宋体" w:eastAsia="宋体" w:cs="宋体"/>
                <w:color w:val="000000" w:themeColor="text1"/>
                <w:sz w:val="24"/>
                <w:szCs w:val="24"/>
                <w:lang w:val="en-US"/>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C</w:t>
            </w:r>
            <w:r>
              <w:rPr>
                <w:rFonts w:hint="eastAsia" w:cs="Times New Roman"/>
                <w:b w:val="0"/>
                <w:bCs w:val="0"/>
                <w:color w:val="000000" w:themeColor="text1"/>
                <w:sz w:val="24"/>
                <w:szCs w:val="24"/>
                <w:lang w:val="en-US" w:eastAsia="zh-CN"/>
                <w14:textFill>
                  <w14:solidFill>
                    <w14:schemeClr w14:val="tx1"/>
                  </w14:solidFill>
                </w14:textFill>
              </w:rPr>
              <w:t>3451 滚动轴承制造</w:t>
            </w:r>
          </w:p>
        </w:tc>
        <w:tc>
          <w:tcPr>
            <w:tcW w:w="2100"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eastAsia" w:ascii="宋体" w:hAnsi="宋体" w:eastAsia="宋体" w:cs="宋体"/>
                <w:b w:val="0"/>
                <w:bCs w:val="0"/>
                <w:color w:val="000000" w:themeColor="text1"/>
                <w:sz w:val="24"/>
                <w:szCs w:val="24"/>
                <w14:textFill>
                  <w14:solidFill>
                    <w14:schemeClr w14:val="tx1"/>
                  </w14:solidFill>
                </w14:textFill>
              </w:rPr>
            </w:pPr>
            <w:bookmarkStart w:id="0" w:name="_Hlk49843745"/>
            <w:r>
              <w:rPr>
                <w:rFonts w:hint="eastAsia" w:ascii="宋体" w:hAnsi="宋体" w:eastAsia="宋体" w:cs="宋体"/>
                <w:b w:val="0"/>
                <w:bCs w:val="0"/>
                <w:color w:val="000000" w:themeColor="text1"/>
                <w:sz w:val="24"/>
                <w:szCs w:val="24"/>
                <w14:textFill>
                  <w14:solidFill>
                    <w14:schemeClr w14:val="tx1"/>
                  </w14:solidFill>
                </w14:textFill>
              </w:rPr>
              <w:t>建设项目</w:t>
            </w:r>
          </w:p>
          <w:p>
            <w:pPr>
              <w:keepNext w:val="0"/>
              <w:keepLines w:val="0"/>
              <w:pageBreakBefore w:val="0"/>
              <w:widowControl w:val="0"/>
              <w:kinsoku/>
              <w:wordWrap/>
              <w:overflowPunct/>
              <w:topLinePunct w:val="0"/>
              <w:bidi w:val="0"/>
              <w:adjustRightInd w:val="0"/>
              <w:snapToGrid w:val="0"/>
              <w:jc w:val="center"/>
              <w:textAlignment w:val="auto"/>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z w:val="24"/>
                <w:szCs w:val="24"/>
                <w14:textFill>
                  <w14:solidFill>
                    <w14:schemeClr w14:val="tx1"/>
                  </w14:solidFill>
                </w14:textFill>
              </w:rPr>
              <w:t>行业类别</w:t>
            </w:r>
            <w:bookmarkEnd w:id="0"/>
          </w:p>
        </w:tc>
        <w:tc>
          <w:tcPr>
            <w:tcW w:w="2993"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三十一、通用设备制造业-69</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lang w:eastAsia="zh-CN"/>
                <w14:textFill>
                  <w14:solidFill>
                    <w14:schemeClr w14:val="tx1"/>
                  </w14:solidFill>
                </w14:textFill>
              </w:rPr>
              <w:t>轴承、齿轮和传动部件制造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773" w:type="dxa"/>
            <w:gridSpan w:val="2"/>
            <w:tcBorders>
              <w:tl2br w:val="nil"/>
              <w:tr2bl w:val="nil"/>
            </w:tcBorders>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jc w:val="center"/>
              <w:textAlignment w:val="auto"/>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z w:val="24"/>
                <w:szCs w:val="24"/>
                <w14:textFill>
                  <w14:solidFill>
                    <w14:schemeClr w14:val="tx1"/>
                  </w14:solidFill>
                </w14:textFill>
              </w:rPr>
              <w:t>建设性质</w:t>
            </w:r>
          </w:p>
        </w:tc>
        <w:tc>
          <w:tcPr>
            <w:tcW w:w="1942"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sym w:font="Wingdings" w:char="00FE"/>
            </w:r>
            <w:r>
              <w:rPr>
                <w:rFonts w:hint="eastAsia" w:ascii="宋体" w:hAnsi="宋体" w:eastAsia="宋体" w:cs="宋体"/>
                <w:color w:val="000000" w:themeColor="text1"/>
                <w:sz w:val="24"/>
                <w:szCs w:val="24"/>
                <w14:textFill>
                  <w14:solidFill>
                    <w14:schemeClr w14:val="tx1"/>
                  </w14:solidFill>
                </w14:textFill>
              </w:rPr>
              <w:t>新建（迁建）</w:t>
            </w:r>
          </w:p>
          <w:p>
            <w:pPr>
              <w:keepNext w:val="0"/>
              <w:keepLines w:val="0"/>
              <w:pageBreakBefore w:val="0"/>
              <w:widowControl w:val="0"/>
              <w:kinsoku/>
              <w:wordWrap/>
              <w:overflowPunct/>
              <w:topLinePunct w:val="0"/>
              <w:bidi w:val="0"/>
              <w:adjustRightInd w:val="0"/>
              <w:snapToGrid w:val="0"/>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sym w:font="Wingdings" w:char="00A8"/>
            </w:r>
            <w:r>
              <w:rPr>
                <w:rFonts w:hint="eastAsia" w:ascii="宋体" w:hAnsi="宋体" w:eastAsia="宋体" w:cs="宋体"/>
                <w:color w:val="000000" w:themeColor="text1"/>
                <w:sz w:val="24"/>
                <w:szCs w:val="24"/>
                <w14:textFill>
                  <w14:solidFill>
                    <w14:schemeClr w14:val="tx1"/>
                  </w14:solidFill>
                </w14:textFill>
              </w:rPr>
              <w:t>改建</w:t>
            </w:r>
          </w:p>
          <w:p>
            <w:pPr>
              <w:keepNext w:val="0"/>
              <w:keepLines w:val="0"/>
              <w:pageBreakBefore w:val="0"/>
              <w:widowControl w:val="0"/>
              <w:kinsoku/>
              <w:wordWrap/>
              <w:overflowPunct/>
              <w:topLinePunct w:val="0"/>
              <w:bidi w:val="0"/>
              <w:adjustRightInd w:val="0"/>
              <w:snapToGrid w:val="0"/>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sym w:font="Wingdings" w:char="00A8"/>
            </w:r>
            <w:r>
              <w:rPr>
                <w:rFonts w:hint="eastAsia" w:ascii="宋体" w:hAnsi="宋体" w:eastAsia="宋体" w:cs="宋体"/>
                <w:color w:val="000000" w:themeColor="text1"/>
                <w:sz w:val="24"/>
                <w:szCs w:val="24"/>
                <w14:textFill>
                  <w14:solidFill>
                    <w14:schemeClr w14:val="tx1"/>
                  </w14:solidFill>
                </w14:textFill>
              </w:rPr>
              <w:t>扩建</w:t>
            </w:r>
          </w:p>
          <w:p>
            <w:pPr>
              <w:keepNext w:val="0"/>
              <w:keepLines w:val="0"/>
              <w:pageBreakBefore w:val="0"/>
              <w:widowControl w:val="0"/>
              <w:kinsoku/>
              <w:wordWrap/>
              <w:overflowPunct/>
              <w:topLinePunct w:val="0"/>
              <w:bidi w:val="0"/>
              <w:adjustRightInd w:val="0"/>
              <w:snapToGrid w:val="0"/>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sym w:font="Wingdings" w:char="00A8"/>
            </w:r>
            <w:r>
              <w:rPr>
                <w:rFonts w:hint="eastAsia" w:ascii="宋体" w:hAnsi="宋体" w:eastAsia="宋体" w:cs="宋体"/>
                <w:color w:val="000000" w:themeColor="text1"/>
                <w:sz w:val="24"/>
                <w:szCs w:val="24"/>
                <w14:textFill>
                  <w14:solidFill>
                    <w14:schemeClr w14:val="tx1"/>
                  </w14:solidFill>
                </w14:textFill>
              </w:rPr>
              <w:t>技术改造</w:t>
            </w:r>
          </w:p>
        </w:tc>
        <w:tc>
          <w:tcPr>
            <w:tcW w:w="2100"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z w:val="24"/>
                <w:szCs w:val="24"/>
                <w14:textFill>
                  <w14:solidFill>
                    <w14:schemeClr w14:val="tx1"/>
                  </w14:solidFill>
                </w14:textFill>
              </w:rPr>
              <w:t>建设项目</w:t>
            </w:r>
          </w:p>
          <w:p>
            <w:pPr>
              <w:keepNext w:val="0"/>
              <w:keepLines w:val="0"/>
              <w:pageBreakBefore w:val="0"/>
              <w:widowControl w:val="0"/>
              <w:kinsoku/>
              <w:wordWrap/>
              <w:overflowPunct/>
              <w:topLinePunct w:val="0"/>
              <w:bidi w:val="0"/>
              <w:adjustRightInd w:val="0"/>
              <w:snapToGrid w:val="0"/>
              <w:jc w:val="center"/>
              <w:textAlignment w:val="auto"/>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z w:val="24"/>
                <w:szCs w:val="24"/>
                <w14:textFill>
                  <w14:solidFill>
                    <w14:schemeClr w14:val="tx1"/>
                  </w14:solidFill>
                </w14:textFill>
              </w:rPr>
              <w:t>申报情形</w:t>
            </w:r>
          </w:p>
        </w:tc>
        <w:tc>
          <w:tcPr>
            <w:tcW w:w="2993"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sym w:font="Wingdings" w:char="00FE"/>
            </w:r>
            <w:r>
              <w:rPr>
                <w:rFonts w:hint="eastAsia" w:ascii="宋体" w:hAnsi="宋体" w:eastAsia="宋体" w:cs="宋体"/>
                <w:color w:val="000000" w:themeColor="text1"/>
                <w:sz w:val="24"/>
                <w:szCs w:val="24"/>
                <w14:textFill>
                  <w14:solidFill>
                    <w14:schemeClr w14:val="tx1"/>
                  </w14:solidFill>
                </w14:textFill>
              </w:rPr>
              <w:t xml:space="preserve">首次申报项目             </w:t>
            </w:r>
          </w:p>
          <w:p>
            <w:pPr>
              <w:keepNext w:val="0"/>
              <w:keepLines w:val="0"/>
              <w:pageBreakBefore w:val="0"/>
              <w:widowControl w:val="0"/>
              <w:kinsoku/>
              <w:wordWrap/>
              <w:overflowPunct/>
              <w:topLinePunct w:val="0"/>
              <w:bidi w:val="0"/>
              <w:adjustRightInd w:val="0"/>
              <w:snapToGrid w:val="0"/>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sym w:font="Wingdings" w:char="00A8"/>
            </w:r>
            <w:r>
              <w:rPr>
                <w:rFonts w:hint="eastAsia" w:ascii="宋体" w:hAnsi="宋体" w:eastAsia="宋体" w:cs="宋体"/>
                <w:color w:val="000000" w:themeColor="text1"/>
                <w:sz w:val="24"/>
                <w:szCs w:val="24"/>
                <w14:textFill>
                  <w14:solidFill>
                    <w14:schemeClr w14:val="tx1"/>
                  </w14:solidFill>
                </w14:textFill>
              </w:rPr>
              <w:t>不予批准后再次申报项目</w:t>
            </w:r>
          </w:p>
          <w:p>
            <w:pPr>
              <w:keepNext w:val="0"/>
              <w:keepLines w:val="0"/>
              <w:pageBreakBefore w:val="0"/>
              <w:widowControl w:val="0"/>
              <w:kinsoku/>
              <w:wordWrap/>
              <w:overflowPunct/>
              <w:topLinePunct w:val="0"/>
              <w:bidi w:val="0"/>
              <w:adjustRightInd w:val="0"/>
              <w:snapToGrid w:val="0"/>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sym w:font="Wingdings" w:char="00A8"/>
            </w:r>
            <w:r>
              <w:rPr>
                <w:rFonts w:hint="eastAsia" w:ascii="宋体" w:hAnsi="宋体" w:eastAsia="宋体" w:cs="宋体"/>
                <w:color w:val="000000" w:themeColor="text1"/>
                <w:sz w:val="24"/>
                <w:szCs w:val="24"/>
                <w14:textFill>
                  <w14:solidFill>
                    <w14:schemeClr w14:val="tx1"/>
                  </w14:solidFill>
                </w14:textFill>
              </w:rPr>
              <w:t xml:space="preserve">超五年重新审核项目     </w:t>
            </w:r>
          </w:p>
          <w:p>
            <w:pPr>
              <w:keepNext w:val="0"/>
              <w:keepLines w:val="0"/>
              <w:pageBreakBefore w:val="0"/>
              <w:widowControl w:val="0"/>
              <w:kinsoku/>
              <w:wordWrap/>
              <w:overflowPunct/>
              <w:topLinePunct w:val="0"/>
              <w:bidi w:val="0"/>
              <w:adjustRightInd w:val="0"/>
              <w:snapToGrid w:val="0"/>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sym w:font="Wingdings" w:char="00A8"/>
            </w:r>
            <w:r>
              <w:rPr>
                <w:rFonts w:hint="eastAsia" w:ascii="宋体" w:hAnsi="宋体" w:eastAsia="宋体" w:cs="宋体"/>
                <w:color w:val="000000" w:themeColor="text1"/>
                <w:sz w:val="24"/>
                <w:szCs w:val="24"/>
                <w14:textFill>
                  <w14:solidFill>
                    <w14:schemeClr w14:val="tx1"/>
                  </w14:solidFill>
                </w14:textFill>
              </w:rPr>
              <w:t>重大变动重新报批项目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773" w:type="dxa"/>
            <w:gridSpan w:val="2"/>
            <w:tcBorders>
              <w:tl2br w:val="nil"/>
              <w:tr2bl w:val="nil"/>
            </w:tcBorders>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jc w:val="center"/>
              <w:textAlignment w:val="auto"/>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z w:val="24"/>
                <w:szCs w:val="24"/>
                <w14:textFill>
                  <w14:solidFill>
                    <w14:schemeClr w14:val="tx1"/>
                  </w14:solidFill>
                </w14:textFill>
              </w:rPr>
              <w:t>项目审批（核准</w:t>
            </w:r>
            <w:r>
              <w:rPr>
                <w:rFonts w:hint="eastAsia" w:cs="Times New Roman"/>
                <w:color w:val="000000" w:themeColor="text1"/>
                <w:sz w:val="24"/>
                <w:szCs w:val="24"/>
                <w:lang w:val="en-US" w:eastAsia="zh-CN"/>
                <w14:textFill>
                  <w14:solidFill>
                    <w14:schemeClr w14:val="tx1"/>
                  </w14:solidFill>
                </w14:textFill>
              </w:rPr>
              <w:t>/</w:t>
            </w:r>
            <w:r>
              <w:rPr>
                <w:rFonts w:hint="eastAsia" w:ascii="宋体" w:hAnsi="宋体" w:eastAsia="宋体" w:cs="宋体"/>
                <w:b w:val="0"/>
                <w:bCs w:val="0"/>
                <w:color w:val="000000" w:themeColor="text1"/>
                <w:sz w:val="24"/>
                <w:szCs w:val="24"/>
                <w14:textFill>
                  <w14:solidFill>
                    <w14:schemeClr w14:val="tx1"/>
                  </w14:solidFill>
                </w14:textFill>
              </w:rPr>
              <w:t>备案）部门（选填）</w:t>
            </w:r>
          </w:p>
        </w:tc>
        <w:tc>
          <w:tcPr>
            <w:tcW w:w="1942"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灵璧县</w:t>
            </w:r>
            <w:r>
              <w:rPr>
                <w:rFonts w:hint="default" w:ascii="Times New Roman" w:hAnsi="Times New Roman" w:eastAsia="宋体" w:cs="Times New Roman"/>
                <w:b w:val="0"/>
                <w:bCs w:val="0"/>
                <w:color w:val="000000" w:themeColor="text1"/>
                <w:sz w:val="24"/>
                <w:szCs w:val="24"/>
                <w14:textFill>
                  <w14:solidFill>
                    <w14:schemeClr w14:val="tx1"/>
                  </w14:solidFill>
                </w14:textFill>
              </w:rPr>
              <w:t>发展和改革委员会</w:t>
            </w:r>
          </w:p>
        </w:tc>
        <w:tc>
          <w:tcPr>
            <w:tcW w:w="2100"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项目审批（核准/</w:t>
            </w:r>
          </w:p>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备案）文号（选填）</w:t>
            </w:r>
          </w:p>
        </w:tc>
        <w:tc>
          <w:tcPr>
            <w:tcW w:w="2993"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773" w:type="dxa"/>
            <w:gridSpan w:val="2"/>
            <w:tcBorders>
              <w:tl2br w:val="nil"/>
              <w:tr2bl w:val="nil"/>
            </w:tcBorders>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jc w:val="center"/>
              <w:textAlignment w:val="auto"/>
              <w:rPr>
                <w:rFonts w:hint="eastAsia" w:ascii="宋体" w:hAnsi="宋体" w:eastAsia="宋体" w:cs="宋体"/>
                <w:b w:val="0"/>
                <w:bCs w:val="0"/>
                <w:color w:val="000000" w:themeColor="text1"/>
                <w:sz w:val="24"/>
                <w:szCs w:val="24"/>
                <w:highlight w:val="none"/>
                <w14:textFill>
                  <w14:solidFill>
                    <w14:schemeClr w14:val="tx1"/>
                  </w14:solidFill>
                </w14:textFill>
              </w:rPr>
            </w:pPr>
            <w:r>
              <w:rPr>
                <w:rFonts w:hint="eastAsia" w:ascii="宋体" w:hAnsi="宋体" w:eastAsia="宋体" w:cs="宋体"/>
                <w:b w:val="0"/>
                <w:bCs w:val="0"/>
                <w:color w:val="000000" w:themeColor="text1"/>
                <w:sz w:val="24"/>
                <w:szCs w:val="24"/>
                <w:highlight w:val="none"/>
                <w14:textFill>
                  <w14:solidFill>
                    <w14:schemeClr w14:val="tx1"/>
                  </w14:solidFill>
                </w14:textFill>
              </w:rPr>
              <w:t>总投资（万元）</w:t>
            </w:r>
          </w:p>
        </w:tc>
        <w:tc>
          <w:tcPr>
            <w:tcW w:w="1942"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10000</w:t>
            </w:r>
          </w:p>
        </w:tc>
        <w:tc>
          <w:tcPr>
            <w:tcW w:w="2100" w:type="dxa"/>
            <w:tcBorders>
              <w:tl2br w:val="nil"/>
              <w:tr2bl w:val="nil"/>
            </w:tcBorders>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环保投资（万元）</w:t>
            </w:r>
          </w:p>
        </w:tc>
        <w:tc>
          <w:tcPr>
            <w:tcW w:w="2993"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773" w:type="dxa"/>
            <w:gridSpan w:val="2"/>
            <w:tcBorders>
              <w:tl2br w:val="nil"/>
              <w:tr2bl w:val="nil"/>
            </w:tcBorders>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jc w:val="center"/>
              <w:textAlignment w:val="auto"/>
              <w:rPr>
                <w:rFonts w:hint="eastAsia" w:ascii="宋体" w:hAnsi="宋体" w:eastAsia="宋体" w:cs="宋体"/>
                <w:b w:val="0"/>
                <w:bCs w:val="0"/>
                <w:color w:val="000000" w:themeColor="text1"/>
                <w:sz w:val="24"/>
                <w:szCs w:val="24"/>
                <w:highlight w:val="none"/>
                <w14:textFill>
                  <w14:solidFill>
                    <w14:schemeClr w14:val="tx1"/>
                  </w14:solidFill>
                </w14:textFill>
              </w:rPr>
            </w:pPr>
            <w:r>
              <w:rPr>
                <w:rFonts w:hint="eastAsia" w:ascii="宋体" w:hAnsi="宋体" w:eastAsia="宋体" w:cs="宋体"/>
                <w:b w:val="0"/>
                <w:bCs w:val="0"/>
                <w:color w:val="auto"/>
                <w:sz w:val="24"/>
                <w:szCs w:val="24"/>
                <w:highlight w:val="none"/>
              </w:rPr>
              <w:t>环保投资占比</w:t>
            </w:r>
            <w:r>
              <w:rPr>
                <w:rFonts w:hint="default" w:ascii="Times New Roman" w:hAnsi="Times New Roman" w:eastAsia="宋体" w:cs="Times New Roman"/>
                <w:b w:val="0"/>
                <w:bCs w:val="0"/>
                <w:color w:val="auto"/>
                <w:sz w:val="24"/>
                <w:szCs w:val="24"/>
                <w:highlight w:val="none"/>
              </w:rPr>
              <w:t>（%）</w:t>
            </w:r>
          </w:p>
        </w:tc>
        <w:tc>
          <w:tcPr>
            <w:tcW w:w="1942"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1.02</w:t>
            </w:r>
          </w:p>
        </w:tc>
        <w:tc>
          <w:tcPr>
            <w:tcW w:w="2100" w:type="dxa"/>
            <w:tcBorders>
              <w:tl2br w:val="nil"/>
              <w:tr2bl w:val="nil"/>
            </w:tcBorders>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施工工期</w:t>
            </w:r>
          </w:p>
        </w:tc>
        <w:tc>
          <w:tcPr>
            <w:tcW w:w="2993"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val="en-US" w:eastAsia="zh-CN"/>
              </w:rPr>
              <w:t>3</w:t>
            </w:r>
            <w:r>
              <w:rPr>
                <w:rFonts w:hint="default" w:ascii="Times New Roman" w:hAnsi="Times New Roman" w:cs="Times New Roman"/>
                <w:color w:val="auto"/>
                <w:sz w:val="24"/>
                <w:szCs w:val="24"/>
                <w:highlight w:val="none"/>
                <w:lang w:val="en-US" w:eastAsia="zh-CN"/>
              </w:rPr>
              <w:t>个月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773" w:type="dxa"/>
            <w:gridSpan w:val="2"/>
            <w:tcBorders>
              <w:tl2br w:val="nil"/>
              <w:tr2bl w:val="nil"/>
            </w:tcBorders>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jc w:val="center"/>
              <w:textAlignment w:val="auto"/>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z w:val="24"/>
                <w:szCs w:val="24"/>
                <w14:textFill>
                  <w14:solidFill>
                    <w14:schemeClr w14:val="tx1"/>
                  </w14:solidFill>
                </w14:textFill>
              </w:rPr>
              <w:t>是否开工建设</w:t>
            </w:r>
          </w:p>
        </w:tc>
        <w:tc>
          <w:tcPr>
            <w:tcW w:w="1942"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sym w:font="Wingdings" w:char="00FE"/>
            </w:r>
            <w:r>
              <w:rPr>
                <w:rFonts w:hint="default" w:ascii="Times New Roman" w:hAnsi="Times New Roman" w:eastAsia="宋体" w:cs="Times New Roman"/>
                <w:color w:val="000000" w:themeColor="text1"/>
                <w:sz w:val="24"/>
                <w:szCs w:val="24"/>
                <w14:textFill>
                  <w14:solidFill>
                    <w14:schemeClr w14:val="tx1"/>
                  </w14:solidFill>
                </w14:textFill>
              </w:rPr>
              <w:t>否</w:t>
            </w:r>
          </w:p>
          <w:p>
            <w:pPr>
              <w:keepNext w:val="0"/>
              <w:keepLines w:val="0"/>
              <w:pageBreakBefore w:val="0"/>
              <w:widowControl w:val="0"/>
              <w:kinsoku/>
              <w:wordWrap/>
              <w:overflowPunct/>
              <w:topLinePunct w:val="0"/>
              <w:bidi w:val="0"/>
              <w:adjustRightInd w:val="0"/>
              <w:snapToGrid w:val="0"/>
              <w:textAlignment w:val="auto"/>
              <w:rPr>
                <w:rFonts w:hint="default" w:ascii="Times New Roman" w:hAnsi="Times New Roman" w:eastAsia="宋体" w:cs="Times New Roman"/>
                <w:color w:val="000000" w:themeColor="text1"/>
                <w:sz w:val="24"/>
                <w:szCs w:val="24"/>
                <w:lang w:val="en-US"/>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sym w:font="Wingdings" w:char="00A8"/>
            </w:r>
            <w:r>
              <w:rPr>
                <w:rFonts w:hint="default" w:ascii="Times New Roman" w:hAnsi="Times New Roman" w:eastAsia="宋体" w:cs="Times New Roman"/>
                <w:color w:val="000000" w:themeColor="text1"/>
                <w:sz w:val="24"/>
                <w:szCs w:val="24"/>
                <w14:textFill>
                  <w14:solidFill>
                    <w14:schemeClr w14:val="tx1"/>
                  </w14:solidFill>
                </w14:textFill>
              </w:rPr>
              <w:t>是</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u w:val="single"/>
                <w:lang w:val="en-US" w:eastAsia="zh-CN"/>
                <w14:textFill>
                  <w14:solidFill>
                    <w14:schemeClr w14:val="tx1"/>
                  </w14:solidFill>
                </w14:textFill>
              </w:rPr>
              <w:t xml:space="preserve">    </w:t>
            </w:r>
          </w:p>
        </w:tc>
        <w:tc>
          <w:tcPr>
            <w:tcW w:w="2100" w:type="dxa"/>
            <w:tcBorders>
              <w:tl2br w:val="nil"/>
              <w:tr2bl w:val="nil"/>
            </w:tcBorders>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b w:val="0"/>
                <w:bCs w:val="0"/>
                <w:color w:val="000000" w:themeColor="text1"/>
                <w:spacing w:val="-6"/>
                <w:sz w:val="24"/>
                <w:szCs w:val="24"/>
                <w14:textFill>
                  <w14:solidFill>
                    <w14:schemeClr w14:val="tx1"/>
                  </w14:solidFill>
                </w14:textFill>
              </w:rPr>
            </w:pPr>
            <w:r>
              <w:rPr>
                <w:rFonts w:hint="default" w:ascii="Times New Roman" w:hAnsi="Times New Roman" w:eastAsia="宋体" w:cs="Times New Roman"/>
                <w:b w:val="0"/>
                <w:bCs w:val="0"/>
                <w:color w:val="000000" w:themeColor="text1"/>
                <w:spacing w:val="-6"/>
                <w:sz w:val="24"/>
                <w:szCs w:val="24"/>
                <w14:textFill>
                  <w14:solidFill>
                    <w14:schemeClr w14:val="tx1"/>
                  </w14:solidFill>
                </w14:textFill>
              </w:rPr>
              <w:t>用地（用海）</w:t>
            </w:r>
          </w:p>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pacing w:val="-6"/>
                <w:sz w:val="24"/>
                <w:szCs w:val="24"/>
                <w14:textFill>
                  <w14:solidFill>
                    <w14:schemeClr w14:val="tx1"/>
                  </w14:solidFill>
                </w14:textFill>
              </w:rPr>
              <w:t>面积（m</w:t>
            </w:r>
            <w:r>
              <w:rPr>
                <w:rFonts w:hint="default" w:ascii="Times New Roman" w:hAnsi="Times New Roman" w:eastAsia="宋体" w:cs="Times New Roman"/>
                <w:b w:val="0"/>
                <w:bCs w:val="0"/>
                <w:color w:val="000000" w:themeColor="text1"/>
                <w:spacing w:val="-6"/>
                <w:sz w:val="24"/>
                <w:szCs w:val="24"/>
                <w:vertAlign w:val="superscript"/>
                <w14:textFill>
                  <w14:solidFill>
                    <w14:schemeClr w14:val="tx1"/>
                  </w14:solidFill>
                </w14:textFill>
              </w:rPr>
              <w:t>2</w:t>
            </w:r>
            <w:r>
              <w:rPr>
                <w:rFonts w:hint="default" w:ascii="Times New Roman" w:hAnsi="Times New Roman" w:eastAsia="宋体" w:cs="Times New Roman"/>
                <w:b w:val="0"/>
                <w:bCs w:val="0"/>
                <w:color w:val="000000" w:themeColor="text1"/>
                <w:spacing w:val="-6"/>
                <w:sz w:val="24"/>
                <w:szCs w:val="24"/>
                <w14:textFill>
                  <w14:solidFill>
                    <w14:schemeClr w14:val="tx1"/>
                  </w14:solidFill>
                </w14:textFill>
              </w:rPr>
              <w:t>）</w:t>
            </w:r>
          </w:p>
        </w:tc>
        <w:tc>
          <w:tcPr>
            <w:tcW w:w="2993"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color w:val="auto"/>
                <w:sz w:val="24"/>
                <w:szCs w:val="24"/>
                <w:highlight w:val="none"/>
                <w:lang w:val="en-US" w:eastAsia="zh-CN"/>
              </w:rPr>
              <w:t>12000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773" w:type="dxa"/>
            <w:gridSpan w:val="2"/>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color w:val="000000" w:themeColor="text1"/>
                <w:kern w:val="0"/>
                <w:sz w:val="24"/>
                <w:szCs w:val="24"/>
                <w14:textFill>
                  <w14:solidFill>
                    <w14:schemeClr w14:val="tx1"/>
                  </w14:solidFill>
                </w14:textFill>
              </w:rPr>
              <w:t>专项评价设置情况</w:t>
            </w:r>
          </w:p>
        </w:tc>
        <w:tc>
          <w:tcPr>
            <w:tcW w:w="7035" w:type="dxa"/>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ascii="宋体" w:hAnsi="宋体" w:eastAsia="宋体" w:cs="宋体"/>
                <w:color w:val="000000" w:themeColor="text1"/>
                <w:kern w:val="0"/>
                <w:sz w:val="24"/>
                <w:szCs w:val="24"/>
                <w:lang w:eastAsia="zh-CN"/>
                <w14:textFill>
                  <w14:solidFill>
                    <w14:schemeClr w14:val="tx1"/>
                  </w14:solidFill>
                </w14:textFill>
              </w:rPr>
            </w:pPr>
            <w:r>
              <w:rPr>
                <w:rFonts w:hint="eastAsia" w:ascii="宋体" w:hAnsi="宋体" w:eastAsia="宋体" w:cs="宋体"/>
                <w:color w:val="000000" w:themeColor="text1"/>
                <w:kern w:val="0"/>
                <w:sz w:val="24"/>
                <w:szCs w:val="24"/>
                <w:lang w:eastAsia="zh-CN"/>
                <w14:textFill>
                  <w14:solidFill>
                    <w14:schemeClr w14:val="tx1"/>
                  </w14:solidFill>
                </w14:textFill>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773" w:type="dxa"/>
            <w:gridSpan w:val="2"/>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color w:val="000000" w:themeColor="text1"/>
                <w:sz w:val="24"/>
                <w:szCs w:val="24"/>
                <w14:textFill>
                  <w14:solidFill>
                    <w14:schemeClr w14:val="tx1"/>
                  </w14:solidFill>
                </w14:textFill>
              </w:rPr>
              <w:t>规划情况</w:t>
            </w:r>
          </w:p>
        </w:tc>
        <w:tc>
          <w:tcPr>
            <w:tcW w:w="7035" w:type="dxa"/>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eastAsia"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14:textFill>
                  <w14:solidFill>
                    <w14:schemeClr w14:val="tx1"/>
                  </w14:solidFill>
                </w14:textFill>
              </w:rPr>
              <w:t>规划名称：</w:t>
            </w:r>
            <w:r>
              <w:rPr>
                <w:rFonts w:hint="eastAsia" w:ascii="Times New Roman" w:hAnsi="Times New Roman" w:cs="Times New Roman"/>
                <w:color w:val="000000" w:themeColor="text1"/>
                <w:sz w:val="24"/>
                <w:szCs w:val="24"/>
                <w14:textFill>
                  <w14:solidFill>
                    <w14:schemeClr w14:val="tx1"/>
                  </w14:solidFill>
                </w14:textFill>
              </w:rPr>
              <w:t>《</w:t>
            </w:r>
            <w:r>
              <w:rPr>
                <w:rFonts w:hint="eastAsia" w:cs="Times New Roman"/>
                <w:color w:val="000000" w:themeColor="text1"/>
                <w:sz w:val="24"/>
                <w:szCs w:val="24"/>
                <w:lang w:eastAsia="zh-CN"/>
                <w14:textFill>
                  <w14:solidFill>
                    <w14:schemeClr w14:val="tx1"/>
                  </w14:solidFill>
                </w14:textFill>
              </w:rPr>
              <w:t>安徽灵璧经济开发区</w:t>
            </w:r>
            <w:r>
              <w:rPr>
                <w:rFonts w:hint="eastAsia" w:ascii="Times New Roman" w:hAnsi="Times New Roman" w:cs="Times New Roman"/>
                <w:color w:val="000000" w:themeColor="text1"/>
                <w:sz w:val="24"/>
                <w:szCs w:val="24"/>
                <w14:textFill>
                  <w14:solidFill>
                    <w14:schemeClr w14:val="tx1"/>
                  </w14:solidFill>
                </w14:textFill>
              </w:rPr>
              <w:t>总体</w:t>
            </w:r>
            <w:r>
              <w:rPr>
                <w:rFonts w:hint="eastAsia" w:cs="Times New Roman"/>
                <w:color w:val="000000" w:themeColor="text1"/>
                <w:sz w:val="24"/>
                <w:szCs w:val="24"/>
                <w:lang w:eastAsia="zh-CN"/>
                <w14:textFill>
                  <w14:solidFill>
                    <w14:schemeClr w14:val="tx1"/>
                  </w14:solidFill>
                </w14:textFill>
              </w:rPr>
              <w:t>发展</w:t>
            </w:r>
            <w:r>
              <w:rPr>
                <w:rFonts w:hint="eastAsia" w:ascii="Times New Roman" w:hAnsi="Times New Roman" w:cs="Times New Roman"/>
                <w:color w:val="000000" w:themeColor="text1"/>
                <w:sz w:val="24"/>
                <w:szCs w:val="24"/>
                <w14:textFill>
                  <w14:solidFill>
                    <w14:schemeClr w14:val="tx1"/>
                  </w14:solidFill>
                </w14:textFill>
              </w:rPr>
              <w:t>规划（201</w:t>
            </w:r>
            <w:r>
              <w:rPr>
                <w:rFonts w:hint="eastAsia" w:cs="Times New Roman"/>
                <w:color w:val="000000" w:themeColor="text1"/>
                <w:sz w:val="24"/>
                <w:szCs w:val="24"/>
                <w:lang w:val="en-US" w:eastAsia="zh-CN"/>
                <w14:textFill>
                  <w14:solidFill>
                    <w14:schemeClr w14:val="tx1"/>
                  </w14:solidFill>
                </w14:textFill>
              </w:rPr>
              <w:t>2</w:t>
            </w:r>
            <w:r>
              <w:rPr>
                <w:rFonts w:hint="eastAsia" w:ascii="Times New Roman" w:hAnsi="Times New Roman" w:cs="Times New Roman"/>
                <w:color w:val="000000" w:themeColor="text1"/>
                <w:sz w:val="24"/>
                <w:szCs w:val="24"/>
                <w14:textFill>
                  <w14:solidFill>
                    <w14:schemeClr w14:val="tx1"/>
                  </w14:solidFill>
                </w14:textFill>
              </w:rPr>
              <w:t>-2030）》</w:t>
            </w:r>
          </w:p>
          <w:p>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eastAsia"/>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14:textFill>
                  <w14:solidFill>
                    <w14:schemeClr w14:val="tx1"/>
                  </w14:solidFill>
                </w14:textFill>
              </w:rPr>
              <w:t>审批机关：</w:t>
            </w:r>
            <w:r>
              <w:rPr>
                <w:rFonts w:hint="eastAsia"/>
                <w:color w:val="000000" w:themeColor="text1"/>
                <w:sz w:val="24"/>
                <w:szCs w:val="24"/>
                <w:lang w:val="en-US" w:eastAsia="zh-CN"/>
                <w14:textFill>
                  <w14:solidFill>
                    <w14:schemeClr w14:val="tx1"/>
                  </w14:solidFill>
                </w14:textFill>
              </w:rPr>
              <w:t>安徽省人民政府</w:t>
            </w:r>
          </w:p>
          <w:p>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14:textFill>
                  <w14:solidFill>
                    <w14:schemeClr w14:val="tx1"/>
                  </w14:solidFill>
                </w14:textFill>
              </w:rPr>
              <w:t>审批文件名称和文号：</w:t>
            </w:r>
            <w:r>
              <w:rPr>
                <w:rFonts w:hint="eastAsia" w:ascii="Times New Roman" w:hAnsi="Times New Roman" w:cs="Times New Roman"/>
                <w:color w:val="000000" w:themeColor="text1"/>
                <w:sz w:val="24"/>
                <w:szCs w:val="24"/>
                <w14:textFill>
                  <w14:solidFill>
                    <w14:schemeClr w14:val="tx1"/>
                  </w14:solidFill>
                </w14:textFill>
              </w:rPr>
              <w:t>《安徽省人民政府关于</w:t>
            </w:r>
            <w:r>
              <w:rPr>
                <w:rFonts w:hint="eastAsia" w:cs="Times New Roman"/>
                <w:color w:val="000000" w:themeColor="text1"/>
                <w:sz w:val="24"/>
                <w:szCs w:val="24"/>
                <w:lang w:eastAsia="zh-CN"/>
                <w14:textFill>
                  <w14:solidFill>
                    <w14:schemeClr w14:val="tx1"/>
                  </w14:solidFill>
                </w14:textFill>
              </w:rPr>
              <w:t>同意安徽灵璧经济开发区扩区</w:t>
            </w:r>
            <w:r>
              <w:rPr>
                <w:rFonts w:hint="eastAsia" w:ascii="Times New Roman" w:hAnsi="Times New Roman" w:cs="Times New Roman"/>
                <w:color w:val="000000" w:themeColor="text1"/>
                <w:sz w:val="24"/>
                <w:szCs w:val="24"/>
                <w14:textFill>
                  <w14:solidFill>
                    <w14:schemeClr w14:val="tx1"/>
                  </w14:solidFill>
                </w14:textFill>
              </w:rPr>
              <w:t>的批复》</w:t>
            </w:r>
            <w:r>
              <w:rPr>
                <w:rFonts w:hint="eastAsia"/>
                <w:color w:val="000000" w:themeColor="text1"/>
                <w:sz w:val="24"/>
                <w:szCs w:val="24"/>
                <w:lang w:val="en-US" w:eastAsia="zh-CN"/>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皖政秘</w:t>
            </w:r>
            <w:r>
              <w:rPr>
                <w:rFonts w:hint="default" w:ascii="Times New Roman" w:hAnsi="Times New Roman" w:eastAsia="宋体" w:cs="Times New Roman"/>
                <w:color w:val="auto"/>
                <w:sz w:val="24"/>
                <w:szCs w:val="24"/>
                <w:highlight w:val="none"/>
                <w:lang w:val="en-US" w:eastAsia="zh-CN"/>
              </w:rPr>
              <w:t>【201</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w:t>
            </w:r>
            <w:r>
              <w:rPr>
                <w:rFonts w:hint="eastAsia" w:cs="Times New Roman"/>
                <w:color w:val="000000" w:themeColor="text1"/>
                <w:sz w:val="24"/>
                <w:szCs w:val="24"/>
                <w:lang w:val="en-US" w:eastAsia="zh-CN"/>
                <w14:textFill>
                  <w14:solidFill>
                    <w14:schemeClr w14:val="tx1"/>
                  </w14:solidFill>
                </w14:textFill>
              </w:rPr>
              <w:t>554</w:t>
            </w:r>
            <w:r>
              <w:rPr>
                <w:rFonts w:hint="eastAsia" w:ascii="Times New Roman" w:hAnsi="Times New Roman" w:cs="Times New Roman"/>
                <w:color w:val="000000" w:themeColor="text1"/>
                <w:sz w:val="24"/>
                <w:szCs w:val="24"/>
                <w14:textFill>
                  <w14:solidFill>
                    <w14:schemeClr w14:val="tx1"/>
                  </w14:solidFill>
                </w14:textFill>
              </w:rPr>
              <w:t>号</w:t>
            </w:r>
            <w:r>
              <w:rPr>
                <w:rFonts w:hint="eastAsia"/>
                <w:color w:val="000000" w:themeColor="text1"/>
                <w:sz w:val="24"/>
                <w:szCs w:val="24"/>
                <w:lang w:val="en-US" w:eastAsia="zh-CN"/>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81" w:hRule="atLeast"/>
          <w:jc w:val="center"/>
        </w:trPr>
        <w:tc>
          <w:tcPr>
            <w:tcW w:w="1773" w:type="dxa"/>
            <w:gridSpan w:val="2"/>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color w:val="000000" w:themeColor="text1"/>
                <w:sz w:val="24"/>
                <w:szCs w:val="24"/>
                <w14:textFill>
                  <w14:solidFill>
                    <w14:schemeClr w14:val="tx1"/>
                  </w14:solidFill>
                </w14:textFill>
              </w:rPr>
              <w:t>规划环境影响评价情况</w:t>
            </w:r>
          </w:p>
        </w:tc>
        <w:tc>
          <w:tcPr>
            <w:tcW w:w="7035" w:type="dxa"/>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eastAsia" w:ascii="Times New Roman" w:hAnsi="Times New Roman" w:eastAsia="宋体" w:cs="Times New Roman"/>
                <w:b w:val="0"/>
                <w:bCs w:val="0"/>
                <w:color w:val="000000" w:themeColor="text1"/>
                <w:kern w:val="0"/>
                <w:sz w:val="24"/>
                <w:szCs w:val="24"/>
                <w:lang w:val="en-US" w:eastAsia="zh-CN"/>
                <w14:textFill>
                  <w14:solidFill>
                    <w14:schemeClr w14:val="tx1"/>
                  </w14:solidFill>
                </w14:textFill>
              </w:rPr>
            </w:pPr>
            <w:r>
              <w:rPr>
                <w:rFonts w:hint="default" w:ascii="Times New Roman" w:hAnsi="Times New Roman" w:eastAsia="微软雅黑" w:cs="Times New Roman"/>
                <w:b/>
                <w:bCs/>
                <w:color w:val="000000" w:themeColor="text1"/>
                <w:kern w:val="0"/>
                <w:sz w:val="24"/>
                <w:szCs w:val="24"/>
                <w:lang w:val="en-US" w:eastAsia="zh-CN"/>
                <w14:textFill>
                  <w14:solidFill>
                    <w14:schemeClr w14:val="tx1"/>
                  </w14:solidFill>
                </w14:textFill>
              </w:rPr>
              <w:t>①</w:t>
            </w:r>
            <w:r>
              <w:rPr>
                <w:rFonts w:hint="default" w:ascii="Times New Roman" w:hAnsi="Times New Roman" w:eastAsia="宋体" w:cs="Times New Roman"/>
                <w:b/>
                <w:bCs/>
                <w:color w:val="000000" w:themeColor="text1"/>
                <w:kern w:val="0"/>
                <w:sz w:val="24"/>
                <w:szCs w:val="24"/>
                <w:lang w:val="en-US" w:eastAsia="zh-CN"/>
                <w14:textFill>
                  <w14:solidFill>
                    <w14:schemeClr w14:val="tx1"/>
                  </w14:solidFill>
                </w14:textFill>
              </w:rPr>
              <w:t>规划环境影响评价文件名称：</w:t>
            </w:r>
            <w:r>
              <w:rPr>
                <w:rFonts w:hint="eastAsia" w:ascii="Times New Roman" w:hAnsi="Times New Roman" w:eastAsia="宋体" w:cs="Times New Roman"/>
                <w:b w:val="0"/>
                <w:bCs w:val="0"/>
                <w:color w:val="000000" w:themeColor="text1"/>
                <w:kern w:val="0"/>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lang w:eastAsia="zh-CN"/>
                <w14:textFill>
                  <w14:solidFill>
                    <w14:schemeClr w14:val="tx1"/>
                  </w14:solidFill>
                </w14:textFill>
              </w:rPr>
              <w:t>安徽灵璧经济开发区总体</w:t>
            </w:r>
            <w:r>
              <w:rPr>
                <w:rFonts w:hint="eastAsia" w:ascii="Times New Roman" w:hAnsi="Times New Roman" w:eastAsia="宋体" w:cs="Times New Roman"/>
                <w:color w:val="000000" w:themeColor="text1"/>
                <w:kern w:val="0"/>
                <w:sz w:val="24"/>
                <w:szCs w:val="24"/>
                <w:lang w:eastAsia="zh-CN"/>
                <w14:textFill>
                  <w14:solidFill>
                    <w14:schemeClr w14:val="tx1"/>
                  </w14:solidFill>
                </w14:textFill>
              </w:rPr>
              <w:t>发展</w:t>
            </w:r>
            <w:r>
              <w:rPr>
                <w:rFonts w:hint="default" w:ascii="Times New Roman" w:hAnsi="Times New Roman" w:eastAsia="宋体" w:cs="Times New Roman"/>
                <w:color w:val="000000" w:themeColor="text1"/>
                <w:kern w:val="0"/>
                <w:sz w:val="24"/>
                <w:szCs w:val="24"/>
                <w:lang w:eastAsia="zh-CN"/>
                <w14:textFill>
                  <w14:solidFill>
                    <w14:schemeClr w14:val="tx1"/>
                  </w14:solidFill>
                </w14:textFill>
              </w:rPr>
              <w:t>规划环境影响</w:t>
            </w:r>
            <w:r>
              <w:rPr>
                <w:rFonts w:hint="default" w:ascii="Times New Roman" w:hAnsi="Times New Roman" w:cs="Times New Roman"/>
                <w:color w:val="000000" w:themeColor="text1"/>
                <w:kern w:val="0"/>
                <w:sz w:val="24"/>
                <w:szCs w:val="24"/>
                <w:lang w:eastAsia="zh-CN"/>
                <w14:textFill>
                  <w14:solidFill>
                    <w14:schemeClr w14:val="tx1"/>
                  </w14:solidFill>
                </w14:textFill>
              </w:rPr>
              <w:t>评价</w:t>
            </w:r>
            <w:r>
              <w:rPr>
                <w:rFonts w:hint="default" w:ascii="Times New Roman" w:hAnsi="Times New Roman" w:eastAsia="宋体" w:cs="Times New Roman"/>
                <w:color w:val="000000" w:themeColor="text1"/>
                <w:kern w:val="0"/>
                <w:sz w:val="24"/>
                <w:szCs w:val="24"/>
                <w:lang w:eastAsia="zh-CN"/>
                <w14:textFill>
                  <w14:solidFill>
                    <w14:schemeClr w14:val="tx1"/>
                  </w14:solidFill>
                </w14:textFill>
              </w:rPr>
              <w:t>报告书</w:t>
            </w:r>
            <w:r>
              <w:rPr>
                <w:rFonts w:hint="eastAsia" w:ascii="Times New Roman" w:hAnsi="Times New Roman" w:eastAsia="宋体" w:cs="Times New Roman"/>
                <w:b w:val="0"/>
                <w:bCs w:val="0"/>
                <w:color w:val="000000" w:themeColor="text1"/>
                <w:kern w:val="0"/>
                <w:sz w:val="24"/>
                <w:szCs w:val="24"/>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val="0"/>
                <w:bCs w:val="0"/>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14:textFill>
                  <w14:solidFill>
                    <w14:schemeClr w14:val="tx1"/>
                  </w14:solidFill>
                </w14:textFill>
              </w:rPr>
              <w:t>召集审查机关：</w:t>
            </w:r>
            <w:r>
              <w:rPr>
                <w:rFonts w:hint="eastAsia" w:cs="Times New Roman"/>
                <w:b w:val="0"/>
                <w:bCs w:val="0"/>
                <w:color w:val="000000" w:themeColor="text1"/>
                <w:kern w:val="0"/>
                <w:sz w:val="24"/>
                <w:szCs w:val="24"/>
                <w:lang w:val="en-US" w:eastAsia="zh-CN"/>
                <w14:textFill>
                  <w14:solidFill>
                    <w14:schemeClr w14:val="tx1"/>
                  </w14:solidFill>
                </w14:textFill>
              </w:rPr>
              <w:t>现</w:t>
            </w:r>
            <w:r>
              <w:rPr>
                <w:rFonts w:hint="eastAsia" w:ascii="Times New Roman" w:hAnsi="Times New Roman" w:eastAsia="宋体" w:cs="Times New Roman"/>
                <w:b w:val="0"/>
                <w:bCs w:val="0"/>
                <w:color w:val="000000" w:themeColor="text1"/>
                <w:kern w:val="0"/>
                <w:sz w:val="24"/>
                <w:szCs w:val="24"/>
                <w:lang w:val="en-US" w:eastAsia="zh-CN"/>
                <w14:textFill>
                  <w14:solidFill>
                    <w14:schemeClr w14:val="tx1"/>
                  </w14:solidFill>
                </w14:textFill>
              </w:rPr>
              <w:t>安徽省生态环境厅</w:t>
            </w:r>
            <w:r>
              <w:rPr>
                <w:rFonts w:hint="eastAsia" w:cs="Times New Roman"/>
                <w:b w:val="0"/>
                <w:bCs w:val="0"/>
                <w:color w:val="000000" w:themeColor="text1"/>
                <w:kern w:val="0"/>
                <w:sz w:val="24"/>
                <w:szCs w:val="24"/>
                <w:lang w:val="en-US" w:eastAsia="zh-CN"/>
                <w14:textFill>
                  <w14:solidFill>
                    <w14:schemeClr w14:val="tx1"/>
                  </w14:solidFill>
                </w14:textFill>
              </w:rPr>
              <w:t>（原</w:t>
            </w:r>
            <w:r>
              <w:rPr>
                <w:rFonts w:hint="eastAsia" w:ascii="Times New Roman" w:hAnsi="Times New Roman" w:eastAsia="宋体" w:cs="Times New Roman"/>
                <w:b w:val="0"/>
                <w:bCs w:val="0"/>
                <w:color w:val="000000" w:themeColor="text1"/>
                <w:kern w:val="0"/>
                <w:sz w:val="24"/>
                <w:szCs w:val="24"/>
                <w:lang w:val="en-US" w:eastAsia="zh-CN"/>
                <w14:textFill>
                  <w14:solidFill>
                    <w14:schemeClr w14:val="tx1"/>
                  </w14:solidFill>
                </w14:textFill>
              </w:rPr>
              <w:t>安徽省</w:t>
            </w:r>
            <w:r>
              <w:rPr>
                <w:rFonts w:hint="eastAsia" w:ascii="Times New Roman" w:hAnsi="Times New Roman" w:cs="Times New Roman"/>
                <w:b w:val="0"/>
                <w:bCs w:val="0"/>
                <w:color w:val="000000" w:themeColor="text1"/>
                <w:kern w:val="0"/>
                <w:sz w:val="24"/>
                <w:szCs w:val="24"/>
                <w:lang w:val="en-US" w:eastAsia="zh-CN"/>
                <w14:textFill>
                  <w14:solidFill>
                    <w14:schemeClr w14:val="tx1"/>
                  </w14:solidFill>
                </w14:textFill>
              </w:rPr>
              <w:t>环境保护厅</w:t>
            </w:r>
            <w:r>
              <w:rPr>
                <w:rFonts w:hint="eastAsia" w:cs="Times New Roman"/>
                <w:b w:val="0"/>
                <w:bCs w:val="0"/>
                <w:color w:val="000000" w:themeColor="text1"/>
                <w:kern w:val="0"/>
                <w:sz w:val="24"/>
                <w:szCs w:val="24"/>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14:textFill>
                  <w14:solidFill>
                    <w14:schemeClr w14:val="tx1"/>
                  </w14:solidFill>
                </w14:textFill>
              </w:rPr>
              <w:t>审查文件名称及文号：</w:t>
            </w:r>
            <w:r>
              <w:rPr>
                <w:rFonts w:hint="eastAsia" w:ascii="Times New Roman" w:hAnsi="Times New Roman" w:eastAsia="宋体" w:cs="Times New Roman"/>
                <w:b w:val="0"/>
                <w:bCs w:val="0"/>
                <w:color w:val="000000" w:themeColor="text1"/>
                <w:kern w:val="0"/>
                <w:sz w:val="24"/>
                <w:szCs w:val="24"/>
                <w:lang w:val="en-US" w:eastAsia="zh-CN"/>
                <w14:textFill>
                  <w14:solidFill>
                    <w14:schemeClr w14:val="tx1"/>
                  </w14:solidFill>
                </w14:textFill>
              </w:rPr>
              <w:t>《关于</w:t>
            </w:r>
            <w:r>
              <w:rPr>
                <w:rFonts w:hint="default" w:ascii="Times New Roman" w:hAnsi="Times New Roman" w:eastAsia="宋体" w:cs="Times New Roman"/>
                <w:color w:val="000000" w:themeColor="text1"/>
                <w:kern w:val="0"/>
                <w:sz w:val="24"/>
                <w:szCs w:val="24"/>
                <w:lang w:eastAsia="zh-CN"/>
                <w14:textFill>
                  <w14:solidFill>
                    <w14:schemeClr w14:val="tx1"/>
                  </w14:solidFill>
                </w14:textFill>
              </w:rPr>
              <w:t>安徽灵璧经济开发区总体</w:t>
            </w:r>
            <w:r>
              <w:rPr>
                <w:rFonts w:hint="eastAsia" w:ascii="Times New Roman" w:hAnsi="Times New Roman" w:eastAsia="宋体" w:cs="Times New Roman"/>
                <w:color w:val="000000" w:themeColor="text1"/>
                <w:kern w:val="0"/>
                <w:sz w:val="24"/>
                <w:szCs w:val="24"/>
                <w:lang w:eastAsia="zh-CN"/>
                <w14:textFill>
                  <w14:solidFill>
                    <w14:schemeClr w14:val="tx1"/>
                  </w14:solidFill>
                </w14:textFill>
              </w:rPr>
              <w:t>发展</w:t>
            </w:r>
            <w:r>
              <w:rPr>
                <w:rFonts w:hint="default" w:ascii="Times New Roman" w:hAnsi="Times New Roman" w:eastAsia="宋体" w:cs="Times New Roman"/>
                <w:color w:val="000000" w:themeColor="text1"/>
                <w:kern w:val="0"/>
                <w:sz w:val="24"/>
                <w:szCs w:val="24"/>
                <w:lang w:eastAsia="zh-CN"/>
                <w14:textFill>
                  <w14:solidFill>
                    <w14:schemeClr w14:val="tx1"/>
                  </w14:solidFill>
                </w14:textFill>
              </w:rPr>
              <w:t>规划环境影响</w:t>
            </w:r>
            <w:r>
              <w:rPr>
                <w:rFonts w:hint="default" w:ascii="Times New Roman" w:hAnsi="Times New Roman" w:cs="Times New Roman"/>
                <w:color w:val="000000" w:themeColor="text1"/>
                <w:kern w:val="0"/>
                <w:sz w:val="24"/>
                <w:szCs w:val="24"/>
                <w:lang w:eastAsia="zh-CN"/>
                <w14:textFill>
                  <w14:solidFill>
                    <w14:schemeClr w14:val="tx1"/>
                  </w14:solidFill>
                </w14:textFill>
              </w:rPr>
              <w:t>评价</w:t>
            </w:r>
            <w:r>
              <w:rPr>
                <w:rFonts w:hint="default" w:ascii="Times New Roman" w:hAnsi="Times New Roman" w:eastAsia="宋体" w:cs="Times New Roman"/>
                <w:color w:val="000000" w:themeColor="text1"/>
                <w:kern w:val="0"/>
                <w:sz w:val="24"/>
                <w:szCs w:val="24"/>
                <w:lang w:eastAsia="zh-CN"/>
                <w14:textFill>
                  <w14:solidFill>
                    <w14:schemeClr w14:val="tx1"/>
                  </w14:solidFill>
                </w14:textFill>
              </w:rPr>
              <w:t>报告书</w:t>
            </w:r>
            <w:r>
              <w:rPr>
                <w:rFonts w:hint="eastAsia" w:ascii="Times New Roman" w:hAnsi="Times New Roman" w:eastAsia="宋体" w:cs="Times New Roman"/>
                <w:color w:val="000000" w:themeColor="text1"/>
                <w:kern w:val="0"/>
                <w:sz w:val="24"/>
                <w:szCs w:val="24"/>
                <w:lang w:eastAsia="zh-CN"/>
                <w14:textFill>
                  <w14:solidFill>
                    <w14:schemeClr w14:val="tx1"/>
                  </w14:solidFill>
                </w14:textFill>
              </w:rPr>
              <w:t>审查意见的函》（环评函</w:t>
            </w:r>
            <w:r>
              <w:rPr>
                <w:rFonts w:hint="default" w:ascii="Times New Roman" w:hAnsi="Times New Roman" w:eastAsia="宋体" w:cs="Times New Roman"/>
                <w:color w:val="auto"/>
                <w:sz w:val="24"/>
                <w:szCs w:val="24"/>
                <w:highlight w:val="none"/>
                <w:lang w:val="en-US" w:eastAsia="zh-CN"/>
              </w:rPr>
              <w:t>【201</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1174号）</w:t>
            </w:r>
          </w:p>
          <w:p>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default" w:ascii="Times New Roman" w:hAnsi="Times New Roman" w:eastAsia="宋体" w:cs="Times New Roman"/>
                <w:color w:val="000000" w:themeColor="text1"/>
                <w:kern w:val="0"/>
                <w:sz w:val="24"/>
                <w:szCs w:val="24"/>
                <w:lang w:eastAsia="zh-CN"/>
                <w14:textFill>
                  <w14:solidFill>
                    <w14:schemeClr w14:val="tx1"/>
                  </w14:solidFill>
                </w14:textFill>
              </w:rPr>
            </w:pPr>
            <w:r>
              <w:rPr>
                <w:rFonts w:hint="default" w:ascii="Times New Roman" w:hAnsi="Times New Roman" w:eastAsia="微软雅黑" w:cs="Times New Roman"/>
                <w:b/>
                <w:bCs/>
                <w:color w:val="000000" w:themeColor="text1"/>
                <w:kern w:val="0"/>
                <w:sz w:val="24"/>
                <w:szCs w:val="24"/>
                <w:lang w:val="en-US" w:eastAsia="zh-CN"/>
                <w14:textFill>
                  <w14:solidFill>
                    <w14:schemeClr w14:val="tx1"/>
                  </w14:solidFill>
                </w14:textFill>
              </w:rPr>
              <w:t>②</w:t>
            </w:r>
            <w:r>
              <w:rPr>
                <w:rFonts w:hint="default" w:ascii="Times New Roman" w:hAnsi="Times New Roman" w:eastAsia="宋体" w:cs="Times New Roman"/>
                <w:b/>
                <w:bCs/>
                <w:color w:val="000000" w:themeColor="text1"/>
                <w:kern w:val="0"/>
                <w:sz w:val="24"/>
                <w:szCs w:val="24"/>
                <w:lang w:val="en-US" w:eastAsia="zh-CN"/>
                <w14:textFill>
                  <w14:solidFill>
                    <w14:schemeClr w14:val="tx1"/>
                  </w14:solidFill>
                </w14:textFill>
              </w:rPr>
              <w:t>规划环境影响评价文件名称：</w:t>
            </w:r>
            <w:r>
              <w:rPr>
                <w:rFonts w:hint="default" w:ascii="Times New Roman" w:hAnsi="Times New Roman" w:eastAsia="宋体" w:cs="Times New Roman"/>
                <w:color w:val="000000" w:themeColor="text1"/>
                <w:kern w:val="0"/>
                <w:sz w:val="24"/>
                <w:szCs w:val="24"/>
                <w:lang w:eastAsia="zh-CN"/>
                <w14:textFill>
                  <w14:solidFill>
                    <w14:schemeClr w14:val="tx1"/>
                  </w14:solidFill>
                </w14:textFill>
              </w:rPr>
              <w:t>《安徽灵璧经济开发区总体规划环境影响</w:t>
            </w:r>
            <w:r>
              <w:rPr>
                <w:rFonts w:hint="default" w:ascii="Times New Roman" w:hAnsi="Times New Roman" w:cs="Times New Roman"/>
                <w:color w:val="000000" w:themeColor="text1"/>
                <w:kern w:val="0"/>
                <w:sz w:val="24"/>
                <w:szCs w:val="24"/>
                <w:lang w:eastAsia="zh-CN"/>
                <w14:textFill>
                  <w14:solidFill>
                    <w14:schemeClr w14:val="tx1"/>
                  </w14:solidFill>
                </w14:textFill>
              </w:rPr>
              <w:t>跟踪评价</w:t>
            </w:r>
            <w:r>
              <w:rPr>
                <w:rFonts w:hint="default" w:ascii="Times New Roman" w:hAnsi="Times New Roman" w:eastAsia="宋体" w:cs="Times New Roman"/>
                <w:color w:val="000000" w:themeColor="text1"/>
                <w:kern w:val="0"/>
                <w:sz w:val="24"/>
                <w:szCs w:val="24"/>
                <w:lang w:eastAsia="zh-CN"/>
                <w14:textFill>
                  <w14:solidFill>
                    <w14:schemeClr w14:val="tx1"/>
                  </w14:solidFill>
                </w14:textFill>
              </w:rPr>
              <w:t>报告书》</w:t>
            </w:r>
          </w:p>
          <w:p>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default" w:ascii="Times New Roman" w:hAnsi="Times New Roman" w:eastAsia="宋体" w:cs="Times New Roman"/>
                <w:color w:val="000000" w:themeColor="text1"/>
                <w:kern w:val="0"/>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14:textFill>
                  <w14:solidFill>
                    <w14:schemeClr w14:val="tx1"/>
                  </w14:solidFill>
                </w14:textFill>
              </w:rPr>
              <w:t>召集审查机关：</w:t>
            </w:r>
            <w:r>
              <w:rPr>
                <w:rFonts w:hint="default" w:ascii="Times New Roman" w:hAnsi="Times New Roman" w:cs="Times New Roman"/>
                <w:color w:val="000000" w:themeColor="text1"/>
                <w:kern w:val="0"/>
                <w:sz w:val="24"/>
                <w:szCs w:val="24"/>
                <w:lang w:eastAsia="zh-CN"/>
                <w14:textFill>
                  <w14:solidFill>
                    <w14:schemeClr w14:val="tx1"/>
                  </w14:solidFill>
                </w14:textFill>
              </w:rPr>
              <w:t>宿州市生态环境局</w:t>
            </w:r>
          </w:p>
          <w:p>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14:textFill>
                  <w14:solidFill>
                    <w14:schemeClr w14:val="tx1"/>
                  </w14:solidFill>
                </w14:textFill>
              </w:rPr>
              <w:t>审查文件名称及文号：</w:t>
            </w:r>
            <w:r>
              <w:rPr>
                <w:rFonts w:hint="default" w:ascii="Times New Roman" w:hAnsi="Times New Roman" w:eastAsia="宋体" w:cs="Times New Roman"/>
                <w:color w:val="000000" w:themeColor="text1"/>
                <w:kern w:val="0"/>
                <w:sz w:val="24"/>
                <w:szCs w:val="24"/>
                <w:lang w:eastAsia="zh-CN"/>
                <w14:textFill>
                  <w14:solidFill>
                    <w14:schemeClr w14:val="tx1"/>
                  </w14:solidFill>
                </w14:textFill>
              </w:rPr>
              <w:t>《宿州市生态环境局关于安徽灵璧经济开发区总体规划环境影响</w:t>
            </w:r>
            <w:r>
              <w:rPr>
                <w:rFonts w:hint="default" w:ascii="Times New Roman" w:hAnsi="Times New Roman" w:cs="Times New Roman"/>
                <w:color w:val="000000" w:themeColor="text1"/>
                <w:kern w:val="0"/>
                <w:sz w:val="24"/>
                <w:szCs w:val="24"/>
                <w:lang w:eastAsia="zh-CN"/>
                <w14:textFill>
                  <w14:solidFill>
                    <w14:schemeClr w14:val="tx1"/>
                  </w14:solidFill>
                </w14:textFill>
              </w:rPr>
              <w:t>跟踪评价</w:t>
            </w:r>
            <w:r>
              <w:rPr>
                <w:rFonts w:hint="default" w:ascii="Times New Roman" w:hAnsi="Times New Roman" w:eastAsia="宋体" w:cs="Times New Roman"/>
                <w:color w:val="000000" w:themeColor="text1"/>
                <w:kern w:val="0"/>
                <w:sz w:val="24"/>
                <w:szCs w:val="24"/>
                <w:lang w:eastAsia="zh-CN"/>
                <w14:textFill>
                  <w14:solidFill>
                    <w14:schemeClr w14:val="tx1"/>
                  </w14:solidFill>
                </w14:textFill>
              </w:rPr>
              <w:t>报告书的审查意见》</w:t>
            </w:r>
            <w:r>
              <w:rPr>
                <w:rFonts w:hint="default" w:ascii="Times New Roman" w:hAnsi="Times New Roman" w:cs="Times New Roman"/>
                <w:color w:val="000000" w:themeColor="text1"/>
                <w:kern w:val="0"/>
                <w:sz w:val="24"/>
                <w:szCs w:val="24"/>
                <w:lang w:eastAsia="zh-CN"/>
                <w14:textFill>
                  <w14:solidFill>
                    <w14:schemeClr w14:val="tx1"/>
                  </w14:solidFill>
                </w14:textFill>
              </w:rPr>
              <w:t>（宿</w:t>
            </w:r>
            <w:r>
              <w:rPr>
                <w:rFonts w:hint="default" w:ascii="Times New Roman" w:hAnsi="Times New Roman" w:eastAsia="宋体" w:cs="Times New Roman"/>
                <w:color w:val="000000" w:themeColor="text1"/>
                <w:kern w:val="0"/>
                <w:sz w:val="24"/>
                <w:szCs w:val="24"/>
                <w:lang w:eastAsia="zh-CN"/>
                <w14:textFill>
                  <w14:solidFill>
                    <w14:schemeClr w14:val="tx1"/>
                  </w14:solidFill>
                </w14:textFill>
              </w:rPr>
              <w:t>环函</w:t>
            </w:r>
            <w:r>
              <w:rPr>
                <w:rFonts w:hint="default" w:ascii="Times New Roman" w:hAnsi="Times New Roman" w:eastAsia="宋体" w:cs="Times New Roman"/>
                <w:color w:val="auto"/>
                <w:sz w:val="24"/>
                <w:szCs w:val="24"/>
                <w:highlight w:val="none"/>
                <w:lang w:val="en-US" w:eastAsia="zh-CN"/>
              </w:rPr>
              <w:t>【20</w:t>
            </w:r>
            <w:r>
              <w:rPr>
                <w:rFonts w:hint="eastAsia"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color w:val="000000" w:themeColor="text1"/>
                <w:kern w:val="0"/>
                <w:sz w:val="24"/>
                <w:szCs w:val="24"/>
                <w:lang w:val="en-US" w:eastAsia="zh-CN"/>
                <w14:textFill>
                  <w14:solidFill>
                    <w14:schemeClr w14:val="tx1"/>
                  </w14:solidFill>
                </w14:textFill>
              </w:rPr>
              <w:t>100</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号</w:t>
            </w:r>
            <w:r>
              <w:rPr>
                <w:rFonts w:hint="default" w:ascii="Times New Roman" w:hAnsi="Times New Roman" w:cs="Times New Roman"/>
                <w:color w:val="000000" w:themeColor="text1"/>
                <w:kern w:val="0"/>
                <w:sz w:val="24"/>
                <w:szCs w:val="24"/>
                <w:lang w:eastAsia="zh-CN"/>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773" w:type="dxa"/>
            <w:gridSpan w:val="2"/>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ascii="宋体" w:hAnsi="宋体" w:eastAsia="宋体" w:cs="宋体"/>
                <w:b w:val="0"/>
                <w:bCs w:val="0"/>
                <w:color w:val="0000FF"/>
                <w:kern w:val="0"/>
                <w:sz w:val="24"/>
                <w:szCs w:val="24"/>
              </w:rPr>
            </w:pPr>
            <w:r>
              <w:rPr>
                <w:rFonts w:hint="eastAsia" w:ascii="宋体" w:hAnsi="宋体" w:eastAsia="宋体" w:cs="宋体"/>
                <w:b w:val="0"/>
                <w:bCs w:val="0"/>
                <w:color w:val="000000" w:themeColor="text1"/>
                <w:kern w:val="0"/>
                <w:sz w:val="24"/>
                <w:szCs w:val="24"/>
                <w14:textFill>
                  <w14:solidFill>
                    <w14:schemeClr w14:val="tx1"/>
                  </w14:solidFill>
                </w14:textFill>
              </w:rPr>
              <w:t>规划及规划环境影响评价符合性分析</w:t>
            </w:r>
          </w:p>
        </w:tc>
        <w:tc>
          <w:tcPr>
            <w:tcW w:w="7035" w:type="dxa"/>
            <w:gridSpan w:val="3"/>
            <w:tcBorders>
              <w:tl2br w:val="nil"/>
              <w:tr2bl w:val="nil"/>
            </w:tcBorders>
            <w:noWrap w:val="0"/>
            <w:vAlign w:val="center"/>
          </w:tcPr>
          <w:p>
            <w:pPr>
              <w:autoSpaceDE w:val="0"/>
              <w:autoSpaceDN w:val="0"/>
              <w:adjustRightInd w:val="0"/>
              <w:snapToGrid w:val="0"/>
              <w:spacing w:line="360" w:lineRule="auto"/>
              <w:rPr>
                <w:rFonts w:cs="宋体"/>
                <w:b/>
                <w:color w:val="000000" w:themeColor="text1"/>
                <w:sz w:val="24"/>
                <w14:textFill>
                  <w14:solidFill>
                    <w14:schemeClr w14:val="tx1"/>
                  </w14:solidFill>
                </w14:textFill>
              </w:rPr>
            </w:pPr>
            <w:r>
              <w:rPr>
                <w:rFonts w:hint="eastAsia" w:cs="宋体"/>
                <w:b/>
                <w:color w:val="000000" w:themeColor="text1"/>
                <w:sz w:val="24"/>
                <w14:textFill>
                  <w14:solidFill>
                    <w14:schemeClr w14:val="tx1"/>
                  </w14:solidFill>
                </w14:textFill>
              </w:rPr>
              <w:t>1、与园区</w:t>
            </w:r>
            <w:r>
              <w:rPr>
                <w:rFonts w:cs="宋体"/>
                <w:b/>
                <w:color w:val="000000" w:themeColor="text1"/>
                <w:sz w:val="24"/>
                <w14:textFill>
                  <w14:solidFill>
                    <w14:schemeClr w14:val="tx1"/>
                  </w14:solidFill>
                </w14:textFill>
              </w:rPr>
              <w:t>规划符合性分析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本项目位于</w:t>
            </w:r>
            <w:r>
              <w:rPr>
                <w:rFonts w:hint="eastAsia" w:cs="Times New Roman"/>
                <w:b w:val="0"/>
                <w:bCs/>
                <w:color w:val="000000" w:themeColor="text1"/>
                <w:sz w:val="24"/>
                <w:szCs w:val="24"/>
                <w:lang w:val="en-US" w:eastAsia="zh-CN"/>
                <w14:textFill>
                  <w14:solidFill>
                    <w14:schemeClr w14:val="tx1"/>
                  </w14:solidFill>
                </w14:textFill>
              </w:rPr>
              <w:t>安徽省宿州市灵璧县经济</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开发区轴承产业园</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期</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10</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号厂房</w:t>
            </w:r>
            <w:r>
              <w:rPr>
                <w:rFonts w:hint="eastAsia" w:cs="Times New Roman"/>
                <w:b w:val="0"/>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根据</w:t>
            </w:r>
            <w:r>
              <w:rPr>
                <w:rFonts w:hint="eastAsia" w:cs="Times New Roman"/>
                <w:color w:val="000000" w:themeColor="text1"/>
                <w:sz w:val="24"/>
                <w:szCs w:val="24"/>
                <w:highlight w:val="none"/>
                <w:lang w:eastAsia="zh-CN"/>
                <w14:textFill>
                  <w14:solidFill>
                    <w14:schemeClr w14:val="tx1"/>
                  </w14:solidFill>
                </w14:textFill>
              </w:rPr>
              <w:t>灵璧县城市总体</w:t>
            </w:r>
            <w:r>
              <w:rPr>
                <w:rFonts w:hint="eastAsia" w:ascii="Times New Roman" w:hAnsi="Times New Roman" w:cs="Times New Roman"/>
                <w:color w:val="000000" w:themeColor="text1"/>
                <w:sz w:val="24"/>
                <w:szCs w:val="24"/>
                <w:highlight w:val="none"/>
                <w14:textFill>
                  <w14:solidFill>
                    <w14:schemeClr w14:val="tx1"/>
                  </w14:solidFill>
                </w14:textFill>
              </w:rPr>
              <w:t>规划（201</w:t>
            </w:r>
            <w:r>
              <w:rPr>
                <w:rFonts w:hint="eastAsia" w:cs="Times New Roman"/>
                <w:color w:val="000000" w:themeColor="text1"/>
                <w:sz w:val="24"/>
                <w:szCs w:val="24"/>
                <w:highlight w:val="none"/>
                <w:lang w:val="en-US" w:eastAsia="zh-CN"/>
                <w14:textFill>
                  <w14:solidFill>
                    <w14:schemeClr w14:val="tx1"/>
                  </w14:solidFill>
                </w14:textFill>
              </w:rPr>
              <w:t>2</w:t>
            </w:r>
            <w:r>
              <w:rPr>
                <w:rFonts w:hint="eastAsia" w:ascii="Times New Roman" w:hAnsi="Times New Roman" w:cs="Times New Roman"/>
                <w:color w:val="000000" w:themeColor="text1"/>
                <w:sz w:val="24"/>
                <w:szCs w:val="24"/>
                <w:highlight w:val="none"/>
                <w14:textFill>
                  <w14:solidFill>
                    <w14:schemeClr w14:val="tx1"/>
                  </w14:solidFill>
                </w14:textFill>
              </w:rPr>
              <w:t>-2030）</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，项目所在地土地性质为工业用地</w:t>
            </w:r>
            <w:r>
              <w:rPr>
                <w:rFonts w:hint="eastAsia" w:cs="Times New Roman"/>
                <w:b w:val="0"/>
                <w:bCs/>
                <w:color w:val="000000" w:themeColor="text1"/>
                <w:sz w:val="24"/>
                <w:szCs w:val="24"/>
                <w:highlight w:val="none"/>
                <w:lang w:val="en-US" w:eastAsia="zh-CN"/>
                <w14:textFill>
                  <w14:solidFill>
                    <w14:schemeClr w14:val="tx1"/>
                  </w14:solidFill>
                </w14:textFill>
              </w:rPr>
              <w:t>（详见附图6）</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，项目</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用地符合灵璧县用地规划要求。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宋体"/>
                <w:color w:val="000000" w:themeColor="text1"/>
                <w:spacing w:val="6"/>
                <w:sz w:val="24"/>
                <w:szCs w:val="22"/>
                <w14:textFill>
                  <w14:solidFill>
                    <w14:schemeClr w14:val="tx1"/>
                  </w14:solidFill>
                </w14:textFill>
              </w:rPr>
            </w:pPr>
            <w:r>
              <w:rPr>
                <w:rFonts w:hint="eastAsia" w:cs="Times New Roman"/>
                <w:b w:val="0"/>
                <w:bCs/>
                <w:color w:val="000000" w:themeColor="text1"/>
                <w:sz w:val="24"/>
                <w:szCs w:val="24"/>
                <w:lang w:val="en-US" w:eastAsia="zh-CN"/>
                <w14:textFill>
                  <w14:solidFill>
                    <w14:schemeClr w14:val="tx1"/>
                  </w14:solidFill>
                </w14:textFill>
              </w:rPr>
              <w:t>同时项目已与安徽灵璧经济开发区管理委员会签订项目投资协议</w:t>
            </w:r>
            <w:r>
              <w:rPr>
                <w:rFonts w:hint="eastAsia" w:cs="Times New Roman"/>
                <w:b w:val="0"/>
                <w:bCs/>
                <w:color w:val="000000" w:themeColor="text1"/>
                <w:sz w:val="24"/>
                <w:szCs w:val="24"/>
                <w:highlight w:val="none"/>
                <w:lang w:val="en-US" w:eastAsia="zh-CN"/>
                <w14:textFill>
                  <w14:solidFill>
                    <w14:schemeClr w14:val="tx1"/>
                  </w14:solidFill>
                </w14:textFill>
              </w:rPr>
              <w:t>书</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（详见附件5）</w:t>
            </w:r>
            <w:r>
              <w:rPr>
                <w:rFonts w:hint="eastAsia" w:cs="Times New Roman"/>
                <w:b w:val="0"/>
                <w:bCs/>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highlight w:val="none"/>
                <w:lang w:eastAsia="zh-CN"/>
                <w14:textFill>
                  <w14:solidFill>
                    <w14:schemeClr w14:val="tx1"/>
                  </w14:solidFill>
                </w14:textFill>
              </w:rPr>
              <w:t>根</w:t>
            </w:r>
            <w:r>
              <w:rPr>
                <w:rFonts w:hint="eastAsia" w:cs="Times New Roman"/>
                <w:color w:val="000000" w:themeColor="text1"/>
                <w:sz w:val="24"/>
                <w:lang w:eastAsia="zh-CN"/>
                <w14:textFill>
                  <w14:solidFill>
                    <w14:schemeClr w14:val="tx1"/>
                  </w14:solidFill>
                </w14:textFill>
              </w:rPr>
              <w:t>据《加速打造百亿元轴承产业基地——灵璧县召开专题会议部署推进轴承产业发展》（灵璧县投资促进中心，</w:t>
            </w:r>
            <w:r>
              <w:rPr>
                <w:rFonts w:hint="eastAsia" w:cs="Times New Roman"/>
                <w:color w:val="000000" w:themeColor="text1"/>
                <w:sz w:val="24"/>
                <w:lang w:val="en-US" w:eastAsia="zh-CN"/>
                <w14:textFill>
                  <w14:solidFill>
                    <w14:schemeClr w14:val="tx1"/>
                  </w14:solidFill>
                </w14:textFill>
              </w:rPr>
              <w:t>2020.10.13</w:t>
            </w:r>
            <w:r>
              <w:rPr>
                <w:rFonts w:hint="eastAsia" w:cs="Times New Roman"/>
                <w:color w:val="000000" w:themeColor="text1"/>
                <w:sz w:val="24"/>
                <w:lang w:eastAsia="zh-CN"/>
                <w14:textFill>
                  <w14:solidFill>
                    <w14:schemeClr w14:val="tx1"/>
                  </w14:solidFill>
                </w14:textFill>
              </w:rPr>
              <w:t>），“会议强调：要进一步优化营商环境，做好已签约项目服务保障，完善供电、供水、供气等基础设施，落实轴承产业支持政策。</w:t>
            </w:r>
            <w:r>
              <w:rPr>
                <w:rFonts w:hint="eastAsia" w:cs="Times New Roman"/>
                <w:b/>
                <w:bCs/>
                <w:color w:val="000000" w:themeColor="text1"/>
                <w:sz w:val="24"/>
                <w:lang w:eastAsia="zh-CN"/>
                <w14:textFill>
                  <w14:solidFill>
                    <w14:schemeClr w14:val="tx1"/>
                  </w14:solidFill>
                </w14:textFill>
              </w:rPr>
              <w:t>要加大招商引资力度，积极引进轴承产业上下游相关企业入驻园区，完善轴承产业链条，促进轴承产业高质量发展。</w:t>
            </w:r>
            <w:r>
              <w:rPr>
                <w:rFonts w:hint="eastAsia" w:cs="Times New Roman"/>
                <w:color w:val="000000" w:themeColor="text1"/>
                <w:sz w:val="24"/>
                <w:lang w:eastAsia="zh-CN"/>
                <w14:textFill>
                  <w14:solidFill>
                    <w14:schemeClr w14:val="tx1"/>
                  </w14:solidFill>
                </w14:textFill>
              </w:rPr>
              <w:t>各部门要群策群力，共同推进，坚持问题导向，紧盯政策落实，为企业解决实际问题，保障企业健康发展。”同时根据《安徽灵璧：培育壮大发展新动能 打造轴承产业新高地》（灵璧县招商局，</w:t>
            </w:r>
            <w:r>
              <w:rPr>
                <w:rFonts w:hint="eastAsia" w:cs="Times New Roman"/>
                <w:color w:val="000000" w:themeColor="text1"/>
                <w:sz w:val="24"/>
                <w:lang w:val="en-US" w:eastAsia="zh-CN"/>
                <w14:textFill>
                  <w14:solidFill>
                    <w14:schemeClr w14:val="tx1"/>
                  </w14:solidFill>
                </w14:textFill>
              </w:rPr>
              <w:t>2020.11.11</w:t>
            </w:r>
            <w:r>
              <w:rPr>
                <w:rFonts w:hint="eastAsia" w:cs="Times New Roman"/>
                <w:color w:val="000000" w:themeColor="text1"/>
                <w:sz w:val="24"/>
                <w:lang w:eastAsia="zh-CN"/>
                <w14:textFill>
                  <w14:solidFill>
                    <w14:schemeClr w14:val="tx1"/>
                  </w14:solidFill>
                </w14:textFill>
              </w:rPr>
              <w:t>），“近年来，灵璧县聚力发展轴承制造产业，现已汇集轴承类企业10余家，基本形成以轴承钢、轴承套圈、保持架、热处理、轴承组装等专业化分工明确、配套能力强的完整产业链条，完成“从无到有、由小到大、从企业单打独斗到全产业链集聚发展”的蜕变，成功获批安徽省机械制造特色产业集聚（基地），初步建成以经济开发区为中心、辐射周边乡镇的轴承产业集群。”坚持以机械电子产业园为基础、以轴承产业园建设规划为指导、以企业需求为导向，高规划建设标准化厂房，高标准完善基础设施配套。目前，轴承产业园（一、二期）14.1万平方米的标准化厂房已建成并完成企业入驻，轴承产业园（三期）19万平方米标准化厂房、轴承产业园（四期）30万平方米标准化厂房轴承研发中心建设进展顺利，已谋划启动</w:t>
            </w:r>
            <w:r>
              <w:rPr>
                <w:rFonts w:hint="eastAsia" w:cs="Times New Roman"/>
                <w:color w:val="000000" w:themeColor="text1"/>
                <w:sz w:val="24"/>
                <w:lang w:val="en-US" w:eastAsia="zh-CN"/>
                <w14:textFill>
                  <w14:solidFill>
                    <w14:schemeClr w14:val="tx1"/>
                  </w14:solidFill>
                </w14:textFill>
              </w:rPr>
              <w:t>6.99万</w:t>
            </w:r>
            <w:r>
              <w:rPr>
                <w:rFonts w:hint="eastAsia" w:cs="Times New Roman"/>
                <w:color w:val="000000" w:themeColor="text1"/>
                <w:sz w:val="24"/>
                <w:lang w:eastAsia="zh-CN"/>
                <w14:textFill>
                  <w14:solidFill>
                    <w14:schemeClr w14:val="tx1"/>
                  </w14:solidFill>
                </w14:textFill>
              </w:rPr>
              <w:t>平方米的轴承产业园（五期）智能化、标准化厂房及相关配套设施。</w:t>
            </w:r>
            <w:r>
              <w:rPr>
                <w:rFonts w:hint="eastAsia" w:cs="Times New Roman"/>
                <w:color w:val="000000" w:themeColor="text1"/>
                <w:sz w:val="24"/>
                <w:lang w:val="en-US" w:eastAsia="zh-CN"/>
                <w14:textFill>
                  <w14:solidFill>
                    <w14:schemeClr w14:val="tx1"/>
                  </w14:solidFill>
                </w14:textFill>
              </w:rPr>
              <w:t>本项目位于安徽省宿州市灵璧县经济开发区轴承产业园5期10号厂房，主要为钢球生产，属于轴承、齿轮和传动部件制造，符合园区产业规划。</w:t>
            </w:r>
          </w:p>
          <w:p>
            <w:pPr>
              <w:autoSpaceDE w:val="0"/>
              <w:autoSpaceDN w:val="0"/>
              <w:adjustRightInd w:val="0"/>
              <w:snapToGrid w:val="0"/>
              <w:spacing w:line="360" w:lineRule="auto"/>
              <w:rPr>
                <w:rFonts w:cs="宋体"/>
                <w:b/>
                <w:color w:val="000000" w:themeColor="text1"/>
                <w:sz w:val="24"/>
                <w14:textFill>
                  <w14:solidFill>
                    <w14:schemeClr w14:val="tx1"/>
                  </w14:solidFill>
                </w14:textFill>
              </w:rPr>
            </w:pPr>
            <w:r>
              <w:rPr>
                <w:rFonts w:hint="eastAsia" w:cs="宋体"/>
                <w:b/>
                <w:color w:val="000000" w:themeColor="text1"/>
                <w:sz w:val="24"/>
                <w:lang w:val="en-US" w:eastAsia="zh-CN"/>
                <w14:textFill>
                  <w14:solidFill>
                    <w14:schemeClr w14:val="tx1"/>
                  </w14:solidFill>
                </w14:textFill>
              </w:rPr>
              <w:t>2、</w:t>
            </w:r>
            <w:r>
              <w:rPr>
                <w:rFonts w:cs="宋体"/>
                <w:b/>
                <w:color w:val="000000" w:themeColor="text1"/>
                <w:sz w:val="24"/>
                <w14:textFill>
                  <w14:solidFill>
                    <w14:schemeClr w14:val="tx1"/>
                  </w14:solidFill>
                </w14:textFill>
              </w:rPr>
              <w:t>与</w:t>
            </w:r>
            <w:r>
              <w:rPr>
                <w:rFonts w:hint="eastAsia"/>
                <w:b/>
                <w:color w:val="000000" w:themeColor="text1"/>
                <w:sz w:val="24"/>
                <w14:textFill>
                  <w14:solidFill>
                    <w14:schemeClr w14:val="tx1"/>
                  </w14:solidFill>
                </w14:textFill>
              </w:rPr>
              <w:t>规划环评相符性分析</w:t>
            </w:r>
          </w:p>
          <w:p>
            <w:pPr>
              <w:keepNext w:val="0"/>
              <w:keepLines w:val="0"/>
              <w:pageBreakBefore w:val="0"/>
              <w:widowControl w:val="0"/>
              <w:kinsoku/>
              <w:wordWrap/>
              <w:overflowPunct/>
              <w:topLinePunct w:val="0"/>
              <w:autoSpaceDE/>
              <w:autoSpaceDN/>
              <w:bidi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安徽灵璧经济开发区</w:t>
            </w:r>
            <w:r>
              <w:rPr>
                <w:color w:val="000000" w:themeColor="text1"/>
                <w:sz w:val="24"/>
                <w14:textFill>
                  <w14:solidFill>
                    <w14:schemeClr w14:val="tx1"/>
                  </w14:solidFill>
                </w14:textFill>
              </w:rPr>
              <w:t>位于</w:t>
            </w:r>
            <w:r>
              <w:rPr>
                <w:rFonts w:hint="eastAsia"/>
                <w:color w:val="000000" w:themeColor="text1"/>
                <w:sz w:val="24"/>
                <w14:textFill>
                  <w14:solidFill>
                    <w14:schemeClr w14:val="tx1"/>
                  </w14:solidFill>
                </w14:textFill>
              </w:rPr>
              <w:t>灵璧</w:t>
            </w:r>
            <w:r>
              <w:rPr>
                <w:color w:val="000000" w:themeColor="text1"/>
                <w:sz w:val="24"/>
                <w14:textFill>
                  <w14:solidFill>
                    <w14:schemeClr w14:val="tx1"/>
                  </w14:solidFill>
                </w14:textFill>
              </w:rPr>
              <w:t>县城</w:t>
            </w:r>
            <w:r>
              <w:rPr>
                <w:rFonts w:hint="eastAsia"/>
                <w:color w:val="000000" w:themeColor="text1"/>
                <w:sz w:val="24"/>
                <w14:textFill>
                  <w14:solidFill>
                    <w14:schemeClr w14:val="tx1"/>
                  </w14:solidFill>
                </w14:textFill>
              </w:rPr>
              <w:t>北</w:t>
            </w:r>
            <w:r>
              <w:rPr>
                <w:color w:val="000000" w:themeColor="text1"/>
                <w:sz w:val="24"/>
                <w14:textFill>
                  <w14:solidFill>
                    <w14:schemeClr w14:val="tx1"/>
                  </w14:solidFill>
                </w14:textFill>
              </w:rPr>
              <w:t>部</w:t>
            </w:r>
            <w:r>
              <w:rPr>
                <w:rFonts w:hint="eastAsia"/>
                <w:color w:val="000000" w:themeColor="text1"/>
                <w:sz w:val="24"/>
                <w14:textFill>
                  <w14:solidFill>
                    <w14:schemeClr w14:val="tx1"/>
                  </w14:solidFill>
                </w14:textFill>
              </w:rPr>
              <w:t>和南部</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按照《安徽灵璧经济开发区总体发展规划（201</w:t>
            </w:r>
            <w:r>
              <w:rPr>
                <w:rFonts w:hint="eastAsia"/>
                <w:color w:val="000000" w:themeColor="text1"/>
                <w:sz w:val="24"/>
                <w:lang w:val="en-US" w:eastAsia="zh-CN"/>
                <w14:textFill>
                  <w14:solidFill>
                    <w14:schemeClr w14:val="tx1"/>
                  </w14:solidFill>
                </w14:textFill>
              </w:rPr>
              <w:t>2-</w:t>
            </w:r>
            <w:r>
              <w:rPr>
                <w:rFonts w:hint="eastAsia"/>
                <w:color w:val="000000" w:themeColor="text1"/>
                <w:sz w:val="24"/>
                <w14:textFill>
                  <w14:solidFill>
                    <w14:schemeClr w14:val="tx1"/>
                  </w14:solidFill>
                </w14:textFill>
              </w:rPr>
              <w:t>2030）》确定的范围，工业园区原批准用地规模为2km</w:t>
            </w:r>
            <w:r>
              <w:rPr>
                <w:rFonts w:hint="eastAsia"/>
                <w:color w:val="000000" w:themeColor="text1"/>
                <w:sz w:val="24"/>
                <w:vertAlign w:val="superscript"/>
                <w14:textFill>
                  <w14:solidFill>
                    <w14:schemeClr w14:val="tx1"/>
                  </w14:solidFill>
                </w14:textFill>
              </w:rPr>
              <w:t>2</w:t>
            </w:r>
            <w:r>
              <w:rPr>
                <w:rFonts w:hint="eastAsia"/>
                <w:color w:val="000000" w:themeColor="text1"/>
                <w:sz w:val="24"/>
                <w14:textFill>
                  <w14:solidFill>
                    <w14:schemeClr w14:val="tx1"/>
                  </w14:solidFill>
                </w14:textFill>
              </w:rPr>
              <w:t>，扩建规划用地分为3个组团，分布在泗许高速的北侧和宿淮铁路的南侧，其中东部组团规划面积为268.8公顷，西部组团规划面积为180.2公顷，北部组团规划面积为634公顷，规划总面积为1083公顷</w:t>
            </w:r>
            <w:r>
              <w:rPr>
                <w:rFonts w:hint="eastAsia"/>
                <w:color w:val="000000" w:themeColor="text1"/>
                <w:sz w:val="24"/>
                <w:szCs w:val="28"/>
                <w14:textFill>
                  <w14:solidFill>
                    <w14:schemeClr w14:val="tx1"/>
                  </w14:solidFill>
                </w14:textFill>
              </w:rPr>
              <w:t>，</w:t>
            </w:r>
            <w:r>
              <w:rPr>
                <w:color w:val="000000" w:themeColor="text1"/>
                <w:sz w:val="24"/>
                <w14:textFill>
                  <w14:solidFill>
                    <w14:schemeClr w14:val="tx1"/>
                  </w14:solidFill>
                </w14:textFill>
              </w:rPr>
              <w:t>园区重点发展轻纺服装、机械制造、农副产品深加工等主导产业。</w:t>
            </w:r>
          </w:p>
          <w:p>
            <w:pPr>
              <w:pStyle w:val="8"/>
              <w:keepNext w:val="0"/>
              <w:keepLines w:val="0"/>
              <w:pageBreakBefore w:val="0"/>
              <w:widowControl w:val="0"/>
              <w:kinsoku/>
              <w:wordWrap/>
              <w:overflowPunct/>
              <w:topLinePunct w:val="0"/>
              <w:autoSpaceDE/>
              <w:autoSpaceDN/>
              <w:bidi w:val="0"/>
              <w:spacing w:line="360" w:lineRule="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本项目位于宿州市灵璧县经济开发区轴承产业园5期10号厂房，属于北部组团工业用地范围内，且生产产品符合规划要求。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rPr>
                <w:color w:val="000000" w:themeColor="text1"/>
                <w:sz w:val="24"/>
                <w:szCs w:val="28"/>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根据《安徽灵璧经济开发区总体发展规划环境影响</w:t>
            </w:r>
            <w:r>
              <w:rPr>
                <w:rFonts w:hint="eastAsia"/>
                <w:color w:val="000000" w:themeColor="text1"/>
                <w:sz w:val="24"/>
                <w:szCs w:val="28"/>
                <w14:textFill>
                  <w14:solidFill>
                    <w14:schemeClr w14:val="tx1"/>
                  </w14:solidFill>
                </w14:textFill>
              </w:rPr>
              <w:t>跟踪评价报告书》：按照安徽灵璧经济开区划确定的主导产业发展方向，遵循循环经济理念和生态工业园区的要求，大力引进和发展低污染企业。在开发区今后发展中，要始终按照开发区规划确定的主导产业发展方向的要求，改造现有产业，同时限制浪费资源、污染环境的产业发展。跟踪评价结合区域态保护红线、环境质量底线、资源利用上线、环境影响等综合考虑，提出开发区产业发展环境准入负面清单，本项目与安徽灵璧经济开发区环境准入负面清单相符性分析如下表</w:t>
            </w:r>
            <w:r>
              <w:rPr>
                <w:rFonts w:hint="eastAsia"/>
                <w:color w:val="000000" w:themeColor="text1"/>
                <w:sz w:val="24"/>
                <w:szCs w:val="28"/>
                <w:lang w:val="en-US" w:eastAsia="zh-CN"/>
                <w14:textFill>
                  <w14:solidFill>
                    <w14:schemeClr w14:val="tx1"/>
                  </w14:solidFill>
                </w14:textFill>
              </w:rPr>
              <w:t>1.1</w:t>
            </w:r>
            <w:r>
              <w:rPr>
                <w:rFonts w:hint="eastAsia"/>
                <w:color w:val="000000" w:themeColor="text1"/>
                <w:sz w:val="24"/>
                <w:szCs w:val="28"/>
                <w14:textFill>
                  <w14:solidFill>
                    <w14:schemeClr w14:val="tx1"/>
                  </w14:solidFill>
                </w14:textFill>
              </w:rPr>
              <w:t>所示。</w:t>
            </w:r>
          </w:p>
          <w:p>
            <w:pPr>
              <w:snapToGrid w:val="0"/>
              <w:spacing w:line="360" w:lineRule="auto"/>
              <w:jc w:val="center"/>
              <w:rPr>
                <w:b/>
                <w:bCs/>
                <w:color w:val="000000" w:themeColor="text1"/>
                <w:sz w:val="24"/>
                <w:szCs w:val="28"/>
                <w14:textFill>
                  <w14:solidFill>
                    <w14:schemeClr w14:val="tx1"/>
                  </w14:solidFill>
                </w14:textFill>
              </w:rPr>
            </w:pPr>
            <w:r>
              <w:rPr>
                <w:rFonts w:hint="eastAsia"/>
                <w:b/>
                <w:bCs/>
                <w:color w:val="000000" w:themeColor="text1"/>
                <w:sz w:val="24"/>
                <w:szCs w:val="28"/>
                <w14:textFill>
                  <w14:solidFill>
                    <w14:schemeClr w14:val="tx1"/>
                  </w14:solidFill>
                </w14:textFill>
              </w:rPr>
              <w:t>表</w:t>
            </w:r>
            <w:r>
              <w:rPr>
                <w:b/>
                <w:bCs/>
                <w:color w:val="000000" w:themeColor="text1"/>
                <w:sz w:val="24"/>
                <w:szCs w:val="28"/>
                <w14:textFill>
                  <w14:solidFill>
                    <w14:schemeClr w14:val="tx1"/>
                  </w14:solidFill>
                </w14:textFill>
              </w:rPr>
              <w:t>1</w:t>
            </w:r>
            <w:r>
              <w:rPr>
                <w:rFonts w:hint="eastAsia"/>
                <w:b/>
                <w:bCs/>
                <w:color w:val="000000" w:themeColor="text1"/>
                <w:sz w:val="24"/>
                <w:szCs w:val="28"/>
                <w:lang w:val="en-US" w:eastAsia="zh-CN"/>
                <w14:textFill>
                  <w14:solidFill>
                    <w14:schemeClr w14:val="tx1"/>
                  </w14:solidFill>
                </w14:textFill>
              </w:rPr>
              <w:t>.</w:t>
            </w:r>
            <w:r>
              <w:rPr>
                <w:b/>
                <w:bCs/>
                <w:color w:val="000000" w:themeColor="text1"/>
                <w:sz w:val="24"/>
                <w:szCs w:val="28"/>
                <w14:textFill>
                  <w14:solidFill>
                    <w14:schemeClr w14:val="tx1"/>
                  </w14:solidFill>
                </w14:textFill>
              </w:rPr>
              <w:t>1</w:t>
            </w:r>
            <w:r>
              <w:rPr>
                <w:rFonts w:hint="eastAsia"/>
                <w:b/>
                <w:bCs/>
                <w:color w:val="000000" w:themeColor="text1"/>
                <w:sz w:val="24"/>
                <w:szCs w:val="28"/>
                <w14:textFill>
                  <w14:solidFill>
                    <w14:schemeClr w14:val="tx1"/>
                  </w14:solidFill>
                </w14:textFill>
              </w:rPr>
              <w:t xml:space="preserve">  开发区产业发展环境准入负面清单</w:t>
            </w:r>
          </w:p>
          <w:tbl>
            <w:tblPr>
              <w:tblStyle w:val="25"/>
              <w:tblW w:w="680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13"/>
              <w:gridCol w:w="2688"/>
              <w:gridCol w:w="1910"/>
              <w:gridCol w:w="12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13" w:type="dxa"/>
                  <w:tcBorders>
                    <w:tl2br w:val="nil"/>
                    <w:tr2bl w:val="nil"/>
                  </w:tcBorders>
                  <w:vAlign w:val="center"/>
                </w:tcPr>
                <w:p>
                  <w:pPr>
                    <w:snapToGrid w:val="0"/>
                    <w:jc w:val="center"/>
                    <w:rPr>
                      <w:rFonts w:cs="宋体"/>
                      <w:b w:val="0"/>
                      <w:bCs/>
                      <w:color w:val="000000" w:themeColor="text1"/>
                      <w:sz w:val="21"/>
                      <w:szCs w:val="21"/>
                      <w14:textFill>
                        <w14:solidFill>
                          <w14:schemeClr w14:val="tx1"/>
                        </w14:solidFill>
                      </w14:textFill>
                    </w:rPr>
                  </w:pPr>
                  <w:r>
                    <w:rPr>
                      <w:rFonts w:hint="eastAsia" w:cs="宋体"/>
                      <w:b w:val="0"/>
                      <w:bCs/>
                      <w:color w:val="000000" w:themeColor="text1"/>
                      <w:sz w:val="21"/>
                      <w:szCs w:val="21"/>
                      <w14:textFill>
                        <w14:solidFill>
                          <w14:schemeClr w14:val="tx1"/>
                        </w14:solidFill>
                      </w14:textFill>
                    </w:rPr>
                    <w:t>行业门类</w:t>
                  </w:r>
                </w:p>
              </w:tc>
              <w:tc>
                <w:tcPr>
                  <w:tcW w:w="2688" w:type="dxa"/>
                  <w:tcBorders>
                    <w:tl2br w:val="nil"/>
                    <w:tr2bl w:val="nil"/>
                  </w:tcBorders>
                  <w:vAlign w:val="center"/>
                </w:tcPr>
                <w:p>
                  <w:pPr>
                    <w:snapToGrid w:val="0"/>
                    <w:jc w:val="center"/>
                    <w:rPr>
                      <w:rFonts w:cs="宋体"/>
                      <w:b w:val="0"/>
                      <w:bCs/>
                      <w:color w:val="000000" w:themeColor="text1"/>
                      <w:sz w:val="21"/>
                      <w:szCs w:val="21"/>
                      <w14:textFill>
                        <w14:solidFill>
                          <w14:schemeClr w14:val="tx1"/>
                        </w14:solidFill>
                      </w14:textFill>
                    </w:rPr>
                  </w:pPr>
                  <w:r>
                    <w:rPr>
                      <w:rFonts w:hint="eastAsia" w:cs="宋体"/>
                      <w:b w:val="0"/>
                      <w:bCs/>
                      <w:color w:val="000000" w:themeColor="text1"/>
                      <w:sz w:val="21"/>
                      <w:szCs w:val="21"/>
                      <w14:textFill>
                        <w14:solidFill>
                          <w14:schemeClr w14:val="tx1"/>
                        </w14:solidFill>
                      </w14:textFill>
                    </w:rPr>
                    <w:t>行业名称</w:t>
                  </w:r>
                </w:p>
              </w:tc>
              <w:tc>
                <w:tcPr>
                  <w:tcW w:w="1910" w:type="dxa"/>
                  <w:tcBorders>
                    <w:tl2br w:val="nil"/>
                    <w:tr2bl w:val="nil"/>
                  </w:tcBorders>
                  <w:vAlign w:val="center"/>
                </w:tcPr>
                <w:p>
                  <w:pPr>
                    <w:snapToGrid w:val="0"/>
                    <w:jc w:val="center"/>
                    <w:rPr>
                      <w:rFonts w:cs="宋体"/>
                      <w:b w:val="0"/>
                      <w:bCs/>
                      <w:color w:val="000000" w:themeColor="text1"/>
                      <w:sz w:val="21"/>
                      <w:szCs w:val="21"/>
                      <w14:textFill>
                        <w14:solidFill>
                          <w14:schemeClr w14:val="tx1"/>
                        </w14:solidFill>
                      </w14:textFill>
                    </w:rPr>
                  </w:pPr>
                  <w:r>
                    <w:rPr>
                      <w:rFonts w:hint="eastAsia" w:cs="宋体"/>
                      <w:b w:val="0"/>
                      <w:bCs/>
                      <w:color w:val="000000" w:themeColor="text1"/>
                      <w:sz w:val="21"/>
                      <w:szCs w:val="21"/>
                      <w14:textFill>
                        <w14:solidFill>
                          <w14:schemeClr w14:val="tx1"/>
                        </w14:solidFill>
                      </w14:textFill>
                    </w:rPr>
                    <w:t>入区建议</w:t>
                  </w:r>
                </w:p>
              </w:tc>
              <w:tc>
                <w:tcPr>
                  <w:tcW w:w="1298" w:type="dxa"/>
                  <w:tcBorders>
                    <w:tl2br w:val="nil"/>
                    <w:tr2bl w:val="nil"/>
                  </w:tcBorders>
                  <w:vAlign w:val="center"/>
                </w:tcPr>
                <w:p>
                  <w:pPr>
                    <w:snapToGrid w:val="0"/>
                    <w:jc w:val="center"/>
                    <w:rPr>
                      <w:rFonts w:cs="宋体"/>
                      <w:b w:val="0"/>
                      <w:bCs/>
                      <w:color w:val="000000" w:themeColor="text1"/>
                      <w:sz w:val="21"/>
                      <w:szCs w:val="21"/>
                      <w14:textFill>
                        <w14:solidFill>
                          <w14:schemeClr w14:val="tx1"/>
                        </w14:solidFill>
                      </w14:textFill>
                    </w:rPr>
                  </w:pPr>
                  <w:r>
                    <w:rPr>
                      <w:rFonts w:hint="eastAsia" w:cs="宋体"/>
                      <w:b w:val="0"/>
                      <w:bCs/>
                      <w:color w:val="000000" w:themeColor="text1"/>
                      <w:sz w:val="21"/>
                      <w:szCs w:val="21"/>
                      <w14:textFill>
                        <w14:solidFill>
                          <w14:schemeClr w14:val="tx1"/>
                        </w14:solidFill>
                      </w14:textFill>
                    </w:rPr>
                    <w:t>本项目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13" w:type="dxa"/>
                  <w:vMerge w:val="restart"/>
                  <w:tcBorders>
                    <w:tl2br w:val="nil"/>
                    <w:tr2bl w:val="nil"/>
                  </w:tcBorders>
                  <w:vAlign w:val="center"/>
                </w:tcPr>
                <w:p>
                  <w:pPr>
                    <w:snapToGrid w:val="0"/>
                    <w:jc w:val="center"/>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装备制造</w:t>
                  </w:r>
                </w:p>
              </w:tc>
              <w:tc>
                <w:tcPr>
                  <w:tcW w:w="2688" w:type="dxa"/>
                  <w:tcBorders>
                    <w:tl2br w:val="nil"/>
                    <w:tr2bl w:val="nil"/>
                  </w:tcBorders>
                  <w:vAlign w:val="center"/>
                </w:tcPr>
                <w:p>
                  <w:pPr>
                    <w:snapToGrid w:val="0"/>
                    <w:jc w:val="center"/>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通用机械、农用机械、工程机械、汽车零部件、建筑机械及办公设备（不包括大型机械</w:t>
                  </w:r>
                  <w:r>
                    <w:rPr>
                      <w:rFonts w:cs="宋体"/>
                      <w:color w:val="000000" w:themeColor="text1"/>
                      <w:sz w:val="21"/>
                      <w:szCs w:val="21"/>
                      <w14:textFill>
                        <w14:solidFill>
                          <w14:schemeClr w14:val="tx1"/>
                        </w14:solidFill>
                      </w14:textFill>
                    </w:rPr>
                    <w:t>）</w:t>
                  </w:r>
                </w:p>
              </w:tc>
              <w:tc>
                <w:tcPr>
                  <w:tcW w:w="1910" w:type="dxa"/>
                  <w:tcBorders>
                    <w:tl2br w:val="nil"/>
                    <w:tr2bl w:val="nil"/>
                  </w:tcBorders>
                  <w:vAlign w:val="center"/>
                </w:tcPr>
                <w:p>
                  <w:pPr>
                    <w:snapToGrid w:val="0"/>
                    <w:jc w:val="center"/>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优先选择性入区</w:t>
                  </w:r>
                </w:p>
              </w:tc>
              <w:tc>
                <w:tcPr>
                  <w:tcW w:w="1298" w:type="dxa"/>
                  <w:tcBorders>
                    <w:tl2br w:val="nil"/>
                    <w:tr2bl w:val="nil"/>
                  </w:tcBorders>
                  <w:vAlign w:val="center"/>
                </w:tcPr>
                <w:p>
                  <w:pPr>
                    <w:snapToGrid w:val="0"/>
                    <w:jc w:val="center"/>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不属于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13" w:type="dxa"/>
                  <w:vMerge w:val="continue"/>
                  <w:tcBorders>
                    <w:tl2br w:val="nil"/>
                    <w:tr2bl w:val="nil"/>
                  </w:tcBorders>
                  <w:vAlign w:val="center"/>
                </w:tcPr>
                <w:p>
                  <w:pPr>
                    <w:snapToGrid w:val="0"/>
                    <w:jc w:val="center"/>
                    <w:rPr>
                      <w:rFonts w:cs="宋体"/>
                      <w:color w:val="000000" w:themeColor="text1"/>
                      <w:sz w:val="21"/>
                      <w:szCs w:val="21"/>
                      <w14:textFill>
                        <w14:solidFill>
                          <w14:schemeClr w14:val="tx1"/>
                        </w14:solidFill>
                      </w14:textFill>
                    </w:rPr>
                  </w:pPr>
                </w:p>
              </w:tc>
              <w:tc>
                <w:tcPr>
                  <w:tcW w:w="2688" w:type="dxa"/>
                  <w:tcBorders>
                    <w:tl2br w:val="nil"/>
                    <w:tr2bl w:val="nil"/>
                  </w:tcBorders>
                  <w:vAlign w:val="center"/>
                </w:tcPr>
                <w:p>
                  <w:pPr>
                    <w:snapToGrid w:val="0"/>
                    <w:jc w:val="center"/>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通信设备、计算机及其他电子设备制造业、电子类产品</w:t>
                  </w:r>
                </w:p>
              </w:tc>
              <w:tc>
                <w:tcPr>
                  <w:tcW w:w="1910" w:type="dxa"/>
                  <w:tcBorders>
                    <w:tl2br w:val="nil"/>
                    <w:tr2bl w:val="nil"/>
                  </w:tcBorders>
                  <w:vAlign w:val="center"/>
                </w:tcPr>
                <w:p>
                  <w:pPr>
                    <w:snapToGrid w:val="0"/>
                    <w:jc w:val="center"/>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优先选择性入区</w:t>
                  </w:r>
                </w:p>
              </w:tc>
              <w:tc>
                <w:tcPr>
                  <w:tcW w:w="1298" w:type="dxa"/>
                  <w:tcBorders>
                    <w:tl2br w:val="nil"/>
                    <w:tr2bl w:val="nil"/>
                  </w:tcBorders>
                  <w:vAlign w:val="center"/>
                </w:tcPr>
                <w:p>
                  <w:pPr>
                    <w:snapToGrid w:val="0"/>
                    <w:jc w:val="center"/>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不属于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13" w:type="dxa"/>
                  <w:vMerge w:val="continue"/>
                  <w:tcBorders>
                    <w:tl2br w:val="nil"/>
                    <w:tr2bl w:val="nil"/>
                  </w:tcBorders>
                  <w:vAlign w:val="center"/>
                </w:tcPr>
                <w:p>
                  <w:pPr>
                    <w:snapToGrid w:val="0"/>
                    <w:jc w:val="center"/>
                    <w:rPr>
                      <w:rFonts w:cs="宋体"/>
                      <w:color w:val="000000" w:themeColor="text1"/>
                      <w:sz w:val="21"/>
                      <w:szCs w:val="21"/>
                      <w14:textFill>
                        <w14:solidFill>
                          <w14:schemeClr w14:val="tx1"/>
                        </w14:solidFill>
                      </w14:textFill>
                    </w:rPr>
                  </w:pPr>
                </w:p>
              </w:tc>
              <w:tc>
                <w:tcPr>
                  <w:tcW w:w="2688" w:type="dxa"/>
                  <w:tcBorders>
                    <w:tl2br w:val="nil"/>
                    <w:tr2bl w:val="nil"/>
                  </w:tcBorders>
                  <w:vAlign w:val="center"/>
                </w:tcPr>
                <w:p>
                  <w:pPr>
                    <w:snapToGrid w:val="0"/>
                    <w:jc w:val="center"/>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与主导产业类型不相符的其他非机械、电子产业</w:t>
                  </w:r>
                </w:p>
              </w:tc>
              <w:tc>
                <w:tcPr>
                  <w:tcW w:w="1910" w:type="dxa"/>
                  <w:tcBorders>
                    <w:tl2br w:val="nil"/>
                    <w:tr2bl w:val="nil"/>
                  </w:tcBorders>
                  <w:vAlign w:val="center"/>
                </w:tcPr>
                <w:p>
                  <w:pPr>
                    <w:snapToGrid w:val="0"/>
                    <w:jc w:val="center"/>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控制入区</w:t>
                  </w:r>
                </w:p>
              </w:tc>
              <w:tc>
                <w:tcPr>
                  <w:tcW w:w="1298" w:type="dxa"/>
                  <w:tcBorders>
                    <w:tl2br w:val="nil"/>
                    <w:tr2bl w:val="nil"/>
                  </w:tcBorders>
                  <w:vAlign w:val="center"/>
                </w:tcPr>
                <w:p>
                  <w:pPr>
                    <w:snapToGrid w:val="0"/>
                    <w:jc w:val="center"/>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不属于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13" w:type="dxa"/>
                  <w:vMerge w:val="continue"/>
                  <w:tcBorders>
                    <w:tl2br w:val="nil"/>
                    <w:tr2bl w:val="nil"/>
                  </w:tcBorders>
                  <w:vAlign w:val="center"/>
                </w:tcPr>
                <w:p>
                  <w:pPr>
                    <w:snapToGrid w:val="0"/>
                    <w:jc w:val="center"/>
                    <w:rPr>
                      <w:rFonts w:cs="宋体"/>
                      <w:color w:val="000000" w:themeColor="text1"/>
                      <w:sz w:val="21"/>
                      <w:szCs w:val="21"/>
                      <w14:textFill>
                        <w14:solidFill>
                          <w14:schemeClr w14:val="tx1"/>
                        </w14:solidFill>
                      </w14:textFill>
                    </w:rPr>
                  </w:pPr>
                </w:p>
              </w:tc>
              <w:tc>
                <w:tcPr>
                  <w:tcW w:w="2688" w:type="dxa"/>
                  <w:tcBorders>
                    <w:tl2br w:val="nil"/>
                    <w:tr2bl w:val="nil"/>
                  </w:tcBorders>
                  <w:vAlign w:val="center"/>
                </w:tcPr>
                <w:p>
                  <w:pPr>
                    <w:snapToGrid w:val="0"/>
                    <w:jc w:val="center"/>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电气机械及器材制造业</w:t>
                  </w:r>
                </w:p>
              </w:tc>
              <w:tc>
                <w:tcPr>
                  <w:tcW w:w="1910" w:type="dxa"/>
                  <w:tcBorders>
                    <w:tl2br w:val="nil"/>
                    <w:tr2bl w:val="nil"/>
                  </w:tcBorders>
                  <w:vAlign w:val="center"/>
                </w:tcPr>
                <w:p>
                  <w:pPr>
                    <w:snapToGrid w:val="0"/>
                    <w:jc w:val="center"/>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优先选择性入区</w:t>
                  </w:r>
                </w:p>
              </w:tc>
              <w:tc>
                <w:tcPr>
                  <w:tcW w:w="1298" w:type="dxa"/>
                  <w:tcBorders>
                    <w:tl2br w:val="nil"/>
                    <w:tr2bl w:val="nil"/>
                  </w:tcBorders>
                  <w:vAlign w:val="center"/>
                </w:tcPr>
                <w:p>
                  <w:pPr>
                    <w:snapToGrid w:val="0"/>
                    <w:jc w:val="center"/>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不属于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13" w:type="dxa"/>
                  <w:vMerge w:val="continue"/>
                  <w:tcBorders>
                    <w:tl2br w:val="nil"/>
                    <w:tr2bl w:val="nil"/>
                  </w:tcBorders>
                  <w:vAlign w:val="center"/>
                </w:tcPr>
                <w:p>
                  <w:pPr>
                    <w:snapToGrid w:val="0"/>
                    <w:jc w:val="center"/>
                    <w:rPr>
                      <w:rFonts w:cs="宋体"/>
                      <w:color w:val="000000" w:themeColor="text1"/>
                      <w:sz w:val="21"/>
                      <w:szCs w:val="21"/>
                      <w14:textFill>
                        <w14:solidFill>
                          <w14:schemeClr w14:val="tx1"/>
                        </w14:solidFill>
                      </w14:textFill>
                    </w:rPr>
                  </w:pPr>
                </w:p>
              </w:tc>
              <w:tc>
                <w:tcPr>
                  <w:tcW w:w="2688" w:type="dxa"/>
                  <w:tcBorders>
                    <w:tl2br w:val="nil"/>
                    <w:tr2bl w:val="nil"/>
                  </w:tcBorders>
                  <w:vAlign w:val="center"/>
                </w:tcPr>
                <w:p>
                  <w:pPr>
                    <w:snapToGrid w:val="0"/>
                    <w:jc w:val="center"/>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自带电镀、以及含磷和磷化剂的企业</w:t>
                  </w:r>
                </w:p>
              </w:tc>
              <w:tc>
                <w:tcPr>
                  <w:tcW w:w="1910" w:type="dxa"/>
                  <w:tcBorders>
                    <w:tl2br w:val="nil"/>
                    <w:tr2bl w:val="nil"/>
                  </w:tcBorders>
                  <w:vAlign w:val="center"/>
                </w:tcPr>
                <w:p>
                  <w:pPr>
                    <w:snapToGrid w:val="0"/>
                    <w:jc w:val="center"/>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禁止入区</w:t>
                  </w:r>
                </w:p>
              </w:tc>
              <w:tc>
                <w:tcPr>
                  <w:tcW w:w="1298" w:type="dxa"/>
                  <w:tcBorders>
                    <w:tl2br w:val="nil"/>
                    <w:tr2bl w:val="nil"/>
                  </w:tcBorders>
                  <w:vAlign w:val="center"/>
                </w:tcPr>
                <w:p>
                  <w:pPr>
                    <w:snapToGrid w:val="0"/>
                    <w:jc w:val="center"/>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不属于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13" w:type="dxa"/>
                  <w:vMerge w:val="restart"/>
                  <w:tcBorders>
                    <w:tl2br w:val="nil"/>
                    <w:tr2bl w:val="nil"/>
                  </w:tcBorders>
                  <w:vAlign w:val="center"/>
                </w:tcPr>
                <w:p>
                  <w:pPr>
                    <w:snapToGrid w:val="0"/>
                    <w:jc w:val="center"/>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农副产品加工</w:t>
                  </w:r>
                </w:p>
              </w:tc>
              <w:tc>
                <w:tcPr>
                  <w:tcW w:w="2688" w:type="dxa"/>
                  <w:tcBorders>
                    <w:tl2br w:val="nil"/>
                    <w:tr2bl w:val="nil"/>
                  </w:tcBorders>
                  <w:vAlign w:val="center"/>
                </w:tcPr>
                <w:p>
                  <w:pPr>
                    <w:snapToGrid w:val="0"/>
                    <w:jc w:val="center"/>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用水量小的食品加工、蔬菜、水果和坚果加工业、农副产品加工类产业</w:t>
                  </w:r>
                </w:p>
              </w:tc>
              <w:tc>
                <w:tcPr>
                  <w:tcW w:w="1910" w:type="dxa"/>
                  <w:tcBorders>
                    <w:tl2br w:val="nil"/>
                    <w:tr2bl w:val="nil"/>
                  </w:tcBorders>
                  <w:vAlign w:val="center"/>
                </w:tcPr>
                <w:p>
                  <w:pPr>
                    <w:snapToGrid w:val="0"/>
                    <w:jc w:val="center"/>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优先选择性入区</w:t>
                  </w:r>
                </w:p>
              </w:tc>
              <w:tc>
                <w:tcPr>
                  <w:tcW w:w="1298" w:type="dxa"/>
                  <w:tcBorders>
                    <w:tl2br w:val="nil"/>
                    <w:tr2bl w:val="nil"/>
                  </w:tcBorders>
                  <w:vAlign w:val="center"/>
                </w:tcPr>
                <w:p>
                  <w:pPr>
                    <w:snapToGrid w:val="0"/>
                    <w:jc w:val="center"/>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不属于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13" w:type="dxa"/>
                  <w:vMerge w:val="continue"/>
                  <w:tcBorders>
                    <w:tl2br w:val="nil"/>
                    <w:tr2bl w:val="nil"/>
                  </w:tcBorders>
                  <w:vAlign w:val="center"/>
                </w:tcPr>
                <w:p>
                  <w:pPr>
                    <w:snapToGrid w:val="0"/>
                    <w:jc w:val="center"/>
                    <w:rPr>
                      <w:rFonts w:cs="宋体"/>
                      <w:color w:val="000000" w:themeColor="text1"/>
                      <w:sz w:val="21"/>
                      <w:szCs w:val="21"/>
                      <w14:textFill>
                        <w14:solidFill>
                          <w14:schemeClr w14:val="tx1"/>
                        </w14:solidFill>
                      </w14:textFill>
                    </w:rPr>
                  </w:pPr>
                </w:p>
              </w:tc>
              <w:tc>
                <w:tcPr>
                  <w:tcW w:w="2688" w:type="dxa"/>
                  <w:tcBorders>
                    <w:tl2br w:val="nil"/>
                    <w:tr2bl w:val="nil"/>
                  </w:tcBorders>
                  <w:vAlign w:val="center"/>
                </w:tcPr>
                <w:p>
                  <w:pPr>
                    <w:snapToGrid w:val="0"/>
                    <w:jc w:val="center"/>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屠宰及肉类加工业</w:t>
                  </w:r>
                </w:p>
              </w:tc>
              <w:tc>
                <w:tcPr>
                  <w:tcW w:w="1910" w:type="dxa"/>
                  <w:tcBorders>
                    <w:tl2br w:val="nil"/>
                    <w:tr2bl w:val="nil"/>
                  </w:tcBorders>
                  <w:vAlign w:val="center"/>
                </w:tcPr>
                <w:p>
                  <w:pPr>
                    <w:snapToGrid w:val="0"/>
                    <w:jc w:val="center"/>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控制入区</w:t>
                  </w:r>
                </w:p>
              </w:tc>
              <w:tc>
                <w:tcPr>
                  <w:tcW w:w="1298" w:type="dxa"/>
                  <w:tcBorders>
                    <w:tl2br w:val="nil"/>
                    <w:tr2bl w:val="nil"/>
                  </w:tcBorders>
                  <w:vAlign w:val="center"/>
                </w:tcPr>
                <w:p>
                  <w:pPr>
                    <w:snapToGrid w:val="0"/>
                    <w:jc w:val="center"/>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不属于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13" w:type="dxa"/>
                  <w:vMerge w:val="continue"/>
                  <w:tcBorders>
                    <w:tl2br w:val="nil"/>
                    <w:tr2bl w:val="nil"/>
                  </w:tcBorders>
                  <w:vAlign w:val="center"/>
                </w:tcPr>
                <w:p>
                  <w:pPr>
                    <w:snapToGrid w:val="0"/>
                    <w:jc w:val="center"/>
                    <w:rPr>
                      <w:rFonts w:cs="宋体"/>
                      <w:color w:val="000000" w:themeColor="text1"/>
                      <w:sz w:val="21"/>
                      <w:szCs w:val="21"/>
                      <w14:textFill>
                        <w14:solidFill>
                          <w14:schemeClr w14:val="tx1"/>
                        </w14:solidFill>
                      </w14:textFill>
                    </w:rPr>
                  </w:pPr>
                </w:p>
              </w:tc>
              <w:tc>
                <w:tcPr>
                  <w:tcW w:w="2688" w:type="dxa"/>
                  <w:tcBorders>
                    <w:tl2br w:val="nil"/>
                    <w:tr2bl w:val="nil"/>
                  </w:tcBorders>
                  <w:vAlign w:val="center"/>
                </w:tcPr>
                <w:p>
                  <w:pPr>
                    <w:snapToGrid w:val="0"/>
                    <w:jc w:val="center"/>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耗水量大的酿造类</w:t>
                  </w:r>
                </w:p>
              </w:tc>
              <w:tc>
                <w:tcPr>
                  <w:tcW w:w="1910" w:type="dxa"/>
                  <w:tcBorders>
                    <w:tl2br w:val="nil"/>
                    <w:tr2bl w:val="nil"/>
                  </w:tcBorders>
                  <w:vAlign w:val="center"/>
                </w:tcPr>
                <w:p>
                  <w:pPr>
                    <w:snapToGrid w:val="0"/>
                    <w:jc w:val="center"/>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控制入区</w:t>
                  </w:r>
                </w:p>
              </w:tc>
              <w:tc>
                <w:tcPr>
                  <w:tcW w:w="1298" w:type="dxa"/>
                  <w:tcBorders>
                    <w:tl2br w:val="nil"/>
                    <w:tr2bl w:val="nil"/>
                  </w:tcBorders>
                  <w:vAlign w:val="center"/>
                </w:tcPr>
                <w:p>
                  <w:pPr>
                    <w:snapToGrid w:val="0"/>
                    <w:jc w:val="center"/>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不属于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13" w:type="dxa"/>
                  <w:vMerge w:val="continue"/>
                  <w:tcBorders>
                    <w:tl2br w:val="nil"/>
                    <w:tr2bl w:val="nil"/>
                  </w:tcBorders>
                  <w:vAlign w:val="center"/>
                </w:tcPr>
                <w:p>
                  <w:pPr>
                    <w:snapToGrid w:val="0"/>
                    <w:jc w:val="center"/>
                    <w:rPr>
                      <w:rFonts w:cs="宋体"/>
                      <w:color w:val="000000" w:themeColor="text1"/>
                      <w:sz w:val="21"/>
                      <w:szCs w:val="21"/>
                      <w14:textFill>
                        <w14:solidFill>
                          <w14:schemeClr w14:val="tx1"/>
                        </w14:solidFill>
                      </w14:textFill>
                    </w:rPr>
                  </w:pPr>
                </w:p>
              </w:tc>
              <w:tc>
                <w:tcPr>
                  <w:tcW w:w="2688" w:type="dxa"/>
                  <w:tcBorders>
                    <w:tl2br w:val="nil"/>
                    <w:tr2bl w:val="nil"/>
                  </w:tcBorders>
                  <w:vAlign w:val="center"/>
                </w:tcPr>
                <w:p>
                  <w:pPr>
                    <w:snapToGrid w:val="0"/>
                    <w:jc w:val="center"/>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主要污染物为氨氮且排放量大的项目</w:t>
                  </w:r>
                </w:p>
              </w:tc>
              <w:tc>
                <w:tcPr>
                  <w:tcW w:w="1910" w:type="dxa"/>
                  <w:tcBorders>
                    <w:tl2br w:val="nil"/>
                    <w:tr2bl w:val="nil"/>
                  </w:tcBorders>
                  <w:vAlign w:val="center"/>
                </w:tcPr>
                <w:p>
                  <w:pPr>
                    <w:snapToGrid w:val="0"/>
                    <w:jc w:val="center"/>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禁止入区</w:t>
                  </w:r>
                </w:p>
              </w:tc>
              <w:tc>
                <w:tcPr>
                  <w:tcW w:w="1298" w:type="dxa"/>
                  <w:tcBorders>
                    <w:tl2br w:val="nil"/>
                    <w:tr2bl w:val="nil"/>
                  </w:tcBorders>
                  <w:vAlign w:val="center"/>
                </w:tcPr>
                <w:p>
                  <w:pPr>
                    <w:snapToGrid w:val="0"/>
                    <w:jc w:val="center"/>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不属于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13" w:type="dxa"/>
                  <w:vMerge w:val="restart"/>
                  <w:tcBorders>
                    <w:tl2br w:val="nil"/>
                    <w:tr2bl w:val="nil"/>
                  </w:tcBorders>
                  <w:vAlign w:val="center"/>
                </w:tcPr>
                <w:p>
                  <w:pPr>
                    <w:snapToGrid w:val="0"/>
                    <w:jc w:val="center"/>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纺织服装</w:t>
                  </w:r>
                </w:p>
              </w:tc>
              <w:tc>
                <w:tcPr>
                  <w:tcW w:w="2688" w:type="dxa"/>
                  <w:tcBorders>
                    <w:tl2br w:val="nil"/>
                    <w:tr2bl w:val="nil"/>
                  </w:tcBorders>
                  <w:vAlign w:val="center"/>
                </w:tcPr>
                <w:p>
                  <w:pPr>
                    <w:snapToGrid w:val="0"/>
                    <w:jc w:val="center"/>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鞋、帽制造业、服装等加工类产业</w:t>
                  </w:r>
                </w:p>
              </w:tc>
              <w:tc>
                <w:tcPr>
                  <w:tcW w:w="1910" w:type="dxa"/>
                  <w:tcBorders>
                    <w:tl2br w:val="nil"/>
                    <w:tr2bl w:val="nil"/>
                  </w:tcBorders>
                  <w:vAlign w:val="center"/>
                </w:tcPr>
                <w:p>
                  <w:pPr>
                    <w:snapToGrid w:val="0"/>
                    <w:jc w:val="center"/>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优先选择性入区</w:t>
                  </w:r>
                </w:p>
              </w:tc>
              <w:tc>
                <w:tcPr>
                  <w:tcW w:w="1298" w:type="dxa"/>
                  <w:tcBorders>
                    <w:tl2br w:val="nil"/>
                    <w:tr2bl w:val="nil"/>
                  </w:tcBorders>
                  <w:vAlign w:val="center"/>
                </w:tcPr>
                <w:p>
                  <w:pPr>
                    <w:snapToGrid w:val="0"/>
                    <w:jc w:val="center"/>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不属于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13" w:type="dxa"/>
                  <w:vMerge w:val="continue"/>
                  <w:tcBorders>
                    <w:tl2br w:val="nil"/>
                    <w:tr2bl w:val="nil"/>
                  </w:tcBorders>
                  <w:vAlign w:val="center"/>
                </w:tcPr>
                <w:p>
                  <w:pPr>
                    <w:snapToGrid w:val="0"/>
                    <w:jc w:val="center"/>
                    <w:rPr>
                      <w:rFonts w:cs="宋体"/>
                      <w:color w:val="000000" w:themeColor="text1"/>
                      <w:sz w:val="21"/>
                      <w:szCs w:val="21"/>
                      <w14:textFill>
                        <w14:solidFill>
                          <w14:schemeClr w14:val="tx1"/>
                        </w14:solidFill>
                      </w14:textFill>
                    </w:rPr>
                  </w:pPr>
                </w:p>
              </w:tc>
              <w:tc>
                <w:tcPr>
                  <w:tcW w:w="2688" w:type="dxa"/>
                  <w:tcBorders>
                    <w:tl2br w:val="nil"/>
                    <w:tr2bl w:val="nil"/>
                  </w:tcBorders>
                  <w:vAlign w:val="center"/>
                </w:tcPr>
                <w:p>
                  <w:pPr>
                    <w:snapToGrid w:val="0"/>
                    <w:jc w:val="center"/>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纺织（不包括印染）</w:t>
                  </w:r>
                </w:p>
              </w:tc>
              <w:tc>
                <w:tcPr>
                  <w:tcW w:w="1910" w:type="dxa"/>
                  <w:tcBorders>
                    <w:tl2br w:val="nil"/>
                    <w:tr2bl w:val="nil"/>
                  </w:tcBorders>
                  <w:vAlign w:val="center"/>
                </w:tcPr>
                <w:p>
                  <w:pPr>
                    <w:snapToGrid w:val="0"/>
                    <w:jc w:val="center"/>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优先选择性入区</w:t>
                  </w:r>
                </w:p>
              </w:tc>
              <w:tc>
                <w:tcPr>
                  <w:tcW w:w="1298" w:type="dxa"/>
                  <w:tcBorders>
                    <w:tl2br w:val="nil"/>
                    <w:tr2bl w:val="nil"/>
                  </w:tcBorders>
                  <w:vAlign w:val="center"/>
                </w:tcPr>
                <w:p>
                  <w:pPr>
                    <w:snapToGrid w:val="0"/>
                    <w:jc w:val="center"/>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不属于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13" w:type="dxa"/>
                  <w:vMerge w:val="continue"/>
                  <w:tcBorders>
                    <w:tl2br w:val="nil"/>
                    <w:tr2bl w:val="nil"/>
                  </w:tcBorders>
                  <w:vAlign w:val="center"/>
                </w:tcPr>
                <w:p>
                  <w:pPr>
                    <w:snapToGrid w:val="0"/>
                    <w:jc w:val="center"/>
                    <w:rPr>
                      <w:rFonts w:cs="宋体"/>
                      <w:color w:val="000000" w:themeColor="text1"/>
                      <w:sz w:val="21"/>
                      <w:szCs w:val="21"/>
                      <w14:textFill>
                        <w14:solidFill>
                          <w14:schemeClr w14:val="tx1"/>
                        </w14:solidFill>
                      </w14:textFill>
                    </w:rPr>
                  </w:pPr>
                </w:p>
              </w:tc>
              <w:tc>
                <w:tcPr>
                  <w:tcW w:w="2688" w:type="dxa"/>
                  <w:tcBorders>
                    <w:tl2br w:val="nil"/>
                    <w:tr2bl w:val="nil"/>
                  </w:tcBorders>
                  <w:vAlign w:val="center"/>
                </w:tcPr>
                <w:p>
                  <w:pPr>
                    <w:snapToGrid w:val="0"/>
                    <w:jc w:val="center"/>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印染、染整、制革等高耗能项目</w:t>
                  </w:r>
                </w:p>
              </w:tc>
              <w:tc>
                <w:tcPr>
                  <w:tcW w:w="1910" w:type="dxa"/>
                  <w:tcBorders>
                    <w:tl2br w:val="nil"/>
                    <w:tr2bl w:val="nil"/>
                  </w:tcBorders>
                  <w:vAlign w:val="center"/>
                </w:tcPr>
                <w:p>
                  <w:pPr>
                    <w:snapToGrid w:val="0"/>
                    <w:jc w:val="center"/>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禁止入区</w:t>
                  </w:r>
                </w:p>
              </w:tc>
              <w:tc>
                <w:tcPr>
                  <w:tcW w:w="1298" w:type="dxa"/>
                  <w:tcBorders>
                    <w:tl2br w:val="nil"/>
                    <w:tr2bl w:val="nil"/>
                  </w:tcBorders>
                  <w:vAlign w:val="center"/>
                </w:tcPr>
                <w:p>
                  <w:pPr>
                    <w:snapToGrid w:val="0"/>
                    <w:jc w:val="center"/>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不属于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13" w:type="dxa"/>
                  <w:vMerge w:val="continue"/>
                  <w:tcBorders>
                    <w:tl2br w:val="nil"/>
                    <w:tr2bl w:val="nil"/>
                  </w:tcBorders>
                  <w:vAlign w:val="center"/>
                </w:tcPr>
                <w:p>
                  <w:pPr>
                    <w:snapToGrid w:val="0"/>
                    <w:jc w:val="center"/>
                    <w:rPr>
                      <w:rFonts w:cs="宋体"/>
                      <w:color w:val="000000" w:themeColor="text1"/>
                      <w:sz w:val="21"/>
                      <w:szCs w:val="21"/>
                      <w14:textFill>
                        <w14:solidFill>
                          <w14:schemeClr w14:val="tx1"/>
                        </w14:solidFill>
                      </w14:textFill>
                    </w:rPr>
                  </w:pPr>
                </w:p>
              </w:tc>
              <w:tc>
                <w:tcPr>
                  <w:tcW w:w="2688" w:type="dxa"/>
                  <w:tcBorders>
                    <w:tl2br w:val="nil"/>
                    <w:tr2bl w:val="nil"/>
                  </w:tcBorders>
                  <w:vAlign w:val="center"/>
                </w:tcPr>
                <w:p>
                  <w:pPr>
                    <w:snapToGrid w:val="0"/>
                    <w:jc w:val="center"/>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主要污染物为氨氮且排放量大的项目</w:t>
                  </w:r>
                </w:p>
              </w:tc>
              <w:tc>
                <w:tcPr>
                  <w:tcW w:w="1910" w:type="dxa"/>
                  <w:tcBorders>
                    <w:tl2br w:val="nil"/>
                    <w:tr2bl w:val="nil"/>
                  </w:tcBorders>
                  <w:vAlign w:val="center"/>
                </w:tcPr>
                <w:p>
                  <w:pPr>
                    <w:snapToGrid w:val="0"/>
                    <w:jc w:val="center"/>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禁止入区</w:t>
                  </w:r>
                </w:p>
              </w:tc>
              <w:tc>
                <w:tcPr>
                  <w:tcW w:w="1298" w:type="dxa"/>
                  <w:tcBorders>
                    <w:tl2br w:val="nil"/>
                    <w:tr2bl w:val="nil"/>
                  </w:tcBorders>
                  <w:vAlign w:val="center"/>
                </w:tcPr>
                <w:p>
                  <w:pPr>
                    <w:snapToGrid w:val="0"/>
                    <w:jc w:val="center"/>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不属于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511" w:type="dxa"/>
                  <w:gridSpan w:val="3"/>
                  <w:tcBorders>
                    <w:tl2br w:val="nil"/>
                    <w:tr2bl w:val="nil"/>
                  </w:tcBorders>
                  <w:vAlign w:val="center"/>
                </w:tcPr>
                <w:p>
                  <w:pPr>
                    <w:snapToGrid w:val="0"/>
                    <w:jc w:val="center"/>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不符合国家产业政策和清洁生产水平的行业禁止入区，其他行业选择性入区；开发区集中供热管网建成后，尚需要自行建设小型燃煤锅炉的企业禁止入区。</w:t>
                  </w:r>
                </w:p>
              </w:tc>
              <w:tc>
                <w:tcPr>
                  <w:tcW w:w="1298" w:type="dxa"/>
                  <w:tcBorders>
                    <w:tl2br w:val="nil"/>
                    <w:tr2bl w:val="nil"/>
                  </w:tcBorders>
                  <w:vAlign w:val="center"/>
                </w:tcPr>
                <w:p>
                  <w:pPr>
                    <w:snapToGrid w:val="0"/>
                    <w:jc w:val="center"/>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不属于，项目符合国家产业政策和清洁生产水平，无燃煤锅炉使用</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outlineLvl w:val="9"/>
              <w:rPr>
                <w:rFonts w:hint="eastAsia"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根据表</w:t>
            </w:r>
            <w:r>
              <w:rPr>
                <w:rFonts w:hint="eastAsia"/>
                <w:color w:val="000000" w:themeColor="text1"/>
                <w:sz w:val="24"/>
                <w:lang w:val="en-US" w:eastAsia="zh-CN"/>
                <w14:textFill>
                  <w14:solidFill>
                    <w14:schemeClr w14:val="tx1"/>
                  </w14:solidFill>
                </w14:textFill>
              </w:rPr>
              <w:t>1</w:t>
            </w:r>
            <w:r>
              <w:rPr>
                <w:rFonts w:hint="eastAsia"/>
                <w:color w:val="auto"/>
                <w:sz w:val="24"/>
                <w:lang w:val="en-US" w:eastAsia="zh-CN"/>
              </w:rPr>
              <w:t>.1</w:t>
            </w:r>
            <w:r>
              <w:rPr>
                <w:rFonts w:hint="eastAsia"/>
                <w:color w:val="auto"/>
                <w:sz w:val="24"/>
              </w:rPr>
              <w:t>，</w:t>
            </w:r>
            <w:r>
              <w:rPr>
                <w:color w:val="auto"/>
                <w:sz w:val="24"/>
              </w:rPr>
              <w:t>本项目</w:t>
            </w:r>
            <w:r>
              <w:rPr>
                <w:rFonts w:hint="eastAsia"/>
                <w:color w:val="auto"/>
                <w:sz w:val="24"/>
                <w:lang w:eastAsia="zh-CN"/>
              </w:rPr>
              <w:t>为</w:t>
            </w:r>
            <w:r>
              <w:rPr>
                <w:rFonts w:hint="eastAsia"/>
                <w:color w:val="auto"/>
                <w:sz w:val="24"/>
                <w:lang w:val="en-US" w:eastAsia="zh-CN"/>
              </w:rPr>
              <w:t>滚动轴承制造</w:t>
            </w:r>
            <w:r>
              <w:rPr>
                <w:rFonts w:hint="eastAsia"/>
                <w:color w:val="auto"/>
                <w:sz w:val="24"/>
              </w:rPr>
              <w:t>，</w:t>
            </w:r>
            <w:r>
              <w:rPr>
                <w:rFonts w:hint="eastAsia"/>
                <w:color w:val="auto"/>
                <w:sz w:val="24"/>
                <w:lang w:eastAsia="zh-CN"/>
              </w:rPr>
              <w:t>不</w:t>
            </w:r>
            <w:r>
              <w:rPr>
                <w:rFonts w:hint="eastAsia"/>
                <w:color w:val="auto"/>
                <w:sz w:val="24"/>
              </w:rPr>
              <w:t>属于</w:t>
            </w:r>
            <w:r>
              <w:rPr>
                <w:rFonts w:hint="eastAsia"/>
                <w:color w:val="auto"/>
                <w:sz w:val="24"/>
                <w:lang w:eastAsia="zh-CN"/>
              </w:rPr>
              <w:t>控制入区项目和禁止入区项目</w:t>
            </w:r>
            <w:r>
              <w:rPr>
                <w:rFonts w:hint="eastAsia"/>
                <w:color w:val="auto"/>
                <w:sz w:val="24"/>
              </w:rPr>
              <w:t>，</w:t>
            </w:r>
            <w:r>
              <w:rPr>
                <w:color w:val="auto"/>
                <w:sz w:val="24"/>
              </w:rPr>
              <w:t>符合</w:t>
            </w:r>
            <w:r>
              <w:rPr>
                <w:rFonts w:hint="eastAsia"/>
                <w:color w:val="auto"/>
                <w:sz w:val="24"/>
              </w:rPr>
              <w:t>园区规划产业定位</w:t>
            </w:r>
            <w:r>
              <w:rPr>
                <w:color w:val="auto"/>
                <w:sz w:val="24"/>
              </w:rPr>
              <w:t>要求</w:t>
            </w:r>
            <w:r>
              <w:rPr>
                <w:rFonts w:hint="eastAsia"/>
                <w:color w:val="auto"/>
                <w:sz w:val="24"/>
              </w:rPr>
              <w:t>及总体规划要求</w:t>
            </w:r>
            <w:r>
              <w:rPr>
                <w:rFonts w:hint="eastAsia" w:cs="宋体"/>
                <w:color w:val="auto"/>
                <w:sz w:val="24"/>
              </w:rPr>
              <w:t>。</w:t>
            </w:r>
          </w:p>
          <w:p>
            <w:pPr>
              <w:snapToGrid w:val="0"/>
              <w:spacing w:line="360" w:lineRule="auto"/>
              <w:rPr>
                <w:rFonts w:cs="宋体"/>
                <w:b/>
                <w:color w:val="000000" w:themeColor="text1"/>
                <w:sz w:val="24"/>
                <w14:textFill>
                  <w14:solidFill>
                    <w14:schemeClr w14:val="tx1"/>
                  </w14:solidFill>
                </w14:textFill>
              </w:rPr>
            </w:pPr>
            <w:r>
              <w:rPr>
                <w:rFonts w:hint="eastAsia" w:cs="宋体"/>
                <w:b/>
                <w:color w:val="000000" w:themeColor="text1"/>
                <w:sz w:val="24"/>
                <w:lang w:val="en-US" w:eastAsia="zh-CN"/>
                <w14:textFill>
                  <w14:solidFill>
                    <w14:schemeClr w14:val="tx1"/>
                  </w14:solidFill>
                </w14:textFill>
              </w:rPr>
              <w:t>3、</w:t>
            </w:r>
            <w:r>
              <w:rPr>
                <w:rFonts w:hint="eastAsia" w:cs="宋体"/>
                <w:b/>
                <w:color w:val="000000" w:themeColor="text1"/>
                <w:sz w:val="24"/>
                <w14:textFill>
                  <w14:solidFill>
                    <w14:schemeClr w14:val="tx1"/>
                  </w14:solidFill>
                </w14:textFill>
              </w:rPr>
              <w:t>与规划环评审查意见的符合性分析</w:t>
            </w:r>
          </w:p>
          <w:p>
            <w:pPr>
              <w:snapToGrid w:val="0"/>
              <w:spacing w:line="360" w:lineRule="auto"/>
              <w:ind w:firstLine="480" w:firstLineChars="200"/>
              <w:rPr>
                <w:rFonts w:cs="宋体"/>
                <w:color w:val="000000" w:themeColor="text1"/>
                <w:sz w:val="24"/>
                <w:szCs w:val="22"/>
                <w14:textFill>
                  <w14:solidFill>
                    <w14:schemeClr w14:val="tx1"/>
                  </w14:solidFill>
                </w14:textFill>
              </w:rPr>
            </w:pPr>
            <w:r>
              <w:rPr>
                <w:rFonts w:hint="eastAsia" w:cs="宋体"/>
                <w:color w:val="000000" w:themeColor="text1"/>
                <w:sz w:val="24"/>
                <w:lang w:eastAsia="zh-CN"/>
                <w14:textFill>
                  <w14:solidFill>
                    <w14:schemeClr w14:val="tx1"/>
                  </w14:solidFill>
                </w14:textFill>
              </w:rPr>
              <w:t>（</w:t>
            </w:r>
            <w:r>
              <w:rPr>
                <w:rFonts w:hint="eastAsia" w:cs="宋体"/>
                <w:color w:val="000000" w:themeColor="text1"/>
                <w:sz w:val="24"/>
                <w:lang w:val="en-US" w:eastAsia="zh-CN"/>
                <w14:textFill>
                  <w14:solidFill>
                    <w14:schemeClr w14:val="tx1"/>
                  </w14:solidFill>
                </w14:textFill>
              </w:rPr>
              <w:t>1</w:t>
            </w:r>
            <w:r>
              <w:rPr>
                <w:rFonts w:hint="eastAsia" w:cs="宋体"/>
                <w:color w:val="000000" w:themeColor="text1"/>
                <w:sz w:val="24"/>
                <w:lang w:eastAsia="zh-CN"/>
                <w14:textFill>
                  <w14:solidFill>
                    <w14:schemeClr w14:val="tx1"/>
                  </w14:solidFill>
                </w14:textFill>
              </w:rPr>
              <w:t>）</w:t>
            </w:r>
            <w:r>
              <w:rPr>
                <w:rFonts w:hint="eastAsia" w:cs="宋体"/>
                <w:color w:val="000000" w:themeColor="text1"/>
                <w:sz w:val="24"/>
                <w14:textFill>
                  <w14:solidFill>
                    <w14:schemeClr w14:val="tx1"/>
                  </w14:solidFill>
                </w14:textFill>
              </w:rPr>
              <w:t>本项目与</w:t>
            </w:r>
            <w:r>
              <w:rPr>
                <w:rFonts w:hint="eastAsia"/>
                <w:color w:val="000000" w:themeColor="text1"/>
                <w:sz w:val="24"/>
                <w14:textFill>
                  <w14:solidFill>
                    <w14:schemeClr w14:val="tx1"/>
                  </w14:solidFill>
                </w14:textFill>
              </w:rPr>
              <w:t>《安徽灵璧经济开发区总体发展规划环境影响报告书》</w:t>
            </w:r>
            <w:r>
              <w:rPr>
                <w:rFonts w:hint="eastAsia" w:cs="宋体"/>
                <w:color w:val="000000" w:themeColor="text1"/>
                <w:sz w:val="24"/>
                <w:szCs w:val="22"/>
                <w14:textFill>
                  <w14:solidFill>
                    <w14:schemeClr w14:val="tx1"/>
                  </w14:solidFill>
                </w14:textFill>
              </w:rPr>
              <w:t>及批复</w:t>
            </w:r>
            <w:r>
              <w:rPr>
                <w:rFonts w:hint="eastAsia"/>
                <w:color w:val="000000" w:themeColor="text1"/>
                <w:sz w:val="24"/>
                <w14:textFill>
                  <w14:solidFill>
                    <w14:schemeClr w14:val="tx1"/>
                  </w14:solidFill>
                </w14:textFill>
              </w:rPr>
              <w:t>（</w:t>
            </w:r>
            <w:r>
              <w:rPr>
                <w:rFonts w:hint="eastAsia" w:ascii="Times New Roman" w:hAnsi="Times New Roman" w:eastAsia="宋体" w:cs="Times New Roman"/>
                <w:color w:val="000000" w:themeColor="text1"/>
                <w:kern w:val="0"/>
                <w:sz w:val="24"/>
                <w:szCs w:val="24"/>
                <w:lang w:eastAsia="zh-CN"/>
                <w14:textFill>
                  <w14:solidFill>
                    <w14:schemeClr w14:val="tx1"/>
                  </w14:solidFill>
                </w14:textFill>
              </w:rPr>
              <w:t>环评函</w:t>
            </w:r>
            <w:r>
              <w:rPr>
                <w:rFonts w:hint="default" w:ascii="Times New Roman" w:hAnsi="Times New Roman" w:eastAsia="宋体" w:cs="Times New Roman"/>
                <w:color w:val="auto"/>
                <w:sz w:val="24"/>
                <w:szCs w:val="24"/>
                <w:highlight w:val="none"/>
                <w:lang w:val="en-US" w:eastAsia="zh-CN"/>
              </w:rPr>
              <w:t>【201</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1174号</w:t>
            </w:r>
            <w:r>
              <w:rPr>
                <w:rFonts w:hint="eastAsia"/>
                <w:color w:val="000000" w:themeColor="text1"/>
                <w:sz w:val="24"/>
                <w14:textFill>
                  <w14:solidFill>
                    <w14:schemeClr w14:val="tx1"/>
                  </w14:solidFill>
                </w14:textFill>
              </w:rPr>
              <w:t>）</w:t>
            </w:r>
            <w:r>
              <w:rPr>
                <w:rFonts w:hint="eastAsia" w:cs="宋体"/>
                <w:color w:val="000000" w:themeColor="text1"/>
                <w:sz w:val="24"/>
                <w:szCs w:val="22"/>
                <w14:textFill>
                  <w14:solidFill>
                    <w14:schemeClr w14:val="tx1"/>
                  </w14:solidFill>
                </w14:textFill>
              </w:rPr>
              <w:t>的符合性分析</w:t>
            </w:r>
          </w:p>
          <w:p>
            <w:pPr>
              <w:snapToGrid w:val="0"/>
              <w:spacing w:line="360" w:lineRule="auto"/>
              <w:jc w:val="center"/>
              <w:rPr>
                <w:rFonts w:cs="宋体"/>
                <w:b/>
                <w:color w:val="000000" w:themeColor="text1"/>
                <w:sz w:val="24"/>
                <w14:textFill>
                  <w14:solidFill>
                    <w14:schemeClr w14:val="tx1"/>
                  </w14:solidFill>
                </w14:textFill>
              </w:rPr>
            </w:pPr>
            <w:r>
              <w:rPr>
                <w:rFonts w:hint="eastAsia" w:cs="宋体"/>
                <w:b/>
                <w:color w:val="000000" w:themeColor="text1"/>
                <w:sz w:val="24"/>
                <w14:textFill>
                  <w14:solidFill>
                    <w14:schemeClr w14:val="tx1"/>
                  </w14:solidFill>
                </w14:textFill>
              </w:rPr>
              <w:t>表1</w:t>
            </w:r>
            <w:r>
              <w:rPr>
                <w:rFonts w:hint="eastAsia" w:cs="宋体"/>
                <w:b/>
                <w:color w:val="000000" w:themeColor="text1"/>
                <w:sz w:val="24"/>
                <w:lang w:val="en-US" w:eastAsia="zh-CN"/>
                <w14:textFill>
                  <w14:solidFill>
                    <w14:schemeClr w14:val="tx1"/>
                  </w14:solidFill>
                </w14:textFill>
              </w:rPr>
              <w:t>.</w:t>
            </w:r>
            <w:r>
              <w:rPr>
                <w:rFonts w:cs="宋体"/>
                <w:b/>
                <w:color w:val="000000" w:themeColor="text1"/>
                <w:sz w:val="24"/>
                <w14:textFill>
                  <w14:solidFill>
                    <w14:schemeClr w14:val="tx1"/>
                  </w14:solidFill>
                </w14:textFill>
              </w:rPr>
              <w:t>2</w:t>
            </w:r>
            <w:r>
              <w:rPr>
                <w:rFonts w:hint="eastAsia" w:cs="宋体"/>
                <w:b/>
                <w:color w:val="000000" w:themeColor="text1"/>
                <w:sz w:val="24"/>
                <w14:textFill>
                  <w14:solidFill>
                    <w14:schemeClr w14:val="tx1"/>
                  </w14:solidFill>
                </w14:textFill>
              </w:rPr>
              <w:t xml:space="preserve">  与安徽</w:t>
            </w:r>
            <w:r>
              <w:rPr>
                <w:rFonts w:cs="宋体"/>
                <w:b/>
                <w:color w:val="000000" w:themeColor="text1"/>
                <w:sz w:val="24"/>
                <w14:textFill>
                  <w14:solidFill>
                    <w14:schemeClr w14:val="tx1"/>
                  </w14:solidFill>
                </w14:textFill>
              </w:rPr>
              <w:t>灵璧经济开发区总体发展规划环评及批复</w:t>
            </w:r>
            <w:r>
              <w:rPr>
                <w:rFonts w:hint="eastAsia" w:cs="宋体"/>
                <w:b/>
                <w:color w:val="000000" w:themeColor="text1"/>
                <w:sz w:val="24"/>
                <w14:textFill>
                  <w14:solidFill>
                    <w14:schemeClr w14:val="tx1"/>
                  </w14:solidFill>
                </w14:textFill>
              </w:rPr>
              <w:t>的符合性分析表</w:t>
            </w:r>
          </w:p>
          <w:tbl>
            <w:tblPr>
              <w:tblStyle w:val="25"/>
              <w:tblW w:w="68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7"/>
              <w:gridCol w:w="2645"/>
              <w:gridCol w:w="3086"/>
              <w:gridCol w:w="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7" w:type="dxa"/>
                  <w:tcBorders>
                    <w:tl2br w:val="nil"/>
                    <w:tr2bl w:val="nil"/>
                  </w:tcBorders>
                  <w:shd w:val="clear" w:color="auto" w:fill="auto"/>
                  <w:vAlign w:val="center"/>
                </w:tcPr>
                <w:p>
                  <w:pPr>
                    <w:adjustRightInd w:val="0"/>
                    <w:snapToGrid w:val="0"/>
                    <w:jc w:val="center"/>
                    <w:rPr>
                      <w:rFonts w:cs="宋体"/>
                      <w:b w:val="0"/>
                      <w:bCs/>
                      <w:color w:val="000000" w:themeColor="text1"/>
                      <w:sz w:val="21"/>
                      <w:szCs w:val="21"/>
                      <w14:textFill>
                        <w14:solidFill>
                          <w14:schemeClr w14:val="tx1"/>
                        </w14:solidFill>
                      </w14:textFill>
                    </w:rPr>
                  </w:pPr>
                  <w:r>
                    <w:rPr>
                      <w:rFonts w:hint="eastAsia" w:cs="宋体"/>
                      <w:b w:val="0"/>
                      <w:bCs/>
                      <w:color w:val="000000" w:themeColor="text1"/>
                      <w:sz w:val="21"/>
                      <w:szCs w:val="21"/>
                      <w14:textFill>
                        <w14:solidFill>
                          <w14:schemeClr w14:val="tx1"/>
                        </w14:solidFill>
                      </w14:textFill>
                    </w:rPr>
                    <w:t>序号</w:t>
                  </w:r>
                </w:p>
              </w:tc>
              <w:tc>
                <w:tcPr>
                  <w:tcW w:w="2645" w:type="dxa"/>
                  <w:tcBorders>
                    <w:tl2br w:val="nil"/>
                    <w:tr2bl w:val="nil"/>
                  </w:tcBorders>
                  <w:shd w:val="clear" w:color="auto" w:fill="auto"/>
                  <w:vAlign w:val="center"/>
                </w:tcPr>
                <w:p>
                  <w:pPr>
                    <w:adjustRightInd w:val="0"/>
                    <w:snapToGrid w:val="0"/>
                    <w:jc w:val="center"/>
                    <w:rPr>
                      <w:rFonts w:cs="宋体"/>
                      <w:b w:val="0"/>
                      <w:bCs/>
                      <w:color w:val="000000" w:themeColor="text1"/>
                      <w:sz w:val="21"/>
                      <w:szCs w:val="21"/>
                      <w14:textFill>
                        <w14:solidFill>
                          <w14:schemeClr w14:val="tx1"/>
                        </w14:solidFill>
                      </w14:textFill>
                    </w:rPr>
                  </w:pPr>
                  <w:r>
                    <w:rPr>
                      <w:rFonts w:hint="eastAsia" w:cs="宋体"/>
                      <w:b w:val="0"/>
                      <w:bCs/>
                      <w:color w:val="000000" w:themeColor="text1"/>
                      <w:sz w:val="21"/>
                      <w:szCs w:val="21"/>
                      <w14:textFill>
                        <w14:solidFill>
                          <w14:schemeClr w14:val="tx1"/>
                        </w14:solidFill>
                      </w14:textFill>
                    </w:rPr>
                    <w:t>审查意见的函要求</w:t>
                  </w:r>
                </w:p>
              </w:tc>
              <w:tc>
                <w:tcPr>
                  <w:tcW w:w="3086" w:type="dxa"/>
                  <w:tcBorders>
                    <w:tl2br w:val="nil"/>
                    <w:tr2bl w:val="nil"/>
                  </w:tcBorders>
                  <w:shd w:val="clear" w:color="auto" w:fill="auto"/>
                  <w:vAlign w:val="center"/>
                </w:tcPr>
                <w:p>
                  <w:pPr>
                    <w:adjustRightInd w:val="0"/>
                    <w:snapToGrid w:val="0"/>
                    <w:jc w:val="center"/>
                    <w:rPr>
                      <w:rFonts w:cs="宋体"/>
                      <w:b w:val="0"/>
                      <w:bCs/>
                      <w:color w:val="000000" w:themeColor="text1"/>
                      <w:sz w:val="21"/>
                      <w:szCs w:val="21"/>
                      <w14:textFill>
                        <w14:solidFill>
                          <w14:schemeClr w14:val="tx1"/>
                        </w14:solidFill>
                      </w14:textFill>
                    </w:rPr>
                  </w:pPr>
                  <w:r>
                    <w:rPr>
                      <w:rFonts w:hint="eastAsia" w:cs="宋体"/>
                      <w:b w:val="0"/>
                      <w:bCs/>
                      <w:color w:val="000000" w:themeColor="text1"/>
                      <w:sz w:val="21"/>
                      <w:szCs w:val="21"/>
                      <w14:textFill>
                        <w14:solidFill>
                          <w14:schemeClr w14:val="tx1"/>
                        </w14:solidFill>
                      </w14:textFill>
                    </w:rPr>
                    <w:t>本项目情况</w:t>
                  </w:r>
                </w:p>
              </w:tc>
              <w:tc>
                <w:tcPr>
                  <w:tcW w:w="620" w:type="dxa"/>
                  <w:tcBorders>
                    <w:tl2br w:val="nil"/>
                    <w:tr2bl w:val="nil"/>
                  </w:tcBorders>
                  <w:shd w:val="clear" w:color="auto" w:fill="auto"/>
                  <w:vAlign w:val="center"/>
                </w:tcPr>
                <w:p>
                  <w:pPr>
                    <w:adjustRightInd w:val="0"/>
                    <w:snapToGrid w:val="0"/>
                    <w:jc w:val="center"/>
                    <w:rPr>
                      <w:rFonts w:cs="宋体"/>
                      <w:b w:val="0"/>
                      <w:bCs/>
                      <w:color w:val="000000" w:themeColor="text1"/>
                      <w:sz w:val="21"/>
                      <w:szCs w:val="21"/>
                      <w14:textFill>
                        <w14:solidFill>
                          <w14:schemeClr w14:val="tx1"/>
                        </w14:solidFill>
                      </w14:textFill>
                    </w:rPr>
                  </w:pPr>
                  <w:r>
                    <w:rPr>
                      <w:rFonts w:hint="eastAsia" w:cs="宋体"/>
                      <w:b w:val="0"/>
                      <w:bCs/>
                      <w:color w:val="000000" w:themeColor="text1"/>
                      <w:sz w:val="21"/>
                      <w:szCs w:val="21"/>
                      <w14:textFill>
                        <w14:solidFill>
                          <w14:schemeClr w14:val="tx1"/>
                        </w14:solidFill>
                      </w14:textFill>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7" w:type="dxa"/>
                  <w:tcBorders>
                    <w:tl2br w:val="nil"/>
                    <w:tr2bl w:val="nil"/>
                  </w:tcBorders>
                  <w:shd w:val="clear" w:color="auto" w:fill="auto"/>
                  <w:vAlign w:val="center"/>
                </w:tcPr>
                <w:p>
                  <w:pPr>
                    <w:adjustRightInd w:val="0"/>
                    <w:snapToGrid w:val="0"/>
                    <w:jc w:val="center"/>
                    <w:rPr>
                      <w:rFonts w:cs="宋体"/>
                      <w:b w:val="0"/>
                      <w:bCs/>
                      <w:color w:val="000000" w:themeColor="text1"/>
                      <w:sz w:val="21"/>
                      <w:szCs w:val="21"/>
                      <w14:textFill>
                        <w14:solidFill>
                          <w14:schemeClr w14:val="tx1"/>
                        </w14:solidFill>
                      </w14:textFill>
                    </w:rPr>
                  </w:pPr>
                  <w:r>
                    <w:rPr>
                      <w:rFonts w:hint="eastAsia" w:cs="宋体"/>
                      <w:b w:val="0"/>
                      <w:bCs/>
                      <w:color w:val="000000" w:themeColor="text1"/>
                      <w:sz w:val="21"/>
                      <w:szCs w:val="21"/>
                      <w14:textFill>
                        <w14:solidFill>
                          <w14:schemeClr w14:val="tx1"/>
                        </w14:solidFill>
                      </w14:textFill>
                    </w:rPr>
                    <w:t>1</w:t>
                  </w:r>
                </w:p>
              </w:tc>
              <w:tc>
                <w:tcPr>
                  <w:tcW w:w="2645" w:type="dxa"/>
                  <w:tcBorders>
                    <w:tl2br w:val="nil"/>
                    <w:tr2bl w:val="nil"/>
                  </w:tcBorders>
                  <w:vAlign w:val="center"/>
                </w:tcPr>
                <w:p>
                  <w:pPr>
                    <w:widowControl/>
                    <w:jc w:val="center"/>
                    <w:rPr>
                      <w:rFonts w:hint="eastAsia" w:eastAsia="宋体"/>
                      <w:b w:val="0"/>
                      <w:bCs/>
                      <w:color w:val="000000" w:themeColor="text1"/>
                      <w:sz w:val="21"/>
                      <w:szCs w:val="21"/>
                      <w:lang w:eastAsia="zh-CN"/>
                      <w14:textFill>
                        <w14:solidFill>
                          <w14:schemeClr w14:val="tx1"/>
                        </w14:solidFill>
                      </w14:textFill>
                    </w:rPr>
                  </w:pPr>
                  <w:r>
                    <w:rPr>
                      <w:rFonts w:hint="eastAsia"/>
                      <w:b w:val="0"/>
                      <w:bCs/>
                      <w:color w:val="000000" w:themeColor="text1"/>
                      <w:sz w:val="21"/>
                      <w:szCs w:val="21"/>
                      <w14:textFill>
                        <w14:solidFill>
                          <w14:schemeClr w14:val="tx1"/>
                        </w14:solidFill>
                      </w14:textFill>
                    </w:rPr>
                    <w:t>严禁建设国家产业政策、技术政策和环保法律法规明令禁止的项目</w:t>
                  </w:r>
                  <w:r>
                    <w:rPr>
                      <w:rFonts w:hint="eastAsia"/>
                      <w:b w:val="0"/>
                      <w:bCs/>
                      <w:color w:val="000000" w:themeColor="text1"/>
                      <w:sz w:val="21"/>
                      <w:szCs w:val="21"/>
                      <w:lang w:eastAsia="zh-CN"/>
                      <w14:textFill>
                        <w14:solidFill>
                          <w14:schemeClr w14:val="tx1"/>
                        </w14:solidFill>
                      </w14:textFill>
                    </w:rPr>
                    <w:t>。</w:t>
                  </w:r>
                </w:p>
              </w:tc>
              <w:tc>
                <w:tcPr>
                  <w:tcW w:w="3086" w:type="dxa"/>
                  <w:tcBorders>
                    <w:tl2br w:val="nil"/>
                    <w:tr2bl w:val="nil"/>
                  </w:tcBorders>
                  <w:vAlign w:val="center"/>
                </w:tcPr>
                <w:p>
                  <w:pPr>
                    <w:widowControl/>
                    <w:jc w:val="center"/>
                    <w:rPr>
                      <w:rFonts w:hint="eastAsia" w:eastAsia="宋体"/>
                      <w:b w:val="0"/>
                      <w:bCs/>
                      <w:color w:val="000000" w:themeColor="text1"/>
                      <w:sz w:val="21"/>
                      <w:szCs w:val="21"/>
                      <w:lang w:eastAsia="zh-CN"/>
                      <w14:textFill>
                        <w14:solidFill>
                          <w14:schemeClr w14:val="tx1"/>
                        </w14:solidFill>
                      </w14:textFill>
                    </w:rPr>
                  </w:pPr>
                  <w:r>
                    <w:rPr>
                      <w:rFonts w:hint="eastAsia"/>
                      <w:b w:val="0"/>
                      <w:bCs/>
                      <w:color w:val="000000" w:themeColor="text1"/>
                      <w:sz w:val="21"/>
                      <w:szCs w:val="21"/>
                      <w14:textFill>
                        <w14:solidFill>
                          <w14:schemeClr w14:val="tx1"/>
                        </w14:solidFill>
                      </w14:textFill>
                    </w:rPr>
                    <w:t>本项目为</w:t>
                  </w:r>
                  <w:r>
                    <w:rPr>
                      <w:rFonts w:hint="eastAsia"/>
                      <w:b w:val="0"/>
                      <w:bCs/>
                      <w:color w:val="000000" w:themeColor="text1"/>
                      <w:sz w:val="21"/>
                      <w:szCs w:val="21"/>
                      <w:lang w:val="en-US" w:eastAsia="zh-CN"/>
                      <w14:textFill>
                        <w14:solidFill>
                          <w14:schemeClr w14:val="tx1"/>
                        </w14:solidFill>
                      </w14:textFill>
                    </w:rPr>
                    <w:t>滚动轴承制造</w:t>
                  </w:r>
                  <w:r>
                    <w:rPr>
                      <w:rFonts w:hint="eastAsia"/>
                      <w:b w:val="0"/>
                      <w:bCs/>
                      <w:color w:val="000000" w:themeColor="text1"/>
                      <w:sz w:val="21"/>
                      <w:szCs w:val="21"/>
                      <w14:textFill>
                        <w14:solidFill>
                          <w14:schemeClr w14:val="tx1"/>
                        </w14:solidFill>
                      </w14:textFill>
                    </w:rPr>
                    <w:t>，不属于其限制类与淘汰类，为允许类</w:t>
                  </w:r>
                  <w:r>
                    <w:rPr>
                      <w:rFonts w:hint="eastAsia"/>
                      <w:b w:val="0"/>
                      <w:bCs/>
                      <w:color w:val="000000" w:themeColor="text1"/>
                      <w:sz w:val="21"/>
                      <w:szCs w:val="21"/>
                      <w:lang w:eastAsia="zh-CN"/>
                      <w14:textFill>
                        <w14:solidFill>
                          <w14:schemeClr w14:val="tx1"/>
                        </w14:solidFill>
                      </w14:textFill>
                    </w:rPr>
                    <w:t>。</w:t>
                  </w:r>
                </w:p>
              </w:tc>
              <w:tc>
                <w:tcPr>
                  <w:tcW w:w="620" w:type="dxa"/>
                  <w:tcBorders>
                    <w:tl2br w:val="nil"/>
                    <w:tr2bl w:val="nil"/>
                  </w:tcBorders>
                  <w:shd w:val="clear" w:color="auto" w:fill="auto"/>
                  <w:vAlign w:val="center"/>
                </w:tcPr>
                <w:p>
                  <w:pPr>
                    <w:adjustRightInd w:val="0"/>
                    <w:snapToGrid w:val="0"/>
                    <w:jc w:val="center"/>
                    <w:rPr>
                      <w:rFonts w:cs="宋体"/>
                      <w:b w:val="0"/>
                      <w:bCs/>
                      <w:color w:val="000000" w:themeColor="text1"/>
                      <w:sz w:val="21"/>
                      <w:szCs w:val="21"/>
                      <w14:textFill>
                        <w14:solidFill>
                          <w14:schemeClr w14:val="tx1"/>
                        </w14:solidFill>
                      </w14:textFill>
                    </w:rPr>
                  </w:pPr>
                  <w:r>
                    <w:rPr>
                      <w:rFonts w:hint="eastAsia" w:cs="宋体"/>
                      <w:b w:val="0"/>
                      <w:bCs/>
                      <w:color w:val="000000" w:themeColor="text1"/>
                      <w:sz w:val="21"/>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7" w:type="dxa"/>
                  <w:tcBorders>
                    <w:tl2br w:val="nil"/>
                    <w:tr2bl w:val="nil"/>
                  </w:tcBorders>
                  <w:shd w:val="clear" w:color="auto" w:fill="auto"/>
                  <w:vAlign w:val="center"/>
                </w:tcPr>
                <w:p>
                  <w:pPr>
                    <w:adjustRightInd w:val="0"/>
                    <w:snapToGrid w:val="0"/>
                    <w:jc w:val="center"/>
                    <w:rPr>
                      <w:rFonts w:cs="宋体"/>
                      <w:b w:val="0"/>
                      <w:bCs/>
                      <w:color w:val="000000" w:themeColor="text1"/>
                      <w:sz w:val="21"/>
                      <w:szCs w:val="21"/>
                      <w14:textFill>
                        <w14:solidFill>
                          <w14:schemeClr w14:val="tx1"/>
                        </w14:solidFill>
                      </w14:textFill>
                    </w:rPr>
                  </w:pPr>
                  <w:r>
                    <w:rPr>
                      <w:rFonts w:hint="eastAsia" w:cs="宋体"/>
                      <w:b w:val="0"/>
                      <w:bCs/>
                      <w:color w:val="000000" w:themeColor="text1"/>
                      <w:sz w:val="21"/>
                      <w:szCs w:val="21"/>
                      <w14:textFill>
                        <w14:solidFill>
                          <w14:schemeClr w14:val="tx1"/>
                        </w14:solidFill>
                      </w14:textFill>
                    </w:rPr>
                    <w:t>2</w:t>
                  </w:r>
                </w:p>
              </w:tc>
              <w:tc>
                <w:tcPr>
                  <w:tcW w:w="2645" w:type="dxa"/>
                  <w:tcBorders>
                    <w:tl2br w:val="nil"/>
                    <w:tr2bl w:val="nil"/>
                  </w:tcBorders>
                  <w:vAlign w:val="center"/>
                </w:tcPr>
                <w:p>
                  <w:pPr>
                    <w:widowControl/>
                    <w:jc w:val="center"/>
                    <w:rPr>
                      <w:rFonts w:hint="eastAsia" w:eastAsia="宋体"/>
                      <w:b w:val="0"/>
                      <w:bCs/>
                      <w:color w:val="000000" w:themeColor="text1"/>
                      <w:sz w:val="21"/>
                      <w:szCs w:val="21"/>
                      <w:lang w:eastAsia="zh-CN"/>
                      <w14:textFill>
                        <w14:solidFill>
                          <w14:schemeClr w14:val="tx1"/>
                        </w14:solidFill>
                      </w14:textFill>
                    </w:rPr>
                  </w:pPr>
                  <w:r>
                    <w:rPr>
                      <w:rFonts w:hint="eastAsia"/>
                      <w:b w:val="0"/>
                      <w:bCs/>
                      <w:color w:val="000000" w:themeColor="text1"/>
                      <w:sz w:val="21"/>
                      <w:szCs w:val="21"/>
                      <w14:textFill>
                        <w14:solidFill>
                          <w14:schemeClr w14:val="tx1"/>
                        </w14:solidFill>
                      </w14:textFill>
                    </w:rPr>
                    <w:t>严格控制高耗水、高耗能、污水排放量大的项目入区</w:t>
                  </w:r>
                  <w:r>
                    <w:rPr>
                      <w:rFonts w:hint="eastAsia"/>
                      <w:b w:val="0"/>
                      <w:bCs/>
                      <w:color w:val="000000" w:themeColor="text1"/>
                      <w:sz w:val="21"/>
                      <w:szCs w:val="21"/>
                      <w:lang w:eastAsia="zh-CN"/>
                      <w14:textFill>
                        <w14:solidFill>
                          <w14:schemeClr w14:val="tx1"/>
                        </w14:solidFill>
                      </w14:textFill>
                    </w:rPr>
                    <w:t>。</w:t>
                  </w:r>
                </w:p>
              </w:tc>
              <w:tc>
                <w:tcPr>
                  <w:tcW w:w="3086" w:type="dxa"/>
                  <w:tcBorders>
                    <w:tl2br w:val="nil"/>
                    <w:tr2bl w:val="nil"/>
                  </w:tcBorders>
                  <w:vAlign w:val="center"/>
                </w:tcPr>
                <w:p>
                  <w:pPr>
                    <w:widowControl/>
                    <w:jc w:val="center"/>
                    <w:rPr>
                      <w:b w:val="0"/>
                      <w:bCs/>
                      <w:color w:val="000000" w:themeColor="text1"/>
                      <w:sz w:val="21"/>
                      <w:szCs w:val="21"/>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项目用水为生活用水及</w:t>
                  </w:r>
                  <w:r>
                    <w:rPr>
                      <w:rFonts w:hint="eastAsia" w:cs="Times New Roman"/>
                      <w:color w:val="000000" w:themeColor="text1"/>
                      <w:szCs w:val="21"/>
                      <w:lang w:val="en-US" w:eastAsia="zh-CN"/>
                      <w14:textFill>
                        <w14:solidFill>
                          <w14:schemeClr w14:val="tx1"/>
                        </w14:solidFill>
                      </w14:textFill>
                    </w:rPr>
                    <w:t>特磨液、精研液、循环液配置用水，用电为生产设备用电及办公用电，废水为生活污水，</w:t>
                  </w:r>
                  <w:r>
                    <w:rPr>
                      <w:rFonts w:hint="eastAsia" w:cs="Times New Roman"/>
                      <w:b w:val="0"/>
                      <w:bCs w:val="0"/>
                      <w:color w:val="000000" w:themeColor="text1"/>
                      <w:szCs w:val="21"/>
                      <w:lang w:eastAsia="zh-CN"/>
                      <w14:textFill>
                        <w14:solidFill>
                          <w14:schemeClr w14:val="tx1"/>
                        </w14:solidFill>
                      </w14:textFill>
                    </w:rPr>
                    <w:t>不属于</w:t>
                  </w:r>
                  <w:r>
                    <w:rPr>
                      <w:rFonts w:hint="default" w:ascii="Times New Roman" w:hAnsi="Times New Roman" w:eastAsia="宋体" w:cs="Times New Roman"/>
                      <w:b w:val="0"/>
                      <w:bCs w:val="0"/>
                      <w:color w:val="000000" w:themeColor="text1"/>
                      <w:szCs w:val="21"/>
                      <w14:textFill>
                        <w14:solidFill>
                          <w14:schemeClr w14:val="tx1"/>
                        </w14:solidFill>
                      </w14:textFill>
                    </w:rPr>
                    <w:t>高</w:t>
                  </w:r>
                  <w:r>
                    <w:rPr>
                      <w:rFonts w:hint="default" w:ascii="Times New Roman" w:hAnsi="Times New Roman" w:eastAsia="宋体" w:cs="Times New Roman"/>
                      <w:color w:val="000000" w:themeColor="text1"/>
                      <w:szCs w:val="21"/>
                      <w14:textFill>
                        <w14:solidFill>
                          <w14:schemeClr w14:val="tx1"/>
                        </w14:solidFill>
                      </w14:textFill>
                    </w:rPr>
                    <w:t>耗水、高耗能、污水排放量大的项目</w:t>
                  </w:r>
                  <w:r>
                    <w:rPr>
                      <w:rFonts w:hint="eastAsia" w:ascii="Times New Roman" w:hAnsi="Times New Roman" w:eastAsia="宋体" w:cs="Times New Roman"/>
                      <w:color w:val="000000" w:themeColor="text1"/>
                      <w:szCs w:val="21"/>
                      <w:lang w:eastAsia="zh-CN"/>
                      <w14:textFill>
                        <w14:solidFill>
                          <w14:schemeClr w14:val="tx1"/>
                        </w14:solidFill>
                      </w14:textFill>
                    </w:rPr>
                    <w:t>。</w:t>
                  </w:r>
                </w:p>
              </w:tc>
              <w:tc>
                <w:tcPr>
                  <w:tcW w:w="620" w:type="dxa"/>
                  <w:tcBorders>
                    <w:tl2br w:val="nil"/>
                    <w:tr2bl w:val="nil"/>
                  </w:tcBorders>
                  <w:shd w:val="clear" w:color="auto" w:fill="auto"/>
                  <w:vAlign w:val="center"/>
                </w:tcPr>
                <w:p>
                  <w:pPr>
                    <w:adjustRightInd w:val="0"/>
                    <w:snapToGrid w:val="0"/>
                    <w:jc w:val="center"/>
                    <w:rPr>
                      <w:rFonts w:cs="宋体"/>
                      <w:b w:val="0"/>
                      <w:bCs/>
                      <w:color w:val="000000" w:themeColor="text1"/>
                      <w:sz w:val="21"/>
                      <w:szCs w:val="21"/>
                      <w14:textFill>
                        <w14:solidFill>
                          <w14:schemeClr w14:val="tx1"/>
                        </w14:solidFill>
                      </w14:textFill>
                    </w:rPr>
                  </w:pPr>
                  <w:r>
                    <w:rPr>
                      <w:rFonts w:hint="eastAsia" w:cs="宋体"/>
                      <w:b w:val="0"/>
                      <w:bCs/>
                      <w:color w:val="000000" w:themeColor="text1"/>
                      <w:sz w:val="21"/>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7" w:type="dxa"/>
                  <w:tcBorders>
                    <w:tl2br w:val="nil"/>
                    <w:tr2bl w:val="nil"/>
                  </w:tcBorders>
                  <w:shd w:val="clear" w:color="auto" w:fill="auto"/>
                  <w:vAlign w:val="center"/>
                </w:tcPr>
                <w:p>
                  <w:pPr>
                    <w:adjustRightInd w:val="0"/>
                    <w:snapToGrid w:val="0"/>
                    <w:jc w:val="center"/>
                    <w:rPr>
                      <w:rFonts w:cs="宋体"/>
                      <w:b w:val="0"/>
                      <w:bCs/>
                      <w:color w:val="000000" w:themeColor="text1"/>
                      <w:sz w:val="21"/>
                      <w:szCs w:val="21"/>
                      <w14:textFill>
                        <w14:solidFill>
                          <w14:schemeClr w14:val="tx1"/>
                        </w14:solidFill>
                      </w14:textFill>
                    </w:rPr>
                  </w:pPr>
                  <w:r>
                    <w:rPr>
                      <w:rFonts w:hint="eastAsia" w:cs="宋体"/>
                      <w:b w:val="0"/>
                      <w:bCs/>
                      <w:color w:val="000000" w:themeColor="text1"/>
                      <w:sz w:val="21"/>
                      <w:szCs w:val="21"/>
                      <w14:textFill>
                        <w14:solidFill>
                          <w14:schemeClr w14:val="tx1"/>
                        </w14:solidFill>
                      </w14:textFill>
                    </w:rPr>
                    <w:t>3</w:t>
                  </w:r>
                </w:p>
              </w:tc>
              <w:tc>
                <w:tcPr>
                  <w:tcW w:w="2645" w:type="dxa"/>
                  <w:tcBorders>
                    <w:tl2br w:val="nil"/>
                    <w:tr2bl w:val="nil"/>
                  </w:tcBorders>
                  <w:vAlign w:val="center"/>
                </w:tcPr>
                <w:p>
                  <w:pPr>
                    <w:widowControl/>
                    <w:jc w:val="center"/>
                    <w:rPr>
                      <w:rFonts w:hint="eastAsia" w:eastAsia="宋体"/>
                      <w:b w:val="0"/>
                      <w:bCs/>
                      <w:color w:val="000000" w:themeColor="text1"/>
                      <w:sz w:val="21"/>
                      <w:szCs w:val="21"/>
                      <w:lang w:eastAsia="zh-CN"/>
                      <w14:textFill>
                        <w14:solidFill>
                          <w14:schemeClr w14:val="tx1"/>
                        </w14:solidFill>
                      </w14:textFill>
                    </w:rPr>
                  </w:pPr>
                  <w:r>
                    <w:rPr>
                      <w:rFonts w:hint="eastAsia"/>
                      <w:b w:val="0"/>
                      <w:bCs/>
                      <w:color w:val="000000" w:themeColor="text1"/>
                      <w:sz w:val="21"/>
                      <w:szCs w:val="21"/>
                      <w14:textFill>
                        <w14:solidFill>
                          <w14:schemeClr w14:val="tx1"/>
                        </w14:solidFill>
                      </w14:textFill>
                    </w:rPr>
                    <w:t>入园区项目要建设完善的环境保护、安全生产和事故防范措施</w:t>
                  </w:r>
                  <w:r>
                    <w:rPr>
                      <w:rFonts w:hint="eastAsia"/>
                      <w:b w:val="0"/>
                      <w:bCs/>
                      <w:color w:val="000000" w:themeColor="text1"/>
                      <w:sz w:val="21"/>
                      <w:szCs w:val="21"/>
                      <w:lang w:eastAsia="zh-CN"/>
                      <w14:textFill>
                        <w14:solidFill>
                          <w14:schemeClr w14:val="tx1"/>
                        </w14:solidFill>
                      </w14:textFill>
                    </w:rPr>
                    <w:t>。</w:t>
                  </w:r>
                </w:p>
              </w:tc>
              <w:tc>
                <w:tcPr>
                  <w:tcW w:w="3086" w:type="dxa"/>
                  <w:tcBorders>
                    <w:tl2br w:val="nil"/>
                    <w:tr2bl w:val="nil"/>
                  </w:tcBorders>
                  <w:vAlign w:val="center"/>
                </w:tcPr>
                <w:p>
                  <w:pPr>
                    <w:widowControl/>
                    <w:jc w:val="center"/>
                    <w:rPr>
                      <w:rFonts w:hint="eastAsia" w:eastAsia="宋体"/>
                      <w:b w:val="0"/>
                      <w:bCs/>
                      <w:color w:val="auto"/>
                      <w:sz w:val="21"/>
                      <w:szCs w:val="21"/>
                      <w:lang w:eastAsia="zh-CN"/>
                    </w:rPr>
                  </w:pPr>
                  <w:r>
                    <w:rPr>
                      <w:rFonts w:hint="eastAsia"/>
                      <w:b w:val="0"/>
                      <w:bCs/>
                      <w:color w:val="auto"/>
                      <w:sz w:val="21"/>
                      <w:szCs w:val="21"/>
                    </w:rPr>
                    <w:t>本项目建设了完善的环境保护、安全生产和事故防范措施</w:t>
                  </w:r>
                  <w:r>
                    <w:rPr>
                      <w:rFonts w:hint="eastAsia"/>
                      <w:b w:val="0"/>
                      <w:bCs/>
                      <w:color w:val="auto"/>
                      <w:sz w:val="21"/>
                      <w:szCs w:val="21"/>
                      <w:lang w:eastAsia="zh-CN"/>
                    </w:rPr>
                    <w:t>。</w:t>
                  </w:r>
                </w:p>
              </w:tc>
              <w:tc>
                <w:tcPr>
                  <w:tcW w:w="620" w:type="dxa"/>
                  <w:tcBorders>
                    <w:tl2br w:val="nil"/>
                    <w:tr2bl w:val="nil"/>
                  </w:tcBorders>
                  <w:shd w:val="clear" w:color="auto" w:fill="auto"/>
                  <w:vAlign w:val="center"/>
                </w:tcPr>
                <w:p>
                  <w:pPr>
                    <w:adjustRightInd w:val="0"/>
                    <w:snapToGrid w:val="0"/>
                    <w:jc w:val="center"/>
                    <w:rPr>
                      <w:rFonts w:cs="宋体"/>
                      <w:b w:val="0"/>
                      <w:bCs/>
                      <w:color w:val="000000" w:themeColor="text1"/>
                      <w:sz w:val="21"/>
                      <w:szCs w:val="21"/>
                      <w14:textFill>
                        <w14:solidFill>
                          <w14:schemeClr w14:val="tx1"/>
                        </w14:solidFill>
                      </w14:textFill>
                    </w:rPr>
                  </w:pPr>
                  <w:r>
                    <w:rPr>
                      <w:rFonts w:hint="eastAsia" w:cs="宋体"/>
                      <w:b w:val="0"/>
                      <w:bCs/>
                      <w:color w:val="000000" w:themeColor="text1"/>
                      <w:sz w:val="21"/>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7" w:type="dxa"/>
                  <w:tcBorders>
                    <w:tl2br w:val="nil"/>
                    <w:tr2bl w:val="nil"/>
                  </w:tcBorders>
                  <w:shd w:val="clear" w:color="auto" w:fill="auto"/>
                  <w:vAlign w:val="center"/>
                </w:tcPr>
                <w:p>
                  <w:pPr>
                    <w:adjustRightInd w:val="0"/>
                    <w:snapToGrid w:val="0"/>
                    <w:jc w:val="center"/>
                    <w:rPr>
                      <w:rFonts w:cs="宋体"/>
                      <w:b w:val="0"/>
                      <w:bCs/>
                      <w:color w:val="000000" w:themeColor="text1"/>
                      <w:sz w:val="21"/>
                      <w:szCs w:val="21"/>
                      <w14:textFill>
                        <w14:solidFill>
                          <w14:schemeClr w14:val="tx1"/>
                        </w14:solidFill>
                      </w14:textFill>
                    </w:rPr>
                  </w:pPr>
                  <w:r>
                    <w:rPr>
                      <w:rFonts w:hint="eastAsia" w:cs="宋体"/>
                      <w:b w:val="0"/>
                      <w:bCs/>
                      <w:color w:val="000000" w:themeColor="text1"/>
                      <w:sz w:val="21"/>
                      <w:szCs w:val="21"/>
                      <w14:textFill>
                        <w14:solidFill>
                          <w14:schemeClr w14:val="tx1"/>
                        </w14:solidFill>
                      </w14:textFill>
                    </w:rPr>
                    <w:t>4</w:t>
                  </w:r>
                </w:p>
              </w:tc>
              <w:tc>
                <w:tcPr>
                  <w:tcW w:w="2645" w:type="dxa"/>
                  <w:tcBorders>
                    <w:tl2br w:val="nil"/>
                    <w:tr2bl w:val="nil"/>
                  </w:tcBorders>
                  <w:vAlign w:val="center"/>
                </w:tcPr>
                <w:p>
                  <w:pPr>
                    <w:widowControl/>
                    <w:jc w:val="center"/>
                    <w:rPr>
                      <w:rFonts w:hint="eastAsia" w:eastAsia="宋体"/>
                      <w:b w:val="0"/>
                      <w:bCs/>
                      <w:color w:val="000000" w:themeColor="text1"/>
                      <w:sz w:val="21"/>
                      <w:szCs w:val="21"/>
                      <w:lang w:eastAsia="zh-CN"/>
                      <w14:textFill>
                        <w14:solidFill>
                          <w14:schemeClr w14:val="tx1"/>
                        </w14:solidFill>
                      </w14:textFill>
                    </w:rPr>
                  </w:pPr>
                  <w:r>
                    <w:rPr>
                      <w:rFonts w:hint="eastAsia"/>
                      <w:b w:val="0"/>
                      <w:bCs/>
                      <w:color w:val="000000" w:themeColor="text1"/>
                      <w:sz w:val="21"/>
                      <w:szCs w:val="21"/>
                      <w14:textFill>
                        <w14:solidFill>
                          <w14:schemeClr w14:val="tx1"/>
                        </w14:solidFill>
                      </w14:textFill>
                    </w:rPr>
                    <w:t>最大限度的控制开发区污染物排放量和排放强度</w:t>
                  </w:r>
                  <w:r>
                    <w:rPr>
                      <w:rFonts w:hint="eastAsia"/>
                      <w:b w:val="0"/>
                      <w:bCs/>
                      <w:color w:val="000000" w:themeColor="text1"/>
                      <w:sz w:val="21"/>
                      <w:szCs w:val="21"/>
                      <w:lang w:eastAsia="zh-CN"/>
                      <w14:textFill>
                        <w14:solidFill>
                          <w14:schemeClr w14:val="tx1"/>
                        </w14:solidFill>
                      </w14:textFill>
                    </w:rPr>
                    <w:t>。</w:t>
                  </w:r>
                </w:p>
              </w:tc>
              <w:tc>
                <w:tcPr>
                  <w:tcW w:w="3086" w:type="dxa"/>
                  <w:tcBorders>
                    <w:tl2br w:val="nil"/>
                    <w:tr2bl w:val="nil"/>
                  </w:tcBorders>
                  <w:vAlign w:val="center"/>
                </w:tcPr>
                <w:p>
                  <w:pPr>
                    <w:widowControl/>
                    <w:jc w:val="center"/>
                    <w:rPr>
                      <w:rFonts w:hint="eastAsia" w:eastAsia="宋体"/>
                      <w:b w:val="0"/>
                      <w:bCs/>
                      <w:color w:val="auto"/>
                      <w:sz w:val="21"/>
                      <w:szCs w:val="21"/>
                      <w:lang w:eastAsia="zh-CN"/>
                    </w:rPr>
                  </w:pPr>
                  <w:r>
                    <w:rPr>
                      <w:rFonts w:hint="eastAsia"/>
                      <w:b w:val="0"/>
                      <w:bCs/>
                      <w:color w:val="auto"/>
                      <w:sz w:val="21"/>
                      <w:szCs w:val="21"/>
                      <w:lang w:val="en-US" w:eastAsia="zh-CN"/>
                    </w:rPr>
                    <w:t>项目生产废水主要为生活污水经化粪池预处理经市政污水管网排入灵璧经济开发区新北污水处理厂处理</w:t>
                  </w:r>
                  <w:r>
                    <w:rPr>
                      <w:rFonts w:hint="eastAsia" w:cs="宋体"/>
                      <w:b w:val="0"/>
                      <w:bCs/>
                      <w:color w:val="auto"/>
                      <w:sz w:val="21"/>
                      <w:szCs w:val="21"/>
                    </w:rPr>
                    <w:t>；生产废气均设置集气装置，并配套处理设施处理后排放，从而减少排放量和排放强度；</w:t>
                  </w:r>
                  <w:r>
                    <w:rPr>
                      <w:rFonts w:hint="eastAsia"/>
                      <w:b w:val="0"/>
                      <w:bCs/>
                      <w:color w:val="auto"/>
                      <w:sz w:val="21"/>
                      <w:szCs w:val="21"/>
                    </w:rPr>
                    <w:t>危险固废严格按照国家相关管理规定和规范进行安全处置</w:t>
                  </w:r>
                  <w:r>
                    <w:rPr>
                      <w:rFonts w:hint="eastAsia"/>
                      <w:b w:val="0"/>
                      <w:bCs/>
                      <w:color w:val="auto"/>
                      <w:sz w:val="21"/>
                      <w:szCs w:val="21"/>
                      <w:lang w:eastAsia="zh-CN"/>
                    </w:rPr>
                    <w:t>。</w:t>
                  </w:r>
                </w:p>
              </w:tc>
              <w:tc>
                <w:tcPr>
                  <w:tcW w:w="620" w:type="dxa"/>
                  <w:tcBorders>
                    <w:tl2br w:val="nil"/>
                    <w:tr2bl w:val="nil"/>
                  </w:tcBorders>
                  <w:shd w:val="clear" w:color="auto" w:fill="auto"/>
                  <w:vAlign w:val="center"/>
                </w:tcPr>
                <w:p>
                  <w:pPr>
                    <w:adjustRightInd w:val="0"/>
                    <w:snapToGrid w:val="0"/>
                    <w:jc w:val="center"/>
                    <w:rPr>
                      <w:rFonts w:cs="宋体"/>
                      <w:b w:val="0"/>
                      <w:bCs/>
                      <w:color w:val="000000" w:themeColor="text1"/>
                      <w:sz w:val="21"/>
                      <w:szCs w:val="21"/>
                      <w14:textFill>
                        <w14:solidFill>
                          <w14:schemeClr w14:val="tx1"/>
                        </w14:solidFill>
                      </w14:textFill>
                    </w:rPr>
                  </w:pPr>
                  <w:r>
                    <w:rPr>
                      <w:rFonts w:hint="eastAsia" w:cs="宋体"/>
                      <w:b w:val="0"/>
                      <w:bCs/>
                      <w:color w:val="000000" w:themeColor="text1"/>
                      <w:sz w:val="21"/>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7" w:type="dxa"/>
                  <w:tcBorders>
                    <w:tl2br w:val="nil"/>
                    <w:tr2bl w:val="nil"/>
                  </w:tcBorders>
                  <w:shd w:val="clear" w:color="auto" w:fill="auto"/>
                  <w:vAlign w:val="center"/>
                </w:tcPr>
                <w:p>
                  <w:pPr>
                    <w:adjustRightInd w:val="0"/>
                    <w:snapToGrid w:val="0"/>
                    <w:jc w:val="center"/>
                    <w:rPr>
                      <w:rFonts w:cs="宋体"/>
                      <w:b w:val="0"/>
                      <w:bCs/>
                      <w:color w:val="000000" w:themeColor="text1"/>
                      <w:sz w:val="21"/>
                      <w:szCs w:val="21"/>
                      <w14:textFill>
                        <w14:solidFill>
                          <w14:schemeClr w14:val="tx1"/>
                        </w14:solidFill>
                      </w14:textFill>
                    </w:rPr>
                  </w:pPr>
                  <w:r>
                    <w:rPr>
                      <w:rFonts w:hint="eastAsia" w:cs="宋体"/>
                      <w:b w:val="0"/>
                      <w:bCs/>
                      <w:color w:val="000000" w:themeColor="text1"/>
                      <w:sz w:val="21"/>
                      <w:szCs w:val="21"/>
                      <w14:textFill>
                        <w14:solidFill>
                          <w14:schemeClr w14:val="tx1"/>
                        </w14:solidFill>
                      </w14:textFill>
                    </w:rPr>
                    <w:t>5</w:t>
                  </w:r>
                </w:p>
              </w:tc>
              <w:tc>
                <w:tcPr>
                  <w:tcW w:w="2645" w:type="dxa"/>
                  <w:tcBorders>
                    <w:tl2br w:val="nil"/>
                    <w:tr2bl w:val="nil"/>
                  </w:tcBorders>
                  <w:vAlign w:val="center"/>
                </w:tcPr>
                <w:p>
                  <w:pPr>
                    <w:widowControl/>
                    <w:jc w:val="center"/>
                    <w:rPr>
                      <w:rFonts w:hint="eastAsia" w:eastAsia="宋体"/>
                      <w:b w:val="0"/>
                      <w:bCs/>
                      <w:color w:val="000000" w:themeColor="text1"/>
                      <w:sz w:val="21"/>
                      <w:szCs w:val="21"/>
                      <w:lang w:eastAsia="zh-CN"/>
                      <w14:textFill>
                        <w14:solidFill>
                          <w14:schemeClr w14:val="tx1"/>
                        </w14:solidFill>
                      </w14:textFill>
                    </w:rPr>
                  </w:pPr>
                  <w:r>
                    <w:rPr>
                      <w:rFonts w:hint="eastAsia"/>
                      <w:b w:val="0"/>
                      <w:bCs/>
                      <w:color w:val="000000" w:themeColor="text1"/>
                      <w:sz w:val="21"/>
                      <w:szCs w:val="21"/>
                      <w14:textFill>
                        <w14:solidFill>
                          <w14:schemeClr w14:val="tx1"/>
                        </w14:solidFill>
                      </w14:textFill>
                    </w:rPr>
                    <w:t>加强地下水资源保护与管理，入区项目一律采用市政集中供水，采取措施防止地下水污染</w:t>
                  </w:r>
                  <w:r>
                    <w:rPr>
                      <w:rFonts w:hint="eastAsia"/>
                      <w:b w:val="0"/>
                      <w:bCs/>
                      <w:color w:val="000000" w:themeColor="text1"/>
                      <w:sz w:val="21"/>
                      <w:szCs w:val="21"/>
                      <w:lang w:eastAsia="zh-CN"/>
                      <w14:textFill>
                        <w14:solidFill>
                          <w14:schemeClr w14:val="tx1"/>
                        </w14:solidFill>
                      </w14:textFill>
                    </w:rPr>
                    <w:t>。</w:t>
                  </w:r>
                </w:p>
              </w:tc>
              <w:tc>
                <w:tcPr>
                  <w:tcW w:w="3086" w:type="dxa"/>
                  <w:tcBorders>
                    <w:tl2br w:val="nil"/>
                    <w:tr2bl w:val="nil"/>
                  </w:tcBorders>
                  <w:vAlign w:val="center"/>
                </w:tcPr>
                <w:p>
                  <w:pPr>
                    <w:widowControl/>
                    <w:jc w:val="center"/>
                    <w:rPr>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本项目采用市政集中供水，通过地面硬化、设置防渗装置等措施，防止对地下水的污染。</w:t>
                  </w:r>
                </w:p>
              </w:tc>
              <w:tc>
                <w:tcPr>
                  <w:tcW w:w="620" w:type="dxa"/>
                  <w:tcBorders>
                    <w:tl2br w:val="nil"/>
                    <w:tr2bl w:val="nil"/>
                  </w:tcBorders>
                  <w:shd w:val="clear" w:color="auto" w:fill="auto"/>
                  <w:vAlign w:val="center"/>
                </w:tcPr>
                <w:p>
                  <w:pPr>
                    <w:adjustRightInd w:val="0"/>
                    <w:snapToGrid w:val="0"/>
                    <w:jc w:val="center"/>
                    <w:rPr>
                      <w:rFonts w:cs="宋体"/>
                      <w:b w:val="0"/>
                      <w:bCs/>
                      <w:color w:val="000000" w:themeColor="text1"/>
                      <w:sz w:val="21"/>
                      <w:szCs w:val="21"/>
                      <w14:textFill>
                        <w14:solidFill>
                          <w14:schemeClr w14:val="tx1"/>
                        </w14:solidFill>
                      </w14:textFill>
                    </w:rPr>
                  </w:pPr>
                  <w:r>
                    <w:rPr>
                      <w:rFonts w:hint="eastAsia" w:cs="宋体"/>
                      <w:b w:val="0"/>
                      <w:bCs/>
                      <w:color w:val="000000" w:themeColor="text1"/>
                      <w:sz w:val="21"/>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7" w:type="dxa"/>
                  <w:tcBorders>
                    <w:tl2br w:val="nil"/>
                    <w:tr2bl w:val="nil"/>
                  </w:tcBorders>
                  <w:shd w:val="clear" w:color="auto" w:fill="auto"/>
                  <w:vAlign w:val="center"/>
                </w:tcPr>
                <w:p>
                  <w:pPr>
                    <w:adjustRightInd w:val="0"/>
                    <w:snapToGrid w:val="0"/>
                    <w:jc w:val="center"/>
                    <w:rPr>
                      <w:rFonts w:cs="宋体"/>
                      <w:b w:val="0"/>
                      <w:bCs/>
                      <w:color w:val="000000" w:themeColor="text1"/>
                      <w:sz w:val="21"/>
                      <w:szCs w:val="21"/>
                      <w14:textFill>
                        <w14:solidFill>
                          <w14:schemeClr w14:val="tx1"/>
                        </w14:solidFill>
                      </w14:textFill>
                    </w:rPr>
                  </w:pPr>
                  <w:r>
                    <w:rPr>
                      <w:rFonts w:hint="eastAsia" w:cs="宋体"/>
                      <w:b w:val="0"/>
                      <w:bCs/>
                      <w:color w:val="000000" w:themeColor="text1"/>
                      <w:sz w:val="21"/>
                      <w:szCs w:val="21"/>
                      <w14:textFill>
                        <w14:solidFill>
                          <w14:schemeClr w14:val="tx1"/>
                        </w14:solidFill>
                      </w14:textFill>
                    </w:rPr>
                    <w:t>6</w:t>
                  </w:r>
                </w:p>
              </w:tc>
              <w:tc>
                <w:tcPr>
                  <w:tcW w:w="2645" w:type="dxa"/>
                  <w:tcBorders>
                    <w:tl2br w:val="nil"/>
                    <w:tr2bl w:val="nil"/>
                  </w:tcBorders>
                  <w:vAlign w:val="center"/>
                </w:tcPr>
                <w:p>
                  <w:pPr>
                    <w:widowControl/>
                    <w:jc w:val="center"/>
                    <w:rPr>
                      <w:rFonts w:hint="eastAsia" w:eastAsia="宋体"/>
                      <w:b w:val="0"/>
                      <w:bCs/>
                      <w:color w:val="000000" w:themeColor="text1"/>
                      <w:sz w:val="21"/>
                      <w:szCs w:val="21"/>
                      <w:lang w:eastAsia="zh-CN"/>
                      <w14:textFill>
                        <w14:solidFill>
                          <w14:schemeClr w14:val="tx1"/>
                        </w14:solidFill>
                      </w14:textFill>
                    </w:rPr>
                  </w:pPr>
                  <w:r>
                    <w:rPr>
                      <w:rFonts w:hint="eastAsia"/>
                      <w:b w:val="0"/>
                      <w:bCs/>
                      <w:color w:val="000000" w:themeColor="text1"/>
                      <w:sz w:val="21"/>
                      <w:szCs w:val="21"/>
                      <w14:textFill>
                        <w14:solidFill>
                          <w14:schemeClr w14:val="tx1"/>
                        </w14:solidFill>
                      </w14:textFill>
                    </w:rPr>
                    <w:t>禁止建设燃煤锅炉，逐步淘汰现有的小燃煤锅炉，减少大气污染物排放</w:t>
                  </w:r>
                  <w:r>
                    <w:rPr>
                      <w:rFonts w:hint="eastAsia"/>
                      <w:b w:val="0"/>
                      <w:bCs/>
                      <w:color w:val="000000" w:themeColor="text1"/>
                      <w:sz w:val="21"/>
                      <w:szCs w:val="21"/>
                      <w:lang w:eastAsia="zh-CN"/>
                      <w14:textFill>
                        <w14:solidFill>
                          <w14:schemeClr w14:val="tx1"/>
                        </w14:solidFill>
                      </w14:textFill>
                    </w:rPr>
                    <w:t>。</w:t>
                  </w:r>
                </w:p>
              </w:tc>
              <w:tc>
                <w:tcPr>
                  <w:tcW w:w="3086" w:type="dxa"/>
                  <w:tcBorders>
                    <w:tl2br w:val="nil"/>
                    <w:tr2bl w:val="nil"/>
                  </w:tcBorders>
                  <w:vAlign w:val="center"/>
                </w:tcPr>
                <w:p>
                  <w:pPr>
                    <w:widowControl/>
                    <w:jc w:val="center"/>
                    <w:rPr>
                      <w:rFonts w:hint="eastAsia" w:eastAsia="宋体"/>
                      <w:b w:val="0"/>
                      <w:bCs/>
                      <w:color w:val="000000" w:themeColor="text1"/>
                      <w:sz w:val="21"/>
                      <w:szCs w:val="21"/>
                      <w:lang w:eastAsia="zh-CN"/>
                      <w14:textFill>
                        <w14:solidFill>
                          <w14:schemeClr w14:val="tx1"/>
                        </w14:solidFill>
                      </w14:textFill>
                    </w:rPr>
                  </w:pPr>
                  <w:r>
                    <w:rPr>
                      <w:rFonts w:hint="eastAsia"/>
                      <w:b w:val="0"/>
                      <w:bCs/>
                      <w:color w:val="000000" w:themeColor="text1"/>
                      <w:sz w:val="21"/>
                      <w:szCs w:val="21"/>
                      <w14:textFill>
                        <w14:solidFill>
                          <w14:schemeClr w14:val="tx1"/>
                        </w14:solidFill>
                      </w14:textFill>
                    </w:rPr>
                    <w:t>本项目不涉及燃煤锅炉使用</w:t>
                  </w:r>
                  <w:r>
                    <w:rPr>
                      <w:rFonts w:hint="eastAsia"/>
                      <w:b w:val="0"/>
                      <w:bCs/>
                      <w:color w:val="000000" w:themeColor="text1"/>
                      <w:sz w:val="21"/>
                      <w:szCs w:val="21"/>
                      <w:lang w:eastAsia="zh-CN"/>
                      <w14:textFill>
                        <w14:solidFill>
                          <w14:schemeClr w14:val="tx1"/>
                        </w14:solidFill>
                      </w14:textFill>
                    </w:rPr>
                    <w:t>。</w:t>
                  </w:r>
                </w:p>
              </w:tc>
              <w:tc>
                <w:tcPr>
                  <w:tcW w:w="620" w:type="dxa"/>
                  <w:tcBorders>
                    <w:tl2br w:val="nil"/>
                    <w:tr2bl w:val="nil"/>
                  </w:tcBorders>
                  <w:shd w:val="clear" w:color="auto" w:fill="auto"/>
                  <w:vAlign w:val="center"/>
                </w:tcPr>
                <w:p>
                  <w:pPr>
                    <w:adjustRightInd w:val="0"/>
                    <w:snapToGrid w:val="0"/>
                    <w:jc w:val="center"/>
                    <w:rPr>
                      <w:rFonts w:cs="宋体"/>
                      <w:b w:val="0"/>
                      <w:bCs/>
                      <w:color w:val="000000" w:themeColor="text1"/>
                      <w:sz w:val="21"/>
                      <w:szCs w:val="21"/>
                      <w14:textFill>
                        <w14:solidFill>
                          <w14:schemeClr w14:val="tx1"/>
                        </w14:solidFill>
                      </w14:textFill>
                    </w:rPr>
                  </w:pPr>
                  <w:r>
                    <w:rPr>
                      <w:rFonts w:hint="eastAsia" w:cs="宋体"/>
                      <w:b w:val="0"/>
                      <w:bCs/>
                      <w:color w:val="000000" w:themeColor="text1"/>
                      <w:sz w:val="21"/>
                      <w:szCs w:val="21"/>
                      <w14:textFill>
                        <w14:solidFill>
                          <w14:schemeClr w14:val="tx1"/>
                        </w14:solidFill>
                      </w14:textFill>
                    </w:rPr>
                    <w:t>是</w:t>
                  </w:r>
                </w:p>
              </w:tc>
            </w:tr>
          </w:tbl>
          <w:p>
            <w:pPr>
              <w:snapToGrid w:val="0"/>
              <w:spacing w:before="120" w:beforeLines="50" w:line="360" w:lineRule="auto"/>
              <w:ind w:firstLine="480" w:firstLineChars="200"/>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由上表可知，本项目与《安徽灵璧经济开发区总体发展规划环境影响报告书》及批复（</w:t>
            </w:r>
            <w:r>
              <w:rPr>
                <w:rFonts w:hint="eastAsia" w:ascii="Times New Roman" w:hAnsi="Times New Roman" w:eastAsia="宋体" w:cs="Times New Roman"/>
                <w:color w:val="000000" w:themeColor="text1"/>
                <w:kern w:val="0"/>
                <w:sz w:val="24"/>
                <w:szCs w:val="24"/>
                <w:lang w:eastAsia="zh-CN"/>
                <w14:textFill>
                  <w14:solidFill>
                    <w14:schemeClr w14:val="tx1"/>
                  </w14:solidFill>
                </w14:textFill>
              </w:rPr>
              <w:t>环评函</w:t>
            </w:r>
            <w:r>
              <w:rPr>
                <w:rFonts w:hint="default" w:ascii="Times New Roman" w:hAnsi="Times New Roman" w:eastAsia="宋体" w:cs="Times New Roman"/>
                <w:color w:val="auto"/>
                <w:sz w:val="24"/>
                <w:szCs w:val="24"/>
                <w:highlight w:val="none"/>
                <w:lang w:val="en-US" w:eastAsia="zh-CN"/>
              </w:rPr>
              <w:t>【201</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1174号</w:t>
            </w:r>
            <w:r>
              <w:rPr>
                <w:rFonts w:hint="eastAsia" w:cs="宋体"/>
                <w:color w:val="000000" w:themeColor="text1"/>
                <w:sz w:val="24"/>
                <w14:textFill>
                  <w14:solidFill>
                    <w14:schemeClr w14:val="tx1"/>
                  </w14:solidFill>
                </w14:textFill>
              </w:rPr>
              <w:t>）相符合。</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②本项目</w:t>
            </w:r>
            <w:r>
              <w:rPr>
                <w:rFonts w:cs="宋体"/>
                <w:color w:val="000000" w:themeColor="text1"/>
                <w:sz w:val="24"/>
                <w14:textFill>
                  <w14:solidFill>
                    <w14:schemeClr w14:val="tx1"/>
                  </w14:solidFill>
                </w14:textFill>
              </w:rPr>
              <w:t>与</w:t>
            </w:r>
            <w:r>
              <w:rPr>
                <w:rFonts w:hint="default" w:ascii="Times New Roman" w:hAnsi="Times New Roman" w:eastAsia="宋体" w:cs="Times New Roman"/>
                <w:color w:val="000000" w:themeColor="text1"/>
                <w:kern w:val="0"/>
                <w:sz w:val="24"/>
                <w:szCs w:val="24"/>
                <w:lang w:eastAsia="zh-CN"/>
                <w14:textFill>
                  <w14:solidFill>
                    <w14:schemeClr w14:val="tx1"/>
                  </w14:solidFill>
                </w14:textFill>
              </w:rPr>
              <w:t>《安徽灵璧经济开发区总体规划环境影响</w:t>
            </w:r>
            <w:r>
              <w:rPr>
                <w:rFonts w:hint="default" w:ascii="Times New Roman" w:hAnsi="Times New Roman" w:cs="Times New Roman"/>
                <w:color w:val="000000" w:themeColor="text1"/>
                <w:kern w:val="0"/>
                <w:sz w:val="24"/>
                <w:szCs w:val="24"/>
                <w:lang w:eastAsia="zh-CN"/>
                <w14:textFill>
                  <w14:solidFill>
                    <w14:schemeClr w14:val="tx1"/>
                  </w14:solidFill>
                </w14:textFill>
              </w:rPr>
              <w:t>跟踪评价</w:t>
            </w:r>
            <w:r>
              <w:rPr>
                <w:rFonts w:hint="default" w:ascii="Times New Roman" w:hAnsi="Times New Roman" w:eastAsia="宋体" w:cs="Times New Roman"/>
                <w:color w:val="000000" w:themeColor="text1"/>
                <w:kern w:val="0"/>
                <w:sz w:val="24"/>
                <w:szCs w:val="24"/>
                <w:lang w:eastAsia="zh-CN"/>
                <w14:textFill>
                  <w14:solidFill>
                    <w14:schemeClr w14:val="tx1"/>
                  </w14:solidFill>
                </w14:textFill>
              </w:rPr>
              <w:t>报告书》</w:t>
            </w:r>
            <w:r>
              <w:rPr>
                <w:rFonts w:cs="宋体"/>
                <w:b w:val="0"/>
                <w:bCs/>
                <w:color w:val="000000" w:themeColor="text1"/>
                <w:sz w:val="24"/>
                <w14:textFill>
                  <w14:solidFill>
                    <w14:schemeClr w14:val="tx1"/>
                  </w14:solidFill>
                </w14:textFill>
              </w:rPr>
              <w:t>及批复</w:t>
            </w:r>
            <w:r>
              <w:rPr>
                <w:color w:val="000000" w:themeColor="text1"/>
                <w:sz w:val="24"/>
                <w14:textFill>
                  <w14:solidFill>
                    <w14:schemeClr w14:val="tx1"/>
                  </w14:solidFill>
                </w14:textFill>
              </w:rPr>
              <w:t>（</w:t>
            </w:r>
            <w:r>
              <w:rPr>
                <w:rFonts w:hint="default" w:ascii="Times New Roman" w:hAnsi="Times New Roman" w:cs="Times New Roman"/>
                <w:color w:val="000000" w:themeColor="text1"/>
                <w:kern w:val="0"/>
                <w:sz w:val="24"/>
                <w:szCs w:val="24"/>
                <w:lang w:eastAsia="zh-CN"/>
                <w14:textFill>
                  <w14:solidFill>
                    <w14:schemeClr w14:val="tx1"/>
                  </w14:solidFill>
                </w14:textFill>
              </w:rPr>
              <w:t>宿</w:t>
            </w:r>
            <w:r>
              <w:rPr>
                <w:rFonts w:hint="default" w:ascii="Times New Roman" w:hAnsi="Times New Roman" w:eastAsia="宋体" w:cs="Times New Roman"/>
                <w:color w:val="000000" w:themeColor="text1"/>
                <w:kern w:val="0"/>
                <w:sz w:val="24"/>
                <w:szCs w:val="24"/>
                <w:lang w:eastAsia="zh-CN"/>
                <w14:textFill>
                  <w14:solidFill>
                    <w14:schemeClr w14:val="tx1"/>
                  </w14:solidFill>
                </w14:textFill>
              </w:rPr>
              <w:t>环函</w:t>
            </w:r>
            <w:r>
              <w:rPr>
                <w:rFonts w:hint="default" w:ascii="Times New Roman" w:hAnsi="Times New Roman" w:eastAsia="宋体" w:cs="Times New Roman"/>
                <w:color w:val="auto"/>
                <w:sz w:val="24"/>
                <w:szCs w:val="24"/>
                <w:highlight w:val="none"/>
                <w:lang w:val="en-US" w:eastAsia="zh-CN"/>
              </w:rPr>
              <w:t>【20</w:t>
            </w:r>
            <w:r>
              <w:rPr>
                <w:rFonts w:hint="eastAsia"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color w:val="000000" w:themeColor="text1"/>
                <w:kern w:val="0"/>
                <w:sz w:val="24"/>
                <w:szCs w:val="24"/>
                <w:lang w:val="en-US" w:eastAsia="zh-CN"/>
                <w14:textFill>
                  <w14:solidFill>
                    <w14:schemeClr w14:val="tx1"/>
                  </w14:solidFill>
                </w14:textFill>
              </w:rPr>
              <w:t>100</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号</w:t>
            </w:r>
            <w:r>
              <w:rPr>
                <w:color w:val="000000" w:themeColor="text1"/>
                <w:sz w:val="24"/>
                <w14:textFill>
                  <w14:solidFill>
                    <w14:schemeClr w14:val="tx1"/>
                  </w14:solidFill>
                </w14:textFill>
              </w:rPr>
              <w:t>）符合性分析</w:t>
            </w:r>
          </w:p>
          <w:p>
            <w:pPr>
              <w:adjustRightInd w:val="0"/>
              <w:snapToGrid w:val="0"/>
              <w:spacing w:line="360" w:lineRule="auto"/>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表1</w:t>
            </w:r>
            <w:r>
              <w:rPr>
                <w:rFonts w:hint="eastAsia"/>
                <w:b/>
                <w:color w:val="000000" w:themeColor="text1"/>
                <w:sz w:val="24"/>
                <w:lang w:val="en-US" w:eastAsia="zh-CN"/>
                <w14:textFill>
                  <w14:solidFill>
                    <w14:schemeClr w14:val="tx1"/>
                  </w14:solidFill>
                </w14:textFill>
              </w:rPr>
              <w:t>.</w:t>
            </w:r>
            <w:r>
              <w:rPr>
                <w:b/>
                <w:color w:val="000000" w:themeColor="text1"/>
                <w:sz w:val="24"/>
                <w14:textFill>
                  <w14:solidFill>
                    <w14:schemeClr w14:val="tx1"/>
                  </w14:solidFill>
                </w14:textFill>
              </w:rPr>
              <w:t xml:space="preserve">3  </w:t>
            </w:r>
            <w:r>
              <w:rPr>
                <w:rFonts w:hint="eastAsia"/>
                <w:b/>
                <w:color w:val="000000" w:themeColor="text1"/>
                <w:sz w:val="24"/>
                <w14:textFill>
                  <w14:solidFill>
                    <w14:schemeClr w14:val="tx1"/>
                  </w14:solidFill>
                </w14:textFill>
              </w:rPr>
              <w:t>与</w:t>
            </w:r>
            <w:r>
              <w:rPr>
                <w:b/>
                <w:color w:val="000000" w:themeColor="text1"/>
                <w:sz w:val="24"/>
                <w14:textFill>
                  <w14:solidFill>
                    <w14:schemeClr w14:val="tx1"/>
                  </w14:solidFill>
                </w14:textFill>
              </w:rPr>
              <w:t>安徽灵璧经济开发区总体规划环境影响</w:t>
            </w:r>
            <w:r>
              <w:rPr>
                <w:rFonts w:hint="eastAsia"/>
                <w:b/>
                <w:color w:val="000000" w:themeColor="text1"/>
                <w:sz w:val="24"/>
                <w14:textFill>
                  <w14:solidFill>
                    <w14:schemeClr w14:val="tx1"/>
                  </w14:solidFill>
                </w14:textFill>
              </w:rPr>
              <w:t>跟踪评价及</w:t>
            </w:r>
            <w:r>
              <w:rPr>
                <w:b/>
                <w:color w:val="000000" w:themeColor="text1"/>
                <w:sz w:val="24"/>
                <w14:textFill>
                  <w14:solidFill>
                    <w14:schemeClr w14:val="tx1"/>
                  </w14:solidFill>
                </w14:textFill>
              </w:rPr>
              <w:t>批复的符合性</w:t>
            </w:r>
            <w:r>
              <w:rPr>
                <w:rFonts w:hint="eastAsia"/>
                <w:b/>
                <w:color w:val="000000" w:themeColor="text1"/>
                <w:sz w:val="24"/>
                <w14:textFill>
                  <w14:solidFill>
                    <w14:schemeClr w14:val="tx1"/>
                  </w14:solidFill>
                </w14:textFill>
              </w:rPr>
              <w:t>分析</w:t>
            </w:r>
            <w:r>
              <w:rPr>
                <w:b/>
                <w:color w:val="000000" w:themeColor="text1"/>
                <w:sz w:val="24"/>
                <w14:textFill>
                  <w14:solidFill>
                    <w14:schemeClr w14:val="tx1"/>
                  </w14:solidFill>
                </w14:textFill>
              </w:rPr>
              <w:t>表</w:t>
            </w:r>
          </w:p>
          <w:tbl>
            <w:tblPr>
              <w:tblStyle w:val="25"/>
              <w:tblW w:w="68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3"/>
              <w:gridCol w:w="3118"/>
              <w:gridCol w:w="2556"/>
              <w:gridCol w:w="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473" w:type="dxa"/>
                  <w:tcBorders>
                    <w:tl2br w:val="nil"/>
                    <w:tr2bl w:val="nil"/>
                  </w:tcBorders>
                  <w:vAlign w:val="center"/>
                </w:tcPr>
                <w:p>
                  <w:pPr>
                    <w:adjustRightInd w:val="0"/>
                    <w:snapToGrid w:val="0"/>
                    <w:jc w:val="center"/>
                    <w:rPr>
                      <w:b w:val="0"/>
                      <w:bCs w:val="0"/>
                      <w:color w:val="000000" w:themeColor="text1"/>
                      <w:sz w:val="21"/>
                      <w:szCs w:val="21"/>
                      <w14:textFill>
                        <w14:solidFill>
                          <w14:schemeClr w14:val="tx1"/>
                        </w14:solidFill>
                      </w14:textFill>
                    </w:rPr>
                  </w:pPr>
                  <w:r>
                    <w:rPr>
                      <w:b w:val="0"/>
                      <w:bCs w:val="0"/>
                      <w:color w:val="000000" w:themeColor="text1"/>
                      <w:sz w:val="21"/>
                      <w:szCs w:val="21"/>
                      <w14:textFill>
                        <w14:solidFill>
                          <w14:schemeClr w14:val="tx1"/>
                        </w14:solidFill>
                      </w14:textFill>
                    </w:rPr>
                    <w:t>序号</w:t>
                  </w:r>
                </w:p>
              </w:tc>
              <w:tc>
                <w:tcPr>
                  <w:tcW w:w="3118" w:type="dxa"/>
                  <w:tcBorders>
                    <w:tl2br w:val="nil"/>
                    <w:tr2bl w:val="nil"/>
                  </w:tcBorders>
                  <w:vAlign w:val="center"/>
                </w:tcPr>
                <w:p>
                  <w:pPr>
                    <w:adjustRightInd w:val="0"/>
                    <w:snapToGrid w:val="0"/>
                    <w:jc w:val="center"/>
                    <w:rPr>
                      <w:b w:val="0"/>
                      <w:bCs w:val="0"/>
                      <w:color w:val="000000" w:themeColor="text1"/>
                      <w:sz w:val="21"/>
                      <w:szCs w:val="21"/>
                      <w14:textFill>
                        <w14:solidFill>
                          <w14:schemeClr w14:val="tx1"/>
                        </w14:solidFill>
                      </w14:textFill>
                    </w:rPr>
                  </w:pPr>
                  <w:r>
                    <w:rPr>
                      <w:b w:val="0"/>
                      <w:bCs w:val="0"/>
                      <w:color w:val="000000" w:themeColor="text1"/>
                      <w:sz w:val="21"/>
                      <w:szCs w:val="21"/>
                      <w14:textFill>
                        <w14:solidFill>
                          <w14:schemeClr w14:val="tx1"/>
                        </w14:solidFill>
                      </w14:textFill>
                    </w:rPr>
                    <w:t>内容</w:t>
                  </w:r>
                </w:p>
              </w:tc>
              <w:tc>
                <w:tcPr>
                  <w:tcW w:w="2556" w:type="dxa"/>
                  <w:tcBorders>
                    <w:tl2br w:val="nil"/>
                    <w:tr2bl w:val="nil"/>
                  </w:tcBorders>
                  <w:vAlign w:val="center"/>
                </w:tcPr>
                <w:p>
                  <w:pPr>
                    <w:adjustRightInd w:val="0"/>
                    <w:snapToGrid w:val="0"/>
                    <w:jc w:val="center"/>
                    <w:rPr>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本项目情况</w:t>
                  </w:r>
                </w:p>
              </w:tc>
              <w:tc>
                <w:tcPr>
                  <w:tcW w:w="663" w:type="dxa"/>
                  <w:tcBorders>
                    <w:tl2br w:val="nil"/>
                    <w:tr2bl w:val="nil"/>
                  </w:tcBorders>
                  <w:vAlign w:val="center"/>
                </w:tcPr>
                <w:p>
                  <w:pPr>
                    <w:adjustRightInd w:val="0"/>
                    <w:snapToGrid w:val="0"/>
                    <w:jc w:val="center"/>
                    <w:rPr>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是否</w:t>
                  </w:r>
                  <w:r>
                    <w:rPr>
                      <w:b w:val="0"/>
                      <w:bCs w:val="0"/>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473" w:type="dxa"/>
                  <w:tcBorders>
                    <w:tl2br w:val="nil"/>
                    <w:tr2bl w:val="nil"/>
                  </w:tcBorders>
                  <w:vAlign w:val="center"/>
                </w:tcPr>
                <w:p>
                  <w:pPr>
                    <w:adjustRightInd w:val="0"/>
                    <w:snapToGrid w:val="0"/>
                    <w:jc w:val="center"/>
                    <w:rPr>
                      <w:b w:val="0"/>
                      <w:bCs w:val="0"/>
                      <w:color w:val="000000" w:themeColor="text1"/>
                      <w:sz w:val="21"/>
                      <w:szCs w:val="21"/>
                      <w14:textFill>
                        <w14:solidFill>
                          <w14:schemeClr w14:val="tx1"/>
                        </w14:solidFill>
                      </w14:textFill>
                    </w:rPr>
                  </w:pPr>
                  <w:r>
                    <w:rPr>
                      <w:b w:val="0"/>
                      <w:bCs w:val="0"/>
                      <w:color w:val="000000" w:themeColor="text1"/>
                      <w:sz w:val="21"/>
                      <w:szCs w:val="21"/>
                      <w14:textFill>
                        <w14:solidFill>
                          <w14:schemeClr w14:val="tx1"/>
                        </w14:solidFill>
                      </w14:textFill>
                    </w:rPr>
                    <w:t>1</w:t>
                  </w:r>
                </w:p>
              </w:tc>
              <w:tc>
                <w:tcPr>
                  <w:tcW w:w="3118" w:type="dxa"/>
                  <w:tcBorders>
                    <w:tl2br w:val="nil"/>
                    <w:tr2bl w:val="nil"/>
                  </w:tcBorders>
                  <w:vAlign w:val="center"/>
                </w:tcPr>
                <w:p>
                  <w:pPr>
                    <w:widowControl/>
                    <w:adjustRightInd w:val="0"/>
                    <w:snapToGrid w:val="0"/>
                    <w:jc w:val="center"/>
                    <w:rPr>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严格项目行业准入和资源环境准入。禁止负面清单中行业企业入驻；新入区项目应按照规划功能布局入驻。</w:t>
                  </w:r>
                </w:p>
              </w:tc>
              <w:tc>
                <w:tcPr>
                  <w:tcW w:w="2556" w:type="dxa"/>
                  <w:tcBorders>
                    <w:tl2br w:val="nil"/>
                    <w:tr2bl w:val="nil"/>
                  </w:tcBorders>
                  <w:vAlign w:val="center"/>
                </w:tcPr>
                <w:p>
                  <w:pPr>
                    <w:widowControl/>
                    <w:adjustRightInd w:val="0"/>
                    <w:snapToGrid w:val="0"/>
                    <w:jc w:val="center"/>
                    <w:rPr>
                      <w:b w:val="0"/>
                      <w:bCs w:val="0"/>
                      <w:color w:val="000000" w:themeColor="text1"/>
                      <w:sz w:val="21"/>
                      <w:szCs w:val="21"/>
                      <w14:textFill>
                        <w14:solidFill>
                          <w14:schemeClr w14:val="tx1"/>
                        </w14:solidFill>
                      </w14:textFill>
                    </w:rPr>
                  </w:pPr>
                  <w:r>
                    <w:rPr>
                      <w:b w:val="0"/>
                      <w:bCs w:val="0"/>
                      <w:color w:val="000000" w:themeColor="text1"/>
                      <w:sz w:val="21"/>
                      <w:szCs w:val="21"/>
                      <w14:textFill>
                        <w14:solidFill>
                          <w14:schemeClr w14:val="tx1"/>
                        </w14:solidFill>
                      </w14:textFill>
                    </w:rPr>
                    <w:t>本项目</w:t>
                  </w:r>
                  <w:r>
                    <w:rPr>
                      <w:rFonts w:hint="eastAsia"/>
                      <w:b w:val="0"/>
                      <w:bCs w:val="0"/>
                      <w:color w:val="000000" w:themeColor="text1"/>
                      <w:sz w:val="21"/>
                      <w:szCs w:val="21"/>
                      <w:lang w:val="en-US" w:eastAsia="zh-CN"/>
                      <w14:textFill>
                        <w14:solidFill>
                          <w14:schemeClr w14:val="tx1"/>
                        </w14:solidFill>
                      </w14:textFill>
                    </w:rPr>
                    <w:t>为滚动轴承制造</w:t>
                  </w:r>
                  <w:r>
                    <w:rPr>
                      <w:b w:val="0"/>
                      <w:bCs w:val="0"/>
                      <w:color w:val="000000" w:themeColor="text1"/>
                      <w:sz w:val="21"/>
                      <w:szCs w:val="21"/>
                      <w14:textFill>
                        <w14:solidFill>
                          <w14:schemeClr w14:val="tx1"/>
                        </w14:solidFill>
                      </w14:textFill>
                    </w:rPr>
                    <w:t>，</w:t>
                  </w:r>
                  <w:r>
                    <w:rPr>
                      <w:rFonts w:hint="eastAsia"/>
                      <w:b w:val="0"/>
                      <w:bCs w:val="0"/>
                      <w:color w:val="000000" w:themeColor="text1"/>
                      <w:sz w:val="21"/>
                      <w:szCs w:val="21"/>
                      <w14:textFill>
                        <w14:solidFill>
                          <w14:schemeClr w14:val="tx1"/>
                        </w14:solidFill>
                      </w14:textFill>
                    </w:rPr>
                    <w:t>不属于负面清单中行业企业，本项目入驻</w:t>
                  </w:r>
                  <w:r>
                    <w:rPr>
                      <w:rFonts w:hint="eastAsia"/>
                      <w:b w:val="0"/>
                      <w:bCs w:val="0"/>
                      <w:color w:val="000000" w:themeColor="text1"/>
                      <w:sz w:val="21"/>
                      <w:szCs w:val="21"/>
                      <w:lang w:eastAsia="zh-CN"/>
                      <w14:textFill>
                        <w14:solidFill>
                          <w14:schemeClr w14:val="tx1"/>
                        </w14:solidFill>
                      </w14:textFill>
                    </w:rPr>
                    <w:t>安徽省宿州市灵璧县经济开发区轴承产业园</w:t>
                  </w:r>
                  <w:r>
                    <w:rPr>
                      <w:rFonts w:hint="eastAsia"/>
                      <w:b w:val="0"/>
                      <w:bCs w:val="0"/>
                      <w:color w:val="000000" w:themeColor="text1"/>
                      <w:sz w:val="21"/>
                      <w:szCs w:val="21"/>
                      <w14:textFill>
                        <w14:solidFill>
                          <w14:schemeClr w14:val="tx1"/>
                        </w14:solidFill>
                      </w14:textFill>
                    </w:rPr>
                    <w:t>，</w:t>
                  </w:r>
                  <w:r>
                    <w:rPr>
                      <w:b w:val="0"/>
                      <w:bCs w:val="0"/>
                      <w:color w:val="000000" w:themeColor="text1"/>
                      <w:sz w:val="21"/>
                      <w:szCs w:val="21"/>
                      <w14:textFill>
                        <w14:solidFill>
                          <w14:schemeClr w14:val="tx1"/>
                        </w14:solidFill>
                      </w14:textFill>
                    </w:rPr>
                    <w:t>与工业园区规划功能相符</w:t>
                  </w:r>
                  <w:r>
                    <w:rPr>
                      <w:rFonts w:hint="eastAsia"/>
                      <w:b w:val="0"/>
                      <w:bCs w:val="0"/>
                      <w:color w:val="000000" w:themeColor="text1"/>
                      <w:sz w:val="21"/>
                      <w:szCs w:val="21"/>
                      <w14:textFill>
                        <w14:solidFill>
                          <w14:schemeClr w14:val="tx1"/>
                        </w14:solidFill>
                      </w14:textFill>
                    </w:rPr>
                    <w:t>。</w:t>
                  </w:r>
                </w:p>
              </w:tc>
              <w:tc>
                <w:tcPr>
                  <w:tcW w:w="663" w:type="dxa"/>
                  <w:tcBorders>
                    <w:tl2br w:val="nil"/>
                    <w:tr2bl w:val="nil"/>
                  </w:tcBorders>
                  <w:vAlign w:val="center"/>
                </w:tcPr>
                <w:p>
                  <w:pPr>
                    <w:widowControl/>
                    <w:adjustRightInd w:val="0"/>
                    <w:snapToGrid w:val="0"/>
                    <w:jc w:val="center"/>
                    <w:rPr>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473" w:type="dxa"/>
                  <w:tcBorders>
                    <w:tl2br w:val="nil"/>
                    <w:tr2bl w:val="nil"/>
                  </w:tcBorders>
                  <w:vAlign w:val="center"/>
                </w:tcPr>
                <w:p>
                  <w:pPr>
                    <w:adjustRightInd w:val="0"/>
                    <w:snapToGrid w:val="0"/>
                    <w:jc w:val="center"/>
                    <w:rPr>
                      <w:b w:val="0"/>
                      <w:bCs w:val="0"/>
                      <w:color w:val="000000" w:themeColor="text1"/>
                      <w:sz w:val="21"/>
                      <w:szCs w:val="21"/>
                      <w14:textFill>
                        <w14:solidFill>
                          <w14:schemeClr w14:val="tx1"/>
                        </w14:solidFill>
                      </w14:textFill>
                    </w:rPr>
                  </w:pPr>
                  <w:r>
                    <w:rPr>
                      <w:b w:val="0"/>
                      <w:bCs w:val="0"/>
                      <w:color w:val="000000" w:themeColor="text1"/>
                      <w:sz w:val="21"/>
                      <w:szCs w:val="21"/>
                      <w14:textFill>
                        <w14:solidFill>
                          <w14:schemeClr w14:val="tx1"/>
                        </w14:solidFill>
                      </w14:textFill>
                    </w:rPr>
                    <w:t>2</w:t>
                  </w:r>
                </w:p>
              </w:tc>
              <w:tc>
                <w:tcPr>
                  <w:tcW w:w="3118" w:type="dxa"/>
                  <w:tcBorders>
                    <w:tl2br w:val="nil"/>
                    <w:tr2bl w:val="nil"/>
                  </w:tcBorders>
                  <w:vAlign w:val="center"/>
                </w:tcPr>
                <w:p>
                  <w:pPr>
                    <w:widowControl/>
                    <w:adjustRightInd w:val="0"/>
                    <w:snapToGrid w:val="0"/>
                    <w:jc w:val="center"/>
                    <w:rPr>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强化水资源管理，积极推进企业内、企业间水资源梯级利用和企业用水总量控制，切实提高水资源利用率。严禁建设国家明令禁止的项目，严格控制高耗水、高耗能、污水排放量大的项目建设；已建和拟入区建设项目应严格执行水环境保护相关标准和要求。开发区内企业不得自行开采地下水用于工业生产。</w:t>
                  </w:r>
                </w:p>
              </w:tc>
              <w:tc>
                <w:tcPr>
                  <w:tcW w:w="2556" w:type="dxa"/>
                  <w:tcBorders>
                    <w:tl2br w:val="nil"/>
                    <w:tr2bl w:val="nil"/>
                  </w:tcBorders>
                  <w:vAlign w:val="center"/>
                </w:tcPr>
                <w:p>
                  <w:pPr>
                    <w:widowControl/>
                    <w:adjustRightInd w:val="0"/>
                    <w:snapToGrid w:val="0"/>
                    <w:jc w:val="center"/>
                    <w:rPr>
                      <w:b w:val="0"/>
                      <w:bCs w:val="0"/>
                      <w:color w:val="000000" w:themeColor="text1"/>
                      <w:sz w:val="21"/>
                      <w:szCs w:val="21"/>
                      <w14:textFill>
                        <w14:solidFill>
                          <w14:schemeClr w14:val="tx1"/>
                        </w14:solidFill>
                      </w14:textFill>
                    </w:rPr>
                  </w:pPr>
                  <w:r>
                    <w:rPr>
                      <w:b w:val="0"/>
                      <w:bCs w:val="0"/>
                      <w:color w:val="000000" w:themeColor="text1"/>
                      <w:sz w:val="21"/>
                      <w:szCs w:val="21"/>
                      <w14:textFill>
                        <w14:solidFill>
                          <w14:schemeClr w14:val="tx1"/>
                        </w14:solidFill>
                      </w14:textFill>
                    </w:rPr>
                    <w:t>本项目</w:t>
                  </w:r>
                  <w:r>
                    <w:rPr>
                      <w:rFonts w:hint="eastAsia"/>
                      <w:b w:val="0"/>
                      <w:bCs w:val="0"/>
                      <w:color w:val="000000" w:themeColor="text1"/>
                      <w:sz w:val="21"/>
                      <w:szCs w:val="21"/>
                      <w:lang w:eastAsia="zh-CN"/>
                      <w14:textFill>
                        <w14:solidFill>
                          <w14:schemeClr w14:val="tx1"/>
                        </w14:solidFill>
                      </w14:textFill>
                    </w:rPr>
                    <w:t>为</w:t>
                  </w:r>
                  <w:r>
                    <w:rPr>
                      <w:rFonts w:hint="eastAsia"/>
                      <w:b w:val="0"/>
                      <w:bCs w:val="0"/>
                      <w:color w:val="000000" w:themeColor="text1"/>
                      <w:sz w:val="21"/>
                      <w:szCs w:val="21"/>
                      <w:lang w:val="en-US" w:eastAsia="zh-CN"/>
                      <w14:textFill>
                        <w14:solidFill>
                          <w14:schemeClr w14:val="tx1"/>
                        </w14:solidFill>
                      </w14:textFill>
                    </w:rPr>
                    <w:t>滚动轴承制造</w:t>
                  </w:r>
                  <w:r>
                    <w:rPr>
                      <w:b w:val="0"/>
                      <w:bCs w:val="0"/>
                      <w:color w:val="000000" w:themeColor="text1"/>
                      <w:sz w:val="21"/>
                      <w:szCs w:val="21"/>
                      <w14:textFill>
                        <w14:solidFill>
                          <w14:schemeClr w14:val="tx1"/>
                        </w14:solidFill>
                      </w14:textFill>
                    </w:rPr>
                    <w:t>，不属于其限制类与淘汰类，为允许类</w:t>
                  </w:r>
                  <w:r>
                    <w:rPr>
                      <w:rFonts w:hint="eastAsia"/>
                      <w:b w:val="0"/>
                      <w:bCs w:val="0"/>
                      <w:color w:val="000000" w:themeColor="text1"/>
                      <w:sz w:val="21"/>
                      <w:szCs w:val="21"/>
                      <w14:textFill>
                        <w14:solidFill>
                          <w14:schemeClr w14:val="tx1"/>
                        </w14:solidFill>
                      </w14:textFill>
                    </w:rPr>
                    <w:t>，项目用水为生活用水、</w:t>
                  </w:r>
                  <w:r>
                    <w:rPr>
                      <w:rFonts w:hint="eastAsia"/>
                      <w:b w:val="0"/>
                      <w:bCs w:val="0"/>
                      <w:color w:val="000000" w:themeColor="text1"/>
                      <w:sz w:val="21"/>
                      <w:szCs w:val="21"/>
                      <w:lang w:eastAsia="zh-CN"/>
                      <w14:textFill>
                        <w14:solidFill>
                          <w14:schemeClr w14:val="tx1"/>
                        </w14:solidFill>
                      </w14:textFill>
                    </w:rPr>
                    <w:t>生产用水</w:t>
                  </w:r>
                  <w:r>
                    <w:rPr>
                      <w:b w:val="0"/>
                      <w:bCs w:val="0"/>
                      <w:color w:val="000000" w:themeColor="text1"/>
                      <w:sz w:val="21"/>
                      <w:szCs w:val="21"/>
                      <w14:textFill>
                        <w14:solidFill>
                          <w14:schemeClr w14:val="tx1"/>
                        </w14:solidFill>
                      </w14:textFill>
                    </w:rPr>
                    <w:t>等</w:t>
                  </w:r>
                  <w:r>
                    <w:rPr>
                      <w:rFonts w:hint="eastAsia"/>
                      <w:b w:val="0"/>
                      <w:bCs w:val="0"/>
                      <w:color w:val="000000" w:themeColor="text1"/>
                      <w:sz w:val="21"/>
                      <w:szCs w:val="21"/>
                      <w14:textFill>
                        <w14:solidFill>
                          <w14:schemeClr w14:val="tx1"/>
                        </w14:solidFill>
                      </w14:textFill>
                    </w:rPr>
                    <w:t>，用电为生产设备用电及办公用电，不属于</w:t>
                  </w:r>
                  <w:r>
                    <w:rPr>
                      <w:b w:val="0"/>
                      <w:bCs w:val="0"/>
                      <w:color w:val="000000" w:themeColor="text1"/>
                      <w:sz w:val="21"/>
                      <w:szCs w:val="21"/>
                      <w14:textFill>
                        <w14:solidFill>
                          <w14:schemeClr w14:val="tx1"/>
                        </w14:solidFill>
                      </w14:textFill>
                    </w:rPr>
                    <w:t>高耗水、高耗能、污水排放量大的项目</w:t>
                  </w:r>
                  <w:r>
                    <w:rPr>
                      <w:rFonts w:hint="eastAsia"/>
                      <w:b w:val="0"/>
                      <w:bCs w:val="0"/>
                      <w:color w:val="000000" w:themeColor="text1"/>
                      <w:sz w:val="21"/>
                      <w:szCs w:val="21"/>
                      <w14:textFill>
                        <w14:solidFill>
                          <w14:schemeClr w14:val="tx1"/>
                        </w14:solidFill>
                      </w14:textFill>
                    </w:rPr>
                    <w:t>，项目用水来来自</w:t>
                  </w:r>
                  <w:r>
                    <w:rPr>
                      <w:b w:val="0"/>
                      <w:bCs w:val="0"/>
                      <w:color w:val="000000" w:themeColor="text1"/>
                      <w:sz w:val="21"/>
                      <w:szCs w:val="21"/>
                      <w14:textFill>
                        <w14:solidFill>
                          <w14:schemeClr w14:val="tx1"/>
                        </w14:solidFill>
                      </w14:textFill>
                    </w:rPr>
                    <w:t>供水管网</w:t>
                  </w:r>
                  <w:r>
                    <w:rPr>
                      <w:rFonts w:hint="eastAsia"/>
                      <w:b w:val="0"/>
                      <w:bCs w:val="0"/>
                      <w:color w:val="000000" w:themeColor="text1"/>
                      <w:sz w:val="21"/>
                      <w:szCs w:val="21"/>
                      <w14:textFill>
                        <w14:solidFill>
                          <w14:schemeClr w14:val="tx1"/>
                        </w14:solidFill>
                      </w14:textFill>
                    </w:rPr>
                    <w:t>，不使用地下水。</w:t>
                  </w:r>
                </w:p>
              </w:tc>
              <w:tc>
                <w:tcPr>
                  <w:tcW w:w="663" w:type="dxa"/>
                  <w:tcBorders>
                    <w:tl2br w:val="nil"/>
                    <w:tr2bl w:val="nil"/>
                  </w:tcBorders>
                  <w:vAlign w:val="center"/>
                </w:tcPr>
                <w:p>
                  <w:pPr>
                    <w:widowControl/>
                    <w:adjustRightInd w:val="0"/>
                    <w:snapToGrid w:val="0"/>
                    <w:jc w:val="center"/>
                    <w:rPr>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是</w:t>
                  </w:r>
                </w:p>
              </w:tc>
            </w:tr>
          </w:tbl>
          <w:p>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由上表</w:t>
            </w:r>
            <w:r>
              <w:rPr>
                <w:color w:val="000000" w:themeColor="text1"/>
                <w:sz w:val="24"/>
                <w14:textFill>
                  <w14:solidFill>
                    <w14:schemeClr w14:val="tx1"/>
                  </w14:solidFill>
                </w14:textFill>
              </w:rPr>
              <w:t>可知，本项目</w:t>
            </w:r>
            <w:r>
              <w:rPr>
                <w:rFonts w:hint="eastAsia"/>
                <w:color w:val="000000" w:themeColor="text1"/>
                <w:sz w:val="24"/>
                <w:lang w:eastAsia="zh-CN"/>
                <w14:textFill>
                  <w14:solidFill>
                    <w14:schemeClr w14:val="tx1"/>
                  </w14:solidFill>
                </w14:textFill>
              </w:rPr>
              <w:t>与</w:t>
            </w:r>
            <w:r>
              <w:rPr>
                <w:rFonts w:hint="default" w:ascii="Times New Roman" w:hAnsi="Times New Roman" w:eastAsia="宋体" w:cs="Times New Roman"/>
                <w:color w:val="000000" w:themeColor="text1"/>
                <w:kern w:val="0"/>
                <w:sz w:val="24"/>
                <w:szCs w:val="24"/>
                <w:lang w:eastAsia="zh-CN"/>
                <w14:textFill>
                  <w14:solidFill>
                    <w14:schemeClr w14:val="tx1"/>
                  </w14:solidFill>
                </w14:textFill>
              </w:rPr>
              <w:t>《安徽灵璧经济开发区总体规划环境影响</w:t>
            </w:r>
            <w:r>
              <w:rPr>
                <w:rFonts w:hint="default" w:ascii="Times New Roman" w:hAnsi="Times New Roman" w:cs="Times New Roman"/>
                <w:color w:val="000000" w:themeColor="text1"/>
                <w:kern w:val="0"/>
                <w:sz w:val="24"/>
                <w:szCs w:val="24"/>
                <w:lang w:eastAsia="zh-CN"/>
                <w14:textFill>
                  <w14:solidFill>
                    <w14:schemeClr w14:val="tx1"/>
                  </w14:solidFill>
                </w14:textFill>
              </w:rPr>
              <w:t>跟踪评价</w:t>
            </w:r>
            <w:r>
              <w:rPr>
                <w:rFonts w:hint="default" w:ascii="Times New Roman" w:hAnsi="Times New Roman" w:eastAsia="宋体" w:cs="Times New Roman"/>
                <w:color w:val="000000" w:themeColor="text1"/>
                <w:kern w:val="0"/>
                <w:sz w:val="24"/>
                <w:szCs w:val="24"/>
                <w:lang w:eastAsia="zh-CN"/>
                <w14:textFill>
                  <w14:solidFill>
                    <w14:schemeClr w14:val="tx1"/>
                  </w14:solidFill>
                </w14:textFill>
              </w:rPr>
              <w:t>报告书》</w:t>
            </w:r>
            <w:r>
              <w:rPr>
                <w:rFonts w:cs="宋体"/>
                <w:b w:val="0"/>
                <w:bCs/>
                <w:color w:val="000000" w:themeColor="text1"/>
                <w:sz w:val="24"/>
                <w14:textFill>
                  <w14:solidFill>
                    <w14:schemeClr w14:val="tx1"/>
                  </w14:solidFill>
                </w14:textFill>
              </w:rPr>
              <w:t>及批复</w:t>
            </w:r>
            <w:r>
              <w:rPr>
                <w:color w:val="000000" w:themeColor="text1"/>
                <w:sz w:val="24"/>
                <w14:textFill>
                  <w14:solidFill>
                    <w14:schemeClr w14:val="tx1"/>
                  </w14:solidFill>
                </w14:textFill>
              </w:rPr>
              <w:t>（</w:t>
            </w:r>
            <w:r>
              <w:rPr>
                <w:rFonts w:hint="default" w:ascii="Times New Roman" w:hAnsi="Times New Roman" w:cs="Times New Roman"/>
                <w:color w:val="000000" w:themeColor="text1"/>
                <w:kern w:val="0"/>
                <w:sz w:val="24"/>
                <w:szCs w:val="24"/>
                <w:lang w:eastAsia="zh-CN"/>
                <w14:textFill>
                  <w14:solidFill>
                    <w14:schemeClr w14:val="tx1"/>
                  </w14:solidFill>
                </w14:textFill>
              </w:rPr>
              <w:t>宿</w:t>
            </w:r>
            <w:r>
              <w:rPr>
                <w:rFonts w:hint="default" w:ascii="Times New Roman" w:hAnsi="Times New Roman" w:eastAsia="宋体" w:cs="Times New Roman"/>
                <w:color w:val="000000" w:themeColor="text1"/>
                <w:kern w:val="0"/>
                <w:sz w:val="24"/>
                <w:szCs w:val="24"/>
                <w:lang w:eastAsia="zh-CN"/>
                <w14:textFill>
                  <w14:solidFill>
                    <w14:schemeClr w14:val="tx1"/>
                  </w14:solidFill>
                </w14:textFill>
              </w:rPr>
              <w:t>环函</w:t>
            </w:r>
            <w:r>
              <w:rPr>
                <w:rFonts w:hint="default" w:ascii="Times New Roman" w:hAnsi="Times New Roman" w:eastAsia="宋体" w:cs="Times New Roman"/>
                <w:color w:val="auto"/>
                <w:sz w:val="24"/>
                <w:szCs w:val="24"/>
                <w:highlight w:val="none"/>
                <w:lang w:val="en-US" w:eastAsia="zh-CN"/>
              </w:rPr>
              <w:t>【20</w:t>
            </w:r>
            <w:r>
              <w:rPr>
                <w:rFonts w:hint="eastAsia"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color w:val="000000" w:themeColor="text1"/>
                <w:kern w:val="0"/>
                <w:sz w:val="24"/>
                <w:szCs w:val="24"/>
                <w:lang w:val="en-US" w:eastAsia="zh-CN"/>
                <w14:textFill>
                  <w14:solidFill>
                    <w14:schemeClr w14:val="tx1"/>
                  </w14:solidFill>
                </w14:textFill>
              </w:rPr>
              <w:t>100</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号</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相符合</w:t>
            </w:r>
            <w:r>
              <w:rPr>
                <w:color w:val="000000" w:themeColor="text1"/>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eastAsia="宋体" w:cs="宋体"/>
                <w:color w:val="0000FF"/>
                <w:kern w:val="0"/>
                <w:sz w:val="24"/>
                <w:szCs w:val="24"/>
              </w:rPr>
            </w:pPr>
            <w:r>
              <w:rPr>
                <w:rFonts w:hint="eastAsia" w:cs="宋体"/>
                <w:color w:val="000000" w:themeColor="text1"/>
                <w:sz w:val="24"/>
                <w14:textFill>
                  <w14:solidFill>
                    <w14:schemeClr w14:val="tx1"/>
                  </w14:solidFill>
                </w14:textFill>
              </w:rPr>
              <w:t>综上所述，本项目符合规划环评，选址合理。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55"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color w:val="000000" w:themeColor="text1"/>
                <w:kern w:val="0"/>
                <w:sz w:val="24"/>
                <w:szCs w:val="24"/>
                <w14:textFill>
                  <w14:solidFill>
                    <w14:schemeClr w14:val="tx1"/>
                  </w14:solidFill>
                </w14:textFill>
              </w:rPr>
              <w:t>其他符合性分析</w:t>
            </w:r>
          </w:p>
        </w:tc>
        <w:tc>
          <w:tcPr>
            <w:tcW w:w="8153" w:type="dxa"/>
            <w:gridSpan w:val="4"/>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jc w:val="left"/>
              <w:textAlignment w:val="auto"/>
              <w:rPr>
                <w:rFonts w:hint="default"/>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1、分区管控与“三线一单”相符性分析</w:t>
            </w:r>
          </w:p>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安徽省人民政府于2020年7月13日发布了《安徽省人民政府关于加快实施“三线一单”生态环境分区管控的通知》，安徽省生态环境厅发布了《安徽省生态环境厅关于印发安徽省“三线一单”生态环境分区管控管理办法（暂行）的通知》</w:t>
            </w:r>
            <w:r>
              <w:rPr>
                <w:rFonts w:hint="eastAsia" w:cs="Times New Roman"/>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皖环发</w:t>
            </w:r>
            <w:r>
              <w:rPr>
                <w:rFonts w:hint="default" w:ascii="Times New Roman" w:hAnsi="Times New Roman" w:eastAsia="宋体" w:cs="Times New Roman"/>
                <w:color w:val="auto"/>
                <w:sz w:val="24"/>
                <w:szCs w:val="24"/>
                <w:highlight w:val="none"/>
                <w:lang w:val="en-US" w:eastAsia="zh-CN"/>
              </w:rPr>
              <w:t>【20</w:t>
            </w:r>
            <w:r>
              <w:rPr>
                <w:rFonts w:hint="eastAsia" w:ascii="Times New Roman" w:hAnsi="Times New Roman" w:eastAsia="宋体" w:cs="Times New Roman"/>
                <w:color w:val="auto"/>
                <w:sz w:val="24"/>
                <w:szCs w:val="24"/>
                <w:highlight w:val="none"/>
                <w:lang w:val="en-US" w:eastAsia="zh-CN"/>
              </w:rPr>
              <w:t>22</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5号</w:t>
            </w:r>
            <w:r>
              <w:rPr>
                <w:rFonts w:hint="eastAsia" w:cs="Times New Roman"/>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明确为贯彻落实《中共中央国务院关于全面加强生态环境保护坚决打好污染防治攻坚战的意见》（中发[2018]17号），就落实生态保护红线、环境质量底线、资源利用上线和生态环境准入清单（统称“三线一单”），实施生态环境分区管控。</w:t>
            </w:r>
          </w:p>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（1）生</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态保护红线及生态分区管控</w:t>
            </w:r>
          </w:p>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宿州市生态保护红线已由宿州市人民政府于2020年12月发布。宿州市生态保护红线基于安徽省政府发布的《安徽省生态保护红线》（皖政秘【2018】120号）。</w:t>
            </w:r>
          </w:p>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eastAsia"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本项目位于宿州市灵璧县灵璧经济开发区</w:t>
            </w:r>
            <w:r>
              <w:rPr>
                <w:rFonts w:hint="eastAsia" w:cs="Times New Roman"/>
                <w:color w:val="000000" w:themeColor="text1"/>
                <w:kern w:val="2"/>
                <w:sz w:val="24"/>
                <w:szCs w:val="24"/>
                <w:lang w:val="en-US" w:eastAsia="zh-CN" w:bidi="ar-SA"/>
                <w14:textFill>
                  <w14:solidFill>
                    <w14:schemeClr w14:val="tx1"/>
                  </w14:solidFill>
                </w14:textFill>
              </w:rPr>
              <w:t>轴承产业园5期10号厂房</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，不在生态红线范围内，详见附图</w:t>
            </w:r>
            <w:r>
              <w:rPr>
                <w:rFonts w:hint="eastAsia" w:cs="Times New Roman"/>
                <w:color w:val="000000" w:themeColor="text1"/>
                <w:kern w:val="2"/>
                <w:sz w:val="24"/>
                <w:szCs w:val="24"/>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 xml:space="preserve"> 宿州市生态保护红线。因此，本项目的建设符合宿州市生态保护红线的要求。</w:t>
            </w:r>
          </w:p>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eastAsia="宋体" w:cs="Times New Roman"/>
                <w:color w:val="000000" w:themeColor="text1"/>
                <w:kern w:val="2"/>
                <w:sz w:val="24"/>
                <w:szCs w:val="24"/>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环境质量底线及环境分区管控</w:t>
            </w:r>
          </w:p>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①大气环境质量底线及分区管控</w:t>
            </w:r>
          </w:p>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根据《</w:t>
            </w:r>
            <w:r>
              <w:rPr>
                <w:rFonts w:hint="eastAsia" w:eastAsia="宋体" w:cs="Times New Roman"/>
                <w:color w:val="000000" w:themeColor="text1"/>
                <w:kern w:val="2"/>
                <w:sz w:val="24"/>
                <w:szCs w:val="24"/>
                <w:lang w:val="en-US" w:eastAsia="zh-CN" w:bidi="ar-SA"/>
                <w14:textFill>
                  <w14:solidFill>
                    <w14:schemeClr w14:val="tx1"/>
                  </w14:solidFill>
                </w14:textFill>
              </w:rPr>
              <w:t>宿州市202</w:t>
            </w:r>
            <w:r>
              <w:rPr>
                <w:rFonts w:hint="eastAsia" w:cs="Times New Roman"/>
                <w:color w:val="000000" w:themeColor="text1"/>
                <w:kern w:val="2"/>
                <w:sz w:val="24"/>
                <w:szCs w:val="24"/>
                <w:lang w:val="en-US" w:eastAsia="zh-CN" w:bidi="ar-SA"/>
                <w14:textFill>
                  <w14:solidFill>
                    <w14:schemeClr w14:val="tx1"/>
                  </w14:solidFill>
                </w14:textFill>
              </w:rPr>
              <w:t>2</w:t>
            </w:r>
            <w:r>
              <w:rPr>
                <w:rFonts w:hint="eastAsia" w:eastAsia="宋体" w:cs="Times New Roman"/>
                <w:color w:val="000000" w:themeColor="text1"/>
                <w:kern w:val="2"/>
                <w:sz w:val="24"/>
                <w:szCs w:val="24"/>
                <w:lang w:val="en-US" w:eastAsia="zh-CN" w:bidi="ar-SA"/>
                <w14:textFill>
                  <w14:solidFill>
                    <w14:schemeClr w14:val="tx1"/>
                  </w14:solidFill>
                </w14:textFill>
              </w:rPr>
              <w:t>年环境质量状况报告</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w:t>
            </w:r>
            <w:r>
              <w:rPr>
                <w:rFonts w:hint="eastAsia" w:eastAsia="宋体" w:cs="Times New Roman"/>
                <w:color w:val="000000" w:themeColor="text1"/>
                <w:kern w:val="2"/>
                <w:sz w:val="24"/>
                <w:szCs w:val="24"/>
                <w:lang w:val="en-US" w:eastAsia="zh-CN" w:bidi="ar-SA"/>
                <w14:textFill>
                  <w14:solidFill>
                    <w14:schemeClr w14:val="tx1"/>
                  </w14:solidFill>
                </w14:textFill>
              </w:rPr>
              <w:t>全市环境质量状况</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color w:val="000000"/>
                <w:kern w:val="2"/>
                <w:sz w:val="24"/>
                <w:szCs w:val="24"/>
                <w:lang w:val="en-US" w:eastAsia="zh-CN" w:bidi="ar-SA"/>
              </w:rPr>
              <w:t>本项目评价区域SO</w:t>
            </w:r>
            <w:r>
              <w:rPr>
                <w:rFonts w:hint="default" w:ascii="Times New Roman" w:hAnsi="Times New Roman" w:eastAsia="宋体" w:cs="Times New Roman"/>
                <w:color w:val="000000"/>
                <w:kern w:val="2"/>
                <w:sz w:val="24"/>
                <w:szCs w:val="24"/>
                <w:vertAlign w:val="subscript"/>
                <w:lang w:val="en-US" w:eastAsia="zh-CN" w:bidi="ar-SA"/>
              </w:rPr>
              <w:t>2</w:t>
            </w:r>
            <w:r>
              <w:rPr>
                <w:rFonts w:hint="default" w:ascii="Times New Roman" w:hAnsi="Times New Roman" w:eastAsia="宋体" w:cs="Times New Roman"/>
                <w:color w:val="000000"/>
                <w:kern w:val="2"/>
                <w:sz w:val="24"/>
                <w:szCs w:val="24"/>
                <w:lang w:val="en-US" w:eastAsia="zh-CN" w:bidi="ar-SA"/>
              </w:rPr>
              <w:t>、NO</w:t>
            </w:r>
            <w:r>
              <w:rPr>
                <w:rFonts w:hint="default" w:ascii="Times New Roman" w:hAnsi="Times New Roman" w:eastAsia="宋体" w:cs="Times New Roman"/>
                <w:color w:val="000000"/>
                <w:kern w:val="2"/>
                <w:sz w:val="24"/>
                <w:szCs w:val="24"/>
                <w:vertAlign w:val="subscript"/>
                <w:lang w:val="en-US" w:eastAsia="zh-CN" w:bidi="ar-SA"/>
              </w:rPr>
              <w:t>2</w:t>
            </w:r>
            <w:r>
              <w:rPr>
                <w:rFonts w:hint="default" w:ascii="Times New Roman" w:hAnsi="Times New Roman" w:eastAsia="宋体" w:cs="Times New Roman"/>
                <w:color w:val="000000"/>
                <w:kern w:val="2"/>
                <w:sz w:val="24"/>
                <w:szCs w:val="24"/>
                <w:lang w:val="en-US" w:eastAsia="zh-CN" w:bidi="ar-SA"/>
              </w:rPr>
              <w:t>、CO、PM</w:t>
            </w:r>
            <w:r>
              <w:rPr>
                <w:rFonts w:hint="default" w:ascii="Times New Roman" w:hAnsi="Times New Roman" w:eastAsia="宋体" w:cs="Times New Roman"/>
                <w:color w:val="000000"/>
                <w:kern w:val="2"/>
                <w:sz w:val="24"/>
                <w:szCs w:val="24"/>
                <w:vertAlign w:val="subscript"/>
                <w:lang w:val="en-US" w:eastAsia="zh-CN" w:bidi="ar-SA"/>
              </w:rPr>
              <w:t>10</w:t>
            </w:r>
            <w:r>
              <w:rPr>
                <w:rFonts w:hint="default" w:ascii="Times New Roman" w:hAnsi="Times New Roman" w:eastAsia="宋体" w:cs="Times New Roman"/>
                <w:color w:val="000000"/>
                <w:kern w:val="2"/>
                <w:sz w:val="24"/>
                <w:szCs w:val="24"/>
                <w:lang w:val="en-US" w:eastAsia="zh-CN" w:bidi="ar-SA"/>
              </w:rPr>
              <w:t>均能满足《环境空气质量标准（含修改单）》（GB3095-2012）中的二级标准，O</w:t>
            </w:r>
            <w:r>
              <w:rPr>
                <w:rFonts w:hint="default" w:ascii="Times New Roman" w:hAnsi="Times New Roman" w:eastAsia="宋体" w:cs="Times New Roman"/>
                <w:color w:val="000000"/>
                <w:kern w:val="2"/>
                <w:sz w:val="24"/>
                <w:szCs w:val="24"/>
                <w:vertAlign w:val="subscript"/>
                <w:lang w:val="en-US" w:eastAsia="zh-CN" w:bidi="ar-SA"/>
              </w:rPr>
              <w:t>3</w:t>
            </w:r>
            <w:r>
              <w:rPr>
                <w:rFonts w:hint="default" w:ascii="Times New Roman" w:hAnsi="Times New Roman" w:eastAsia="宋体" w:cs="Times New Roman"/>
                <w:color w:val="000000"/>
                <w:kern w:val="2"/>
                <w:sz w:val="24"/>
                <w:szCs w:val="24"/>
                <w:lang w:val="en-US" w:eastAsia="zh-CN" w:bidi="ar-SA"/>
              </w:rPr>
              <w:t>和PM</w:t>
            </w:r>
            <w:r>
              <w:rPr>
                <w:rFonts w:hint="default" w:ascii="Times New Roman" w:hAnsi="Times New Roman" w:eastAsia="宋体" w:cs="Times New Roman"/>
                <w:color w:val="000000"/>
                <w:kern w:val="2"/>
                <w:sz w:val="24"/>
                <w:szCs w:val="24"/>
                <w:vertAlign w:val="subscript"/>
                <w:lang w:val="en-US" w:eastAsia="zh-CN" w:bidi="ar-SA"/>
              </w:rPr>
              <w:t>2.5</w:t>
            </w:r>
            <w:r>
              <w:rPr>
                <w:rFonts w:hint="default" w:ascii="Times New Roman" w:hAnsi="Times New Roman" w:eastAsia="宋体" w:cs="Times New Roman"/>
                <w:color w:val="000000"/>
                <w:kern w:val="2"/>
                <w:sz w:val="24"/>
                <w:szCs w:val="24"/>
                <w:lang w:val="en-US" w:eastAsia="zh-CN" w:bidi="ar-SA"/>
              </w:rPr>
              <w:t>均不能满足《环境空气质量标准（含修改单）》（GB3095-2012）中二级标准，因此</w:t>
            </w:r>
            <w:r>
              <w:rPr>
                <w:rFonts w:hint="eastAsia" w:ascii="Times New Roman" w:hAnsi="Times New Roman" w:eastAsia="宋体" w:cs="Times New Roman"/>
                <w:color w:val="000000"/>
                <w:kern w:val="2"/>
                <w:sz w:val="24"/>
                <w:szCs w:val="24"/>
                <w:lang w:val="en-US" w:eastAsia="zh-CN" w:bidi="ar-SA"/>
              </w:rPr>
              <w:t>宿州</w:t>
            </w:r>
            <w:r>
              <w:rPr>
                <w:rFonts w:hint="default" w:ascii="Times New Roman" w:hAnsi="Times New Roman" w:eastAsia="宋体" w:cs="Times New Roman"/>
                <w:color w:val="000000"/>
                <w:kern w:val="2"/>
                <w:sz w:val="24"/>
                <w:szCs w:val="24"/>
                <w:lang w:val="en-US" w:eastAsia="zh-CN" w:bidi="ar-SA"/>
              </w:rPr>
              <w:t>市为环境空气质量不达标区。</w:t>
            </w:r>
          </w:p>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对照</w:t>
            </w:r>
            <w:r>
              <w:rPr>
                <w:rFonts w:hint="eastAsia" w:eastAsia="宋体" w:cs="Times New Roman"/>
                <w:color w:val="000000" w:themeColor="text1"/>
                <w:kern w:val="2"/>
                <w:sz w:val="24"/>
                <w:szCs w:val="24"/>
                <w:lang w:val="en-US" w:eastAsia="zh-CN" w:bidi="ar-SA"/>
                <w14:textFill>
                  <w14:solidFill>
                    <w14:schemeClr w14:val="tx1"/>
                  </w14:solidFill>
                </w14:textFill>
              </w:rPr>
              <w:t>宿州</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市大气环境分区管控图，本项目位于</w:t>
            </w:r>
            <w:r>
              <w:rPr>
                <w:rFonts w:hint="eastAsia" w:cs="Times New Roman"/>
                <w:color w:val="000000" w:themeColor="text1"/>
                <w:kern w:val="2"/>
                <w:sz w:val="24"/>
                <w:szCs w:val="24"/>
                <w:lang w:val="en-US" w:eastAsia="zh-CN" w:bidi="ar-SA"/>
                <w14:textFill>
                  <w14:solidFill>
                    <w14:schemeClr w14:val="tx1"/>
                  </w14:solidFill>
                </w14:textFill>
              </w:rPr>
              <w:t>大</w:t>
            </w:r>
            <w:r>
              <w:rPr>
                <w:rFonts w:hint="eastAsia" w:cs="Times New Roman"/>
                <w:color w:val="000000" w:themeColor="text1"/>
                <w:kern w:val="2"/>
                <w:sz w:val="24"/>
                <w:szCs w:val="24"/>
                <w:highlight w:val="none"/>
                <w:lang w:val="en-US" w:eastAsia="zh-CN" w:bidi="ar-SA"/>
                <w14:textFill>
                  <w14:solidFill>
                    <w14:schemeClr w14:val="tx1"/>
                  </w14:solidFill>
                </w14:textFill>
              </w:rPr>
              <w:t>气受体敏感重点管控区。</w:t>
            </w:r>
            <w:r>
              <w:rPr>
                <w:rFonts w:hint="eastAsia" w:cs="Times New Roman"/>
                <w:color w:val="000000" w:themeColor="text1"/>
                <w:kern w:val="2"/>
                <w:sz w:val="24"/>
                <w:szCs w:val="24"/>
                <w:lang w:val="en-US" w:eastAsia="zh-CN" w:bidi="ar-SA"/>
                <w14:textFill>
                  <w14:solidFill>
                    <w14:schemeClr w14:val="tx1"/>
                  </w14:solidFill>
                </w14:textFill>
              </w:rPr>
              <w:t>受体敏感重点管控区</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管控要求：落实《安徽省大气污染防治条例》《</w:t>
            </w:r>
            <w:r>
              <w:rPr>
                <w:rFonts w:hint="eastAsia" w:ascii="宋体" w:hAnsi="宋体" w:eastAsia="宋体" w:cs="宋体"/>
                <w:color w:val="000000" w:themeColor="text1"/>
                <w:kern w:val="2"/>
                <w:sz w:val="24"/>
                <w:szCs w:val="24"/>
                <w:lang w:val="en-US" w:eastAsia="zh-CN" w:bidi="ar-SA"/>
                <w14:textFill>
                  <w14:solidFill>
                    <w14:schemeClr w14:val="tx1"/>
                  </w14:solidFill>
                </w14:textFill>
              </w:rPr>
              <w:t>“</w:t>
            </w:r>
            <w:r>
              <w:rPr>
                <w:rFonts w:hint="eastAsia" w:ascii="宋体" w:hAnsi="宋体" w:cs="宋体"/>
                <w:color w:val="000000" w:themeColor="text1"/>
                <w:kern w:val="2"/>
                <w:sz w:val="24"/>
                <w:szCs w:val="24"/>
                <w:lang w:val="en-US" w:eastAsia="zh-CN" w:bidi="ar-SA"/>
                <w14:textFill>
                  <w14:solidFill>
                    <w14:schemeClr w14:val="tx1"/>
                  </w14:solidFill>
                </w14:textFill>
              </w:rPr>
              <w:t>十四五</w:t>
            </w:r>
            <w:r>
              <w:rPr>
                <w:rFonts w:hint="eastAsia" w:ascii="宋体" w:hAnsi="宋体" w:eastAsia="宋体" w:cs="宋体"/>
                <w:color w:val="000000" w:themeColor="text1"/>
                <w:kern w:val="2"/>
                <w:sz w:val="24"/>
                <w:szCs w:val="24"/>
                <w:lang w:val="en-US" w:eastAsia="zh-CN" w:bidi="ar-SA"/>
                <w14:textFill>
                  <w14:solidFill>
                    <w14:schemeClr w14:val="tx1"/>
                  </w14:solidFill>
                </w14:textFill>
              </w:rPr>
              <w:t>”生态环境保护规划》《安徽省“</w:t>
            </w:r>
            <w:r>
              <w:rPr>
                <w:rFonts w:hint="eastAsia" w:ascii="宋体" w:hAnsi="宋体" w:cs="宋体"/>
                <w:color w:val="000000" w:themeColor="text1"/>
                <w:kern w:val="2"/>
                <w:sz w:val="24"/>
                <w:szCs w:val="24"/>
                <w:lang w:val="en-US" w:eastAsia="zh-CN" w:bidi="ar-SA"/>
                <w14:textFill>
                  <w14:solidFill>
                    <w14:schemeClr w14:val="tx1"/>
                  </w14:solidFill>
                </w14:textFill>
              </w:rPr>
              <w:t>十四五</w:t>
            </w:r>
            <w:r>
              <w:rPr>
                <w:rFonts w:hint="eastAsia" w:ascii="宋体" w:hAnsi="宋体" w:eastAsia="宋体" w:cs="宋体"/>
                <w:color w:val="000000" w:themeColor="text1"/>
                <w:kern w:val="2"/>
                <w:sz w:val="24"/>
                <w:szCs w:val="24"/>
                <w:lang w:val="en-US" w:eastAsia="zh-CN" w:bidi="ar-SA"/>
                <w14:textFill>
                  <w14:solidFill>
                    <w14:schemeClr w14:val="tx1"/>
                  </w14:solidFill>
                </w14:textFill>
              </w:rPr>
              <w:t>”环境保护</w:t>
            </w:r>
            <w:r>
              <w:rPr>
                <w:rFonts w:hint="eastAsia" w:ascii="宋体" w:hAnsi="宋体" w:cs="宋体"/>
                <w:color w:val="000000" w:themeColor="text1"/>
                <w:kern w:val="2"/>
                <w:sz w:val="24"/>
                <w:szCs w:val="24"/>
                <w:lang w:val="en-US" w:eastAsia="zh-CN" w:bidi="ar-SA"/>
                <w14:textFill>
                  <w14:solidFill>
                    <w14:schemeClr w14:val="tx1"/>
                  </w14:solidFill>
                </w14:textFill>
              </w:rPr>
              <w:t>规划</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》《重点行业挥发性有机物综合治理方案》等要求，严格目标实施计划，加强环境监管，促进生态环境质量好转。上年度PM</w:t>
            </w:r>
            <w:r>
              <w:rPr>
                <w:rFonts w:hint="default" w:ascii="Times New Roman" w:hAnsi="Times New Roman" w:eastAsia="宋体" w:cs="Times New Roman"/>
                <w:color w:val="000000" w:themeColor="text1"/>
                <w:kern w:val="2"/>
                <w:sz w:val="24"/>
                <w:szCs w:val="24"/>
                <w:vertAlign w:val="subscript"/>
                <w:lang w:val="en-US" w:eastAsia="zh-CN" w:bidi="ar-SA"/>
                <w14:textFill>
                  <w14:solidFill>
                    <w14:schemeClr w14:val="tx1"/>
                  </w14:solidFill>
                </w14:textFill>
              </w:rPr>
              <w:t>2.5</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不达标城市新建、改建和扩建项目大气污</w:t>
            </w:r>
            <w:r>
              <w:rPr>
                <w:rFonts w:hint="default" w:ascii="Times New Roman" w:hAnsi="Times New Roman" w:eastAsia="宋体" w:cs="Times New Roman"/>
                <w:color w:val="auto"/>
                <w:kern w:val="2"/>
                <w:sz w:val="24"/>
                <w:szCs w:val="24"/>
                <w:lang w:val="en-US" w:eastAsia="zh-CN" w:bidi="ar-SA"/>
              </w:rPr>
              <w:t>染物实</w:t>
            </w:r>
            <w:r>
              <w:rPr>
                <w:rFonts w:hint="eastAsia" w:ascii="宋体" w:hAnsi="宋体" w:eastAsia="宋体" w:cs="宋体"/>
                <w:color w:val="auto"/>
                <w:kern w:val="2"/>
                <w:sz w:val="24"/>
                <w:szCs w:val="24"/>
                <w:lang w:val="en-US" w:eastAsia="zh-CN" w:bidi="ar-SA"/>
              </w:rPr>
              <w:t>施“倍量替代”，执</w:t>
            </w:r>
            <w:r>
              <w:rPr>
                <w:rFonts w:hint="default" w:ascii="Times New Roman" w:hAnsi="Times New Roman" w:eastAsia="宋体" w:cs="Times New Roman"/>
                <w:color w:val="auto"/>
                <w:kern w:val="2"/>
                <w:sz w:val="24"/>
                <w:szCs w:val="24"/>
                <w:lang w:val="en-US" w:eastAsia="zh-CN" w:bidi="ar-SA"/>
              </w:rPr>
              <w:t>行特别排放标准的行业实施提标升级改造。</w:t>
            </w:r>
          </w:p>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本项目涉及主要大气污染物为</w:t>
            </w:r>
            <w:r>
              <w:rPr>
                <w:rFonts w:hint="eastAsia" w:cs="Times New Roman"/>
                <w:color w:val="auto"/>
                <w:kern w:val="2"/>
                <w:sz w:val="24"/>
                <w:szCs w:val="24"/>
                <w:highlight w:val="none"/>
                <w:lang w:val="en-US" w:eastAsia="zh-CN" w:bidi="ar-SA"/>
              </w:rPr>
              <w:t>油雾（用挥发性有机物表征）、颗粒物</w:t>
            </w:r>
            <w:r>
              <w:rPr>
                <w:rFonts w:hint="default" w:ascii="Times New Roman" w:hAnsi="Times New Roman" w:eastAsia="宋体" w:cs="Times New Roman"/>
                <w:color w:val="auto"/>
                <w:kern w:val="2"/>
                <w:sz w:val="24"/>
                <w:szCs w:val="24"/>
                <w:highlight w:val="none"/>
                <w:lang w:val="en-US" w:eastAsia="zh-CN" w:bidi="ar-SA"/>
              </w:rPr>
              <w:t>，本次评价要求</w:t>
            </w:r>
            <w:r>
              <w:rPr>
                <w:rFonts w:hint="eastAsia" w:cs="Times New Roman"/>
                <w:color w:val="auto"/>
                <w:kern w:val="2"/>
                <w:sz w:val="24"/>
                <w:szCs w:val="24"/>
                <w:highlight w:val="none"/>
                <w:lang w:val="en-US" w:eastAsia="zh-CN" w:bidi="ar-SA"/>
              </w:rPr>
              <w:t>冷镦废气采用活性炭纤维毡处理后经1根15m高排气筒（DA001）排放，淬火、回火废气经油雾静电捕集器+活性炭纤维毡处理后经1根15m高排气筒（DA001）排放，清洗废气采用活性炭纤维毡处理后经1根15m高排气筒（DA002）排放</w:t>
            </w:r>
            <w:r>
              <w:rPr>
                <w:rFonts w:hint="eastAsia" w:ascii="Times New Roman" w:hAnsi="Times New Roman" w:eastAsia="宋体" w:cs="Times New Roman"/>
                <w:color w:val="auto"/>
                <w:kern w:val="2"/>
                <w:sz w:val="24"/>
                <w:szCs w:val="24"/>
                <w:highlight w:val="none"/>
                <w:lang w:val="en-US" w:eastAsia="zh-CN" w:bidi="ar-SA"/>
              </w:rPr>
              <w:t>。</w:t>
            </w:r>
          </w:p>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②水环境质量底线及分区管控</w:t>
            </w:r>
          </w:p>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根据《</w:t>
            </w:r>
            <w:r>
              <w:rPr>
                <w:rFonts w:hint="eastAsia" w:eastAsia="宋体" w:cs="Times New Roman"/>
                <w:color w:val="000000" w:themeColor="text1"/>
                <w:kern w:val="2"/>
                <w:sz w:val="24"/>
                <w:szCs w:val="24"/>
                <w:lang w:val="en-US" w:eastAsia="zh-CN" w:bidi="ar-SA"/>
                <w14:textFill>
                  <w14:solidFill>
                    <w14:schemeClr w14:val="tx1"/>
                  </w14:solidFill>
                </w14:textFill>
              </w:rPr>
              <w:t>宿州市202</w:t>
            </w:r>
            <w:r>
              <w:rPr>
                <w:rFonts w:hint="eastAsia" w:cs="Times New Roman"/>
                <w:color w:val="000000" w:themeColor="text1"/>
                <w:kern w:val="2"/>
                <w:sz w:val="24"/>
                <w:szCs w:val="24"/>
                <w:lang w:val="en-US" w:eastAsia="zh-CN" w:bidi="ar-SA"/>
                <w14:textFill>
                  <w14:solidFill>
                    <w14:schemeClr w14:val="tx1"/>
                  </w14:solidFill>
                </w14:textFill>
              </w:rPr>
              <w:t>2</w:t>
            </w:r>
            <w:r>
              <w:rPr>
                <w:rFonts w:hint="eastAsia" w:eastAsia="宋体" w:cs="Times New Roman"/>
                <w:color w:val="000000" w:themeColor="text1"/>
                <w:kern w:val="2"/>
                <w:sz w:val="24"/>
                <w:szCs w:val="24"/>
                <w:lang w:val="en-US" w:eastAsia="zh-CN" w:bidi="ar-SA"/>
                <w14:textFill>
                  <w14:solidFill>
                    <w14:schemeClr w14:val="tx1"/>
                  </w14:solidFill>
                </w14:textFill>
              </w:rPr>
              <w:t>年环境质量状况报告</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》，本项目评价区域内地表水满足《地表水环境质量标准》（GB383</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8-2002）中Ⅳ类标准要求。对照</w:t>
            </w:r>
            <w:r>
              <w:rPr>
                <w:rFonts w:hint="eastAsia" w:eastAsia="宋体" w:cs="Times New Roman"/>
                <w:color w:val="000000" w:themeColor="text1"/>
                <w:kern w:val="2"/>
                <w:sz w:val="24"/>
                <w:szCs w:val="24"/>
                <w:highlight w:val="none"/>
                <w:lang w:val="en-US" w:eastAsia="zh-CN" w:bidi="ar-SA"/>
                <w14:textFill>
                  <w14:solidFill>
                    <w14:schemeClr w14:val="tx1"/>
                  </w14:solidFill>
                </w14:textFill>
              </w:rPr>
              <w:t>宿州</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市水环境管控分区图，本项目位于</w:t>
            </w:r>
            <w:r>
              <w:rPr>
                <w:rFonts w:hint="eastAsia" w:cs="Times New Roman"/>
                <w:color w:val="000000" w:themeColor="text1"/>
                <w:kern w:val="2"/>
                <w:sz w:val="24"/>
                <w:szCs w:val="24"/>
                <w:highlight w:val="none"/>
                <w:lang w:val="en-US" w:eastAsia="zh-CN" w:bidi="ar-SA"/>
                <w14:textFill>
                  <w14:solidFill>
                    <w14:schemeClr w14:val="tx1"/>
                  </w14:solidFill>
                </w14:textFill>
              </w:rPr>
              <w:t>水环境工业污染重点管控区</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r>
              <w:rPr>
                <w:rFonts w:hint="eastAsia" w:cs="Times New Roman"/>
                <w:color w:val="000000" w:themeColor="text1"/>
                <w:kern w:val="2"/>
                <w:sz w:val="24"/>
                <w:szCs w:val="24"/>
                <w:lang w:val="en-US" w:eastAsia="zh-CN" w:bidi="ar-SA"/>
                <w14:textFill>
                  <w14:solidFill>
                    <w14:schemeClr w14:val="tx1"/>
                  </w14:solidFill>
                </w14:textFill>
              </w:rPr>
              <w:t>工业污染重点管控区</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管控要求：依据《中华人民共和国水污染防治法》《水污染防治行动计划》《安徽省水污染防治工作方案》及各市水污染防治工作方案对</w:t>
            </w:r>
            <w:r>
              <w:rPr>
                <w:rFonts w:hint="eastAsia" w:cs="Times New Roman"/>
                <w:color w:val="000000" w:themeColor="text1"/>
                <w:kern w:val="2"/>
                <w:sz w:val="24"/>
                <w:szCs w:val="24"/>
                <w:lang w:val="en-US" w:eastAsia="zh-CN" w:bidi="ar-SA"/>
                <w14:textFill>
                  <w14:solidFill>
                    <w14:schemeClr w14:val="tx1"/>
                  </w14:solidFill>
                </w14:textFill>
              </w:rPr>
              <w:t>工业污染重点管控区</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实施管控；依据《安徽省淮河流域水污染防治条例》对淮河流域实施管控。</w:t>
            </w:r>
          </w:p>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auto"/>
                <w:kern w:val="2"/>
                <w:sz w:val="24"/>
                <w:szCs w:val="24"/>
                <w:lang w:val="en-US" w:eastAsia="zh-CN" w:bidi="ar-SA"/>
              </w:rPr>
              <w:t>本项目位于淮河流域，项目建设符合《安徽省淮河流域水污染防治条例》的要求。</w:t>
            </w:r>
            <w:r>
              <w:rPr>
                <w:rFonts w:hint="default" w:ascii="Times New Roman" w:hAnsi="Times New Roman" w:eastAsia="宋体" w:cs="Times New Roman"/>
                <w:color w:val="auto"/>
                <w:sz w:val="24"/>
                <w:szCs w:val="24"/>
                <w:highlight w:val="none"/>
                <w:lang w:val="en-US" w:eastAsia="zh-CN"/>
              </w:rPr>
              <w:t>项目生活污水</w:t>
            </w:r>
            <w:r>
              <w:rPr>
                <w:rFonts w:hint="eastAsia" w:cs="Times New Roman"/>
                <w:snapToGrid/>
                <w:color w:val="auto"/>
                <w:spacing w:val="0"/>
                <w:kern w:val="0"/>
                <w:position w:val="0"/>
                <w:sz w:val="24"/>
                <w:szCs w:val="24"/>
                <w:lang w:val="en-US" w:eastAsia="zh-CN"/>
              </w:rPr>
              <w:t>经</w:t>
            </w:r>
            <w:r>
              <w:rPr>
                <w:rFonts w:hint="default" w:ascii="Times New Roman" w:hAnsi="Times New Roman" w:eastAsia="宋体" w:cs="Times New Roman"/>
                <w:snapToGrid/>
                <w:color w:val="auto"/>
                <w:spacing w:val="0"/>
                <w:kern w:val="0"/>
                <w:position w:val="0"/>
                <w:sz w:val="24"/>
                <w:szCs w:val="24"/>
                <w:lang w:val="en-US" w:eastAsia="zh-CN"/>
              </w:rPr>
              <w:t>化粪池预处理</w:t>
            </w:r>
            <w:r>
              <w:rPr>
                <w:rFonts w:hint="eastAsia"/>
                <w:color w:val="auto"/>
                <w:lang w:val="en-US" w:eastAsia="zh-CN"/>
              </w:rPr>
              <w:t>经市政污水管网，</w:t>
            </w:r>
            <w:r>
              <w:rPr>
                <w:rFonts w:hint="default" w:ascii="Times New Roman" w:hAnsi="Times New Roman" w:eastAsia="宋体" w:cs="Times New Roman"/>
                <w:snapToGrid/>
                <w:color w:val="auto"/>
                <w:spacing w:val="0"/>
                <w:kern w:val="0"/>
                <w:position w:val="0"/>
                <w:sz w:val="24"/>
                <w:szCs w:val="24"/>
                <w:lang w:val="en-US" w:eastAsia="zh-CN"/>
              </w:rPr>
              <w:t>排水满足灵璧经济开发区北部新区污水处理厂处理</w:t>
            </w:r>
            <w:r>
              <w:rPr>
                <w:rFonts w:hint="default" w:ascii="Times New Roman" w:hAnsi="Times New Roman" w:eastAsia="宋体" w:cs="Times New Roman"/>
                <w:snapToGrid/>
                <w:color w:val="auto"/>
                <w:spacing w:val="0"/>
                <w:kern w:val="0"/>
                <w:position w:val="0"/>
                <w:sz w:val="24"/>
                <w:szCs w:val="24"/>
                <w:lang w:val="zh-CN" w:eastAsia="zh-CN"/>
              </w:rPr>
              <w:t>的</w:t>
            </w:r>
            <w:r>
              <w:rPr>
                <w:rFonts w:hint="eastAsia" w:ascii="Times New Roman" w:hAnsi="Times New Roman" w:eastAsia="宋体" w:cs="Times New Roman"/>
                <w:snapToGrid/>
                <w:color w:val="auto"/>
                <w:spacing w:val="0"/>
                <w:kern w:val="0"/>
                <w:position w:val="0"/>
                <w:sz w:val="24"/>
                <w:szCs w:val="24"/>
                <w:lang w:val="zh-CN" w:eastAsia="zh-CN"/>
              </w:rPr>
              <w:t>接管限值</w:t>
            </w:r>
            <w:r>
              <w:rPr>
                <w:rFonts w:hint="eastAsia" w:ascii="Times New Roman" w:hAnsi="Times New Roman" w:eastAsia="宋体" w:cs="Times New Roman"/>
                <w:snapToGrid/>
                <w:color w:val="auto"/>
                <w:spacing w:val="0"/>
                <w:kern w:val="0"/>
                <w:position w:val="0"/>
                <w:sz w:val="24"/>
                <w:szCs w:val="24"/>
                <w:lang w:val="en-US" w:eastAsia="zh-CN"/>
              </w:rPr>
              <w:t>，</w:t>
            </w:r>
            <w:r>
              <w:rPr>
                <w:rFonts w:hint="eastAsia"/>
                <w:color w:val="auto"/>
                <w:lang w:val="en-US" w:eastAsia="zh-CN"/>
              </w:rPr>
              <w:t>统一纳入</w:t>
            </w:r>
            <w:r>
              <w:rPr>
                <w:rFonts w:hint="default" w:ascii="Times New Roman" w:hAnsi="Times New Roman" w:eastAsia="宋体" w:cs="Times New Roman"/>
                <w:snapToGrid/>
                <w:color w:val="auto"/>
                <w:spacing w:val="0"/>
                <w:kern w:val="0"/>
                <w:position w:val="0"/>
                <w:sz w:val="24"/>
                <w:szCs w:val="24"/>
                <w:lang w:val="en-US" w:eastAsia="zh-CN"/>
              </w:rPr>
              <w:t>灵璧经济开发区北部新区污水处理厂</w:t>
            </w:r>
            <w:r>
              <w:rPr>
                <w:rFonts w:hint="eastAsia"/>
                <w:color w:val="auto"/>
                <w:lang w:val="en-US" w:eastAsia="zh-CN"/>
              </w:rPr>
              <w:t>。</w:t>
            </w:r>
            <w:r>
              <w:rPr>
                <w:rFonts w:hint="default" w:ascii="Times New Roman" w:hAnsi="Times New Roman" w:eastAsia="宋体" w:cs="Times New Roman"/>
                <w:color w:val="auto"/>
                <w:kern w:val="2"/>
                <w:sz w:val="24"/>
                <w:szCs w:val="24"/>
                <w:lang w:val="en-US" w:eastAsia="zh-CN" w:bidi="ar-SA"/>
              </w:rPr>
              <w:t>对周围水环境影响较小。</w:t>
            </w:r>
          </w:p>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③土壤环境风险防控底线及分区管控</w:t>
            </w:r>
          </w:p>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项目评价区域内土壤现状满足《土壤环境质量</w:t>
            </w:r>
            <w:r>
              <w:rPr>
                <w:rFonts w:hint="eastAsia" w:cs="Times New Roman"/>
                <w:color w:val="000000" w:themeColor="text1"/>
                <w:kern w:val="2"/>
                <w:sz w:val="24"/>
                <w:szCs w:val="24"/>
                <w:lang w:val="en-US" w:eastAsia="zh-CN" w:bidi="ar-SA"/>
                <w14:textFill>
                  <w14:solidFill>
                    <w14:schemeClr w14:val="tx1"/>
                  </w14:solidFill>
                </w14:textFill>
              </w:rPr>
              <w:t xml:space="preserve"> </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建设用地土壤污染风险管控标准（试行）》（GB36600-2018）中第二类用地筛选值要求。对照</w:t>
            </w:r>
            <w:r>
              <w:rPr>
                <w:rFonts w:hint="eastAsia" w:eastAsia="宋体" w:cs="Times New Roman"/>
                <w:color w:val="000000" w:themeColor="text1"/>
                <w:kern w:val="2"/>
                <w:sz w:val="24"/>
                <w:szCs w:val="24"/>
                <w:lang w:val="en-US" w:eastAsia="zh-CN" w:bidi="ar-SA"/>
                <w14:textFill>
                  <w14:solidFill>
                    <w14:schemeClr w14:val="tx1"/>
                  </w14:solidFill>
                </w14:textFill>
              </w:rPr>
              <w:t>宿州</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市土壤</w:t>
            </w:r>
            <w:r>
              <w:rPr>
                <w:rFonts w:hint="eastAsia" w:cs="Times New Roman"/>
                <w:color w:val="000000" w:themeColor="text1"/>
                <w:kern w:val="2"/>
                <w:sz w:val="24"/>
                <w:szCs w:val="24"/>
                <w:lang w:val="en-US" w:eastAsia="zh-CN" w:bidi="ar-SA"/>
                <w14:textFill>
                  <w14:solidFill>
                    <w14:schemeClr w14:val="tx1"/>
                  </w14:solidFill>
                </w14:textFill>
              </w:rPr>
              <w:t>污染</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风险分区管控图</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，本项目位于</w:t>
            </w:r>
            <w:r>
              <w:rPr>
                <w:rFonts w:hint="eastAsia" w:cs="Times New Roman"/>
                <w:color w:val="000000" w:themeColor="text1"/>
                <w:kern w:val="2"/>
                <w:sz w:val="24"/>
                <w:szCs w:val="24"/>
                <w:highlight w:val="none"/>
                <w:lang w:val="en-US" w:eastAsia="zh-CN" w:bidi="ar-SA"/>
                <w14:textFill>
                  <w14:solidFill>
                    <w14:schemeClr w14:val="tx1"/>
                  </w14:solidFill>
                </w14:textFill>
              </w:rPr>
              <w:t>土壤</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一般管控区。一</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般管控区要求：依据《中华人民共和国土壤污染防治法》《土壤污染防治行动计划》《安徽省土壤污染防治工作方案》</w:t>
            </w:r>
            <w:r>
              <w:rPr>
                <w:rFonts w:hint="default" w:ascii="Times New Roman" w:hAnsi="Times New Roman" w:eastAsia="宋体" w:cs="Times New Roman"/>
                <w:color w:val="auto"/>
                <w:kern w:val="2"/>
                <w:sz w:val="24"/>
                <w:szCs w:val="24"/>
                <w:lang w:val="en-US" w:eastAsia="zh-CN" w:bidi="ar-SA"/>
              </w:rPr>
              <w:t>《</w:t>
            </w:r>
            <w:r>
              <w:rPr>
                <w:rFonts w:hint="eastAsia" w:ascii="宋体" w:hAnsi="宋体" w:eastAsia="宋体" w:cs="宋体"/>
                <w:color w:val="auto"/>
                <w:kern w:val="2"/>
                <w:sz w:val="24"/>
                <w:szCs w:val="24"/>
                <w:lang w:val="en-US" w:eastAsia="zh-CN" w:bidi="ar-SA"/>
              </w:rPr>
              <w:t>安徽省“</w:t>
            </w:r>
            <w:r>
              <w:rPr>
                <w:rFonts w:hint="eastAsia" w:ascii="宋体" w:hAnsi="宋体" w:cs="宋体"/>
                <w:color w:val="auto"/>
                <w:kern w:val="2"/>
                <w:sz w:val="24"/>
                <w:szCs w:val="24"/>
                <w:lang w:val="en-US" w:eastAsia="zh-CN" w:bidi="ar-SA"/>
              </w:rPr>
              <w:t>十四五</w:t>
            </w:r>
            <w:r>
              <w:rPr>
                <w:rFonts w:hint="eastAsia" w:ascii="宋体" w:hAnsi="宋体" w:eastAsia="宋体" w:cs="宋体"/>
                <w:color w:val="auto"/>
                <w:kern w:val="2"/>
                <w:sz w:val="24"/>
                <w:szCs w:val="24"/>
                <w:lang w:val="en-US" w:eastAsia="zh-CN" w:bidi="ar-SA"/>
              </w:rPr>
              <w:t>”环境保护规划》</w:t>
            </w:r>
            <w:r>
              <w:rPr>
                <w:rFonts w:hint="eastAsia" w:ascii="宋体" w:hAnsi="宋体" w:eastAsia="宋体" w:cs="宋体"/>
                <w:color w:val="000000" w:themeColor="text1"/>
                <w:kern w:val="2"/>
                <w:sz w:val="24"/>
                <w:szCs w:val="24"/>
                <w:lang w:val="en-US" w:eastAsia="zh-CN" w:bidi="ar-SA"/>
                <w14:textFill>
                  <w14:solidFill>
                    <w14:schemeClr w14:val="tx1"/>
                  </w14:solidFill>
                </w14:textFill>
              </w:rPr>
              <w:t>等</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要求及各市土壤污染防治工作方案对一般管控区实施管控。</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本项目建设不占用永久基本农田；项目对可能产生地下水、土壤影响的各项途径均进行有效预防，在确保各项防渗措施得以落实，并加强维护和厂区环境管理的前提下，可有效控制厂区内的废水污染物下渗现象，避免污染土壤，因此本项目不会对区域土壤环境产生明显影响。</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left"/>
              <w:textAlignment w:val="auto"/>
              <w:rPr>
                <w:rFonts w:hint="default" w:ascii="Times New Roman" w:hAnsi="Times New Roman" w:eastAsia="宋体" w:cs="Times New Roman"/>
                <w:b/>
                <w:bCs/>
                <w:color w:val="000000"/>
                <w:kern w:val="2"/>
                <w:sz w:val="24"/>
                <w:szCs w:val="24"/>
                <w:lang w:val="en-US" w:eastAsia="zh-CN" w:bidi="ar-SA"/>
              </w:rPr>
            </w:pPr>
            <w:r>
              <w:rPr>
                <w:rFonts w:hint="default" w:ascii="Times New Roman" w:hAnsi="Times New Roman" w:eastAsia="宋体" w:cs="Times New Roman"/>
                <w:b/>
                <w:bCs/>
                <w:color w:val="000000"/>
                <w:kern w:val="2"/>
                <w:sz w:val="24"/>
                <w:szCs w:val="24"/>
                <w:lang w:val="en-US" w:eastAsia="zh-CN" w:bidi="ar-SA"/>
              </w:rPr>
              <w:t>表1</w:t>
            </w:r>
            <w:r>
              <w:rPr>
                <w:rFonts w:hint="eastAsia" w:cs="Times New Roman"/>
                <w:b/>
                <w:bCs/>
                <w:color w:val="000000"/>
                <w:kern w:val="2"/>
                <w:sz w:val="24"/>
                <w:szCs w:val="24"/>
                <w:lang w:val="en-US" w:eastAsia="zh-CN" w:bidi="ar-SA"/>
              </w:rPr>
              <w:t>.4</w:t>
            </w:r>
            <w:r>
              <w:rPr>
                <w:rFonts w:hint="default" w:ascii="Times New Roman" w:hAnsi="Times New Roman" w:eastAsia="宋体" w:cs="Times New Roman"/>
                <w:b/>
                <w:bCs/>
                <w:color w:val="000000"/>
                <w:kern w:val="2"/>
                <w:sz w:val="24"/>
                <w:szCs w:val="24"/>
                <w:lang w:val="en-US" w:eastAsia="zh-CN" w:bidi="ar-SA"/>
              </w:rPr>
              <w:t xml:space="preserve"> </w:t>
            </w:r>
            <w:r>
              <w:rPr>
                <w:rFonts w:hint="eastAsia" w:cs="Times New Roman"/>
                <w:b/>
                <w:bCs/>
                <w:color w:val="000000"/>
                <w:kern w:val="2"/>
                <w:sz w:val="24"/>
                <w:szCs w:val="24"/>
                <w:lang w:val="en-US" w:eastAsia="zh-CN" w:bidi="ar-SA"/>
              </w:rPr>
              <w:t xml:space="preserve"> </w:t>
            </w:r>
            <w:r>
              <w:rPr>
                <w:rFonts w:hint="default" w:ascii="Times New Roman" w:hAnsi="Times New Roman" w:eastAsia="宋体" w:cs="Times New Roman"/>
                <w:b/>
                <w:bCs/>
                <w:color w:val="000000"/>
                <w:kern w:val="2"/>
                <w:sz w:val="24"/>
                <w:szCs w:val="24"/>
                <w:lang w:val="en-US" w:eastAsia="zh-CN" w:bidi="ar-SA"/>
              </w:rPr>
              <w:t>项目与宿州市“三线一单”生态环境准入清单符合性分析表</w:t>
            </w:r>
          </w:p>
          <w:tbl>
            <w:tblPr>
              <w:tblStyle w:val="26"/>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435"/>
              <w:gridCol w:w="465"/>
              <w:gridCol w:w="770"/>
              <w:gridCol w:w="550"/>
              <w:gridCol w:w="2165"/>
              <w:gridCol w:w="1945"/>
              <w:gridCol w:w="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Align w:val="center"/>
                </w:tcPr>
                <w:p>
                  <w:pPr>
                    <w:keepNext w:val="0"/>
                    <w:keepLines w:val="0"/>
                    <w:pageBreakBefore w:val="0"/>
                    <w:widowControl/>
                    <w:suppressLineNumbers w:val="0"/>
                    <w:kinsoku/>
                    <w:wordWrap/>
                    <w:overflowPunct/>
                    <w:topLinePunct w:val="0"/>
                    <w:bidi w:val="0"/>
                    <w:spacing w:line="240" w:lineRule="auto"/>
                    <w:jc w:val="center"/>
                    <w:textAlignment w:val="auto"/>
                    <w:rPr>
                      <w:rFonts w:hint="default" w:ascii="Times New Roman" w:hAnsi="Times New Roman" w:eastAsia="宋体" w:cs="Times New Roman"/>
                      <w:b/>
                      <w:bCs/>
                      <w:color w:val="000000"/>
                      <w:kern w:val="2"/>
                      <w:sz w:val="21"/>
                      <w:szCs w:val="21"/>
                      <w:vertAlign w:val="baseline"/>
                      <w:lang w:val="en-US" w:eastAsia="zh-CN" w:bidi="ar-SA"/>
                    </w:rPr>
                  </w:pPr>
                  <w:r>
                    <w:rPr>
                      <w:rFonts w:hint="default" w:ascii="Times New Roman" w:hAnsi="Times New Roman" w:eastAsia="宋体" w:cs="Times New Roman"/>
                      <w:b/>
                      <w:bCs/>
                      <w:color w:val="000000"/>
                      <w:kern w:val="0"/>
                      <w:sz w:val="21"/>
                      <w:szCs w:val="21"/>
                      <w:lang w:val="en-US" w:eastAsia="zh-CN" w:bidi="ar"/>
                    </w:rPr>
                    <w:t>管控单元</w:t>
                  </w:r>
                </w:p>
              </w:tc>
              <w:tc>
                <w:tcPr>
                  <w:tcW w:w="900" w:type="dxa"/>
                  <w:gridSpan w:val="2"/>
                  <w:vAlign w:val="center"/>
                </w:tcPr>
                <w:p>
                  <w:pPr>
                    <w:keepNext w:val="0"/>
                    <w:keepLines w:val="0"/>
                    <w:pageBreakBefore w:val="0"/>
                    <w:widowControl/>
                    <w:suppressLineNumbers w:val="0"/>
                    <w:kinsoku/>
                    <w:wordWrap/>
                    <w:overflowPunct/>
                    <w:topLinePunct w:val="0"/>
                    <w:bidi w:val="0"/>
                    <w:spacing w:line="240" w:lineRule="auto"/>
                    <w:jc w:val="center"/>
                    <w:textAlignment w:val="auto"/>
                    <w:rPr>
                      <w:rFonts w:hint="default" w:ascii="Times New Roman" w:hAnsi="Times New Roman" w:eastAsia="宋体" w:cs="Times New Roman"/>
                      <w:b/>
                      <w:bCs/>
                      <w:color w:val="000000"/>
                      <w:kern w:val="2"/>
                      <w:sz w:val="21"/>
                      <w:szCs w:val="21"/>
                      <w:vertAlign w:val="baseline"/>
                      <w:lang w:val="en-US" w:eastAsia="zh-CN" w:bidi="ar-SA"/>
                    </w:rPr>
                  </w:pPr>
                  <w:r>
                    <w:rPr>
                      <w:rFonts w:hint="default" w:ascii="Times New Roman" w:hAnsi="Times New Roman" w:eastAsia="宋体" w:cs="Times New Roman"/>
                      <w:b/>
                      <w:bCs/>
                      <w:color w:val="000000"/>
                      <w:kern w:val="0"/>
                      <w:sz w:val="21"/>
                      <w:szCs w:val="21"/>
                      <w:lang w:val="en-US" w:eastAsia="zh-CN" w:bidi="ar"/>
                    </w:rPr>
                    <w:t>清单编制要求</w:t>
                  </w:r>
                </w:p>
              </w:tc>
              <w:tc>
                <w:tcPr>
                  <w:tcW w:w="770" w:type="dxa"/>
                  <w:vAlign w:val="center"/>
                </w:tcPr>
                <w:p>
                  <w:pPr>
                    <w:keepNext w:val="0"/>
                    <w:keepLines w:val="0"/>
                    <w:pageBreakBefore w:val="0"/>
                    <w:widowControl/>
                    <w:suppressLineNumbers w:val="0"/>
                    <w:kinsoku/>
                    <w:wordWrap/>
                    <w:overflowPunct/>
                    <w:topLinePunct w:val="0"/>
                    <w:bidi w:val="0"/>
                    <w:spacing w:line="240" w:lineRule="auto"/>
                    <w:jc w:val="center"/>
                    <w:textAlignment w:val="auto"/>
                    <w:rPr>
                      <w:rFonts w:hint="default" w:ascii="Times New Roman" w:hAnsi="Times New Roman" w:eastAsia="宋体" w:cs="Times New Roman"/>
                      <w:b/>
                      <w:bCs/>
                      <w:color w:val="000000"/>
                      <w:kern w:val="2"/>
                      <w:sz w:val="21"/>
                      <w:szCs w:val="21"/>
                      <w:vertAlign w:val="baseline"/>
                      <w:lang w:val="en-US" w:eastAsia="zh-CN" w:bidi="ar-SA"/>
                    </w:rPr>
                  </w:pPr>
                  <w:r>
                    <w:rPr>
                      <w:rFonts w:hint="default" w:ascii="Times New Roman" w:hAnsi="Times New Roman" w:eastAsia="宋体" w:cs="Times New Roman"/>
                      <w:b/>
                      <w:bCs/>
                      <w:color w:val="000000"/>
                      <w:kern w:val="0"/>
                      <w:sz w:val="21"/>
                      <w:szCs w:val="21"/>
                      <w:lang w:val="en-US" w:eastAsia="zh-CN" w:bidi="ar"/>
                    </w:rPr>
                    <w:t>词条名称</w:t>
                  </w:r>
                </w:p>
              </w:tc>
              <w:tc>
                <w:tcPr>
                  <w:tcW w:w="55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000000"/>
                      <w:kern w:val="2"/>
                      <w:sz w:val="21"/>
                      <w:szCs w:val="21"/>
                      <w:vertAlign w:val="baseline"/>
                      <w:lang w:val="en-US" w:eastAsia="zh-CN" w:bidi="ar-SA"/>
                    </w:rPr>
                  </w:pPr>
                  <w:r>
                    <w:rPr>
                      <w:rFonts w:hint="default" w:ascii="Times New Roman" w:hAnsi="Times New Roman" w:eastAsia="宋体" w:cs="Times New Roman"/>
                      <w:b/>
                      <w:bCs/>
                      <w:color w:val="000000"/>
                      <w:kern w:val="2"/>
                      <w:sz w:val="21"/>
                      <w:szCs w:val="21"/>
                      <w:vertAlign w:val="baseline"/>
                      <w:lang w:val="en-US" w:eastAsia="zh-CN" w:bidi="ar-SA"/>
                    </w:rPr>
                    <w:t>序号</w:t>
                  </w:r>
                </w:p>
              </w:tc>
              <w:tc>
                <w:tcPr>
                  <w:tcW w:w="2165" w:type="dxa"/>
                  <w:vAlign w:val="center"/>
                </w:tcPr>
                <w:p>
                  <w:pPr>
                    <w:keepNext w:val="0"/>
                    <w:keepLines w:val="0"/>
                    <w:pageBreakBefore w:val="0"/>
                    <w:widowControl/>
                    <w:suppressLineNumbers w:val="0"/>
                    <w:kinsoku/>
                    <w:wordWrap/>
                    <w:overflowPunct/>
                    <w:topLinePunct w:val="0"/>
                    <w:bidi w:val="0"/>
                    <w:spacing w:line="240" w:lineRule="auto"/>
                    <w:jc w:val="center"/>
                    <w:textAlignment w:val="auto"/>
                    <w:rPr>
                      <w:rFonts w:hint="default" w:ascii="Times New Roman" w:hAnsi="Times New Roman" w:eastAsia="宋体" w:cs="Times New Roman"/>
                      <w:b/>
                      <w:bCs/>
                      <w:color w:val="000000"/>
                      <w:kern w:val="2"/>
                      <w:sz w:val="21"/>
                      <w:szCs w:val="21"/>
                      <w:vertAlign w:val="baseline"/>
                      <w:lang w:val="en-US" w:eastAsia="zh-CN" w:bidi="ar-SA"/>
                    </w:rPr>
                  </w:pPr>
                  <w:r>
                    <w:rPr>
                      <w:rFonts w:hint="default" w:ascii="Times New Roman" w:hAnsi="Times New Roman" w:eastAsia="宋体" w:cs="Times New Roman"/>
                      <w:b/>
                      <w:bCs/>
                      <w:color w:val="000000"/>
                      <w:kern w:val="0"/>
                      <w:sz w:val="21"/>
                      <w:szCs w:val="21"/>
                      <w:lang w:val="en-US" w:eastAsia="zh-CN" w:bidi="ar"/>
                    </w:rPr>
                    <w:t>准入要求</w:t>
                  </w:r>
                </w:p>
              </w:tc>
              <w:tc>
                <w:tcPr>
                  <w:tcW w:w="1945" w:type="dxa"/>
                  <w:vAlign w:val="center"/>
                </w:tcPr>
                <w:p>
                  <w:pPr>
                    <w:keepNext w:val="0"/>
                    <w:keepLines w:val="0"/>
                    <w:pageBreakBefore w:val="0"/>
                    <w:widowControl/>
                    <w:suppressLineNumbers w:val="0"/>
                    <w:kinsoku/>
                    <w:wordWrap/>
                    <w:overflowPunct/>
                    <w:topLinePunct w:val="0"/>
                    <w:bidi w:val="0"/>
                    <w:spacing w:line="240" w:lineRule="auto"/>
                    <w:jc w:val="center"/>
                    <w:textAlignment w:val="auto"/>
                    <w:rPr>
                      <w:rFonts w:hint="default" w:ascii="Times New Roman" w:hAnsi="Times New Roman" w:eastAsia="宋体" w:cs="Times New Roman"/>
                      <w:b/>
                      <w:bCs/>
                      <w:color w:val="000000"/>
                      <w:kern w:val="2"/>
                      <w:sz w:val="21"/>
                      <w:szCs w:val="21"/>
                      <w:vertAlign w:val="baseline"/>
                      <w:lang w:val="en-US" w:eastAsia="zh-CN" w:bidi="ar-SA"/>
                    </w:rPr>
                  </w:pPr>
                  <w:r>
                    <w:rPr>
                      <w:rFonts w:hint="default" w:ascii="Times New Roman" w:hAnsi="Times New Roman" w:eastAsia="宋体" w:cs="Times New Roman"/>
                      <w:b/>
                      <w:bCs/>
                      <w:color w:val="000000"/>
                      <w:kern w:val="0"/>
                      <w:sz w:val="21"/>
                      <w:szCs w:val="21"/>
                      <w:lang w:val="en-US" w:eastAsia="zh-CN" w:bidi="ar"/>
                    </w:rPr>
                    <w:t>拟建项目特点</w:t>
                  </w:r>
                </w:p>
              </w:tc>
              <w:tc>
                <w:tcPr>
                  <w:tcW w:w="933" w:type="dxa"/>
                  <w:vAlign w:val="center"/>
                </w:tcPr>
                <w:p>
                  <w:pPr>
                    <w:keepNext w:val="0"/>
                    <w:keepLines w:val="0"/>
                    <w:pageBreakBefore w:val="0"/>
                    <w:widowControl/>
                    <w:suppressLineNumbers w:val="0"/>
                    <w:kinsoku/>
                    <w:wordWrap/>
                    <w:overflowPunct/>
                    <w:topLinePunct w:val="0"/>
                    <w:bidi w:val="0"/>
                    <w:spacing w:line="240" w:lineRule="auto"/>
                    <w:jc w:val="center"/>
                    <w:textAlignment w:val="auto"/>
                    <w:rPr>
                      <w:rFonts w:hint="default" w:ascii="Times New Roman" w:hAnsi="Times New Roman" w:eastAsia="宋体" w:cs="Times New Roman"/>
                      <w:b/>
                      <w:bCs/>
                      <w:color w:val="000000"/>
                      <w:kern w:val="2"/>
                      <w:sz w:val="21"/>
                      <w:szCs w:val="21"/>
                      <w:vertAlign w:val="baseline"/>
                      <w:lang w:val="en-US" w:eastAsia="zh-CN" w:bidi="ar-SA"/>
                    </w:rPr>
                  </w:pPr>
                  <w:r>
                    <w:rPr>
                      <w:rFonts w:hint="default" w:ascii="Times New Roman" w:hAnsi="Times New Roman" w:eastAsia="宋体" w:cs="Times New Roman"/>
                      <w:b/>
                      <w:bCs/>
                      <w:color w:val="000000"/>
                      <w:kern w:val="0"/>
                      <w:sz w:val="21"/>
                      <w:szCs w:val="21"/>
                      <w:lang w:val="en-US" w:eastAsia="zh-CN" w:bidi="ar"/>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Merge w:val="restar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kern w:val="2"/>
                      <w:sz w:val="21"/>
                      <w:szCs w:val="21"/>
                      <w:vertAlign w:val="baseline"/>
                      <w:lang w:val="en-US" w:eastAsia="zh-CN" w:bidi="ar-SA"/>
                    </w:rPr>
                    <w:t>重点管控单元</w:t>
                  </w:r>
                </w:p>
              </w:tc>
              <w:tc>
                <w:tcPr>
                  <w:tcW w:w="435" w:type="dxa"/>
                  <w:vMerge w:val="restar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kern w:val="2"/>
                      <w:sz w:val="21"/>
                      <w:szCs w:val="21"/>
                      <w:vertAlign w:val="baseline"/>
                      <w:lang w:val="en-US" w:eastAsia="zh-CN" w:bidi="ar-SA"/>
                    </w:rPr>
                    <w:t>空间布局约束</w:t>
                  </w:r>
                </w:p>
              </w:tc>
              <w:tc>
                <w:tcPr>
                  <w:tcW w:w="465" w:type="dxa"/>
                  <w:vMerge w:val="restart"/>
                  <w:vAlign w:val="center"/>
                </w:tcPr>
                <w:p>
                  <w:pPr>
                    <w:keepNext w:val="0"/>
                    <w:keepLines w:val="0"/>
                    <w:pageBreakBefore w:val="0"/>
                    <w:widowControl/>
                    <w:suppressLineNumbers w:val="0"/>
                    <w:kinsoku/>
                    <w:wordWrap/>
                    <w:overflowPunct/>
                    <w:topLinePunct w:val="0"/>
                    <w:bidi w:val="0"/>
                    <w:spacing w:line="240" w:lineRule="auto"/>
                    <w:jc w:val="center"/>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kern w:val="0"/>
                      <w:sz w:val="21"/>
                      <w:szCs w:val="21"/>
                      <w:lang w:val="en-US" w:eastAsia="zh-CN" w:bidi="ar"/>
                    </w:rPr>
                    <w:t>禁止开发建设活动的要求</w:t>
                  </w:r>
                </w:p>
              </w:tc>
              <w:tc>
                <w:tcPr>
                  <w:tcW w:w="770" w:type="dxa"/>
                  <w:vMerge w:val="restart"/>
                  <w:vAlign w:val="center"/>
                </w:tcPr>
                <w:p>
                  <w:pPr>
                    <w:keepNext w:val="0"/>
                    <w:keepLines w:val="0"/>
                    <w:pageBreakBefore w:val="0"/>
                    <w:widowControl/>
                    <w:suppressLineNumbers w:val="0"/>
                    <w:kinsoku/>
                    <w:wordWrap/>
                    <w:overflowPunct/>
                    <w:topLinePunct w:val="0"/>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宿州-</w:t>
                  </w:r>
                </w:p>
                <w:p>
                  <w:pPr>
                    <w:keepNext w:val="0"/>
                    <w:keepLines w:val="0"/>
                    <w:pageBreakBefore w:val="0"/>
                    <w:widowControl/>
                    <w:suppressLineNumbers w:val="0"/>
                    <w:kinsoku/>
                    <w:wordWrap/>
                    <w:overflowPunct/>
                    <w:topLinePunct w:val="0"/>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重点-</w:t>
                  </w:r>
                </w:p>
                <w:p>
                  <w:pPr>
                    <w:keepNext w:val="0"/>
                    <w:keepLines w:val="0"/>
                    <w:pageBreakBefore w:val="0"/>
                    <w:widowControl/>
                    <w:suppressLineNumbers w:val="0"/>
                    <w:kinsoku/>
                    <w:wordWrap/>
                    <w:overflowPunct/>
                    <w:topLinePunct w:val="0"/>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空间</w:t>
                  </w:r>
                </w:p>
                <w:p>
                  <w:pPr>
                    <w:keepNext w:val="0"/>
                    <w:keepLines w:val="0"/>
                    <w:pageBreakBefore w:val="0"/>
                    <w:widowControl/>
                    <w:suppressLineNumbers w:val="0"/>
                    <w:kinsoku/>
                    <w:wordWrap/>
                    <w:overflowPunct/>
                    <w:topLinePunct w:val="0"/>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布局-</w:t>
                  </w:r>
                </w:p>
                <w:p>
                  <w:pPr>
                    <w:keepNext w:val="0"/>
                    <w:keepLines w:val="0"/>
                    <w:pageBreakBefore w:val="0"/>
                    <w:widowControl/>
                    <w:suppressLineNumbers w:val="0"/>
                    <w:kinsoku/>
                    <w:wordWrap/>
                    <w:overflowPunct/>
                    <w:topLinePunct w:val="0"/>
                    <w:bidi w:val="0"/>
                    <w:spacing w:line="240" w:lineRule="auto"/>
                    <w:jc w:val="center"/>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kern w:val="0"/>
                      <w:sz w:val="21"/>
                      <w:szCs w:val="21"/>
                      <w:lang w:val="en-US" w:eastAsia="zh-CN" w:bidi="ar"/>
                    </w:rPr>
                    <w:t>禁止</w:t>
                  </w:r>
                </w:p>
              </w:tc>
              <w:tc>
                <w:tcPr>
                  <w:tcW w:w="55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kern w:val="2"/>
                      <w:sz w:val="21"/>
                      <w:szCs w:val="21"/>
                      <w:vertAlign w:val="baseline"/>
                      <w:lang w:val="en-US" w:eastAsia="zh-CN" w:bidi="ar-SA"/>
                    </w:rPr>
                    <w:t>5</w:t>
                  </w:r>
                </w:p>
              </w:tc>
              <w:tc>
                <w:tcPr>
                  <w:tcW w:w="21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kern w:val="2"/>
                      <w:sz w:val="21"/>
                      <w:szCs w:val="21"/>
                      <w:vertAlign w:val="baseline"/>
                      <w:lang w:val="en-US" w:eastAsia="zh-CN" w:bidi="ar-SA"/>
                    </w:rPr>
                    <w:t>原则上禁止新建露天矿山建设项目。</w:t>
                  </w:r>
                </w:p>
              </w:tc>
              <w:tc>
                <w:tcPr>
                  <w:tcW w:w="194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kern w:val="2"/>
                      <w:sz w:val="21"/>
                      <w:szCs w:val="21"/>
                      <w:vertAlign w:val="baseline"/>
                      <w:lang w:val="en-US" w:eastAsia="zh-CN" w:bidi="ar-SA"/>
                    </w:rPr>
                    <w:t>本项目从事</w:t>
                  </w:r>
                  <w:r>
                    <w:rPr>
                      <w:rFonts w:hint="eastAsia" w:ascii="Times New Roman" w:hAnsi="Times New Roman" w:eastAsia="宋体" w:cs="Times New Roman"/>
                      <w:color w:val="000000"/>
                      <w:kern w:val="2"/>
                      <w:sz w:val="21"/>
                      <w:szCs w:val="21"/>
                      <w:vertAlign w:val="baseline"/>
                      <w:lang w:val="en-US" w:eastAsia="zh-CN" w:bidi="ar-SA"/>
                    </w:rPr>
                    <w:t>滚动轴承制造</w:t>
                  </w:r>
                  <w:r>
                    <w:rPr>
                      <w:rFonts w:hint="default" w:ascii="Times New Roman" w:hAnsi="Times New Roman" w:eastAsia="宋体" w:cs="Times New Roman"/>
                      <w:color w:val="000000"/>
                      <w:kern w:val="2"/>
                      <w:sz w:val="21"/>
                      <w:szCs w:val="21"/>
                      <w:vertAlign w:val="baseline"/>
                      <w:lang w:val="en-US" w:eastAsia="zh-CN" w:bidi="ar-SA"/>
                    </w:rPr>
                    <w:t>，不属于新</w:t>
                  </w:r>
                </w:p>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kern w:val="2"/>
                      <w:sz w:val="21"/>
                      <w:szCs w:val="21"/>
                      <w:vertAlign w:val="baseline"/>
                      <w:lang w:val="en-US" w:eastAsia="zh-CN" w:bidi="ar-SA"/>
                    </w:rPr>
                    <w:t>建露天矿山建设项目</w:t>
                  </w:r>
                  <w:r>
                    <w:rPr>
                      <w:rFonts w:hint="eastAsia" w:ascii="Times New Roman" w:hAnsi="Times New Roman" w:eastAsia="宋体" w:cs="Times New Roman"/>
                      <w:color w:val="000000"/>
                      <w:kern w:val="2"/>
                      <w:sz w:val="21"/>
                      <w:szCs w:val="21"/>
                      <w:vertAlign w:val="baseline"/>
                      <w:lang w:val="en-US" w:eastAsia="zh-CN" w:bidi="ar-SA"/>
                    </w:rPr>
                    <w:t>。</w:t>
                  </w:r>
                </w:p>
              </w:tc>
              <w:tc>
                <w:tcPr>
                  <w:tcW w:w="933"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kern w:val="2"/>
                      <w:sz w:val="21"/>
                      <w:szCs w:val="21"/>
                      <w:vertAlign w:val="baseli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kern w:val="2"/>
                      <w:sz w:val="21"/>
                      <w:szCs w:val="21"/>
                      <w:vertAlign w:val="baseline"/>
                      <w:lang w:val="en-US" w:eastAsia="zh-CN" w:bidi="ar-SA"/>
                    </w:rPr>
                  </w:pPr>
                </w:p>
              </w:tc>
              <w:tc>
                <w:tcPr>
                  <w:tcW w:w="435"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kern w:val="2"/>
                      <w:sz w:val="21"/>
                      <w:szCs w:val="21"/>
                      <w:vertAlign w:val="baseline"/>
                      <w:lang w:val="en-US" w:eastAsia="zh-CN" w:bidi="ar-SA"/>
                    </w:rPr>
                  </w:pPr>
                </w:p>
              </w:tc>
              <w:tc>
                <w:tcPr>
                  <w:tcW w:w="465"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kern w:val="2"/>
                      <w:sz w:val="21"/>
                      <w:szCs w:val="21"/>
                      <w:vertAlign w:val="baseline"/>
                      <w:lang w:val="en-US" w:eastAsia="zh-CN" w:bidi="ar-SA"/>
                    </w:rPr>
                  </w:pPr>
                </w:p>
              </w:tc>
              <w:tc>
                <w:tcPr>
                  <w:tcW w:w="77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kern w:val="2"/>
                      <w:sz w:val="21"/>
                      <w:szCs w:val="21"/>
                      <w:vertAlign w:val="baseline"/>
                      <w:lang w:val="en-US" w:eastAsia="zh-CN" w:bidi="ar-SA"/>
                    </w:rPr>
                  </w:pPr>
                </w:p>
              </w:tc>
              <w:tc>
                <w:tcPr>
                  <w:tcW w:w="55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kern w:val="2"/>
                      <w:sz w:val="21"/>
                      <w:szCs w:val="21"/>
                      <w:vertAlign w:val="baseline"/>
                      <w:lang w:val="en-US" w:eastAsia="zh-CN" w:bidi="ar-SA"/>
                    </w:rPr>
                    <w:t>7</w:t>
                  </w:r>
                </w:p>
              </w:tc>
              <w:tc>
                <w:tcPr>
                  <w:tcW w:w="2165" w:type="dxa"/>
                  <w:vAlign w:val="center"/>
                </w:tcPr>
                <w:p>
                  <w:pPr>
                    <w:keepNext w:val="0"/>
                    <w:keepLines w:val="0"/>
                    <w:pageBreakBefore w:val="0"/>
                    <w:widowControl/>
                    <w:suppressLineNumbers w:val="0"/>
                    <w:kinsoku/>
                    <w:wordWrap/>
                    <w:overflowPunct/>
                    <w:topLinePunct w:val="0"/>
                    <w:bidi w:val="0"/>
                    <w:jc w:val="both"/>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kern w:val="0"/>
                      <w:sz w:val="21"/>
                      <w:szCs w:val="21"/>
                      <w:lang w:val="en-US" w:eastAsia="zh-CN" w:bidi="ar"/>
                    </w:rPr>
                    <w:t>全市禁止建设生产和使用高</w:t>
                  </w:r>
                  <w:r>
                    <w:rPr>
                      <w:rFonts w:hint="eastAsia" w:cs="Times New Roman"/>
                      <w:color w:val="000000"/>
                      <w:kern w:val="0"/>
                      <w:sz w:val="21"/>
                      <w:szCs w:val="21"/>
                      <w:lang w:val="en-US" w:eastAsia="zh-CN" w:bidi="ar"/>
                    </w:rPr>
                    <w:t>挥发性有机物</w:t>
                  </w:r>
                  <w:r>
                    <w:rPr>
                      <w:rFonts w:hint="default" w:ascii="Times New Roman" w:hAnsi="Times New Roman" w:eastAsia="宋体" w:cs="Times New Roman"/>
                      <w:color w:val="000000"/>
                      <w:kern w:val="0"/>
                      <w:sz w:val="21"/>
                      <w:szCs w:val="21"/>
                      <w:lang w:val="en-US" w:eastAsia="zh-CN" w:bidi="ar"/>
                    </w:rPr>
                    <w:t>含量的溶剂型涂料、油墨、胶黏剂等项目。</w:t>
                  </w:r>
                </w:p>
              </w:tc>
              <w:tc>
                <w:tcPr>
                  <w:tcW w:w="1945" w:type="dxa"/>
                  <w:vAlign w:val="center"/>
                </w:tcPr>
                <w:p>
                  <w:pPr>
                    <w:keepNext w:val="0"/>
                    <w:keepLines w:val="0"/>
                    <w:widowControl/>
                    <w:suppressLineNumbers w:val="0"/>
                    <w:jc w:val="left"/>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kern w:val="0"/>
                      <w:sz w:val="21"/>
                      <w:szCs w:val="21"/>
                      <w:lang w:val="en-US" w:eastAsia="zh-CN" w:bidi="ar"/>
                    </w:rPr>
                    <w:t>本项目不生产和使用高</w:t>
                  </w:r>
                  <w:r>
                    <w:rPr>
                      <w:rFonts w:hint="eastAsia" w:cs="Times New Roman"/>
                      <w:color w:val="000000"/>
                      <w:kern w:val="0"/>
                      <w:sz w:val="21"/>
                      <w:szCs w:val="21"/>
                      <w:lang w:val="en-US" w:eastAsia="zh-CN" w:bidi="ar"/>
                    </w:rPr>
                    <w:t>挥发性有机物</w:t>
                  </w:r>
                  <w:r>
                    <w:rPr>
                      <w:rFonts w:hint="default" w:ascii="Times New Roman" w:hAnsi="Times New Roman" w:eastAsia="宋体" w:cs="Times New Roman"/>
                      <w:color w:val="000000"/>
                      <w:kern w:val="0"/>
                      <w:sz w:val="21"/>
                      <w:szCs w:val="21"/>
                      <w:lang w:val="en-US" w:eastAsia="zh-CN" w:bidi="ar"/>
                    </w:rPr>
                    <w:t>含量的溶剂型涂料、油墨、胶黏剂等。</w:t>
                  </w:r>
                </w:p>
              </w:tc>
              <w:tc>
                <w:tcPr>
                  <w:tcW w:w="933"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kern w:val="2"/>
                      <w:sz w:val="21"/>
                      <w:szCs w:val="21"/>
                      <w:vertAlign w:val="baseli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kern w:val="2"/>
                      <w:sz w:val="21"/>
                      <w:szCs w:val="21"/>
                      <w:vertAlign w:val="baseline"/>
                      <w:lang w:val="en-US" w:eastAsia="zh-CN" w:bidi="ar-SA"/>
                    </w:rPr>
                  </w:pPr>
                </w:p>
              </w:tc>
              <w:tc>
                <w:tcPr>
                  <w:tcW w:w="435"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kern w:val="2"/>
                      <w:sz w:val="21"/>
                      <w:szCs w:val="21"/>
                      <w:vertAlign w:val="baseline"/>
                      <w:lang w:val="en-US" w:eastAsia="zh-CN" w:bidi="ar-SA"/>
                    </w:rPr>
                  </w:pPr>
                </w:p>
              </w:tc>
              <w:tc>
                <w:tcPr>
                  <w:tcW w:w="465"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kern w:val="2"/>
                      <w:sz w:val="21"/>
                      <w:szCs w:val="21"/>
                      <w:vertAlign w:val="baseline"/>
                      <w:lang w:val="en-US" w:eastAsia="zh-CN" w:bidi="ar-SA"/>
                    </w:rPr>
                  </w:pPr>
                </w:p>
              </w:tc>
              <w:tc>
                <w:tcPr>
                  <w:tcW w:w="77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kern w:val="2"/>
                      <w:sz w:val="21"/>
                      <w:szCs w:val="21"/>
                      <w:vertAlign w:val="baseline"/>
                      <w:lang w:val="en-US" w:eastAsia="zh-CN" w:bidi="ar-SA"/>
                    </w:rPr>
                  </w:pPr>
                </w:p>
              </w:tc>
              <w:tc>
                <w:tcPr>
                  <w:tcW w:w="55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kern w:val="2"/>
                      <w:sz w:val="21"/>
                      <w:szCs w:val="21"/>
                      <w:vertAlign w:val="baseline"/>
                      <w:lang w:val="en-US" w:eastAsia="zh-CN" w:bidi="ar-SA"/>
                    </w:rPr>
                    <w:t>9</w:t>
                  </w:r>
                </w:p>
              </w:tc>
              <w:tc>
                <w:tcPr>
                  <w:tcW w:w="2165" w:type="dxa"/>
                  <w:vAlign w:val="center"/>
                </w:tcPr>
                <w:p>
                  <w:pPr>
                    <w:keepNext w:val="0"/>
                    <w:keepLines w:val="0"/>
                    <w:pageBreakBefore w:val="0"/>
                    <w:widowControl/>
                    <w:suppressLineNumbers w:val="0"/>
                    <w:kinsoku/>
                    <w:wordWrap/>
                    <w:overflowPunct/>
                    <w:topLinePunct w:val="0"/>
                    <w:bidi w:val="0"/>
                    <w:jc w:val="both"/>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kern w:val="0"/>
                      <w:sz w:val="21"/>
                      <w:szCs w:val="21"/>
                      <w:lang w:val="en-US" w:eastAsia="zh-CN" w:bidi="ar"/>
                    </w:rPr>
                    <w:t>严禁新增钢铁、焦化、铸造、水泥、平板玻璃等产能；确有必要新建的，要严格执行产能置换实施办法。</w:t>
                  </w:r>
                </w:p>
              </w:tc>
              <w:tc>
                <w:tcPr>
                  <w:tcW w:w="1945" w:type="dxa"/>
                  <w:vAlign w:val="center"/>
                </w:tcPr>
                <w:p>
                  <w:pPr>
                    <w:keepNext w:val="0"/>
                    <w:keepLines w:val="0"/>
                    <w:widowControl/>
                    <w:suppressLineNumbers w:val="0"/>
                    <w:jc w:val="left"/>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kern w:val="0"/>
                      <w:sz w:val="21"/>
                      <w:szCs w:val="21"/>
                      <w:lang w:val="en-US" w:eastAsia="zh-CN" w:bidi="ar"/>
                    </w:rPr>
                    <w:t>本项目</w:t>
                  </w:r>
                  <w:r>
                    <w:rPr>
                      <w:rFonts w:hint="default" w:ascii="Times New Roman" w:hAnsi="Times New Roman" w:eastAsia="宋体" w:cs="Times New Roman"/>
                      <w:color w:val="000000"/>
                      <w:kern w:val="2"/>
                      <w:sz w:val="21"/>
                      <w:szCs w:val="21"/>
                      <w:vertAlign w:val="baseline"/>
                      <w:lang w:val="en-US" w:eastAsia="zh-CN" w:bidi="ar-SA"/>
                    </w:rPr>
                    <w:t>从事</w:t>
                  </w:r>
                  <w:r>
                    <w:rPr>
                      <w:rFonts w:hint="eastAsia" w:ascii="Times New Roman" w:hAnsi="Times New Roman" w:eastAsia="宋体" w:cs="Times New Roman"/>
                      <w:color w:val="000000"/>
                      <w:kern w:val="2"/>
                      <w:sz w:val="21"/>
                      <w:szCs w:val="21"/>
                      <w:vertAlign w:val="baseline"/>
                      <w:lang w:val="en-US" w:eastAsia="zh-CN" w:bidi="ar-SA"/>
                    </w:rPr>
                    <w:t>滚动轴承制造</w:t>
                  </w:r>
                  <w:r>
                    <w:rPr>
                      <w:rFonts w:hint="default" w:ascii="Times New Roman" w:hAnsi="Times New Roman" w:eastAsia="宋体" w:cs="Times New Roman"/>
                      <w:color w:val="000000"/>
                      <w:kern w:val="0"/>
                      <w:sz w:val="21"/>
                      <w:szCs w:val="21"/>
                      <w:lang w:val="en-US" w:eastAsia="zh-CN" w:bidi="ar"/>
                    </w:rPr>
                    <w:t>，不涉及新增钢铁、焦化、铸造、水泥、平板玻璃等产能。</w:t>
                  </w:r>
                </w:p>
              </w:tc>
              <w:tc>
                <w:tcPr>
                  <w:tcW w:w="933"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kern w:val="2"/>
                      <w:sz w:val="21"/>
                      <w:szCs w:val="21"/>
                      <w:vertAlign w:val="baseli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kern w:val="2"/>
                      <w:sz w:val="21"/>
                      <w:szCs w:val="21"/>
                      <w:vertAlign w:val="baseline"/>
                      <w:lang w:val="en-US" w:eastAsia="zh-CN" w:bidi="ar-SA"/>
                    </w:rPr>
                  </w:pPr>
                </w:p>
              </w:tc>
              <w:tc>
                <w:tcPr>
                  <w:tcW w:w="435"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kern w:val="2"/>
                      <w:sz w:val="21"/>
                      <w:szCs w:val="21"/>
                      <w:vertAlign w:val="baseline"/>
                      <w:lang w:val="en-US" w:eastAsia="zh-CN" w:bidi="ar-SA"/>
                    </w:rPr>
                  </w:pPr>
                </w:p>
              </w:tc>
              <w:tc>
                <w:tcPr>
                  <w:tcW w:w="465" w:type="dxa"/>
                  <w:vAlign w:val="center"/>
                </w:tcPr>
                <w:p>
                  <w:pPr>
                    <w:keepNext w:val="0"/>
                    <w:keepLines w:val="0"/>
                    <w:pageBreakBefore w:val="0"/>
                    <w:widowControl/>
                    <w:suppressLineNumbers w:val="0"/>
                    <w:kinsoku/>
                    <w:wordWrap/>
                    <w:overflowPunct/>
                    <w:topLinePunct w:val="0"/>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限制</w:t>
                  </w:r>
                </w:p>
                <w:p>
                  <w:pPr>
                    <w:keepNext w:val="0"/>
                    <w:keepLines w:val="0"/>
                    <w:pageBreakBefore w:val="0"/>
                    <w:widowControl/>
                    <w:suppressLineNumbers w:val="0"/>
                    <w:kinsoku/>
                    <w:wordWrap/>
                    <w:overflowPunct/>
                    <w:topLinePunct w:val="0"/>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开发</w:t>
                  </w:r>
                </w:p>
                <w:p>
                  <w:pPr>
                    <w:keepNext w:val="0"/>
                    <w:keepLines w:val="0"/>
                    <w:pageBreakBefore w:val="0"/>
                    <w:widowControl/>
                    <w:suppressLineNumbers w:val="0"/>
                    <w:kinsoku/>
                    <w:wordWrap/>
                    <w:overflowPunct/>
                    <w:topLinePunct w:val="0"/>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建设</w:t>
                  </w:r>
                </w:p>
                <w:p>
                  <w:pPr>
                    <w:keepNext w:val="0"/>
                    <w:keepLines w:val="0"/>
                    <w:pageBreakBefore w:val="0"/>
                    <w:widowControl/>
                    <w:suppressLineNumbers w:val="0"/>
                    <w:kinsoku/>
                    <w:wordWrap/>
                    <w:overflowPunct/>
                    <w:topLinePunct w:val="0"/>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活动</w:t>
                  </w:r>
                </w:p>
                <w:p>
                  <w:pPr>
                    <w:keepNext w:val="0"/>
                    <w:keepLines w:val="0"/>
                    <w:pageBreakBefore w:val="0"/>
                    <w:widowControl/>
                    <w:suppressLineNumbers w:val="0"/>
                    <w:kinsoku/>
                    <w:wordWrap/>
                    <w:overflowPunct/>
                    <w:topLinePunct w:val="0"/>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的要</w:t>
                  </w:r>
                </w:p>
                <w:p>
                  <w:pPr>
                    <w:keepNext w:val="0"/>
                    <w:keepLines w:val="0"/>
                    <w:pageBreakBefore w:val="0"/>
                    <w:widowControl/>
                    <w:suppressLineNumbers w:val="0"/>
                    <w:kinsoku/>
                    <w:wordWrap/>
                    <w:overflowPunct/>
                    <w:topLinePunct w:val="0"/>
                    <w:bidi w:val="0"/>
                    <w:spacing w:line="240" w:lineRule="auto"/>
                    <w:jc w:val="center"/>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kern w:val="0"/>
                      <w:sz w:val="21"/>
                      <w:szCs w:val="21"/>
                      <w:lang w:val="en-US" w:eastAsia="zh-CN" w:bidi="ar"/>
                    </w:rPr>
                    <w:t>求</w:t>
                  </w:r>
                </w:p>
              </w:tc>
              <w:tc>
                <w:tcPr>
                  <w:tcW w:w="770" w:type="dxa"/>
                  <w:vAlign w:val="center"/>
                </w:tcPr>
                <w:p>
                  <w:pPr>
                    <w:keepNext w:val="0"/>
                    <w:keepLines w:val="0"/>
                    <w:pageBreakBefore w:val="0"/>
                    <w:widowControl/>
                    <w:suppressLineNumbers w:val="0"/>
                    <w:kinsoku/>
                    <w:wordWrap/>
                    <w:overflowPunct/>
                    <w:topLinePunct w:val="0"/>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宿州-</w:t>
                  </w:r>
                </w:p>
                <w:p>
                  <w:pPr>
                    <w:keepNext w:val="0"/>
                    <w:keepLines w:val="0"/>
                    <w:pageBreakBefore w:val="0"/>
                    <w:widowControl/>
                    <w:suppressLineNumbers w:val="0"/>
                    <w:kinsoku/>
                    <w:wordWrap/>
                    <w:overflowPunct/>
                    <w:topLinePunct w:val="0"/>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重点-</w:t>
                  </w:r>
                </w:p>
                <w:p>
                  <w:pPr>
                    <w:keepNext w:val="0"/>
                    <w:keepLines w:val="0"/>
                    <w:pageBreakBefore w:val="0"/>
                    <w:widowControl/>
                    <w:suppressLineNumbers w:val="0"/>
                    <w:kinsoku/>
                    <w:wordWrap/>
                    <w:overflowPunct/>
                    <w:topLinePunct w:val="0"/>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空间</w:t>
                  </w:r>
                </w:p>
                <w:p>
                  <w:pPr>
                    <w:keepNext w:val="0"/>
                    <w:keepLines w:val="0"/>
                    <w:pageBreakBefore w:val="0"/>
                    <w:widowControl/>
                    <w:suppressLineNumbers w:val="0"/>
                    <w:kinsoku/>
                    <w:wordWrap/>
                    <w:overflowPunct/>
                    <w:topLinePunct w:val="0"/>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布局-</w:t>
                  </w:r>
                </w:p>
                <w:p>
                  <w:pPr>
                    <w:keepNext w:val="0"/>
                    <w:keepLines w:val="0"/>
                    <w:pageBreakBefore w:val="0"/>
                    <w:widowControl/>
                    <w:suppressLineNumbers w:val="0"/>
                    <w:kinsoku/>
                    <w:wordWrap/>
                    <w:overflowPunct/>
                    <w:topLinePunct w:val="0"/>
                    <w:bidi w:val="0"/>
                    <w:spacing w:line="240" w:lineRule="auto"/>
                    <w:jc w:val="center"/>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kern w:val="0"/>
                      <w:sz w:val="21"/>
                      <w:szCs w:val="21"/>
                      <w:lang w:val="en-US" w:eastAsia="zh-CN" w:bidi="ar"/>
                    </w:rPr>
                    <w:t>限制</w:t>
                  </w:r>
                </w:p>
              </w:tc>
              <w:tc>
                <w:tcPr>
                  <w:tcW w:w="55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kern w:val="2"/>
                      <w:sz w:val="21"/>
                      <w:szCs w:val="21"/>
                      <w:vertAlign w:val="baseline"/>
                      <w:lang w:val="en-US" w:eastAsia="zh-CN" w:bidi="ar-SA"/>
                    </w:rPr>
                    <w:t>3</w:t>
                  </w:r>
                </w:p>
              </w:tc>
              <w:tc>
                <w:tcPr>
                  <w:tcW w:w="2165" w:type="dxa"/>
                  <w:vAlign w:val="center"/>
                </w:tcPr>
                <w:p>
                  <w:pPr>
                    <w:keepNext w:val="0"/>
                    <w:keepLines w:val="0"/>
                    <w:pageBreakBefore w:val="0"/>
                    <w:widowControl/>
                    <w:suppressLineNumbers w:val="0"/>
                    <w:kinsoku/>
                    <w:wordWrap/>
                    <w:overflowPunct/>
                    <w:topLinePunct w:val="0"/>
                    <w:bidi w:val="0"/>
                    <w:jc w:val="both"/>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kern w:val="0"/>
                      <w:sz w:val="21"/>
                      <w:szCs w:val="21"/>
                      <w:lang w:val="en-US" w:eastAsia="zh-CN" w:bidi="ar"/>
                    </w:rPr>
                    <w:t>落实国家相关要求，严格限制高风险化学品生产、使用、进出口，并逐步淘汰、替换。</w:t>
                  </w:r>
                </w:p>
              </w:tc>
              <w:tc>
                <w:tcPr>
                  <w:tcW w:w="1945" w:type="dxa"/>
                  <w:vAlign w:val="center"/>
                </w:tcPr>
                <w:p>
                  <w:pPr>
                    <w:keepNext w:val="0"/>
                    <w:keepLines w:val="0"/>
                    <w:widowControl/>
                    <w:suppressLineNumbers w:val="0"/>
                    <w:jc w:val="left"/>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kern w:val="0"/>
                      <w:sz w:val="21"/>
                      <w:szCs w:val="21"/>
                      <w:lang w:val="en-US" w:eastAsia="zh-CN" w:bidi="ar"/>
                    </w:rPr>
                    <w:t>本项目严格按照国家相关要求，不生产、使用、进出口高风险化学品。</w:t>
                  </w:r>
                </w:p>
              </w:tc>
              <w:tc>
                <w:tcPr>
                  <w:tcW w:w="933"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kern w:val="2"/>
                      <w:sz w:val="21"/>
                      <w:szCs w:val="21"/>
                      <w:vertAlign w:val="baseli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2" w:hRule="atLeast"/>
                <w:jc w:val="center"/>
              </w:trPr>
              <w:tc>
                <w:tcPr>
                  <w:tcW w:w="674"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kern w:val="2"/>
                      <w:sz w:val="21"/>
                      <w:szCs w:val="21"/>
                      <w:vertAlign w:val="baseline"/>
                      <w:lang w:val="en-US" w:eastAsia="zh-CN" w:bidi="ar-SA"/>
                    </w:rPr>
                  </w:pPr>
                </w:p>
              </w:tc>
              <w:tc>
                <w:tcPr>
                  <w:tcW w:w="435"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kern w:val="2"/>
                      <w:sz w:val="21"/>
                      <w:szCs w:val="21"/>
                      <w:vertAlign w:val="baseline"/>
                      <w:lang w:val="en-US" w:eastAsia="zh-CN" w:bidi="ar-SA"/>
                    </w:rPr>
                  </w:pPr>
                </w:p>
              </w:tc>
              <w:tc>
                <w:tcPr>
                  <w:tcW w:w="465" w:type="dxa"/>
                  <w:vAlign w:val="center"/>
                </w:tcPr>
                <w:p>
                  <w:pPr>
                    <w:keepNext w:val="0"/>
                    <w:keepLines w:val="0"/>
                    <w:pageBreakBefore w:val="0"/>
                    <w:widowControl/>
                    <w:suppressLineNumbers w:val="0"/>
                    <w:kinsoku/>
                    <w:wordWrap/>
                    <w:overflowPunct/>
                    <w:topLinePunct w:val="0"/>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不符</w:t>
                  </w:r>
                </w:p>
                <w:p>
                  <w:pPr>
                    <w:keepNext w:val="0"/>
                    <w:keepLines w:val="0"/>
                    <w:pageBreakBefore w:val="0"/>
                    <w:widowControl/>
                    <w:suppressLineNumbers w:val="0"/>
                    <w:kinsoku/>
                    <w:wordWrap/>
                    <w:overflowPunct/>
                    <w:topLinePunct w:val="0"/>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合空</w:t>
                  </w:r>
                </w:p>
                <w:p>
                  <w:pPr>
                    <w:keepNext w:val="0"/>
                    <w:keepLines w:val="0"/>
                    <w:pageBreakBefore w:val="0"/>
                    <w:widowControl/>
                    <w:suppressLineNumbers w:val="0"/>
                    <w:kinsoku/>
                    <w:wordWrap/>
                    <w:overflowPunct/>
                    <w:topLinePunct w:val="0"/>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间布</w:t>
                  </w:r>
                </w:p>
                <w:p>
                  <w:pPr>
                    <w:keepNext w:val="0"/>
                    <w:keepLines w:val="0"/>
                    <w:pageBreakBefore w:val="0"/>
                    <w:widowControl/>
                    <w:suppressLineNumbers w:val="0"/>
                    <w:kinsoku/>
                    <w:wordWrap/>
                    <w:overflowPunct/>
                    <w:topLinePunct w:val="0"/>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局要</w:t>
                  </w:r>
                </w:p>
                <w:p>
                  <w:pPr>
                    <w:keepNext w:val="0"/>
                    <w:keepLines w:val="0"/>
                    <w:pageBreakBefore w:val="0"/>
                    <w:widowControl/>
                    <w:suppressLineNumbers w:val="0"/>
                    <w:kinsoku/>
                    <w:wordWrap/>
                    <w:overflowPunct/>
                    <w:topLinePunct w:val="0"/>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求活</w:t>
                  </w:r>
                </w:p>
                <w:p>
                  <w:pPr>
                    <w:keepNext w:val="0"/>
                    <w:keepLines w:val="0"/>
                    <w:pageBreakBefore w:val="0"/>
                    <w:widowControl/>
                    <w:suppressLineNumbers w:val="0"/>
                    <w:kinsoku/>
                    <w:wordWrap/>
                    <w:overflowPunct/>
                    <w:topLinePunct w:val="0"/>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动的</w:t>
                  </w:r>
                </w:p>
                <w:p>
                  <w:pPr>
                    <w:keepNext w:val="0"/>
                    <w:keepLines w:val="0"/>
                    <w:pageBreakBefore w:val="0"/>
                    <w:widowControl/>
                    <w:suppressLineNumbers w:val="0"/>
                    <w:kinsoku/>
                    <w:wordWrap/>
                    <w:overflowPunct/>
                    <w:topLinePunct w:val="0"/>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退出</w:t>
                  </w:r>
                </w:p>
                <w:p>
                  <w:pPr>
                    <w:keepNext w:val="0"/>
                    <w:keepLines w:val="0"/>
                    <w:pageBreakBefore w:val="0"/>
                    <w:widowControl/>
                    <w:suppressLineNumbers w:val="0"/>
                    <w:kinsoku/>
                    <w:wordWrap/>
                    <w:overflowPunct/>
                    <w:topLinePunct w:val="0"/>
                    <w:bidi w:val="0"/>
                    <w:spacing w:line="240" w:lineRule="auto"/>
                    <w:jc w:val="center"/>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kern w:val="0"/>
                      <w:sz w:val="21"/>
                      <w:szCs w:val="21"/>
                      <w:lang w:val="en-US" w:eastAsia="zh-CN" w:bidi="ar"/>
                    </w:rPr>
                    <w:t>要求</w:t>
                  </w:r>
                </w:p>
              </w:tc>
              <w:tc>
                <w:tcPr>
                  <w:tcW w:w="770" w:type="dxa"/>
                  <w:vAlign w:val="center"/>
                </w:tcPr>
                <w:p>
                  <w:pPr>
                    <w:keepNext w:val="0"/>
                    <w:keepLines w:val="0"/>
                    <w:pageBreakBefore w:val="0"/>
                    <w:widowControl/>
                    <w:suppressLineNumbers w:val="0"/>
                    <w:kinsoku/>
                    <w:wordWrap/>
                    <w:overflowPunct/>
                    <w:topLinePunct w:val="0"/>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宿州-</w:t>
                  </w:r>
                </w:p>
                <w:p>
                  <w:pPr>
                    <w:keepNext w:val="0"/>
                    <w:keepLines w:val="0"/>
                    <w:pageBreakBefore w:val="0"/>
                    <w:widowControl/>
                    <w:suppressLineNumbers w:val="0"/>
                    <w:kinsoku/>
                    <w:wordWrap/>
                    <w:overflowPunct/>
                    <w:topLinePunct w:val="0"/>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重点-</w:t>
                  </w:r>
                </w:p>
                <w:p>
                  <w:pPr>
                    <w:keepNext w:val="0"/>
                    <w:keepLines w:val="0"/>
                    <w:pageBreakBefore w:val="0"/>
                    <w:widowControl/>
                    <w:suppressLineNumbers w:val="0"/>
                    <w:kinsoku/>
                    <w:wordWrap/>
                    <w:overflowPunct/>
                    <w:topLinePunct w:val="0"/>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空间</w:t>
                  </w:r>
                </w:p>
                <w:p>
                  <w:pPr>
                    <w:keepNext w:val="0"/>
                    <w:keepLines w:val="0"/>
                    <w:pageBreakBefore w:val="0"/>
                    <w:widowControl/>
                    <w:suppressLineNumbers w:val="0"/>
                    <w:kinsoku/>
                    <w:wordWrap/>
                    <w:overflowPunct/>
                    <w:topLinePunct w:val="0"/>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布局-</w:t>
                  </w:r>
                </w:p>
                <w:p>
                  <w:pPr>
                    <w:keepNext w:val="0"/>
                    <w:keepLines w:val="0"/>
                    <w:pageBreakBefore w:val="0"/>
                    <w:widowControl/>
                    <w:suppressLineNumbers w:val="0"/>
                    <w:kinsoku/>
                    <w:wordWrap/>
                    <w:overflowPunct/>
                    <w:topLinePunct w:val="0"/>
                    <w:bidi w:val="0"/>
                    <w:spacing w:line="240" w:lineRule="auto"/>
                    <w:jc w:val="center"/>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kern w:val="0"/>
                      <w:sz w:val="21"/>
                      <w:szCs w:val="21"/>
                      <w:lang w:val="en-US" w:eastAsia="zh-CN" w:bidi="ar"/>
                    </w:rPr>
                    <w:t>退出</w:t>
                  </w:r>
                </w:p>
              </w:tc>
              <w:tc>
                <w:tcPr>
                  <w:tcW w:w="55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kern w:val="2"/>
                      <w:sz w:val="21"/>
                      <w:szCs w:val="21"/>
                      <w:vertAlign w:val="baseline"/>
                      <w:lang w:val="en-US" w:eastAsia="zh-CN" w:bidi="ar-SA"/>
                    </w:rPr>
                    <w:t>1</w:t>
                  </w:r>
                </w:p>
              </w:tc>
              <w:tc>
                <w:tcPr>
                  <w:tcW w:w="2165" w:type="dxa"/>
                  <w:vAlign w:val="center"/>
                </w:tcPr>
                <w:p>
                  <w:pPr>
                    <w:keepNext w:val="0"/>
                    <w:keepLines w:val="0"/>
                    <w:pageBreakBefore w:val="0"/>
                    <w:widowControl/>
                    <w:suppressLineNumbers w:val="0"/>
                    <w:kinsoku/>
                    <w:wordWrap/>
                    <w:overflowPunct/>
                    <w:topLinePunct w:val="0"/>
                    <w:bidi w:val="0"/>
                    <w:jc w:val="both"/>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kern w:val="0"/>
                      <w:sz w:val="21"/>
                      <w:szCs w:val="21"/>
                      <w:lang w:val="en-US" w:eastAsia="zh-CN" w:bidi="ar"/>
                    </w:rPr>
                    <w:t>城市建成区全面淘汰10蒸吨/小时及以下燃煤锅炉，不再审批20蒸吨/小时及下燃煤锅炉。</w:t>
                  </w:r>
                </w:p>
              </w:tc>
              <w:tc>
                <w:tcPr>
                  <w:tcW w:w="194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kern w:val="2"/>
                      <w:sz w:val="21"/>
                      <w:szCs w:val="21"/>
                      <w:vertAlign w:val="baseline"/>
                      <w:lang w:val="en-US" w:eastAsia="zh-CN" w:bidi="ar-SA"/>
                    </w:rPr>
                    <w:t>本项目不使用燃煤锅炉</w:t>
                  </w:r>
                  <w:r>
                    <w:rPr>
                      <w:rFonts w:hint="eastAsia" w:ascii="Times New Roman" w:hAnsi="Times New Roman" w:eastAsia="宋体" w:cs="Times New Roman"/>
                      <w:color w:val="000000"/>
                      <w:kern w:val="2"/>
                      <w:sz w:val="21"/>
                      <w:szCs w:val="21"/>
                      <w:vertAlign w:val="baseline"/>
                      <w:lang w:val="en-US" w:eastAsia="zh-CN" w:bidi="ar-SA"/>
                    </w:rPr>
                    <w:t>。</w:t>
                  </w:r>
                </w:p>
              </w:tc>
              <w:tc>
                <w:tcPr>
                  <w:tcW w:w="933"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kern w:val="2"/>
                      <w:sz w:val="21"/>
                      <w:szCs w:val="21"/>
                      <w:vertAlign w:val="baseli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kern w:val="2"/>
                      <w:sz w:val="21"/>
                      <w:szCs w:val="21"/>
                      <w:vertAlign w:val="baseline"/>
                      <w:lang w:val="en-US" w:eastAsia="zh-CN" w:bidi="ar-SA"/>
                    </w:rPr>
                  </w:pPr>
                </w:p>
              </w:tc>
              <w:tc>
                <w:tcPr>
                  <w:tcW w:w="435"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kern w:val="2"/>
                      <w:sz w:val="21"/>
                      <w:szCs w:val="21"/>
                      <w:vertAlign w:val="baseline"/>
                      <w:lang w:val="en-US" w:eastAsia="zh-CN" w:bidi="ar-SA"/>
                    </w:rPr>
                  </w:pPr>
                </w:p>
              </w:tc>
              <w:tc>
                <w:tcPr>
                  <w:tcW w:w="465" w:type="dxa"/>
                  <w:vAlign w:val="center"/>
                </w:tcPr>
                <w:p>
                  <w:pPr>
                    <w:keepNext w:val="0"/>
                    <w:keepLines w:val="0"/>
                    <w:pageBreakBefore w:val="0"/>
                    <w:widowControl/>
                    <w:suppressLineNumbers w:val="0"/>
                    <w:kinsoku/>
                    <w:wordWrap/>
                    <w:overflowPunct/>
                    <w:topLinePunct w:val="0"/>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其他</w:t>
                  </w:r>
                </w:p>
                <w:p>
                  <w:pPr>
                    <w:keepNext w:val="0"/>
                    <w:keepLines w:val="0"/>
                    <w:pageBreakBefore w:val="0"/>
                    <w:widowControl/>
                    <w:suppressLineNumbers w:val="0"/>
                    <w:kinsoku/>
                    <w:wordWrap/>
                    <w:overflowPunct/>
                    <w:topLinePunct w:val="0"/>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空间</w:t>
                  </w:r>
                </w:p>
                <w:p>
                  <w:pPr>
                    <w:keepNext w:val="0"/>
                    <w:keepLines w:val="0"/>
                    <w:pageBreakBefore w:val="0"/>
                    <w:widowControl/>
                    <w:suppressLineNumbers w:val="0"/>
                    <w:kinsoku/>
                    <w:wordWrap/>
                    <w:overflowPunct/>
                    <w:topLinePunct w:val="0"/>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布局</w:t>
                  </w:r>
                </w:p>
                <w:p>
                  <w:pPr>
                    <w:keepNext w:val="0"/>
                    <w:keepLines w:val="0"/>
                    <w:pageBreakBefore w:val="0"/>
                    <w:widowControl/>
                    <w:suppressLineNumbers w:val="0"/>
                    <w:kinsoku/>
                    <w:wordWrap/>
                    <w:overflowPunct/>
                    <w:topLinePunct w:val="0"/>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约束</w:t>
                  </w:r>
                </w:p>
                <w:p>
                  <w:pPr>
                    <w:keepNext w:val="0"/>
                    <w:keepLines w:val="0"/>
                    <w:pageBreakBefore w:val="0"/>
                    <w:widowControl/>
                    <w:suppressLineNumbers w:val="0"/>
                    <w:kinsoku/>
                    <w:wordWrap/>
                    <w:overflowPunct/>
                    <w:topLinePunct w:val="0"/>
                    <w:bidi w:val="0"/>
                    <w:spacing w:line="240" w:lineRule="auto"/>
                    <w:jc w:val="center"/>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kern w:val="0"/>
                      <w:sz w:val="21"/>
                      <w:szCs w:val="21"/>
                      <w:lang w:val="en-US" w:eastAsia="zh-CN" w:bidi="ar"/>
                    </w:rPr>
                    <w:t>要求</w:t>
                  </w:r>
                </w:p>
              </w:tc>
              <w:tc>
                <w:tcPr>
                  <w:tcW w:w="770" w:type="dxa"/>
                  <w:vAlign w:val="center"/>
                </w:tcPr>
                <w:p>
                  <w:pPr>
                    <w:keepNext w:val="0"/>
                    <w:keepLines w:val="0"/>
                    <w:pageBreakBefore w:val="0"/>
                    <w:widowControl/>
                    <w:suppressLineNumbers w:val="0"/>
                    <w:kinsoku/>
                    <w:wordWrap/>
                    <w:overflowPunct/>
                    <w:topLinePunct w:val="0"/>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宿州-</w:t>
                  </w:r>
                </w:p>
                <w:p>
                  <w:pPr>
                    <w:keepNext w:val="0"/>
                    <w:keepLines w:val="0"/>
                    <w:pageBreakBefore w:val="0"/>
                    <w:widowControl/>
                    <w:suppressLineNumbers w:val="0"/>
                    <w:kinsoku/>
                    <w:wordWrap/>
                    <w:overflowPunct/>
                    <w:topLinePunct w:val="0"/>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重点-</w:t>
                  </w:r>
                </w:p>
                <w:p>
                  <w:pPr>
                    <w:keepNext w:val="0"/>
                    <w:keepLines w:val="0"/>
                    <w:pageBreakBefore w:val="0"/>
                    <w:widowControl/>
                    <w:suppressLineNumbers w:val="0"/>
                    <w:kinsoku/>
                    <w:wordWrap/>
                    <w:overflowPunct/>
                    <w:topLinePunct w:val="0"/>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空间</w:t>
                  </w:r>
                </w:p>
                <w:p>
                  <w:pPr>
                    <w:keepNext w:val="0"/>
                    <w:keepLines w:val="0"/>
                    <w:pageBreakBefore w:val="0"/>
                    <w:widowControl/>
                    <w:suppressLineNumbers w:val="0"/>
                    <w:kinsoku/>
                    <w:wordWrap/>
                    <w:overflowPunct/>
                    <w:topLinePunct w:val="0"/>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布局-</w:t>
                  </w:r>
                </w:p>
                <w:p>
                  <w:pPr>
                    <w:keepNext w:val="0"/>
                    <w:keepLines w:val="0"/>
                    <w:pageBreakBefore w:val="0"/>
                    <w:widowControl/>
                    <w:suppressLineNumbers w:val="0"/>
                    <w:kinsoku/>
                    <w:wordWrap/>
                    <w:overflowPunct/>
                    <w:topLinePunct w:val="0"/>
                    <w:bidi w:val="0"/>
                    <w:spacing w:line="240" w:lineRule="auto"/>
                    <w:jc w:val="center"/>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kern w:val="0"/>
                      <w:sz w:val="21"/>
                      <w:szCs w:val="21"/>
                      <w:lang w:val="en-US" w:eastAsia="zh-CN" w:bidi="ar"/>
                    </w:rPr>
                    <w:t>其他</w:t>
                  </w:r>
                </w:p>
              </w:tc>
              <w:tc>
                <w:tcPr>
                  <w:tcW w:w="55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kern w:val="2"/>
                      <w:sz w:val="21"/>
                      <w:szCs w:val="21"/>
                      <w:vertAlign w:val="baseline"/>
                      <w:lang w:val="en-US" w:eastAsia="zh-CN" w:bidi="ar-SA"/>
                    </w:rPr>
                    <w:t>1</w:t>
                  </w:r>
                </w:p>
              </w:tc>
              <w:tc>
                <w:tcPr>
                  <w:tcW w:w="2165" w:type="dxa"/>
                  <w:vAlign w:val="center"/>
                </w:tcPr>
                <w:p>
                  <w:pPr>
                    <w:keepNext w:val="0"/>
                    <w:keepLines w:val="0"/>
                    <w:pageBreakBefore w:val="0"/>
                    <w:widowControl/>
                    <w:suppressLineNumbers w:val="0"/>
                    <w:kinsoku/>
                    <w:wordWrap/>
                    <w:overflowPunct/>
                    <w:topLinePunct w:val="0"/>
                    <w:bidi w:val="0"/>
                    <w:jc w:val="both"/>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kern w:val="0"/>
                      <w:sz w:val="21"/>
                      <w:szCs w:val="21"/>
                      <w:lang w:val="en-US" w:eastAsia="zh-CN" w:bidi="ar"/>
                    </w:rPr>
                    <w:t>沿沱河、唐河、北沱河两侧500米内所有养殖场进行全面清理。</w:t>
                  </w:r>
                </w:p>
              </w:tc>
              <w:tc>
                <w:tcPr>
                  <w:tcW w:w="194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kern w:val="2"/>
                      <w:sz w:val="21"/>
                      <w:szCs w:val="21"/>
                      <w:vertAlign w:val="baseline"/>
                      <w:lang w:val="en-US" w:eastAsia="zh-CN" w:bidi="ar-SA"/>
                    </w:rPr>
                    <w:t>本项目从事滚动轴承制造，不属于养殖场项目。</w:t>
                  </w:r>
                </w:p>
              </w:tc>
              <w:tc>
                <w:tcPr>
                  <w:tcW w:w="933"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kern w:val="2"/>
                      <w:sz w:val="21"/>
                      <w:szCs w:val="21"/>
                      <w:vertAlign w:val="baseli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kern w:val="2"/>
                      <w:sz w:val="21"/>
                      <w:szCs w:val="21"/>
                      <w:vertAlign w:val="baseline"/>
                      <w:lang w:val="en-US" w:eastAsia="zh-CN" w:bidi="ar-SA"/>
                    </w:rPr>
                  </w:pPr>
                </w:p>
              </w:tc>
              <w:tc>
                <w:tcPr>
                  <w:tcW w:w="435" w:type="dxa"/>
                  <w:vMerge w:val="restart"/>
                  <w:vAlign w:val="center"/>
                </w:tcPr>
                <w:p>
                  <w:pPr>
                    <w:keepNext w:val="0"/>
                    <w:keepLines w:val="0"/>
                    <w:pageBreakBefore w:val="0"/>
                    <w:widowControl/>
                    <w:suppressLineNumbers w:val="0"/>
                    <w:kinsoku/>
                    <w:wordWrap/>
                    <w:overflowPunct/>
                    <w:topLinePunct w:val="0"/>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污</w:t>
                  </w:r>
                </w:p>
                <w:p>
                  <w:pPr>
                    <w:keepNext w:val="0"/>
                    <w:keepLines w:val="0"/>
                    <w:pageBreakBefore w:val="0"/>
                    <w:widowControl/>
                    <w:suppressLineNumbers w:val="0"/>
                    <w:kinsoku/>
                    <w:wordWrap/>
                    <w:overflowPunct/>
                    <w:topLinePunct w:val="0"/>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染</w:t>
                  </w:r>
                </w:p>
                <w:p>
                  <w:pPr>
                    <w:keepNext w:val="0"/>
                    <w:keepLines w:val="0"/>
                    <w:pageBreakBefore w:val="0"/>
                    <w:widowControl/>
                    <w:suppressLineNumbers w:val="0"/>
                    <w:kinsoku/>
                    <w:wordWrap/>
                    <w:overflowPunct/>
                    <w:topLinePunct w:val="0"/>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物</w:t>
                  </w:r>
                </w:p>
                <w:p>
                  <w:pPr>
                    <w:keepNext w:val="0"/>
                    <w:keepLines w:val="0"/>
                    <w:pageBreakBefore w:val="0"/>
                    <w:widowControl/>
                    <w:suppressLineNumbers w:val="0"/>
                    <w:kinsoku/>
                    <w:wordWrap/>
                    <w:overflowPunct/>
                    <w:topLinePunct w:val="0"/>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排</w:t>
                  </w:r>
                </w:p>
                <w:p>
                  <w:pPr>
                    <w:keepNext w:val="0"/>
                    <w:keepLines w:val="0"/>
                    <w:pageBreakBefore w:val="0"/>
                    <w:widowControl/>
                    <w:suppressLineNumbers w:val="0"/>
                    <w:kinsoku/>
                    <w:wordWrap/>
                    <w:overflowPunct/>
                    <w:topLinePunct w:val="0"/>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放</w:t>
                  </w:r>
                </w:p>
                <w:p>
                  <w:pPr>
                    <w:keepNext w:val="0"/>
                    <w:keepLines w:val="0"/>
                    <w:pageBreakBefore w:val="0"/>
                    <w:widowControl/>
                    <w:suppressLineNumbers w:val="0"/>
                    <w:kinsoku/>
                    <w:wordWrap/>
                    <w:overflowPunct/>
                    <w:topLinePunct w:val="0"/>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管</w:t>
                  </w:r>
                </w:p>
                <w:p>
                  <w:pPr>
                    <w:keepNext w:val="0"/>
                    <w:keepLines w:val="0"/>
                    <w:pageBreakBefore w:val="0"/>
                    <w:widowControl/>
                    <w:suppressLineNumbers w:val="0"/>
                    <w:kinsoku/>
                    <w:wordWrap/>
                    <w:overflowPunct/>
                    <w:topLinePunct w:val="0"/>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控</w:t>
                  </w:r>
                </w:p>
                <w:p>
                  <w:pPr>
                    <w:keepNext w:val="0"/>
                    <w:keepLines w:val="0"/>
                    <w:pageBreakBefore w:val="0"/>
                    <w:widowControl/>
                    <w:suppressLineNumbers w:val="0"/>
                    <w:kinsoku/>
                    <w:wordWrap/>
                    <w:overflowPunct/>
                    <w:topLinePunct w:val="0"/>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的</w:t>
                  </w:r>
                </w:p>
                <w:p>
                  <w:pPr>
                    <w:keepNext w:val="0"/>
                    <w:keepLines w:val="0"/>
                    <w:pageBreakBefore w:val="0"/>
                    <w:widowControl/>
                    <w:suppressLineNumbers w:val="0"/>
                    <w:kinsoku/>
                    <w:wordWrap/>
                    <w:overflowPunct/>
                    <w:topLinePunct w:val="0"/>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准</w:t>
                  </w:r>
                </w:p>
                <w:p>
                  <w:pPr>
                    <w:keepNext w:val="0"/>
                    <w:keepLines w:val="0"/>
                    <w:pageBreakBefore w:val="0"/>
                    <w:widowControl/>
                    <w:suppressLineNumbers w:val="0"/>
                    <w:kinsoku/>
                    <w:wordWrap/>
                    <w:overflowPunct/>
                    <w:topLinePunct w:val="0"/>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入</w:t>
                  </w:r>
                </w:p>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kern w:val="2"/>
                      <w:sz w:val="21"/>
                      <w:szCs w:val="21"/>
                      <w:vertAlign w:val="baseline"/>
                      <w:lang w:val="en-US" w:eastAsia="zh-CN" w:bidi="ar-SA"/>
                    </w:rPr>
                    <w:t>要求</w:t>
                  </w:r>
                </w:p>
              </w:tc>
              <w:tc>
                <w:tcPr>
                  <w:tcW w:w="465" w:type="dxa"/>
                  <w:vAlign w:val="center"/>
                </w:tcPr>
                <w:p>
                  <w:pPr>
                    <w:keepNext w:val="0"/>
                    <w:keepLines w:val="0"/>
                    <w:pageBreakBefore w:val="0"/>
                    <w:widowControl/>
                    <w:suppressLineNumbers w:val="0"/>
                    <w:kinsoku/>
                    <w:wordWrap/>
                    <w:overflowPunct/>
                    <w:topLinePunct w:val="0"/>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允许</w:t>
                  </w:r>
                </w:p>
                <w:p>
                  <w:pPr>
                    <w:keepNext w:val="0"/>
                    <w:keepLines w:val="0"/>
                    <w:pageBreakBefore w:val="0"/>
                    <w:widowControl/>
                    <w:suppressLineNumbers w:val="0"/>
                    <w:kinsoku/>
                    <w:wordWrap/>
                    <w:overflowPunct/>
                    <w:topLinePunct w:val="0"/>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排放</w:t>
                  </w:r>
                </w:p>
                <w:p>
                  <w:pPr>
                    <w:keepNext w:val="0"/>
                    <w:keepLines w:val="0"/>
                    <w:pageBreakBefore w:val="0"/>
                    <w:widowControl/>
                    <w:suppressLineNumbers w:val="0"/>
                    <w:kinsoku/>
                    <w:wordWrap/>
                    <w:overflowPunct/>
                    <w:topLinePunct w:val="0"/>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量要</w:t>
                  </w:r>
                </w:p>
                <w:p>
                  <w:pPr>
                    <w:keepNext w:val="0"/>
                    <w:keepLines w:val="0"/>
                    <w:pageBreakBefore w:val="0"/>
                    <w:widowControl/>
                    <w:suppressLineNumbers w:val="0"/>
                    <w:kinsoku/>
                    <w:wordWrap/>
                    <w:overflowPunct/>
                    <w:topLinePunct w:val="0"/>
                    <w:bidi w:val="0"/>
                    <w:spacing w:line="240" w:lineRule="auto"/>
                    <w:jc w:val="center"/>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kern w:val="0"/>
                      <w:sz w:val="21"/>
                      <w:szCs w:val="21"/>
                      <w:lang w:val="en-US" w:eastAsia="zh-CN" w:bidi="ar"/>
                    </w:rPr>
                    <w:t>求</w:t>
                  </w:r>
                </w:p>
              </w:tc>
              <w:tc>
                <w:tcPr>
                  <w:tcW w:w="770" w:type="dxa"/>
                  <w:vAlign w:val="center"/>
                </w:tcPr>
                <w:p>
                  <w:pPr>
                    <w:keepNext w:val="0"/>
                    <w:keepLines w:val="0"/>
                    <w:pageBreakBefore w:val="0"/>
                    <w:widowControl/>
                    <w:suppressLineNumbers w:val="0"/>
                    <w:kinsoku/>
                    <w:wordWrap/>
                    <w:overflowPunct/>
                    <w:topLinePunct w:val="0"/>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宿州-</w:t>
                  </w:r>
                </w:p>
                <w:p>
                  <w:pPr>
                    <w:keepNext w:val="0"/>
                    <w:keepLines w:val="0"/>
                    <w:pageBreakBefore w:val="0"/>
                    <w:widowControl/>
                    <w:suppressLineNumbers w:val="0"/>
                    <w:kinsoku/>
                    <w:wordWrap/>
                    <w:overflowPunct/>
                    <w:topLinePunct w:val="0"/>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重点-</w:t>
                  </w:r>
                </w:p>
                <w:p>
                  <w:pPr>
                    <w:keepNext w:val="0"/>
                    <w:keepLines w:val="0"/>
                    <w:pageBreakBefore w:val="0"/>
                    <w:widowControl/>
                    <w:suppressLineNumbers w:val="0"/>
                    <w:kinsoku/>
                    <w:wordWrap/>
                    <w:overflowPunct/>
                    <w:topLinePunct w:val="0"/>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排污-</w:t>
                  </w:r>
                </w:p>
                <w:p>
                  <w:pPr>
                    <w:keepNext w:val="0"/>
                    <w:keepLines w:val="0"/>
                    <w:pageBreakBefore w:val="0"/>
                    <w:widowControl/>
                    <w:suppressLineNumbers w:val="0"/>
                    <w:kinsoku/>
                    <w:wordWrap/>
                    <w:overflowPunct/>
                    <w:topLinePunct w:val="0"/>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允许</w:t>
                  </w:r>
                </w:p>
                <w:p>
                  <w:pPr>
                    <w:keepNext w:val="0"/>
                    <w:keepLines w:val="0"/>
                    <w:pageBreakBefore w:val="0"/>
                    <w:widowControl/>
                    <w:suppressLineNumbers w:val="0"/>
                    <w:kinsoku/>
                    <w:wordWrap/>
                    <w:overflowPunct/>
                    <w:topLinePunct w:val="0"/>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排放</w:t>
                  </w:r>
                </w:p>
                <w:p>
                  <w:pPr>
                    <w:keepNext w:val="0"/>
                    <w:keepLines w:val="0"/>
                    <w:pageBreakBefore w:val="0"/>
                    <w:widowControl/>
                    <w:suppressLineNumbers w:val="0"/>
                    <w:kinsoku/>
                    <w:wordWrap/>
                    <w:overflowPunct/>
                    <w:topLinePunct w:val="0"/>
                    <w:bidi w:val="0"/>
                    <w:spacing w:line="240" w:lineRule="auto"/>
                    <w:jc w:val="center"/>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kern w:val="0"/>
                      <w:sz w:val="21"/>
                      <w:szCs w:val="21"/>
                      <w:lang w:val="en-US" w:eastAsia="zh-CN" w:bidi="ar"/>
                    </w:rPr>
                    <w:t>量</w:t>
                  </w:r>
                </w:p>
              </w:tc>
              <w:tc>
                <w:tcPr>
                  <w:tcW w:w="55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kern w:val="2"/>
                      <w:sz w:val="21"/>
                      <w:szCs w:val="21"/>
                      <w:vertAlign w:val="baseline"/>
                      <w:lang w:val="en-US" w:eastAsia="zh-CN" w:bidi="ar-SA"/>
                    </w:rPr>
                    <w:t>2</w:t>
                  </w:r>
                </w:p>
              </w:tc>
              <w:tc>
                <w:tcPr>
                  <w:tcW w:w="2165" w:type="dxa"/>
                  <w:vAlign w:val="center"/>
                </w:tcPr>
                <w:p>
                  <w:pPr>
                    <w:keepNext w:val="0"/>
                    <w:keepLines w:val="0"/>
                    <w:pageBreakBefore w:val="0"/>
                    <w:widowControl/>
                    <w:suppressLineNumbers w:val="0"/>
                    <w:kinsoku/>
                    <w:wordWrap/>
                    <w:overflowPunct/>
                    <w:topLinePunct w:val="0"/>
                    <w:bidi w:val="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涂料、油墨、胶粘剂、农药等生产企业应采用密闭一体化生产技术，统一收集挥发性有机物废气并净</w:t>
                  </w:r>
                </w:p>
                <w:p>
                  <w:pPr>
                    <w:keepNext w:val="0"/>
                    <w:keepLines w:val="0"/>
                    <w:pageBreakBefore w:val="0"/>
                    <w:widowControl/>
                    <w:suppressLineNumbers w:val="0"/>
                    <w:kinsoku/>
                    <w:wordWrap/>
                    <w:overflowPunct/>
                    <w:topLinePunct w:val="0"/>
                    <w:bidi w:val="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化处理，净化效率应大于90%，加强工艺过程无组织排放控制，全面推行泄漏检测与修复（LDAR）制</w:t>
                  </w:r>
                </w:p>
                <w:p>
                  <w:pPr>
                    <w:keepNext w:val="0"/>
                    <w:keepLines w:val="0"/>
                    <w:pageBreakBefore w:val="0"/>
                    <w:widowControl/>
                    <w:suppressLineNumbers w:val="0"/>
                    <w:kinsoku/>
                    <w:wordWrap/>
                    <w:overflowPunct/>
                    <w:topLinePunct w:val="0"/>
                    <w:bidi w:val="0"/>
                    <w:jc w:val="center"/>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kern w:val="0"/>
                      <w:sz w:val="21"/>
                      <w:szCs w:val="21"/>
                      <w:lang w:val="en-US" w:eastAsia="zh-CN" w:bidi="ar"/>
                    </w:rPr>
                    <w:t>度；加强废水、废液和废渣系统逸散排放控制，推进治污设施升级改造，确保连续达标排放；全面推进油品储运销</w:t>
                  </w:r>
                  <w:r>
                    <w:rPr>
                      <w:rFonts w:hint="eastAsia" w:cs="Times New Roman"/>
                      <w:color w:val="000000"/>
                      <w:kern w:val="0"/>
                      <w:sz w:val="21"/>
                      <w:szCs w:val="21"/>
                      <w:lang w:val="en-US" w:eastAsia="zh-CN" w:bidi="ar"/>
                    </w:rPr>
                    <w:t>挥发性有机物</w:t>
                  </w:r>
                  <w:r>
                    <w:rPr>
                      <w:rFonts w:hint="default" w:ascii="Times New Roman" w:hAnsi="Times New Roman" w:eastAsia="宋体" w:cs="Times New Roman"/>
                      <w:color w:val="000000"/>
                      <w:kern w:val="0"/>
                      <w:sz w:val="21"/>
                      <w:szCs w:val="21"/>
                      <w:lang w:val="en-US" w:eastAsia="zh-CN" w:bidi="ar"/>
                    </w:rPr>
                    <w:t>治理，积极推进储油库和加油站安装油气回收自动监测设备。</w:t>
                  </w:r>
                </w:p>
              </w:tc>
              <w:tc>
                <w:tcPr>
                  <w:tcW w:w="1945" w:type="dxa"/>
                  <w:vAlign w:val="center"/>
                </w:tcPr>
                <w:p>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本项目从事</w:t>
                  </w:r>
                  <w:r>
                    <w:rPr>
                      <w:rFonts w:hint="eastAsia" w:ascii="Times New Roman" w:hAnsi="Times New Roman" w:eastAsia="宋体" w:cs="Times New Roman"/>
                      <w:color w:val="000000"/>
                      <w:kern w:val="0"/>
                      <w:sz w:val="21"/>
                      <w:szCs w:val="21"/>
                      <w:lang w:val="en-US" w:eastAsia="zh-CN" w:bidi="ar"/>
                    </w:rPr>
                    <w:t>滚动轴承制造</w:t>
                  </w:r>
                  <w:r>
                    <w:rPr>
                      <w:rFonts w:hint="default" w:ascii="Times New Roman" w:hAnsi="Times New Roman" w:eastAsia="宋体" w:cs="Times New Roman"/>
                      <w:color w:val="000000"/>
                      <w:kern w:val="0"/>
                      <w:sz w:val="21"/>
                      <w:szCs w:val="21"/>
                      <w:lang w:val="en-US" w:eastAsia="zh-CN" w:bidi="ar"/>
                    </w:rPr>
                    <w:t>，不涉及涂料、油墨、胶粘剂、农药等生产。本项目</w:t>
                  </w:r>
                  <w:r>
                    <w:rPr>
                      <w:rFonts w:hint="eastAsia" w:ascii="Times New Roman" w:hAnsi="Times New Roman" w:eastAsia="宋体" w:cs="Times New Roman"/>
                      <w:color w:val="000000"/>
                      <w:kern w:val="0"/>
                      <w:sz w:val="21"/>
                      <w:szCs w:val="21"/>
                      <w:lang w:val="en-US" w:eastAsia="zh-CN" w:bidi="ar"/>
                    </w:rPr>
                    <w:t>产生的油雾经油雾静电捕集器处理，处理效率达到90%</w:t>
                  </w:r>
                  <w:r>
                    <w:rPr>
                      <w:rFonts w:hint="default" w:ascii="Times New Roman" w:hAnsi="Times New Roman" w:eastAsia="宋体" w:cs="Times New Roman"/>
                      <w:color w:val="000000"/>
                      <w:kern w:val="0"/>
                      <w:sz w:val="21"/>
                      <w:szCs w:val="21"/>
                      <w:lang w:val="en-US" w:eastAsia="zh-CN" w:bidi="ar"/>
                    </w:rPr>
                    <w:t>；项目</w:t>
                  </w:r>
                  <w:r>
                    <w:rPr>
                      <w:rFonts w:hint="eastAsia" w:ascii="Times New Roman" w:hAnsi="Times New Roman" w:eastAsia="宋体" w:cs="Times New Roman"/>
                      <w:color w:val="000000"/>
                      <w:kern w:val="0"/>
                      <w:sz w:val="21"/>
                      <w:szCs w:val="21"/>
                      <w:lang w:val="en-US" w:eastAsia="zh-CN" w:bidi="ar"/>
                    </w:rPr>
                    <w:t>生活污水</w:t>
                  </w:r>
                  <w:r>
                    <w:rPr>
                      <w:rFonts w:hint="default" w:ascii="Times New Roman" w:hAnsi="Times New Roman" w:eastAsia="宋体" w:cs="Times New Roman"/>
                      <w:color w:val="000000"/>
                      <w:kern w:val="0"/>
                      <w:sz w:val="21"/>
                      <w:szCs w:val="21"/>
                      <w:lang w:val="en-US" w:eastAsia="zh-CN" w:bidi="ar"/>
                    </w:rPr>
                    <w:t>接管</w:t>
                  </w:r>
                  <w:r>
                    <w:rPr>
                      <w:rFonts w:hint="eastAsia" w:cs="Times New Roman"/>
                      <w:color w:val="000000" w:themeColor="text1"/>
                      <w:sz w:val="21"/>
                      <w:szCs w:val="21"/>
                      <w:vertAlign w:val="baseline"/>
                      <w:lang w:val="en-US" w:eastAsia="zh-CN"/>
                      <w14:textFill>
                        <w14:solidFill>
                          <w14:schemeClr w14:val="tx1"/>
                        </w14:solidFill>
                      </w14:textFill>
                    </w:rPr>
                    <w:t>灵璧经济开发区新北污水处理厂</w:t>
                  </w:r>
                  <w:r>
                    <w:rPr>
                      <w:rFonts w:hint="default" w:ascii="Times New Roman" w:hAnsi="Times New Roman" w:eastAsia="宋体" w:cs="Times New Roman"/>
                      <w:color w:val="000000"/>
                      <w:kern w:val="0"/>
                      <w:sz w:val="21"/>
                      <w:szCs w:val="21"/>
                      <w:lang w:val="en-US" w:eastAsia="zh-CN" w:bidi="ar"/>
                    </w:rPr>
                    <w:t xml:space="preserve">，危废交有资质单位处置，污染物 </w:t>
                  </w:r>
                </w:p>
                <w:p>
                  <w:pPr>
                    <w:keepNext w:val="0"/>
                    <w:keepLines w:val="0"/>
                    <w:widowControl/>
                    <w:suppressLineNumbers w:val="0"/>
                    <w:jc w:val="left"/>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kern w:val="0"/>
                      <w:sz w:val="21"/>
                      <w:szCs w:val="21"/>
                      <w:lang w:val="en-US" w:eastAsia="zh-CN" w:bidi="ar"/>
                    </w:rPr>
                    <w:t>可做到连续达标排放。</w:t>
                  </w:r>
                </w:p>
              </w:tc>
              <w:tc>
                <w:tcPr>
                  <w:tcW w:w="933"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kern w:val="2"/>
                      <w:sz w:val="21"/>
                      <w:szCs w:val="21"/>
                      <w:vertAlign w:val="baseli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kern w:val="2"/>
                      <w:sz w:val="21"/>
                      <w:szCs w:val="21"/>
                      <w:vertAlign w:val="baseline"/>
                      <w:lang w:val="en-US" w:eastAsia="zh-CN" w:bidi="ar-SA"/>
                    </w:rPr>
                  </w:pPr>
                </w:p>
              </w:tc>
              <w:tc>
                <w:tcPr>
                  <w:tcW w:w="435"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kern w:val="2"/>
                      <w:sz w:val="21"/>
                      <w:szCs w:val="21"/>
                      <w:vertAlign w:val="baseline"/>
                      <w:lang w:val="en-US" w:eastAsia="zh-CN" w:bidi="ar-SA"/>
                    </w:rPr>
                  </w:pPr>
                </w:p>
              </w:tc>
              <w:tc>
                <w:tcPr>
                  <w:tcW w:w="465" w:type="dxa"/>
                  <w:vAlign w:val="center"/>
                </w:tcPr>
                <w:p>
                  <w:pPr>
                    <w:keepNext w:val="0"/>
                    <w:keepLines w:val="0"/>
                    <w:pageBreakBefore w:val="0"/>
                    <w:widowControl/>
                    <w:suppressLineNumbers w:val="0"/>
                    <w:kinsoku/>
                    <w:wordWrap/>
                    <w:overflowPunct/>
                    <w:topLinePunct w:val="0"/>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现有</w:t>
                  </w:r>
                </w:p>
                <w:p>
                  <w:pPr>
                    <w:keepNext w:val="0"/>
                    <w:keepLines w:val="0"/>
                    <w:pageBreakBefore w:val="0"/>
                    <w:widowControl/>
                    <w:suppressLineNumbers w:val="0"/>
                    <w:kinsoku/>
                    <w:wordWrap/>
                    <w:overflowPunct/>
                    <w:topLinePunct w:val="0"/>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源提</w:t>
                  </w:r>
                </w:p>
                <w:p>
                  <w:pPr>
                    <w:keepNext w:val="0"/>
                    <w:keepLines w:val="0"/>
                    <w:pageBreakBefore w:val="0"/>
                    <w:widowControl/>
                    <w:suppressLineNumbers w:val="0"/>
                    <w:kinsoku/>
                    <w:wordWrap/>
                    <w:overflowPunct/>
                    <w:topLinePunct w:val="0"/>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标升</w:t>
                  </w:r>
                </w:p>
                <w:p>
                  <w:pPr>
                    <w:keepNext w:val="0"/>
                    <w:keepLines w:val="0"/>
                    <w:pageBreakBefore w:val="0"/>
                    <w:widowControl/>
                    <w:suppressLineNumbers w:val="0"/>
                    <w:kinsoku/>
                    <w:wordWrap/>
                    <w:overflowPunct/>
                    <w:topLinePunct w:val="0"/>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级改</w:t>
                  </w:r>
                </w:p>
                <w:p>
                  <w:pPr>
                    <w:keepNext w:val="0"/>
                    <w:keepLines w:val="0"/>
                    <w:pageBreakBefore w:val="0"/>
                    <w:widowControl/>
                    <w:suppressLineNumbers w:val="0"/>
                    <w:kinsoku/>
                    <w:wordWrap/>
                    <w:overflowPunct/>
                    <w:topLinePunct w:val="0"/>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造</w:t>
                  </w:r>
                </w:p>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kern w:val="2"/>
                      <w:sz w:val="21"/>
                      <w:szCs w:val="21"/>
                      <w:vertAlign w:val="baseline"/>
                      <w:lang w:val="en-US" w:eastAsia="zh-CN" w:bidi="ar-SA"/>
                    </w:rPr>
                  </w:pPr>
                </w:p>
              </w:tc>
              <w:tc>
                <w:tcPr>
                  <w:tcW w:w="770" w:type="dxa"/>
                  <w:vAlign w:val="center"/>
                </w:tcPr>
                <w:p>
                  <w:pPr>
                    <w:keepNext w:val="0"/>
                    <w:keepLines w:val="0"/>
                    <w:pageBreakBefore w:val="0"/>
                    <w:widowControl/>
                    <w:suppressLineNumbers w:val="0"/>
                    <w:kinsoku/>
                    <w:wordWrap/>
                    <w:overflowPunct/>
                    <w:topLinePunct w:val="0"/>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宿州-</w:t>
                  </w:r>
                </w:p>
                <w:p>
                  <w:pPr>
                    <w:keepNext w:val="0"/>
                    <w:keepLines w:val="0"/>
                    <w:pageBreakBefore w:val="0"/>
                    <w:widowControl/>
                    <w:suppressLineNumbers w:val="0"/>
                    <w:kinsoku/>
                    <w:wordWrap/>
                    <w:overflowPunct/>
                    <w:topLinePunct w:val="0"/>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重点-</w:t>
                  </w:r>
                </w:p>
                <w:p>
                  <w:pPr>
                    <w:keepNext w:val="0"/>
                    <w:keepLines w:val="0"/>
                    <w:pageBreakBefore w:val="0"/>
                    <w:widowControl/>
                    <w:suppressLineNumbers w:val="0"/>
                    <w:kinsoku/>
                    <w:wordWrap/>
                    <w:overflowPunct/>
                    <w:topLinePunct w:val="0"/>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排污-</w:t>
                  </w:r>
                </w:p>
                <w:p>
                  <w:pPr>
                    <w:keepNext w:val="0"/>
                    <w:keepLines w:val="0"/>
                    <w:pageBreakBefore w:val="0"/>
                    <w:widowControl/>
                    <w:suppressLineNumbers w:val="0"/>
                    <w:kinsoku/>
                    <w:wordWrap/>
                    <w:overflowPunct/>
                    <w:topLinePunct w:val="0"/>
                    <w:bidi w:val="0"/>
                    <w:spacing w:line="240" w:lineRule="auto"/>
                    <w:jc w:val="center"/>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kern w:val="0"/>
                      <w:sz w:val="21"/>
                      <w:szCs w:val="21"/>
                      <w:lang w:val="en-US" w:eastAsia="zh-CN" w:bidi="ar"/>
                    </w:rPr>
                    <w:t>升级</w:t>
                  </w:r>
                </w:p>
              </w:tc>
              <w:tc>
                <w:tcPr>
                  <w:tcW w:w="55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kern w:val="2"/>
                      <w:sz w:val="21"/>
                      <w:szCs w:val="21"/>
                      <w:vertAlign w:val="baseline"/>
                      <w:lang w:val="en-US" w:eastAsia="zh-CN" w:bidi="ar-SA"/>
                    </w:rPr>
                    <w:t>3</w:t>
                  </w:r>
                </w:p>
              </w:tc>
              <w:tc>
                <w:tcPr>
                  <w:tcW w:w="2165" w:type="dxa"/>
                  <w:vAlign w:val="center"/>
                </w:tcPr>
                <w:p>
                  <w:pPr>
                    <w:keepNext w:val="0"/>
                    <w:keepLines w:val="0"/>
                    <w:pageBreakBefore w:val="0"/>
                    <w:widowControl/>
                    <w:suppressLineNumbers w:val="0"/>
                    <w:kinsoku/>
                    <w:wordWrap/>
                    <w:overflowPunct/>
                    <w:topLinePunct w:val="0"/>
                    <w:bidi w:val="0"/>
                    <w:jc w:val="both"/>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kern w:val="0"/>
                      <w:sz w:val="21"/>
                      <w:szCs w:val="21"/>
                      <w:lang w:val="en-US" w:eastAsia="zh-CN" w:bidi="ar"/>
                    </w:rPr>
                    <w:t>燃气锅炉基本完成低氮改造；城市建成区生物质锅炉实施超低排放改造。</w:t>
                  </w:r>
                </w:p>
              </w:tc>
              <w:tc>
                <w:tcPr>
                  <w:tcW w:w="194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kern w:val="2"/>
                      <w:sz w:val="21"/>
                      <w:szCs w:val="21"/>
                      <w:vertAlign w:val="baseline"/>
                      <w:lang w:val="en-US" w:eastAsia="zh-CN" w:bidi="ar-SA"/>
                    </w:rPr>
                    <w:t>项目不涉及使用燃气锅炉、生物质锅炉。</w:t>
                  </w:r>
                </w:p>
              </w:tc>
              <w:tc>
                <w:tcPr>
                  <w:tcW w:w="933"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kern w:val="2"/>
                      <w:sz w:val="21"/>
                      <w:szCs w:val="21"/>
                      <w:vertAlign w:val="baseli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kern w:val="2"/>
                      <w:sz w:val="21"/>
                      <w:szCs w:val="21"/>
                      <w:vertAlign w:val="baseline"/>
                      <w:lang w:val="en-US" w:eastAsia="zh-CN" w:bidi="ar-SA"/>
                    </w:rPr>
                  </w:pPr>
                </w:p>
              </w:tc>
              <w:tc>
                <w:tcPr>
                  <w:tcW w:w="435"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kern w:val="2"/>
                      <w:sz w:val="21"/>
                      <w:szCs w:val="21"/>
                      <w:vertAlign w:val="baseline"/>
                      <w:lang w:val="en-US" w:eastAsia="zh-CN" w:bidi="ar-SA"/>
                    </w:rPr>
                  </w:pPr>
                </w:p>
              </w:tc>
              <w:tc>
                <w:tcPr>
                  <w:tcW w:w="465" w:type="dxa"/>
                  <w:vAlign w:val="center"/>
                </w:tcPr>
                <w:p>
                  <w:pPr>
                    <w:keepNext w:val="0"/>
                    <w:keepLines w:val="0"/>
                    <w:pageBreakBefore w:val="0"/>
                    <w:widowControl/>
                    <w:suppressLineNumbers w:val="0"/>
                    <w:kinsoku/>
                    <w:wordWrap/>
                    <w:overflowPunct/>
                    <w:topLinePunct w:val="0"/>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其他</w:t>
                  </w:r>
                </w:p>
                <w:p>
                  <w:pPr>
                    <w:keepNext w:val="0"/>
                    <w:keepLines w:val="0"/>
                    <w:pageBreakBefore w:val="0"/>
                    <w:widowControl/>
                    <w:suppressLineNumbers w:val="0"/>
                    <w:kinsoku/>
                    <w:wordWrap/>
                    <w:overflowPunct/>
                    <w:topLinePunct w:val="0"/>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污染</w:t>
                  </w:r>
                </w:p>
                <w:p>
                  <w:pPr>
                    <w:keepNext w:val="0"/>
                    <w:keepLines w:val="0"/>
                    <w:pageBreakBefore w:val="0"/>
                    <w:widowControl/>
                    <w:suppressLineNumbers w:val="0"/>
                    <w:kinsoku/>
                    <w:wordWrap/>
                    <w:overflowPunct/>
                    <w:topLinePunct w:val="0"/>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物排</w:t>
                  </w:r>
                </w:p>
                <w:p>
                  <w:pPr>
                    <w:keepNext w:val="0"/>
                    <w:keepLines w:val="0"/>
                    <w:pageBreakBefore w:val="0"/>
                    <w:widowControl/>
                    <w:suppressLineNumbers w:val="0"/>
                    <w:kinsoku/>
                    <w:wordWrap/>
                    <w:overflowPunct/>
                    <w:topLinePunct w:val="0"/>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放管</w:t>
                  </w:r>
                </w:p>
                <w:p>
                  <w:pPr>
                    <w:keepNext w:val="0"/>
                    <w:keepLines w:val="0"/>
                    <w:pageBreakBefore w:val="0"/>
                    <w:widowControl/>
                    <w:suppressLineNumbers w:val="0"/>
                    <w:kinsoku/>
                    <w:wordWrap/>
                    <w:overflowPunct/>
                    <w:topLinePunct w:val="0"/>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控要</w:t>
                  </w:r>
                </w:p>
                <w:p>
                  <w:pPr>
                    <w:keepNext w:val="0"/>
                    <w:keepLines w:val="0"/>
                    <w:pageBreakBefore w:val="0"/>
                    <w:widowControl/>
                    <w:suppressLineNumbers w:val="0"/>
                    <w:kinsoku/>
                    <w:wordWrap/>
                    <w:overflowPunct/>
                    <w:topLinePunct w:val="0"/>
                    <w:bidi w:val="0"/>
                    <w:spacing w:line="240" w:lineRule="auto"/>
                    <w:jc w:val="center"/>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kern w:val="0"/>
                      <w:sz w:val="21"/>
                      <w:szCs w:val="21"/>
                      <w:lang w:val="en-US" w:eastAsia="zh-CN" w:bidi="ar"/>
                    </w:rPr>
                    <w:t>求</w:t>
                  </w:r>
                </w:p>
              </w:tc>
              <w:tc>
                <w:tcPr>
                  <w:tcW w:w="770" w:type="dxa"/>
                  <w:vAlign w:val="center"/>
                </w:tcPr>
                <w:p>
                  <w:pPr>
                    <w:keepNext w:val="0"/>
                    <w:keepLines w:val="0"/>
                    <w:pageBreakBefore w:val="0"/>
                    <w:widowControl/>
                    <w:suppressLineNumbers w:val="0"/>
                    <w:kinsoku/>
                    <w:wordWrap/>
                    <w:overflowPunct/>
                    <w:topLinePunct w:val="0"/>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宿州-</w:t>
                  </w:r>
                </w:p>
                <w:p>
                  <w:pPr>
                    <w:keepNext w:val="0"/>
                    <w:keepLines w:val="0"/>
                    <w:pageBreakBefore w:val="0"/>
                    <w:widowControl/>
                    <w:suppressLineNumbers w:val="0"/>
                    <w:kinsoku/>
                    <w:wordWrap/>
                    <w:overflowPunct/>
                    <w:topLinePunct w:val="0"/>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重点-</w:t>
                  </w:r>
                </w:p>
                <w:p>
                  <w:pPr>
                    <w:keepNext w:val="0"/>
                    <w:keepLines w:val="0"/>
                    <w:pageBreakBefore w:val="0"/>
                    <w:widowControl/>
                    <w:suppressLineNumbers w:val="0"/>
                    <w:kinsoku/>
                    <w:wordWrap/>
                    <w:overflowPunct/>
                    <w:topLinePunct w:val="0"/>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排污-</w:t>
                  </w:r>
                </w:p>
                <w:p>
                  <w:pPr>
                    <w:keepNext w:val="0"/>
                    <w:keepLines w:val="0"/>
                    <w:pageBreakBefore w:val="0"/>
                    <w:widowControl/>
                    <w:suppressLineNumbers w:val="0"/>
                    <w:kinsoku/>
                    <w:wordWrap/>
                    <w:overflowPunct/>
                    <w:topLinePunct w:val="0"/>
                    <w:bidi w:val="0"/>
                    <w:spacing w:line="240" w:lineRule="auto"/>
                    <w:jc w:val="center"/>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kern w:val="0"/>
                      <w:sz w:val="21"/>
                      <w:szCs w:val="21"/>
                      <w:lang w:val="en-US" w:eastAsia="zh-CN" w:bidi="ar"/>
                    </w:rPr>
                    <w:t>其他</w:t>
                  </w:r>
                </w:p>
              </w:tc>
              <w:tc>
                <w:tcPr>
                  <w:tcW w:w="55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kern w:val="2"/>
                      <w:sz w:val="21"/>
                      <w:szCs w:val="21"/>
                      <w:vertAlign w:val="baseline"/>
                      <w:lang w:val="en-US" w:eastAsia="zh-CN" w:bidi="ar-SA"/>
                    </w:rPr>
                    <w:t>4</w:t>
                  </w:r>
                </w:p>
              </w:tc>
              <w:tc>
                <w:tcPr>
                  <w:tcW w:w="2165" w:type="dxa"/>
                  <w:vAlign w:val="center"/>
                </w:tcPr>
                <w:p>
                  <w:pPr>
                    <w:keepNext w:val="0"/>
                    <w:keepLines w:val="0"/>
                    <w:pageBreakBefore w:val="0"/>
                    <w:widowControl/>
                    <w:suppressLineNumbers w:val="0"/>
                    <w:kinsoku/>
                    <w:wordWrap/>
                    <w:overflowPunct/>
                    <w:topLinePunct w:val="0"/>
                    <w:bidi w:val="0"/>
                    <w:jc w:val="center"/>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kern w:val="0"/>
                      <w:sz w:val="21"/>
                      <w:szCs w:val="21"/>
                      <w:lang w:val="en-US" w:eastAsia="zh-CN" w:bidi="ar"/>
                    </w:rPr>
                    <w:t>严禁将城镇生活垃圾、污泥、工业废物直接作为肥料。</w:t>
                  </w:r>
                </w:p>
              </w:tc>
              <w:tc>
                <w:tcPr>
                  <w:tcW w:w="194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kern w:val="2"/>
                      <w:sz w:val="21"/>
                      <w:szCs w:val="21"/>
                      <w:vertAlign w:val="baseline"/>
                      <w:lang w:val="en-US" w:eastAsia="zh-CN" w:bidi="ar-SA"/>
                    </w:rPr>
                    <w:t>本项目生活垃圾由环卫部门定期清理，一般固废外售综合利用，危险废物委托有 资质单位处置。</w:t>
                  </w:r>
                </w:p>
              </w:tc>
              <w:tc>
                <w:tcPr>
                  <w:tcW w:w="933"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kern w:val="2"/>
                      <w:sz w:val="21"/>
                      <w:szCs w:val="21"/>
                      <w:vertAlign w:val="baseline"/>
                      <w:lang w:val="en-US" w:eastAsia="zh-CN" w:bidi="ar-SA"/>
                    </w:rPr>
                    <w:t>符合</w:t>
                  </w:r>
                </w:p>
              </w:tc>
            </w:tr>
          </w:tbl>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（3）与资源利用上线相符性分析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本项目给水来自供水</w:t>
            </w:r>
            <w:r>
              <w:rPr>
                <w:rFonts w:hint="default" w:ascii="Times New Roman" w:hAnsi="Times New Roman" w:eastAsia="宋体" w:cs="Times New Roman"/>
                <w:color w:val="000000"/>
                <w:kern w:val="2"/>
                <w:sz w:val="24"/>
                <w:szCs w:val="24"/>
                <w:highlight w:val="none"/>
                <w:lang w:val="en-US" w:eastAsia="zh-CN" w:bidi="ar-SA"/>
              </w:rPr>
              <w:t>管网，供水量为</w:t>
            </w:r>
            <w:r>
              <w:rPr>
                <w:rFonts w:hint="eastAsia" w:ascii="Times New Roman" w:hAnsi="Times New Roman" w:eastAsia="宋体" w:cs="Times New Roman"/>
                <w:color w:val="000000"/>
                <w:kern w:val="2"/>
                <w:sz w:val="24"/>
                <w:szCs w:val="24"/>
                <w:highlight w:val="none"/>
                <w:lang w:val="en-US" w:eastAsia="zh-CN" w:bidi="ar-SA"/>
              </w:rPr>
              <w:t>2</w:t>
            </w:r>
            <w:r>
              <w:rPr>
                <w:rFonts w:hint="eastAsia" w:cs="Times New Roman"/>
                <w:color w:val="000000"/>
                <w:kern w:val="2"/>
                <w:sz w:val="24"/>
                <w:szCs w:val="24"/>
                <w:highlight w:val="none"/>
                <w:lang w:val="en-US" w:eastAsia="zh-CN" w:bidi="ar-SA"/>
              </w:rPr>
              <w:t>580</w:t>
            </w:r>
            <w:r>
              <w:rPr>
                <w:rFonts w:hint="default" w:ascii="Times New Roman" w:hAnsi="Times New Roman" w:eastAsia="宋体" w:cs="Times New Roman"/>
                <w:color w:val="000000"/>
                <w:kern w:val="2"/>
                <w:sz w:val="24"/>
                <w:szCs w:val="24"/>
                <w:highlight w:val="none"/>
                <w:lang w:val="en-US" w:eastAsia="zh-CN" w:bidi="ar-SA"/>
              </w:rPr>
              <w:t>t/a，不会达到资源利用上线；项目用电由市政电网所供给，用电量为</w:t>
            </w:r>
            <w:r>
              <w:rPr>
                <w:rFonts w:hint="eastAsia" w:cs="Times New Roman"/>
                <w:color w:val="000000"/>
                <w:kern w:val="2"/>
                <w:sz w:val="24"/>
                <w:szCs w:val="24"/>
                <w:highlight w:val="none"/>
                <w:lang w:val="en-US" w:eastAsia="zh-CN" w:bidi="ar-SA"/>
              </w:rPr>
              <w:t>850</w:t>
            </w:r>
            <w:r>
              <w:rPr>
                <w:rFonts w:hint="default" w:ascii="Times New Roman" w:hAnsi="Times New Roman" w:eastAsia="宋体" w:cs="Times New Roman"/>
                <w:color w:val="000000"/>
                <w:kern w:val="2"/>
                <w:sz w:val="24"/>
                <w:szCs w:val="24"/>
                <w:highlight w:val="none"/>
                <w:lang w:val="en-US" w:eastAsia="zh-CN" w:bidi="ar-SA"/>
              </w:rPr>
              <w:t>万kW·h/a，不会</w:t>
            </w:r>
            <w:r>
              <w:rPr>
                <w:rFonts w:hint="default" w:ascii="Times New Roman" w:hAnsi="Times New Roman" w:eastAsia="宋体" w:cs="Times New Roman"/>
                <w:color w:val="000000"/>
                <w:kern w:val="2"/>
                <w:sz w:val="24"/>
                <w:szCs w:val="24"/>
                <w:lang w:val="en-US" w:eastAsia="zh-CN" w:bidi="ar-SA"/>
              </w:rPr>
              <w:t>达到资源利用上线；项目用地符合当地土地规划要求，不会达到资源利用上线</w:t>
            </w:r>
            <w:r>
              <w:rPr>
                <w:rFonts w:hint="eastAsia" w:ascii="Times New Roman" w:hAnsi="Times New Roman" w:eastAsia="宋体" w:cs="Times New Roman"/>
                <w:color w:val="000000"/>
                <w:kern w:val="2"/>
                <w:sz w:val="24"/>
                <w:szCs w:val="24"/>
                <w:lang w:val="en-US" w:eastAsia="zh-CN" w:bidi="ar-SA"/>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本项目成熟可靠的工艺技术，自动化控制手段，符合资源利用上线要求。</w:t>
            </w:r>
          </w:p>
          <w:p>
            <w:pPr>
              <w:autoSpaceDE w:val="0"/>
              <w:autoSpaceDN w:val="0"/>
              <w:adjustRightInd w:val="0"/>
              <w:snapToGrid w:val="0"/>
              <w:spacing w:line="360" w:lineRule="auto"/>
              <w:ind w:firstLine="480" w:firstLineChars="200"/>
              <w:jc w:val="left"/>
              <w:rPr>
                <w:color w:val="auto"/>
              </w:rPr>
            </w:pPr>
            <w:r>
              <w:rPr>
                <w:rFonts w:hint="eastAsia"/>
                <w:color w:val="auto"/>
                <w:sz w:val="24"/>
              </w:rPr>
              <w:t>（</w:t>
            </w:r>
            <w:r>
              <w:rPr>
                <w:color w:val="auto"/>
                <w:sz w:val="24"/>
              </w:rPr>
              <w:t>4</w:t>
            </w:r>
            <w:r>
              <w:rPr>
                <w:rFonts w:hint="eastAsia"/>
                <w:color w:val="auto"/>
                <w:sz w:val="24"/>
              </w:rPr>
              <w:t>）与环境准入负面清单相符性分析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rPr>
            </w:pPr>
            <w:r>
              <w:rPr>
                <w:rFonts w:hint="default" w:ascii="Times New Roman" w:hAnsi="Times New Roman" w:eastAsia="宋体" w:cs="Times New Roman"/>
                <w:color w:val="auto"/>
                <w:sz w:val="24"/>
                <w:szCs w:val="24"/>
              </w:rPr>
              <w:t>本项目选址位于</w:t>
            </w:r>
            <w:r>
              <w:rPr>
                <w:rFonts w:hint="eastAsia"/>
                <w:color w:val="000000" w:themeColor="text1"/>
                <w:kern w:val="0"/>
                <w:sz w:val="24"/>
                <w14:textFill>
                  <w14:solidFill>
                    <w14:schemeClr w14:val="tx1"/>
                  </w14:solidFill>
                </w14:textFill>
              </w:rPr>
              <w:t>安徽省宿州市</w:t>
            </w:r>
            <w:r>
              <w:rPr>
                <w:rFonts w:hint="eastAsia"/>
                <w:color w:val="000000" w:themeColor="text1"/>
                <w:kern w:val="0"/>
                <w:sz w:val="24"/>
                <w:lang w:eastAsia="zh-CN"/>
                <w14:textFill>
                  <w14:solidFill>
                    <w14:schemeClr w14:val="tx1"/>
                  </w14:solidFill>
                </w14:textFill>
              </w:rPr>
              <w:t>灵璧经济开发区轴承产业园</w:t>
            </w:r>
            <w:r>
              <w:rPr>
                <w:rFonts w:hint="eastAsia"/>
                <w:color w:val="000000" w:themeColor="text1"/>
                <w:kern w:val="0"/>
                <w:sz w:val="24"/>
                <w:lang w:val="en-US" w:eastAsia="zh-CN"/>
                <w14:textFill>
                  <w14:solidFill>
                    <w14:schemeClr w14:val="tx1"/>
                  </w14:solidFill>
                </w14:textFill>
              </w:rPr>
              <w:t>5期10号厂房</w:t>
            </w:r>
            <w:r>
              <w:rPr>
                <w:rFonts w:hint="eastAsia" w:ascii="宋体" w:hAnsi="宋体" w:eastAsia="宋体" w:cs="宋体"/>
                <w:color w:val="auto"/>
                <w:sz w:val="24"/>
                <w:szCs w:val="24"/>
              </w:rPr>
              <w:t>，本环评对照</w:t>
            </w:r>
            <w:r>
              <w:rPr>
                <w:rFonts w:hint="eastAsia" w:ascii="宋体" w:hAnsi="宋体" w:eastAsia="宋体" w:cs="宋体"/>
                <w:color w:val="auto"/>
                <w:sz w:val="24"/>
                <w:szCs w:val="24"/>
                <w:lang w:eastAsia="zh-CN"/>
              </w:rPr>
              <w:t>《宿州市“三线一单”生态环境准入清单》</w:t>
            </w:r>
            <w:r>
              <w:rPr>
                <w:rFonts w:hint="eastAsia" w:ascii="宋体" w:hAnsi="宋体" w:cs="宋体"/>
                <w:color w:val="auto"/>
                <w:sz w:val="24"/>
                <w:szCs w:val="24"/>
                <w:lang w:eastAsia="zh-CN"/>
              </w:rPr>
              <w:t>中灵璧经济开发区产业准入要求进行说明</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限制入园区项目：</w:t>
            </w:r>
            <w:r>
              <w:rPr>
                <w:rFonts w:hint="eastAsia" w:ascii="宋体" w:hAnsi="宋体" w:eastAsia="宋体" w:cs="宋体"/>
                <w:color w:val="000000" w:themeColor="text1"/>
                <w:sz w:val="24"/>
                <w:szCs w:val="24"/>
                <w:lang w:eastAsia="zh-CN"/>
                <w14:textFill>
                  <w14:solidFill>
                    <w14:schemeClr w14:val="tx1"/>
                  </w14:solidFill>
                </w14:textFill>
              </w:rPr>
              <w:t>①</w:t>
            </w:r>
            <w:r>
              <w:rPr>
                <w:rFonts w:hint="eastAsia" w:ascii="宋体" w:hAnsi="宋体" w:cs="宋体"/>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4"/>
                <w:lang w:eastAsia="zh-CN"/>
                <w14:textFill>
                  <w14:solidFill>
                    <w14:schemeClr w14:val="tx1"/>
                  </w14:solidFill>
                </w14:textFill>
              </w:rPr>
              <w:t>《产业结构调整指导目录》</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2024年本</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中限制类项目；</w:t>
            </w:r>
            <w:r>
              <w:rPr>
                <w:rFonts w:hint="eastAsia" w:ascii="宋体" w:hAnsi="宋体" w:eastAsia="宋体" w:cs="宋体"/>
                <w:color w:val="000000" w:themeColor="text1"/>
                <w:sz w:val="24"/>
                <w:szCs w:val="24"/>
                <w:lang w:eastAsia="zh-CN"/>
                <w14:textFill>
                  <w14:solidFill>
                    <w14:schemeClr w14:val="tx1"/>
                  </w14:solidFill>
                </w14:textFill>
              </w:rPr>
              <w:t>②</w:t>
            </w:r>
            <w:r>
              <w:rPr>
                <w:rFonts w:hint="eastAsia" w:ascii="Times New Roman" w:hAnsi="Times New Roman"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4"/>
                <w:lang w:eastAsia="zh-CN"/>
                <w14:textFill>
                  <w14:solidFill>
                    <w14:schemeClr w14:val="tx1"/>
                  </w14:solidFill>
                </w14:textFill>
              </w:rPr>
              <w:t>建材行业中水泥生产等高污染、高能耗项目；</w:t>
            </w:r>
            <w:r>
              <w:rPr>
                <w:rFonts w:hint="eastAsia" w:ascii="宋体" w:hAnsi="宋体" w:eastAsia="宋体" w:cs="宋体"/>
                <w:color w:val="000000" w:themeColor="text1"/>
                <w:sz w:val="24"/>
                <w:szCs w:val="24"/>
                <w:lang w:eastAsia="zh-CN"/>
                <w14:textFill>
                  <w14:solidFill>
                    <w14:schemeClr w14:val="tx1"/>
                  </w14:solidFill>
                </w14:textFill>
              </w:rPr>
              <w:t>③</w:t>
            </w:r>
            <w:r>
              <w:rPr>
                <w:rFonts w:hint="eastAsia" w:ascii="Times New Roman" w:hAnsi="Times New Roman"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4"/>
                <w:lang w:eastAsia="zh-CN"/>
                <w14:textFill>
                  <w14:solidFill>
                    <w14:schemeClr w14:val="tx1"/>
                  </w14:solidFill>
                </w14:textFill>
              </w:rPr>
              <w:t>机械加工中电镀等高污染、高能耗项目；</w:t>
            </w:r>
            <w:r>
              <w:rPr>
                <w:rFonts w:hint="eastAsia" w:ascii="宋体" w:hAnsi="宋体" w:eastAsia="宋体" w:cs="宋体"/>
                <w:color w:val="000000" w:themeColor="text1"/>
                <w:sz w:val="24"/>
                <w:szCs w:val="24"/>
                <w:lang w:val="en-US" w:eastAsia="zh-CN"/>
                <w14:textFill>
                  <w14:solidFill>
                    <w14:schemeClr w14:val="tx1"/>
                  </w14:solidFill>
                </w14:textFill>
              </w:rPr>
              <w:t>④</w:t>
            </w:r>
            <w:r>
              <w:rPr>
                <w:rFonts w:hint="eastAsia" w:ascii="宋体" w:hAnsi="宋体" w:cs="宋体"/>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4"/>
                <w:lang w:eastAsia="zh-CN"/>
                <w14:textFill>
                  <w14:solidFill>
                    <w14:schemeClr w14:val="tx1"/>
                  </w14:solidFill>
                </w14:textFill>
              </w:rPr>
              <w:t>服装生产中印染等高污染、高耗水的项目</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⑤</w:t>
            </w:r>
            <w:r>
              <w:rPr>
                <w:rFonts w:hint="eastAsia" w:ascii="宋体" w:hAnsi="宋体" w:cs="宋体"/>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4"/>
                <w:lang w:eastAsia="zh-CN"/>
                <w14:textFill>
                  <w14:solidFill>
                    <w14:schemeClr w14:val="tx1"/>
                  </w14:solidFill>
                </w14:textFill>
              </w:rPr>
              <w:t>装备制造限制进入：与主导产业类型不相符的其他非机械、电子产业；</w:t>
            </w:r>
            <w:r>
              <w:rPr>
                <w:rFonts w:hint="eastAsia" w:ascii="宋体" w:hAnsi="宋体" w:eastAsia="宋体" w:cs="宋体"/>
                <w:color w:val="000000" w:themeColor="text1"/>
                <w:sz w:val="24"/>
                <w:szCs w:val="24"/>
                <w:lang w:val="en-US" w:eastAsia="zh-CN"/>
                <w14:textFill>
                  <w14:solidFill>
                    <w14:schemeClr w14:val="tx1"/>
                  </w14:solidFill>
                </w14:textFill>
              </w:rPr>
              <w:t>⑥</w:t>
            </w:r>
            <w:r>
              <w:rPr>
                <w:rFonts w:hint="eastAsia" w:ascii="宋体" w:hAnsi="宋体" w:cs="宋体"/>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4"/>
                <w:lang w:eastAsia="zh-CN"/>
                <w14:textFill>
                  <w14:solidFill>
                    <w14:schemeClr w14:val="tx1"/>
                  </w14:solidFill>
                </w14:textFill>
              </w:rPr>
              <w:t>农副产品加工业限制进入：屠宰及肉类加工业，耗水量大的酿造类。禁止入区项目</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eastAsia="zh-CN"/>
                <w14:textFill>
                  <w14:solidFill>
                    <w14:schemeClr w14:val="tx1"/>
                  </w14:solidFill>
                </w14:textFill>
              </w:rPr>
              <w:t>①</w:t>
            </w:r>
            <w:r>
              <w:rPr>
                <w:rFonts w:hint="default" w:ascii="Times New Roman" w:hAnsi="Times New Roman" w:eastAsia="宋体" w:cs="Times New Roman"/>
                <w:color w:val="000000" w:themeColor="text1"/>
                <w:sz w:val="24"/>
                <w:szCs w:val="24"/>
                <w:lang w:eastAsia="zh-CN"/>
                <w14:textFill>
                  <w14:solidFill>
                    <w14:schemeClr w14:val="tx1"/>
                  </w14:solidFill>
                </w14:textFill>
              </w:rPr>
              <w:t>禁止入工业园项目是指国家现行产业政策明令禁止或淘汰的产业和工艺，以及污染控制难度大，不符合工业园水污染及大气污染总量控制原则的项目。《产业结构调整指导目录》</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2024年本</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中淘汰类项目</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eastAsia="zh-CN"/>
                <w14:textFill>
                  <w14:solidFill>
                    <w14:schemeClr w14:val="tx1"/>
                  </w14:solidFill>
                </w14:textFill>
              </w:rPr>
              <w:t>②</w:t>
            </w:r>
            <w:r>
              <w:rPr>
                <w:rFonts w:hint="eastAsia" w:ascii="Times New Roman" w:hAnsi="Times New Roman"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4"/>
                <w:lang w:eastAsia="zh-CN"/>
                <w14:textFill>
                  <w14:solidFill>
                    <w14:schemeClr w14:val="tx1"/>
                  </w14:solidFill>
                </w14:textFill>
              </w:rPr>
              <w:t>不符合国家产业政策和清洁生产水平的行业禁止入区，其他行业选择性入区；开发区集中供热管网建成后，尚需要自行建设小型燃煤锅炉的企业禁止入区。</w:t>
            </w:r>
            <w:r>
              <w:rPr>
                <w:rFonts w:hint="eastAsia" w:ascii="宋体" w:hAnsi="宋体" w:eastAsia="宋体" w:cs="宋体"/>
                <w:color w:val="000000" w:themeColor="text1"/>
                <w:sz w:val="24"/>
                <w:szCs w:val="24"/>
                <w:lang w:eastAsia="zh-CN"/>
                <w14:textFill>
                  <w14:solidFill>
                    <w14:schemeClr w14:val="tx1"/>
                  </w14:solidFill>
                </w14:textFill>
              </w:rPr>
              <w:t>③</w:t>
            </w:r>
            <w:r>
              <w:rPr>
                <w:rFonts w:hint="eastAsia" w:ascii="Times New Roman" w:hAnsi="Times New Roman"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4"/>
                <w:lang w:eastAsia="zh-CN"/>
                <w14:textFill>
                  <w14:solidFill>
                    <w14:schemeClr w14:val="tx1"/>
                  </w14:solidFill>
                </w14:textFill>
              </w:rPr>
              <w:t>装备制造业禁止进入：自带电镀、以及含磷和磷化剂的企业</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④</w:t>
            </w:r>
            <w:r>
              <w:rPr>
                <w:rFonts w:hint="eastAsia" w:ascii="宋体" w:hAnsi="宋体" w:cs="宋体"/>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4"/>
                <w:lang w:eastAsia="zh-CN"/>
                <w14:textFill>
                  <w14:solidFill>
                    <w14:schemeClr w14:val="tx1"/>
                  </w14:solidFill>
                </w14:textFill>
              </w:rPr>
              <w:t>农副产品加工禁止进入：主要污染物为氨氮且排放量大的项目；</w:t>
            </w:r>
            <w:r>
              <w:rPr>
                <w:rFonts w:hint="eastAsia" w:ascii="宋体" w:hAnsi="宋体" w:eastAsia="宋体" w:cs="宋体"/>
                <w:color w:val="000000" w:themeColor="text1"/>
                <w:sz w:val="24"/>
                <w:szCs w:val="24"/>
                <w:lang w:val="en-US" w:eastAsia="zh-CN"/>
                <w14:textFill>
                  <w14:solidFill>
                    <w14:schemeClr w14:val="tx1"/>
                  </w14:solidFill>
                </w14:textFill>
              </w:rPr>
              <w:t>⑤</w:t>
            </w:r>
            <w:r>
              <w:rPr>
                <w:rFonts w:hint="eastAsia" w:ascii="宋体" w:hAnsi="宋体" w:cs="宋体"/>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4"/>
                <w:lang w:eastAsia="zh-CN"/>
                <w14:textFill>
                  <w14:solidFill>
                    <w14:schemeClr w14:val="tx1"/>
                  </w14:solidFill>
                </w14:textFill>
              </w:rPr>
              <w:t>纺织服装禁止进入：印染印染、染整、制革等高耗能项目，主要污染物为氨氮且排放量大的项目</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本项目为</w:t>
            </w:r>
            <w:r>
              <w:rPr>
                <w:rFonts w:hint="eastAsia" w:ascii="宋体" w:hAnsi="宋体" w:eastAsia="宋体" w:cs="宋体"/>
                <w:color w:val="000000" w:themeColor="text1"/>
                <w:sz w:val="24"/>
                <w:szCs w:val="24"/>
                <w:lang w:eastAsia="zh-CN"/>
                <w14:textFill>
                  <w14:solidFill>
                    <w14:schemeClr w14:val="tx1"/>
                  </w14:solidFill>
                </w14:textFill>
              </w:rPr>
              <w:t>轴承、齿轮和传动部件制造，不属于</w:t>
            </w:r>
            <w:r>
              <w:rPr>
                <w:rFonts w:hint="eastAsia" w:ascii="宋体" w:hAnsi="宋体" w:eastAsia="宋体" w:cs="宋体"/>
                <w:color w:val="000000" w:themeColor="text1"/>
                <w:sz w:val="24"/>
                <w:szCs w:val="24"/>
                <w14:textFill>
                  <w14:solidFill>
                    <w14:schemeClr w14:val="tx1"/>
                  </w14:solidFill>
                </w14:textFill>
              </w:rPr>
              <w:t>《产业结构调整指导目录》（</w:t>
            </w:r>
            <w:r>
              <w:rPr>
                <w:rFonts w:hint="eastAsia" w:cs="Times New Roman"/>
                <w:color w:val="000000" w:themeColor="text1"/>
                <w:sz w:val="24"/>
                <w:szCs w:val="24"/>
                <w:lang w:val="en-US" w:eastAsia="zh-CN"/>
                <w14:textFill>
                  <w14:solidFill>
                    <w14:schemeClr w14:val="tx1"/>
                  </w14:solidFill>
                </w14:textFill>
              </w:rPr>
              <w:t>2024</w:t>
            </w:r>
            <w:r>
              <w:rPr>
                <w:rFonts w:hint="eastAsia" w:ascii="宋体" w:hAnsi="宋体" w:eastAsia="宋体" w:cs="宋体"/>
                <w:color w:val="000000" w:themeColor="text1"/>
                <w:sz w:val="24"/>
                <w:szCs w:val="24"/>
                <w14:textFill>
                  <w14:solidFill>
                    <w14:schemeClr w14:val="tx1"/>
                  </w14:solidFill>
                </w14:textFill>
              </w:rPr>
              <w:t>年本）</w:t>
            </w:r>
            <w:r>
              <w:rPr>
                <w:rFonts w:hint="eastAsia" w:ascii="宋体" w:hAnsi="宋体" w:eastAsia="宋体" w:cs="宋体"/>
                <w:color w:val="000000" w:themeColor="text1"/>
                <w:sz w:val="24"/>
                <w:szCs w:val="24"/>
                <w:lang w:eastAsia="zh-CN"/>
                <w14:textFill>
                  <w14:solidFill>
                    <w14:schemeClr w14:val="tx1"/>
                  </w14:solidFill>
                </w14:textFill>
              </w:rPr>
              <w:t>中</w:t>
            </w:r>
            <w:r>
              <w:rPr>
                <w:rFonts w:hint="eastAsia" w:ascii="宋体" w:hAnsi="宋体" w:eastAsia="宋体" w:cs="宋体"/>
                <w:color w:val="000000" w:themeColor="text1"/>
                <w:sz w:val="24"/>
                <w:szCs w:val="24"/>
                <w14:textFill>
                  <w14:solidFill>
                    <w14:schemeClr w14:val="tx1"/>
                  </w14:solidFill>
                </w14:textFill>
              </w:rPr>
              <w:t>限制类和淘汰类</w:t>
            </w:r>
            <w:r>
              <w:rPr>
                <w:rFonts w:hint="eastAsia" w:ascii="宋体" w:hAnsi="宋体" w:eastAsia="宋体" w:cs="宋体"/>
                <w:color w:val="000000" w:themeColor="text1"/>
                <w:sz w:val="24"/>
                <w:szCs w:val="24"/>
                <w:lang w:eastAsia="zh-CN"/>
                <w14:textFill>
                  <w14:solidFill>
                    <w14:schemeClr w14:val="tx1"/>
                  </w14:solidFill>
                </w14:textFill>
              </w:rPr>
              <w:t>项目，不属于上述</w:t>
            </w:r>
            <w:r>
              <w:rPr>
                <w:rFonts w:hint="default" w:ascii="Times New Roman" w:hAnsi="Times New Roman" w:eastAsia="宋体" w:cs="Times New Roman"/>
                <w:color w:val="000000" w:themeColor="text1"/>
                <w:sz w:val="24"/>
                <w:szCs w:val="24"/>
                <w:lang w:eastAsia="zh-CN"/>
                <w14:textFill>
                  <w14:solidFill>
                    <w14:schemeClr w14:val="tx1"/>
                  </w14:solidFill>
                </w14:textFill>
              </w:rPr>
              <w:t>限制入园区项目</w:t>
            </w:r>
            <w:r>
              <w:rPr>
                <w:rFonts w:hint="eastAsia" w:ascii="Times New Roman" w:hAnsi="Times New Roman" w:eastAsia="宋体" w:cs="Times New Roman"/>
                <w:color w:val="000000" w:themeColor="text1"/>
                <w:sz w:val="24"/>
                <w:szCs w:val="24"/>
                <w:lang w:eastAsia="zh-CN"/>
                <w14:textFill>
                  <w14:solidFill>
                    <w14:schemeClr w14:val="tx1"/>
                  </w14:solidFill>
                </w14:textFill>
              </w:rPr>
              <w:t>和</w:t>
            </w:r>
            <w:r>
              <w:rPr>
                <w:rFonts w:hint="default" w:ascii="Times New Roman" w:hAnsi="Times New Roman" w:eastAsia="宋体" w:cs="Times New Roman"/>
                <w:color w:val="000000" w:themeColor="text1"/>
                <w:sz w:val="24"/>
                <w:szCs w:val="24"/>
                <w:lang w:eastAsia="zh-CN"/>
                <w14:textFill>
                  <w14:solidFill>
                    <w14:schemeClr w14:val="tx1"/>
                  </w14:solidFill>
                </w14:textFill>
              </w:rPr>
              <w:t>禁止入区项目</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符合</w:t>
            </w:r>
            <w:r>
              <w:rPr>
                <w:rFonts w:hint="eastAsia" w:ascii="宋体" w:hAnsi="宋体" w:eastAsia="宋体" w:cs="宋体"/>
                <w:color w:val="000000" w:themeColor="text1"/>
                <w:sz w:val="24"/>
                <w:szCs w:val="24"/>
                <w14:textFill>
                  <w14:solidFill>
                    <w14:schemeClr w14:val="tx1"/>
                  </w14:solidFill>
                </w14:textFill>
              </w:rPr>
              <w:t>灵璧经济开发区产业准入要求</w:t>
            </w:r>
            <w:r>
              <w:rPr>
                <w:rFonts w:hint="default" w:ascii="Times New Roman" w:hAnsi="Times New Roman" w:eastAsia="宋体" w:cs="Times New Roman"/>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宋体"/>
                <w:b/>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综上所述，本项目符合“</w:t>
            </w:r>
            <w:r>
              <w:rPr>
                <w:rFonts w:hint="eastAsia" w:ascii="宋体" w:hAnsi="宋体" w:cs="宋体"/>
                <w:color w:val="000000" w:themeColor="text1"/>
                <w:sz w:val="24"/>
                <w:szCs w:val="24"/>
                <w:lang w:eastAsia="zh-CN"/>
                <w14:textFill>
                  <w14:solidFill>
                    <w14:schemeClr w14:val="tx1"/>
                  </w14:solidFill>
                </w14:textFill>
              </w:rPr>
              <w:t>分区管控及</w:t>
            </w:r>
            <w:r>
              <w:rPr>
                <w:rFonts w:hint="eastAsia" w:ascii="宋体" w:hAnsi="宋体" w:eastAsia="宋体" w:cs="宋体"/>
                <w:color w:val="000000" w:themeColor="text1"/>
                <w:sz w:val="24"/>
                <w:szCs w:val="24"/>
                <w:lang w:eastAsia="zh-CN"/>
                <w14:textFill>
                  <w14:solidFill>
                    <w14:schemeClr w14:val="tx1"/>
                  </w14:solidFill>
                </w14:textFill>
              </w:rPr>
              <w:t>三线一单”要求。</w:t>
            </w:r>
          </w:p>
          <w:p>
            <w:pPr>
              <w:snapToGrid w:val="0"/>
              <w:spacing w:line="360" w:lineRule="auto"/>
              <w:rPr>
                <w:rFonts w:hint="default" w:ascii="Times New Roman" w:hAnsi="Times New Roman" w:eastAsia="宋体" w:cs="宋体"/>
                <w:b/>
                <w:color w:val="000000" w:themeColor="text1"/>
                <w:sz w:val="24"/>
                <w:lang w:val="en-US" w:eastAsia="zh-CN"/>
                <w14:textFill>
                  <w14:solidFill>
                    <w14:schemeClr w14:val="tx1"/>
                  </w14:solidFill>
                </w14:textFill>
              </w:rPr>
            </w:pPr>
            <w:r>
              <w:rPr>
                <w:rFonts w:hint="eastAsia" w:cs="宋体"/>
                <w:b/>
                <w:color w:val="000000" w:themeColor="text1"/>
                <w:sz w:val="24"/>
                <w:lang w:val="en-US" w:eastAsia="zh-CN"/>
                <w14:textFill>
                  <w14:solidFill>
                    <w14:schemeClr w14:val="tx1"/>
                  </w14:solidFill>
                </w14:textFill>
              </w:rPr>
              <w:t>2</w:t>
            </w:r>
            <w:r>
              <w:rPr>
                <w:rFonts w:hint="default" w:ascii="Times New Roman" w:hAnsi="Times New Roman" w:eastAsia="宋体" w:cs="宋体"/>
                <w:b/>
                <w:color w:val="000000" w:themeColor="text1"/>
                <w:sz w:val="24"/>
                <w:lang w:val="en-US" w:eastAsia="zh-CN"/>
                <w14:textFill>
                  <w14:solidFill>
                    <w14:schemeClr w14:val="tx1"/>
                  </w14:solidFill>
                </w14:textFill>
              </w:rPr>
              <w:t>、产业政策符合性分析</w:t>
            </w:r>
          </w:p>
          <w:p>
            <w:pPr>
              <w:pStyle w:val="37"/>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000000"/>
                <w:sz w:val="24"/>
                <w:szCs w:val="24"/>
                <w:lang w:val="en-US" w:eastAsia="zh-CN"/>
              </w:rPr>
            </w:pPr>
            <w:r>
              <w:rPr>
                <w:rFonts w:hint="eastAsia" w:ascii="Times New Roman" w:hAnsi="Times New Roman" w:eastAsia="宋体" w:cs="Times New Roman"/>
                <w:b w:val="0"/>
                <w:bCs w:val="0"/>
                <w:color w:val="000000"/>
                <w:sz w:val="24"/>
                <w:szCs w:val="24"/>
                <w:lang w:val="en-US" w:eastAsia="zh-CN"/>
              </w:rPr>
              <w:t>根据国家发展和改革委员会2019年第29号令《产业结构调整指导目录（</w:t>
            </w:r>
            <w:r>
              <w:rPr>
                <w:rFonts w:hint="default" w:ascii="Times New Roman" w:hAnsi="Times New Roman" w:eastAsia="宋体" w:cs="Times New Roman"/>
                <w:color w:val="000000" w:themeColor="text1"/>
                <w:sz w:val="24"/>
                <w:szCs w:val="24"/>
                <w:lang w:eastAsia="zh-CN"/>
                <w14:textFill>
                  <w14:solidFill>
                    <w14:schemeClr w14:val="tx1"/>
                  </w14:solidFill>
                </w14:textFill>
              </w:rPr>
              <w:t>20</w:t>
            </w:r>
            <w:r>
              <w:rPr>
                <w:rFonts w:hint="eastAsia" w:cs="Times New Roman"/>
                <w:color w:val="000000" w:themeColor="text1"/>
                <w:sz w:val="24"/>
                <w:szCs w:val="24"/>
                <w:lang w:val="en-US" w:eastAsia="zh-CN"/>
                <w14:textFill>
                  <w14:solidFill>
                    <w14:schemeClr w14:val="tx1"/>
                  </w14:solidFill>
                </w14:textFill>
              </w:rPr>
              <w:t>24年本</w:t>
            </w:r>
            <w:r>
              <w:rPr>
                <w:rFonts w:hint="eastAsia" w:ascii="Times New Roman" w:hAnsi="Times New Roman" w:eastAsia="宋体" w:cs="Times New Roman"/>
                <w:b w:val="0"/>
                <w:bCs w:val="0"/>
                <w:color w:val="000000"/>
                <w:sz w:val="24"/>
                <w:szCs w:val="24"/>
                <w:lang w:val="en-US" w:eastAsia="zh-CN"/>
              </w:rPr>
              <w:t>）》，本项目为滚动轴承制造</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，不属于鼓励类、限制类和淘汰类，属于允许类</w:t>
            </w:r>
            <w:r>
              <w:rPr>
                <w:rFonts w:hint="eastAsia" w:ascii="Times New Roman" w:hAnsi="Times New Roman" w:eastAsia="宋体" w:cs="Times New Roman"/>
                <w:b w:val="0"/>
                <w:bCs w:val="0"/>
                <w:color w:val="000000"/>
                <w:sz w:val="24"/>
                <w:szCs w:val="24"/>
                <w:lang w:val="en-US" w:eastAsia="zh-CN"/>
              </w:rPr>
              <w:t>。因此，项目建设符合国家产业政策要求。</w:t>
            </w:r>
          </w:p>
          <w:p>
            <w:pPr>
              <w:keepNext w:val="0"/>
              <w:keepLines w:val="0"/>
              <w:pageBreakBefore w:val="0"/>
              <w:widowControl w:val="0"/>
              <w:numPr>
                <w:ilvl w:val="0"/>
                <w:numId w:val="0"/>
              </w:numPr>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项目已于灵璧县发展和改革委员会备案，项目代码为</w:t>
            </w:r>
            <w:r>
              <w:rPr>
                <w:rFonts w:hint="default" w:ascii="Times New Roman" w:hAnsi="Times New Roman" w:eastAsia="宋体" w:cs="Times New Roman"/>
                <w:color w:val="auto"/>
                <w:sz w:val="24"/>
                <w:szCs w:val="24"/>
                <w:lang w:val="en-US" w:eastAsia="zh-CN"/>
              </w:rPr>
              <w:t>2307-341323-04-01-886225</w:t>
            </w:r>
            <w:r>
              <w:rPr>
                <w:rFonts w:hint="eastAsia"/>
                <w:color w:val="000000" w:themeColor="text1"/>
                <w:sz w:val="24"/>
                <w:szCs w:val="24"/>
                <w:highlight w:val="none"/>
                <w:lang w:val="en-US" w:eastAsia="zh-CN"/>
                <w14:textFill>
                  <w14:solidFill>
                    <w14:schemeClr w14:val="tx1"/>
                  </w14:solidFill>
                </w14:textFill>
              </w:rPr>
              <w:t>。且本项目为C3451滚动轴承制造，不属于《安徽省技能减排及应对气候变化工作领导小组关于印发安徽省“两高”项目管理目录（试行）的通知》（皖节能【2022】2号）中安徽省“两高”项目管理目录（试行），因此，项目的建设符合地方的产业政策。</w:t>
            </w:r>
            <w:bookmarkStart w:id="2" w:name="_GoBack"/>
            <w:bookmarkEnd w:id="2"/>
          </w:p>
          <w:p>
            <w:pPr>
              <w:snapToGrid w:val="0"/>
              <w:spacing w:line="360" w:lineRule="auto"/>
              <w:rPr>
                <w:rFonts w:hint="default" w:ascii="Times New Roman" w:hAnsi="Times New Roman" w:eastAsia="宋体" w:cs="宋体"/>
                <w:b/>
                <w:color w:val="000000" w:themeColor="text1"/>
                <w:sz w:val="24"/>
                <w:lang w:val="en-US" w:eastAsia="zh-CN"/>
                <w14:textFill>
                  <w14:solidFill>
                    <w14:schemeClr w14:val="tx1"/>
                  </w14:solidFill>
                </w14:textFill>
              </w:rPr>
            </w:pPr>
            <w:r>
              <w:rPr>
                <w:rFonts w:hint="eastAsia" w:cs="宋体"/>
                <w:b/>
                <w:color w:val="000000" w:themeColor="text1"/>
                <w:sz w:val="24"/>
                <w:lang w:val="en-US" w:eastAsia="zh-CN"/>
                <w14:textFill>
                  <w14:solidFill>
                    <w14:schemeClr w14:val="tx1"/>
                  </w14:solidFill>
                </w14:textFill>
              </w:rPr>
              <w:t>3</w:t>
            </w:r>
            <w:r>
              <w:rPr>
                <w:rFonts w:hint="default" w:ascii="Times New Roman" w:hAnsi="Times New Roman" w:eastAsia="宋体" w:cs="宋体"/>
                <w:b/>
                <w:color w:val="000000" w:themeColor="text1"/>
                <w:sz w:val="24"/>
                <w:lang w:val="en-US" w:eastAsia="zh-CN"/>
                <w14:textFill>
                  <w14:solidFill>
                    <w14:schemeClr w14:val="tx1"/>
                  </w14:solidFill>
                </w14:textFill>
              </w:rPr>
              <w:t>、相关政策符合性分析</w:t>
            </w:r>
          </w:p>
          <w:p>
            <w:pPr>
              <w:pStyle w:val="39"/>
              <w:spacing w:line="360" w:lineRule="auto"/>
              <w:ind w:firstLine="480" w:firstLineChars="200"/>
              <w:jc w:val="both"/>
              <w:rPr>
                <w:b w:val="0"/>
                <w:bCs/>
                <w:sz w:val="24"/>
              </w:rPr>
            </w:pPr>
            <w:r>
              <w:rPr>
                <w:rFonts w:hint="eastAsia"/>
                <w:b w:val="0"/>
                <w:bCs/>
                <w:sz w:val="24"/>
              </w:rPr>
              <w:t>（1）项目与《中共中央国务院关于深入打好污染防治攻坚战的意见》相符性分析</w:t>
            </w:r>
          </w:p>
          <w:p>
            <w:pPr>
              <w:pStyle w:val="39"/>
              <w:spacing w:line="360" w:lineRule="auto"/>
            </w:pPr>
            <w:r>
              <w:rPr>
                <w:bCs/>
                <w:sz w:val="24"/>
              </w:rPr>
              <w:t>表1.</w:t>
            </w:r>
            <w:r>
              <w:rPr>
                <w:rFonts w:hint="eastAsia"/>
                <w:bCs/>
                <w:sz w:val="24"/>
                <w:lang w:val="en-US" w:eastAsia="zh-CN"/>
              </w:rPr>
              <w:t>5</w:t>
            </w:r>
            <w:r>
              <w:rPr>
                <w:bCs/>
                <w:sz w:val="24"/>
              </w:rPr>
              <w:t xml:space="preserve">  </w:t>
            </w:r>
            <w:r>
              <w:rPr>
                <w:rFonts w:hint="eastAsia"/>
                <w:sz w:val="24"/>
              </w:rPr>
              <w:t>与</w:t>
            </w:r>
            <w:r>
              <w:rPr>
                <w:rFonts w:hint="eastAsia" w:ascii="宋体" w:hAnsi="宋体"/>
                <w:sz w:val="24"/>
              </w:rPr>
              <w:t>《中共中央国务院关于深入打好污染防治攻坚战的意见》</w:t>
            </w:r>
            <w:r>
              <w:rPr>
                <w:rFonts w:hint="eastAsia"/>
                <w:sz w:val="24"/>
              </w:rPr>
              <w:t>相符性分析</w:t>
            </w:r>
          </w:p>
          <w:tbl>
            <w:tblPr>
              <w:tblStyle w:val="26"/>
              <w:tblW w:w="79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3189"/>
              <w:gridCol w:w="3065"/>
              <w:gridCol w:w="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6" w:type="dxa"/>
                  <w:vAlign w:val="center"/>
                </w:tcPr>
                <w:p>
                  <w:pPr>
                    <w:adjustRightInd w:val="0"/>
                    <w:snapToGrid w:val="0"/>
                    <w:jc w:val="center"/>
                  </w:pPr>
                  <w:r>
                    <w:t>序号</w:t>
                  </w:r>
                </w:p>
              </w:tc>
              <w:tc>
                <w:tcPr>
                  <w:tcW w:w="3189" w:type="dxa"/>
                  <w:vAlign w:val="center"/>
                </w:tcPr>
                <w:p>
                  <w:pPr>
                    <w:adjustRightInd w:val="0"/>
                    <w:snapToGrid w:val="0"/>
                    <w:jc w:val="center"/>
                    <w:rPr>
                      <w:szCs w:val="21"/>
                    </w:rPr>
                  </w:pPr>
                  <w:r>
                    <w:rPr>
                      <w:rFonts w:hint="eastAsia" w:ascii="宋体" w:hAnsi="宋体"/>
                      <w:szCs w:val="21"/>
                    </w:rPr>
                    <w:t>中共中央国务院关于深入打好污染防治攻坚战的意见</w:t>
                  </w:r>
                </w:p>
              </w:tc>
              <w:tc>
                <w:tcPr>
                  <w:tcW w:w="3065" w:type="dxa"/>
                  <w:vAlign w:val="center"/>
                </w:tcPr>
                <w:p>
                  <w:pPr>
                    <w:adjustRightInd w:val="0"/>
                    <w:snapToGrid w:val="0"/>
                    <w:jc w:val="center"/>
                  </w:pPr>
                  <w:r>
                    <w:t>项目情况</w:t>
                  </w:r>
                </w:p>
              </w:tc>
              <w:tc>
                <w:tcPr>
                  <w:tcW w:w="967" w:type="dxa"/>
                  <w:vAlign w:val="center"/>
                </w:tcPr>
                <w:p>
                  <w:pPr>
                    <w:adjustRightInd w:val="0"/>
                    <w:snapToGrid w:val="0"/>
                    <w:jc w:val="center"/>
                  </w:pPr>
                  <w: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6" w:type="dxa"/>
                  <w:vAlign w:val="center"/>
                </w:tcPr>
                <w:p>
                  <w:pPr>
                    <w:adjustRightInd w:val="0"/>
                    <w:snapToGrid w:val="0"/>
                    <w:jc w:val="center"/>
                  </w:pPr>
                  <w:r>
                    <w:t>1</w:t>
                  </w:r>
                </w:p>
              </w:tc>
              <w:tc>
                <w:tcPr>
                  <w:tcW w:w="3189" w:type="dxa"/>
                  <w:vAlign w:val="center"/>
                </w:tcPr>
                <w:p>
                  <w:pPr>
                    <w:adjustRightInd w:val="0"/>
                    <w:snapToGrid w:val="0"/>
                    <w:jc w:val="center"/>
                    <w:rPr>
                      <w:szCs w:val="21"/>
                    </w:rPr>
                  </w:pPr>
                  <w:r>
                    <w:rPr>
                      <w:rFonts w:hint="eastAsia" w:ascii="宋体" w:hAnsi="宋体" w:cs="宋体"/>
                      <w:szCs w:val="21"/>
                      <w:shd w:val="clear" w:color="auto" w:fill="FFFFFF"/>
                    </w:rPr>
                    <w:t>着力打好重污染天气消除攻坚战。聚焦秋冬季细颗粒物污染，加大重点区域、重点行业结构调整和污染治理力度。京津冀及周边地区、汾渭平原持续开展秋冬季大气污染综合治理专项行动。东北地区加强秸秆禁烧管控和采暖燃煤污染治理。天山北坡城市群加强兵地协作，钢铁、有色金属、化工等行业参照重点区域执行重污染天气应急减排措施。科学调整大气污染防治重点区域范围，构建省市县三级重污染天气应急预案体系，实施重点行业企业绩效分级管理，依法严厉打击不落实应急减排措施行为。到</w:t>
                  </w:r>
                  <w:r>
                    <w:rPr>
                      <w:rFonts w:hint="default" w:ascii="Times New Roman" w:hAnsi="Times New Roman" w:cs="Times New Roman"/>
                      <w:szCs w:val="21"/>
                      <w:shd w:val="clear" w:color="auto" w:fill="FFFFFF"/>
                    </w:rPr>
                    <w:t>2025</w:t>
                  </w:r>
                  <w:r>
                    <w:rPr>
                      <w:rFonts w:hint="eastAsia" w:ascii="宋体" w:hAnsi="宋体" w:cs="宋体"/>
                      <w:szCs w:val="21"/>
                      <w:shd w:val="clear" w:color="auto" w:fill="FFFFFF"/>
                    </w:rPr>
                    <w:t>年，全国重度及以上污染天数比率控制在1%以内。</w:t>
                  </w:r>
                </w:p>
              </w:tc>
              <w:tc>
                <w:tcPr>
                  <w:tcW w:w="3065" w:type="dxa"/>
                  <w:vAlign w:val="center"/>
                </w:tcPr>
                <w:p>
                  <w:pPr>
                    <w:adjustRightInd w:val="0"/>
                    <w:snapToGrid w:val="0"/>
                    <w:jc w:val="center"/>
                    <w:rPr>
                      <w:rFonts w:hint="eastAsia" w:eastAsia="宋体"/>
                      <w:lang w:eastAsia="zh-CN"/>
                    </w:rPr>
                  </w:pPr>
                  <w:r>
                    <w:rPr>
                      <w:color w:val="auto"/>
                      <w:highlight w:val="none"/>
                    </w:rPr>
                    <w:t>本项目属于</w:t>
                  </w:r>
                  <w:r>
                    <w:rPr>
                      <w:rFonts w:hint="eastAsia"/>
                      <w:color w:val="auto"/>
                      <w:highlight w:val="none"/>
                      <w:lang w:eastAsia="zh-CN"/>
                    </w:rPr>
                    <w:t>轴承</w:t>
                  </w:r>
                  <w:r>
                    <w:rPr>
                      <w:rFonts w:hint="eastAsia"/>
                      <w:color w:val="auto"/>
                      <w:highlight w:val="none"/>
                    </w:rPr>
                    <w:t>制造</w:t>
                  </w:r>
                  <w:r>
                    <w:rPr>
                      <w:rFonts w:hint="eastAsia"/>
                      <w:color w:val="auto"/>
                      <w:highlight w:val="none"/>
                      <w:lang w:eastAsia="zh-CN"/>
                    </w:rPr>
                    <w:t>。本项目</w:t>
                  </w:r>
                  <w:r>
                    <w:rPr>
                      <w:rFonts w:hint="eastAsia"/>
                      <w:color w:val="auto"/>
                      <w:highlight w:val="none"/>
                      <w:lang w:val="en-US" w:eastAsia="zh-CN"/>
                    </w:rPr>
                    <w:t>冷镦废气采用活性炭纤维毡处理后经1根15m高排气筒（DA001）排放，淬火、回火废气经油雾静电捕集器+活性炭纤维毡处理后经1根15m高排气筒（DA001）排放，清洗废气采用活性炭纤维毡处理后经1根15m高排气筒（DA002）排放。</w:t>
                  </w:r>
                </w:p>
              </w:tc>
              <w:tc>
                <w:tcPr>
                  <w:tcW w:w="967" w:type="dxa"/>
                  <w:vAlign w:val="center"/>
                </w:tcPr>
                <w:p>
                  <w:pPr>
                    <w:adjustRightInd w:val="0"/>
                    <w:snapToGrid w:val="0"/>
                    <w:jc w:val="center"/>
                  </w:pPr>
                  <w:r>
                    <w:t>相符</w:t>
                  </w:r>
                </w:p>
              </w:tc>
            </w:tr>
          </w:tbl>
          <w:p>
            <w:pPr>
              <w:pStyle w:val="37"/>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（2）</w:t>
            </w:r>
            <w:r>
              <w:rPr>
                <w:rFonts w:hint="eastAsia" w:ascii="Times New Roman" w:hAnsi="Times New Roman" w:eastAsia="宋体" w:cs="Times New Roman"/>
                <w:color w:val="auto"/>
                <w:sz w:val="24"/>
                <w:szCs w:val="24"/>
                <w:lang w:val="en-US" w:eastAsia="zh-CN"/>
              </w:rPr>
              <w:t>项目</w:t>
            </w:r>
            <w:r>
              <w:rPr>
                <w:rFonts w:hint="default"/>
                <w:color w:val="auto"/>
                <w:sz w:val="24"/>
                <w:szCs w:val="24"/>
                <w:lang w:val="en-US" w:eastAsia="zh-CN"/>
              </w:rPr>
              <w:t>与</w:t>
            </w:r>
            <w:r>
              <w:rPr>
                <w:rFonts w:hint="eastAsia"/>
                <w:color w:val="auto"/>
                <w:sz w:val="24"/>
                <w:szCs w:val="24"/>
                <w:lang w:val="en-US" w:eastAsia="zh-CN"/>
              </w:rPr>
              <w:t>关于印发《安徽省“十四五”生态环境保护规划》的通知</w:t>
            </w:r>
            <w:r>
              <w:rPr>
                <w:rFonts w:hint="eastAsia"/>
                <w:b w:val="0"/>
                <w:bCs w:val="0"/>
                <w:color w:val="auto"/>
                <w:sz w:val="24"/>
                <w:szCs w:val="24"/>
                <w:lang w:val="en-US" w:eastAsia="zh-CN"/>
              </w:rPr>
              <w:t>（</w:t>
            </w:r>
            <w:r>
              <w:rPr>
                <w:rFonts w:hint="eastAsia"/>
                <w:color w:val="auto"/>
                <w:sz w:val="24"/>
                <w:szCs w:val="24"/>
                <w:lang w:val="en-US" w:eastAsia="zh-CN"/>
              </w:rPr>
              <w:t>皖环发</w:t>
            </w:r>
            <w:r>
              <w:rPr>
                <w:rFonts w:hint="default" w:ascii="Times New Roman" w:hAnsi="Times New Roman" w:eastAsia="宋体" w:cs="Times New Roman"/>
                <w:color w:val="auto"/>
                <w:sz w:val="24"/>
                <w:szCs w:val="24"/>
                <w:highlight w:val="none"/>
                <w:lang w:val="en-US" w:eastAsia="zh-CN"/>
              </w:rPr>
              <w:t>【20</w:t>
            </w:r>
            <w:r>
              <w:rPr>
                <w:rFonts w:hint="eastAsia" w:ascii="Times New Roman" w:hAnsi="Times New Roman" w:eastAsia="宋体" w:cs="Times New Roman"/>
                <w:color w:val="auto"/>
                <w:sz w:val="24"/>
                <w:szCs w:val="24"/>
                <w:highlight w:val="none"/>
                <w:lang w:val="en-US" w:eastAsia="zh-CN"/>
              </w:rPr>
              <w:t>22</w:t>
            </w:r>
            <w:r>
              <w:rPr>
                <w:rFonts w:hint="default" w:ascii="Times New Roman" w:hAnsi="Times New Roman" w:eastAsia="宋体" w:cs="Times New Roman"/>
                <w:color w:val="auto"/>
                <w:sz w:val="24"/>
                <w:szCs w:val="24"/>
                <w:highlight w:val="none"/>
                <w:lang w:val="en-US" w:eastAsia="zh-CN"/>
              </w:rPr>
              <w:t>】</w:t>
            </w:r>
            <w:r>
              <w:rPr>
                <w:rFonts w:hint="eastAsia"/>
                <w:color w:val="auto"/>
                <w:sz w:val="24"/>
                <w:szCs w:val="24"/>
                <w:lang w:val="en-US" w:eastAsia="zh-CN"/>
              </w:rPr>
              <w:t>8号</w:t>
            </w:r>
            <w:r>
              <w:rPr>
                <w:rFonts w:hint="eastAsia"/>
                <w:b w:val="0"/>
                <w:bCs w:val="0"/>
                <w:color w:val="auto"/>
                <w:sz w:val="24"/>
                <w:szCs w:val="24"/>
                <w:lang w:val="en-US" w:eastAsia="zh-CN"/>
              </w:rPr>
              <w:t>）</w:t>
            </w:r>
            <w:r>
              <w:rPr>
                <w:rFonts w:hint="default" w:ascii="Times New Roman" w:hAnsi="Times New Roman" w:eastAsia="宋体" w:cs="Times New Roman"/>
                <w:color w:val="auto"/>
                <w:sz w:val="24"/>
                <w:szCs w:val="24"/>
                <w:lang w:val="en-US" w:eastAsia="zh-CN"/>
              </w:rPr>
              <w:t>相符性分析详见下表</w:t>
            </w:r>
            <w:r>
              <w:rPr>
                <w:rFonts w:hint="eastAsia" w:ascii="Times New Roman" w:hAnsi="Times New Roman" w:eastAsia="宋体" w:cs="Times New Roman"/>
                <w:color w:val="auto"/>
                <w:sz w:val="24"/>
                <w:szCs w:val="24"/>
                <w:lang w:val="en-US" w:eastAsia="zh-CN"/>
              </w:rPr>
              <w:t>：</w:t>
            </w:r>
          </w:p>
          <w:p>
            <w:pPr>
              <w:pStyle w:val="37"/>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200"/>
              <w:jc w:val="center"/>
              <w:textAlignment w:val="auto"/>
              <w:rPr>
                <w:rFonts w:hint="default" w:ascii="Times New Roman" w:hAnsi="Times New Roman" w:cs="Times New Roman"/>
                <w:b/>
                <w:bCs/>
                <w:color w:val="000000"/>
                <w:sz w:val="24"/>
                <w:szCs w:val="24"/>
                <w:vertAlign w:val="baseline"/>
                <w:lang w:val="en-US" w:eastAsia="zh-CN"/>
              </w:rPr>
            </w:pPr>
            <w:r>
              <w:rPr>
                <w:rFonts w:hint="eastAsia" w:ascii="Times New Roman" w:hAnsi="Times New Roman" w:eastAsia="宋体" w:cs="Times New Roman"/>
                <w:b/>
                <w:bCs/>
                <w:color w:val="auto"/>
                <w:sz w:val="24"/>
                <w:szCs w:val="24"/>
                <w:lang w:val="en-US" w:eastAsia="zh-CN"/>
              </w:rPr>
              <w:t>表1.</w:t>
            </w:r>
            <w:r>
              <w:rPr>
                <w:rFonts w:hint="eastAsia" w:cs="Times New Roman"/>
                <w:b/>
                <w:bCs/>
                <w:color w:val="auto"/>
                <w:sz w:val="24"/>
                <w:szCs w:val="24"/>
                <w:lang w:val="en-US" w:eastAsia="zh-CN"/>
              </w:rPr>
              <w:t>6</w:t>
            </w:r>
            <w:r>
              <w:rPr>
                <w:rFonts w:hint="eastAsia" w:ascii="Times New Roman" w:hAnsi="Times New Roman" w:eastAsia="宋体" w:cs="Times New Roman"/>
                <w:b/>
                <w:bCs/>
                <w:color w:val="auto"/>
                <w:sz w:val="24"/>
                <w:szCs w:val="24"/>
                <w:lang w:val="en-US" w:eastAsia="zh-CN"/>
              </w:rPr>
              <w:t xml:space="preserve">  与关于印发《安徽省“十四五”生态环境保护规划》的通知（皖环发〔2022〕8号）相符性分析一览表</w:t>
            </w:r>
          </w:p>
          <w:tbl>
            <w:tblPr>
              <w:tblStyle w:val="26"/>
              <w:tblW w:w="81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1"/>
              <w:gridCol w:w="4620"/>
              <w:gridCol w:w="1905"/>
              <w:gridCol w:w="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1" w:type="dxa"/>
                  <w:vAlign w:val="center"/>
                </w:tcPr>
                <w:p>
                  <w:pPr>
                    <w:pStyle w:val="37"/>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000000"/>
                      <w:sz w:val="21"/>
                      <w:szCs w:val="21"/>
                      <w:vertAlign w:val="baseline"/>
                      <w:lang w:val="en-US" w:eastAsia="zh-CN"/>
                    </w:rPr>
                  </w:pPr>
                  <w:r>
                    <w:rPr>
                      <w:rFonts w:hint="eastAsia" w:cs="Times New Roman"/>
                      <w:b w:val="0"/>
                      <w:bCs w:val="0"/>
                      <w:color w:val="000000"/>
                      <w:sz w:val="21"/>
                      <w:szCs w:val="21"/>
                      <w:vertAlign w:val="baseline"/>
                      <w:lang w:val="en-US" w:eastAsia="zh-CN"/>
                    </w:rPr>
                    <w:t>序号</w:t>
                  </w:r>
                </w:p>
              </w:tc>
              <w:tc>
                <w:tcPr>
                  <w:tcW w:w="4620" w:type="dxa"/>
                  <w:vAlign w:val="center"/>
                </w:tcPr>
                <w:p>
                  <w:pPr>
                    <w:pStyle w:val="37"/>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000000"/>
                      <w:sz w:val="21"/>
                      <w:szCs w:val="21"/>
                      <w:vertAlign w:val="baseline"/>
                      <w:lang w:val="en-US" w:eastAsia="zh-CN"/>
                    </w:rPr>
                  </w:pPr>
                  <w:r>
                    <w:rPr>
                      <w:rFonts w:hint="eastAsia"/>
                      <w:b w:val="0"/>
                      <w:bCs w:val="0"/>
                      <w:color w:val="0C0C0C"/>
                      <w:sz w:val="21"/>
                      <w:szCs w:val="21"/>
                    </w:rPr>
                    <w:t>持续推进工业企业大气污染综合治理</w:t>
                  </w:r>
                </w:p>
              </w:tc>
              <w:tc>
                <w:tcPr>
                  <w:tcW w:w="1905" w:type="dxa"/>
                  <w:vAlign w:val="center"/>
                </w:tcPr>
                <w:p>
                  <w:pPr>
                    <w:pStyle w:val="37"/>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000000"/>
                      <w:sz w:val="21"/>
                      <w:szCs w:val="21"/>
                      <w:vertAlign w:val="baseline"/>
                      <w:lang w:val="en-US" w:eastAsia="zh-CN"/>
                    </w:rPr>
                  </w:pPr>
                  <w:r>
                    <w:rPr>
                      <w:rFonts w:hint="eastAsia" w:cs="Times New Roman"/>
                      <w:b w:val="0"/>
                      <w:bCs w:val="0"/>
                      <w:color w:val="000000"/>
                      <w:sz w:val="21"/>
                      <w:szCs w:val="21"/>
                      <w:vertAlign w:val="baseline"/>
                      <w:lang w:val="en-US" w:eastAsia="zh-CN"/>
                    </w:rPr>
                    <w:t>本项目情况</w:t>
                  </w:r>
                </w:p>
              </w:tc>
              <w:tc>
                <w:tcPr>
                  <w:tcW w:w="980" w:type="dxa"/>
                  <w:vAlign w:val="center"/>
                </w:tcPr>
                <w:p>
                  <w:pPr>
                    <w:pStyle w:val="37"/>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000000"/>
                      <w:sz w:val="21"/>
                      <w:szCs w:val="21"/>
                      <w:vertAlign w:val="baseline"/>
                      <w:lang w:val="en-US" w:eastAsia="zh-CN"/>
                    </w:rPr>
                  </w:pPr>
                  <w:r>
                    <w:rPr>
                      <w:rFonts w:hint="eastAsia" w:cs="Times New Roman"/>
                      <w:b w:val="0"/>
                      <w:bCs w:val="0"/>
                      <w:color w:val="000000"/>
                      <w:sz w:val="21"/>
                      <w:szCs w:val="21"/>
                      <w:vertAlign w:val="baseline"/>
                      <w:lang w:val="en-US" w:eastAsia="zh-CN"/>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1" w:type="dxa"/>
                  <w:vAlign w:val="center"/>
                </w:tcPr>
                <w:p>
                  <w:pPr>
                    <w:pStyle w:val="37"/>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000000"/>
                      <w:sz w:val="21"/>
                      <w:szCs w:val="21"/>
                      <w:vertAlign w:val="baseline"/>
                      <w:lang w:val="en-US" w:eastAsia="zh-CN"/>
                    </w:rPr>
                  </w:pPr>
                  <w:r>
                    <w:rPr>
                      <w:rFonts w:hint="eastAsia" w:cs="Times New Roman"/>
                      <w:b w:val="0"/>
                      <w:bCs w:val="0"/>
                      <w:color w:val="000000"/>
                      <w:sz w:val="21"/>
                      <w:szCs w:val="21"/>
                      <w:vertAlign w:val="baseline"/>
                      <w:lang w:val="en-US" w:eastAsia="zh-CN"/>
                    </w:rPr>
                    <w:t>1</w:t>
                  </w:r>
                </w:p>
              </w:tc>
              <w:tc>
                <w:tcPr>
                  <w:tcW w:w="4620" w:type="dxa"/>
                  <w:vAlign w:val="center"/>
                </w:tcPr>
                <w:p>
                  <w:pPr>
                    <w:pStyle w:val="37"/>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000000"/>
                      <w:sz w:val="21"/>
                      <w:szCs w:val="21"/>
                      <w:vertAlign w:val="baseline"/>
                      <w:lang w:val="en-US" w:eastAsia="zh-CN"/>
                    </w:rPr>
                  </w:pPr>
                  <w:r>
                    <w:rPr>
                      <w:rFonts w:hint="eastAsia" w:cs="宋体"/>
                      <w:b w:val="0"/>
                      <w:bCs w:val="0"/>
                      <w:color w:val="0C0C0C"/>
                      <w:sz w:val="21"/>
                      <w:szCs w:val="21"/>
                      <w:lang w:bidi="zh-CN"/>
                    </w:rPr>
                    <w:t>强化重点行业企业综合治理。</w:t>
                  </w:r>
                  <w:r>
                    <w:rPr>
                      <w:rFonts w:hint="eastAsia" w:cs="宋体"/>
                      <w:color w:val="0C0C0C"/>
                      <w:sz w:val="21"/>
                      <w:szCs w:val="21"/>
                      <w:lang w:bidi="zh-CN"/>
                    </w:rPr>
                    <w:t>加强重点行业脱硫脱硝、除尘设施运行监管，持续开展水泥、制药等重点行业废气排放提标改造，鼓励企业实施超低排放改造，推广多污染物协同控制技术。</w:t>
                  </w:r>
                </w:p>
              </w:tc>
              <w:tc>
                <w:tcPr>
                  <w:tcW w:w="1905" w:type="dxa"/>
                  <w:vAlign w:val="center"/>
                </w:tcPr>
                <w:p>
                  <w:pPr>
                    <w:pStyle w:val="37"/>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本项目为滚动轴承</w:t>
                  </w:r>
                  <w:r>
                    <w:rPr>
                      <w:rFonts w:hint="eastAsia" w:ascii="Times New Roman" w:hAnsi="Times New Roman" w:eastAsia="宋体" w:cs="Times New Roman"/>
                      <w:color w:val="auto"/>
                      <w:sz w:val="21"/>
                      <w:szCs w:val="21"/>
                      <w:vertAlign w:val="baseline"/>
                      <w:lang w:val="en-US" w:eastAsia="zh-CN" w:bidi="ar-SA"/>
                    </w:rPr>
                    <w:t>，不属于水泥、制药等重点行业。本项目冷镦废气采用活性炭纤维毡处理后经1根15m高排气筒（DA001）排放，淬火、回火废气经油雾静电捕集器+活性炭纤维毡处理后经1根15m高排气筒（DA001）排放，清洗废气采用活性炭纤维毡处理后经1根15m高排气筒（DA002）排放</w:t>
                  </w:r>
                  <w:r>
                    <w:rPr>
                      <w:rFonts w:hint="eastAsia" w:cs="Times New Roman"/>
                      <w:color w:val="auto"/>
                      <w:sz w:val="21"/>
                      <w:szCs w:val="21"/>
                      <w:vertAlign w:val="baseline"/>
                      <w:lang w:val="en-US" w:eastAsia="zh-CN" w:bidi="ar-SA"/>
                    </w:rPr>
                    <w:t>。</w:t>
                  </w:r>
                </w:p>
              </w:tc>
              <w:tc>
                <w:tcPr>
                  <w:tcW w:w="980" w:type="dxa"/>
                  <w:vAlign w:val="center"/>
                </w:tcPr>
                <w:p>
                  <w:pPr>
                    <w:pStyle w:val="37"/>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000000"/>
                      <w:sz w:val="21"/>
                      <w:szCs w:val="21"/>
                      <w:vertAlign w:val="baseline"/>
                      <w:lang w:val="en-US" w:eastAsia="zh-CN"/>
                    </w:rPr>
                  </w:pPr>
                  <w:r>
                    <w:rPr>
                      <w:rFonts w:hint="eastAsia" w:cs="Times New Roman"/>
                      <w:b w:val="0"/>
                      <w:bCs w:val="0"/>
                      <w:color w:val="000000"/>
                      <w:sz w:val="21"/>
                      <w:szCs w:val="21"/>
                      <w:vertAlign w:val="baseline"/>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1" w:type="dxa"/>
                  <w:vAlign w:val="center"/>
                </w:tcPr>
                <w:p>
                  <w:pPr>
                    <w:pStyle w:val="37"/>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000000"/>
                      <w:sz w:val="21"/>
                      <w:szCs w:val="21"/>
                      <w:vertAlign w:val="baseline"/>
                      <w:lang w:val="en-US" w:eastAsia="zh-CN"/>
                    </w:rPr>
                  </w:pPr>
                  <w:r>
                    <w:rPr>
                      <w:rFonts w:hint="eastAsia" w:cs="Times New Roman"/>
                      <w:b w:val="0"/>
                      <w:bCs w:val="0"/>
                      <w:color w:val="000000"/>
                      <w:sz w:val="21"/>
                      <w:szCs w:val="21"/>
                      <w:vertAlign w:val="baseline"/>
                      <w:lang w:val="en-US" w:eastAsia="zh-CN"/>
                    </w:rPr>
                    <w:t>2</w:t>
                  </w:r>
                </w:p>
              </w:tc>
              <w:tc>
                <w:tcPr>
                  <w:tcW w:w="4620" w:type="dxa"/>
                  <w:vAlign w:val="center"/>
                </w:tcPr>
                <w:p>
                  <w:pPr>
                    <w:pStyle w:val="37"/>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000000"/>
                      <w:sz w:val="21"/>
                      <w:szCs w:val="21"/>
                      <w:vertAlign w:val="baseline"/>
                      <w:lang w:val="en-US" w:eastAsia="zh-CN"/>
                    </w:rPr>
                  </w:pPr>
                  <w:r>
                    <w:rPr>
                      <w:rFonts w:hint="default" w:ascii="Times New Roman" w:hAnsi="Times New Roman" w:cs="Times New Roman"/>
                      <w:b w:val="0"/>
                      <w:bCs w:val="0"/>
                      <w:color w:val="000000"/>
                      <w:sz w:val="21"/>
                      <w:szCs w:val="21"/>
                      <w:vertAlign w:val="baseline"/>
                      <w:lang w:val="en-US" w:eastAsia="zh-CN"/>
                    </w:rPr>
                    <w:t>深入开展锅炉、炉窑综合整治。实施重点涉工业炉窑企业深度治理或清洁能源替代，完成65蒸吨及以上燃煤锅炉节能改造。持续开展散煤污染治理行动，严格查处非法销售、使用非清洁散煤等行为。</w:t>
                  </w:r>
                </w:p>
              </w:tc>
              <w:tc>
                <w:tcPr>
                  <w:tcW w:w="1905" w:type="dxa"/>
                  <w:vAlign w:val="center"/>
                </w:tcPr>
                <w:p>
                  <w:pPr>
                    <w:pStyle w:val="37"/>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本项目生产工序均采用电加热，不燃煤。</w:t>
                  </w:r>
                </w:p>
              </w:tc>
              <w:tc>
                <w:tcPr>
                  <w:tcW w:w="980" w:type="dxa"/>
                  <w:vAlign w:val="center"/>
                </w:tcPr>
                <w:p>
                  <w:pPr>
                    <w:pStyle w:val="37"/>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000000"/>
                      <w:sz w:val="21"/>
                      <w:szCs w:val="21"/>
                      <w:vertAlign w:val="baseline"/>
                      <w:lang w:val="en-US" w:eastAsia="zh-CN"/>
                    </w:rPr>
                  </w:pPr>
                  <w:r>
                    <w:rPr>
                      <w:rFonts w:hint="eastAsia" w:cs="Times New Roman"/>
                      <w:b w:val="0"/>
                      <w:bCs w:val="0"/>
                      <w:color w:val="000000"/>
                      <w:sz w:val="21"/>
                      <w:szCs w:val="21"/>
                      <w:vertAlign w:val="baseline"/>
                      <w:lang w:val="en-US" w:eastAsia="zh-CN"/>
                    </w:rPr>
                    <w:t>相符</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360" w:lineRule="auto"/>
              <w:ind w:firstLine="480" w:firstLineChars="200"/>
              <w:textAlignment w:val="auto"/>
              <w:rPr>
                <w:rFonts w:hint="default"/>
                <w:b/>
                <w:bCs/>
                <w:color w:val="000000" w:themeColor="text1"/>
                <w:sz w:val="24"/>
                <w:szCs w:val="24"/>
                <w:lang w:val="en-US" w:eastAsia="zh-CN"/>
                <w14:textFill>
                  <w14:solidFill>
                    <w14:schemeClr w14:val="tx1"/>
                  </w14:solidFill>
                </w14:textFill>
              </w:rPr>
            </w:pPr>
            <w:r>
              <w:rPr>
                <w:rFonts w:hint="eastAsia" w:cs="Times New Roman"/>
                <w:b w:val="0"/>
                <w:bCs w:val="0"/>
                <w:color w:val="000000"/>
                <w:sz w:val="24"/>
                <w:szCs w:val="24"/>
                <w:lang w:val="en-US" w:eastAsia="zh-CN"/>
              </w:rPr>
              <w:t>（3）</w:t>
            </w:r>
            <w:r>
              <w:rPr>
                <w:rFonts w:hint="default"/>
                <w:b w:val="0"/>
                <w:bCs w:val="0"/>
                <w:color w:val="000000" w:themeColor="text1"/>
                <w:sz w:val="24"/>
                <w:szCs w:val="24"/>
                <w:lang w:val="en-US" w:eastAsia="zh-CN"/>
                <w14:textFill>
                  <w14:solidFill>
                    <w14:schemeClr w14:val="tx1"/>
                  </w14:solidFill>
                </w14:textFill>
              </w:rPr>
              <w:t>与</w:t>
            </w:r>
            <w:r>
              <w:rPr>
                <w:rFonts w:hint="eastAsia"/>
                <w:color w:val="000000" w:themeColor="text1"/>
                <w:sz w:val="24"/>
                <w:szCs w:val="24"/>
                <w:lang w:val="en-US" w:eastAsia="zh-CN"/>
                <w14:textFill>
                  <w14:solidFill>
                    <w14:schemeClr w14:val="tx1"/>
                  </w14:solidFill>
                </w14:textFill>
              </w:rPr>
              <w:t>《</w:t>
            </w:r>
            <w:r>
              <w:rPr>
                <w:rFonts w:hint="default"/>
                <w:color w:val="000000" w:themeColor="text1"/>
                <w:sz w:val="24"/>
                <w:szCs w:val="24"/>
                <w:lang w:val="en-US" w:eastAsia="zh-CN"/>
                <w14:textFill>
                  <w14:solidFill>
                    <w14:schemeClr w14:val="tx1"/>
                  </w14:solidFill>
                </w14:textFill>
              </w:rPr>
              <w:t>安徽省大气办关于深入开展挥发性有机物污染治理工作的通知</w:t>
            </w:r>
            <w:r>
              <w:rPr>
                <w:rFonts w:hint="eastAsia"/>
                <w:color w:val="000000" w:themeColor="text1"/>
                <w:sz w:val="24"/>
                <w:szCs w:val="24"/>
                <w:lang w:val="en-US" w:eastAsia="zh-CN"/>
                <w14:textFill>
                  <w14:solidFill>
                    <w14:schemeClr w14:val="tx1"/>
                  </w14:solidFill>
                </w14:textFill>
              </w:rPr>
              <w:t>》</w:t>
            </w:r>
            <w:r>
              <w:rPr>
                <w:rFonts w:hint="default"/>
                <w:color w:val="000000" w:themeColor="text1"/>
                <w:sz w:val="24"/>
                <w:szCs w:val="24"/>
                <w:lang w:val="en-US" w:eastAsia="zh-CN"/>
                <w14:textFill>
                  <w14:solidFill>
                    <w14:schemeClr w14:val="tx1"/>
                  </w14:solidFill>
                </w14:textFill>
              </w:rPr>
              <w:t xml:space="preserve"> </w:t>
            </w:r>
            <w:r>
              <w:rPr>
                <w:rFonts w:hint="eastAsia"/>
                <w:b w:val="0"/>
                <w:bCs w:val="0"/>
                <w:color w:val="000000" w:themeColor="text1"/>
                <w:sz w:val="24"/>
                <w:szCs w:val="24"/>
                <w:lang w:val="en-US" w:eastAsia="zh-CN"/>
                <w14:textFill>
                  <w14:solidFill>
                    <w14:schemeClr w14:val="tx1"/>
                  </w14:solidFill>
                </w14:textFill>
              </w:rPr>
              <w:t>（皖大气办</w:t>
            </w:r>
            <w:r>
              <w:rPr>
                <w:rFonts w:hint="default" w:ascii="Times New Roman" w:hAnsi="Times New Roman" w:eastAsia="宋体" w:cs="Times New Roman"/>
                <w:color w:val="auto"/>
                <w:sz w:val="24"/>
                <w:szCs w:val="24"/>
                <w:highlight w:val="none"/>
                <w:lang w:val="en-US" w:eastAsia="zh-CN"/>
              </w:rPr>
              <w:t>【20</w:t>
            </w:r>
            <w:r>
              <w:rPr>
                <w:rFonts w:hint="eastAsia" w:ascii="Times New Roman" w:hAnsi="Times New Roman" w:eastAsia="宋体" w:cs="Times New Roman"/>
                <w:color w:val="auto"/>
                <w:sz w:val="24"/>
                <w:szCs w:val="24"/>
                <w:highlight w:val="none"/>
                <w:lang w:val="en-US" w:eastAsia="zh-CN"/>
              </w:rPr>
              <w:t>21</w:t>
            </w:r>
            <w:r>
              <w:rPr>
                <w:rFonts w:hint="default" w:ascii="Times New Roman" w:hAnsi="Times New Roman" w:eastAsia="宋体" w:cs="Times New Roman"/>
                <w:color w:val="auto"/>
                <w:sz w:val="24"/>
                <w:szCs w:val="24"/>
                <w:highlight w:val="none"/>
                <w:lang w:val="en-US" w:eastAsia="zh-CN"/>
              </w:rPr>
              <w:t>】</w:t>
            </w:r>
            <w:r>
              <w:rPr>
                <w:rFonts w:hint="eastAsia"/>
                <w:b w:val="0"/>
                <w:bCs w:val="0"/>
                <w:color w:val="000000" w:themeColor="text1"/>
                <w:sz w:val="24"/>
                <w:szCs w:val="24"/>
                <w:lang w:val="en-US" w:eastAsia="zh-CN"/>
                <w14:textFill>
                  <w14:solidFill>
                    <w14:schemeClr w14:val="tx1"/>
                  </w14:solidFill>
                </w14:textFill>
              </w:rPr>
              <w:t>4号）</w:t>
            </w:r>
            <w:r>
              <w:rPr>
                <w:rFonts w:hint="default"/>
                <w:color w:val="000000" w:themeColor="text1"/>
                <w:sz w:val="24"/>
                <w:szCs w:val="24"/>
                <w:lang w:val="en-US" w:eastAsia="zh-CN"/>
                <w14:textFill>
                  <w14:solidFill>
                    <w14:schemeClr w14:val="tx1"/>
                  </w14:solidFill>
                </w14:textFill>
              </w:rPr>
              <w:t>相符性分析</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b/>
                <w:bCs/>
                <w:color w:val="000000" w:themeColor="text1"/>
                <w:sz w:val="24"/>
                <w:szCs w:val="24"/>
                <w:lang w:val="en-US" w:eastAsia="zh-CN"/>
                <w14:textFill>
                  <w14:solidFill>
                    <w14:schemeClr w14:val="tx1"/>
                  </w14:solidFill>
                </w14:textFill>
              </w:rPr>
            </w:pPr>
            <w:r>
              <w:rPr>
                <w:rFonts w:hint="default"/>
                <w:b/>
                <w:bCs/>
                <w:color w:val="000000" w:themeColor="text1"/>
                <w:sz w:val="24"/>
                <w:szCs w:val="24"/>
                <w:lang w:val="en-US" w:eastAsia="zh-CN"/>
                <w14:textFill>
                  <w14:solidFill>
                    <w14:schemeClr w14:val="tx1"/>
                  </w14:solidFill>
                </w14:textFill>
              </w:rPr>
              <w:t>表1</w:t>
            </w:r>
            <w:r>
              <w:rPr>
                <w:rFonts w:hint="eastAsia"/>
                <w:b/>
                <w:bCs/>
                <w:color w:val="000000" w:themeColor="text1"/>
                <w:sz w:val="24"/>
                <w:szCs w:val="24"/>
                <w:lang w:val="en-US" w:eastAsia="zh-CN"/>
                <w14:textFill>
                  <w14:solidFill>
                    <w14:schemeClr w14:val="tx1"/>
                  </w14:solidFill>
                </w14:textFill>
              </w:rPr>
              <w:t>.7</w:t>
            </w:r>
            <w:r>
              <w:rPr>
                <w:rFonts w:hint="default"/>
                <w:b/>
                <w:bCs/>
                <w:color w:val="000000" w:themeColor="text1"/>
                <w:sz w:val="24"/>
                <w:szCs w:val="24"/>
                <w:lang w:val="en-US" w:eastAsia="zh-CN"/>
                <w14:textFill>
                  <w14:solidFill>
                    <w14:schemeClr w14:val="tx1"/>
                  </w14:solidFill>
                </w14:textFill>
              </w:rPr>
              <w:t xml:space="preserve"> </w:t>
            </w:r>
            <w:r>
              <w:rPr>
                <w:rFonts w:hint="default" w:ascii="Times New Roman" w:hAnsi="Times New Roman" w:cs="Times New Roman"/>
                <w:b/>
                <w:bCs/>
                <w:color w:val="000000" w:themeColor="text1"/>
                <w:sz w:val="24"/>
                <w:szCs w:val="24"/>
                <w:lang w:val="en-US" w:eastAsia="zh-CN"/>
                <w14:textFill>
                  <w14:solidFill>
                    <w14:schemeClr w14:val="tx1"/>
                  </w14:solidFill>
                </w14:textFill>
              </w:rPr>
              <w:t xml:space="preserve"> 与《安徽省大气办关于深入开展挥发性有机物污染治理工作的通知》</w:t>
            </w:r>
            <w:r>
              <w:rPr>
                <w:rFonts w:hint="eastAsia"/>
                <w:b/>
                <w:bCs/>
                <w:color w:val="000000" w:themeColor="text1"/>
                <w:sz w:val="24"/>
                <w:szCs w:val="24"/>
                <w:lang w:val="en-US" w:eastAsia="zh-CN"/>
                <w14:textFill>
                  <w14:solidFill>
                    <w14:schemeClr w14:val="tx1"/>
                  </w14:solidFill>
                </w14:textFill>
              </w:rPr>
              <w:t>相符性分析一览表</w:t>
            </w:r>
          </w:p>
          <w:tbl>
            <w:tblPr>
              <w:tblStyle w:val="26"/>
              <w:tblW w:w="7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3960"/>
              <w:gridCol w:w="2295"/>
              <w:gridCol w:w="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5" w:type="dxa"/>
                  <w:noWrap w:val="0"/>
                  <w:vAlign w:val="center"/>
                </w:tcPr>
                <w:p>
                  <w:pPr>
                    <w:keepNext w:val="0"/>
                    <w:keepLines w:val="0"/>
                    <w:pageBreakBefore w:val="0"/>
                    <w:widowControl w:val="0"/>
                    <w:numPr>
                      <w:ilvl w:val="0"/>
                      <w:numId w:val="0"/>
                    </w:numPr>
                    <w:kinsoku/>
                    <w:wordWrap/>
                    <w:overflowPunct/>
                    <w:topLinePunct w:val="0"/>
                    <w:bidi w:val="0"/>
                    <w:adjustRightInd w:val="0"/>
                    <w:snapToGrid w:val="0"/>
                    <w:jc w:val="center"/>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序号</w:t>
                  </w:r>
                </w:p>
              </w:tc>
              <w:tc>
                <w:tcPr>
                  <w:tcW w:w="3960" w:type="dxa"/>
                  <w:noWrap w:val="0"/>
                  <w:vAlign w:val="center"/>
                </w:tcPr>
                <w:p>
                  <w:pPr>
                    <w:keepNext w:val="0"/>
                    <w:keepLines w:val="0"/>
                    <w:pageBreakBefore w:val="0"/>
                    <w:widowControl w:val="0"/>
                    <w:numPr>
                      <w:ilvl w:val="0"/>
                      <w:numId w:val="0"/>
                    </w:numPr>
                    <w:kinsoku/>
                    <w:wordWrap/>
                    <w:overflowPunct/>
                    <w:topLinePunct w:val="0"/>
                    <w:bidi w:val="0"/>
                    <w:adjustRightInd w:val="0"/>
                    <w:snapToGrid w:val="0"/>
                    <w:jc w:val="center"/>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安徽省大气办关于深入开展挥发性有机物污染治理工作的通知</w:t>
                  </w:r>
                </w:p>
              </w:tc>
              <w:tc>
                <w:tcPr>
                  <w:tcW w:w="2295" w:type="dxa"/>
                  <w:noWrap w:val="0"/>
                  <w:vAlign w:val="center"/>
                </w:tcPr>
                <w:p>
                  <w:pPr>
                    <w:keepNext w:val="0"/>
                    <w:keepLines w:val="0"/>
                    <w:pageBreakBefore w:val="0"/>
                    <w:widowControl w:val="0"/>
                    <w:numPr>
                      <w:ilvl w:val="0"/>
                      <w:numId w:val="0"/>
                    </w:numPr>
                    <w:kinsoku/>
                    <w:wordWrap/>
                    <w:overflowPunct/>
                    <w:topLinePunct w:val="0"/>
                    <w:bidi w:val="0"/>
                    <w:adjustRightInd w:val="0"/>
                    <w:snapToGrid w:val="0"/>
                    <w:jc w:val="center"/>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项目情况</w:t>
                  </w:r>
                </w:p>
              </w:tc>
              <w:tc>
                <w:tcPr>
                  <w:tcW w:w="966" w:type="dxa"/>
                  <w:noWrap w:val="0"/>
                  <w:vAlign w:val="center"/>
                </w:tcPr>
                <w:p>
                  <w:pPr>
                    <w:keepNext w:val="0"/>
                    <w:keepLines w:val="0"/>
                    <w:pageBreakBefore w:val="0"/>
                    <w:widowControl w:val="0"/>
                    <w:numPr>
                      <w:ilvl w:val="0"/>
                      <w:numId w:val="0"/>
                    </w:numPr>
                    <w:kinsoku/>
                    <w:wordWrap/>
                    <w:overflowPunct/>
                    <w:topLinePunct w:val="0"/>
                    <w:bidi w:val="0"/>
                    <w:adjustRightInd w:val="0"/>
                    <w:snapToGrid w:val="0"/>
                    <w:jc w:val="center"/>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5" w:type="dxa"/>
                  <w:noWrap w:val="0"/>
                  <w:vAlign w:val="center"/>
                </w:tcPr>
                <w:p>
                  <w:pPr>
                    <w:keepNext w:val="0"/>
                    <w:keepLines w:val="0"/>
                    <w:pageBreakBefore w:val="0"/>
                    <w:widowControl w:val="0"/>
                    <w:numPr>
                      <w:ilvl w:val="0"/>
                      <w:numId w:val="0"/>
                    </w:numPr>
                    <w:kinsoku/>
                    <w:wordWrap/>
                    <w:overflowPunct/>
                    <w:topLinePunct w:val="0"/>
                    <w:bidi w:val="0"/>
                    <w:adjustRightInd w:val="0"/>
                    <w:snapToGrid w:val="0"/>
                    <w:jc w:val="center"/>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1</w:t>
                  </w:r>
                </w:p>
              </w:tc>
              <w:tc>
                <w:tcPr>
                  <w:tcW w:w="3960" w:type="dxa"/>
                  <w:noWrap w:val="0"/>
                  <w:vAlign w:val="center"/>
                </w:tcPr>
                <w:p>
                  <w:pPr>
                    <w:keepNext w:val="0"/>
                    <w:keepLines w:val="0"/>
                    <w:pageBreakBefore w:val="0"/>
                    <w:widowControl w:val="0"/>
                    <w:numPr>
                      <w:ilvl w:val="0"/>
                      <w:numId w:val="0"/>
                    </w:numPr>
                    <w:kinsoku/>
                    <w:wordWrap/>
                    <w:overflowPunct/>
                    <w:topLinePunct w:val="0"/>
                    <w:bidi w:val="0"/>
                    <w:adjustRightInd w:val="0"/>
                    <w:snapToGrid w:val="0"/>
                    <w:jc w:val="center"/>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重点推进源头削减。鼓励支持使用涂料、油墨、胶粘剂、涂层剂（树脂）、清洗剂等原辅材料的企业，进行低</w:t>
                  </w:r>
                  <w:r>
                    <w:rPr>
                      <w:rFonts w:hint="eastAsia" w:cs="Times New Roman"/>
                      <w:color w:val="000000" w:themeColor="text1"/>
                      <w:szCs w:val="21"/>
                      <w:lang w:eastAsia="zh-CN"/>
                      <w14:textFill>
                        <w14:solidFill>
                          <w14:schemeClr w14:val="tx1"/>
                        </w14:solidFill>
                      </w14:textFill>
                    </w:rPr>
                    <w:t>挥发性有机物</w:t>
                  </w:r>
                  <w:r>
                    <w:rPr>
                      <w:rFonts w:hint="default"/>
                      <w:color w:val="000000" w:themeColor="text1"/>
                      <w:lang w:val="en-US" w:eastAsia="zh-CN"/>
                      <w14:textFill>
                        <w14:solidFill>
                          <w14:schemeClr w14:val="tx1"/>
                        </w14:solidFill>
                      </w14:textFill>
                    </w:rPr>
                    <w:t>含量原辅材料的源头替代，7月1日前各地指导企业建立管理台账，记录</w:t>
                  </w:r>
                  <w:r>
                    <w:rPr>
                      <w:rFonts w:hint="eastAsia" w:cs="Times New Roman"/>
                      <w:color w:val="000000" w:themeColor="text1"/>
                      <w:szCs w:val="21"/>
                      <w:lang w:eastAsia="zh-CN"/>
                      <w14:textFill>
                        <w14:solidFill>
                          <w14:schemeClr w14:val="tx1"/>
                        </w14:solidFill>
                      </w14:textFill>
                    </w:rPr>
                    <w:t>挥发性有机物</w:t>
                  </w:r>
                  <w:r>
                    <w:rPr>
                      <w:rFonts w:hint="default"/>
                      <w:color w:val="000000" w:themeColor="text1"/>
                      <w:lang w:val="en-US" w:eastAsia="zh-CN"/>
                      <w14:textFill>
                        <w14:solidFill>
                          <w14:schemeClr w14:val="tx1"/>
                        </w14:solidFill>
                      </w14:textFill>
                    </w:rPr>
                    <w:t>原辅材料的产品名称、</w:t>
                  </w:r>
                  <w:r>
                    <w:rPr>
                      <w:rFonts w:hint="eastAsia" w:cs="Times New Roman"/>
                      <w:color w:val="000000" w:themeColor="text1"/>
                      <w:szCs w:val="21"/>
                      <w:lang w:eastAsia="zh-CN"/>
                      <w14:textFill>
                        <w14:solidFill>
                          <w14:schemeClr w14:val="tx1"/>
                        </w14:solidFill>
                      </w14:textFill>
                    </w:rPr>
                    <w:t>挥发性有机物</w:t>
                  </w:r>
                  <w:r>
                    <w:rPr>
                      <w:rFonts w:hint="default"/>
                      <w:color w:val="000000" w:themeColor="text1"/>
                      <w:lang w:val="en-US" w:eastAsia="zh-CN"/>
                      <w14:textFill>
                        <w14:solidFill>
                          <w14:schemeClr w14:val="tx1"/>
                        </w14:solidFill>
                      </w14:textFill>
                    </w:rPr>
                    <w:t>含量和使用量等。各地应结合本地产业特点和源头替代参考目录，重点在工业涂装、包装印刷、鞋革箱包制造、竹木制品胶合、电子等重点领域，推广</w:t>
                  </w:r>
                  <w:r>
                    <w:rPr>
                      <w:rFonts w:hint="eastAsia" w:cs="Times New Roman"/>
                      <w:color w:val="000000" w:themeColor="text1"/>
                      <w:szCs w:val="21"/>
                      <w:lang w:eastAsia="zh-CN"/>
                      <w14:textFill>
                        <w14:solidFill>
                          <w14:schemeClr w14:val="tx1"/>
                        </w14:solidFill>
                      </w14:textFill>
                    </w:rPr>
                    <w:t>挥发性有机物</w:t>
                  </w:r>
                  <w:r>
                    <w:rPr>
                      <w:rFonts w:hint="default"/>
                      <w:color w:val="000000" w:themeColor="text1"/>
                      <w:lang w:val="en-US" w:eastAsia="zh-CN"/>
                      <w14:textFill>
                        <w14:solidFill>
                          <w14:schemeClr w14:val="tx1"/>
                        </w14:solidFill>
                      </w14:textFill>
                    </w:rPr>
                    <w:t>含量低于10%原辅材料的源头替代，并纳入年度源头削减项目管理，实现</w:t>
                  </w:r>
                  <w:r>
                    <w:rPr>
                      <w:rFonts w:hint="eastAsia" w:ascii="宋体" w:hAnsi="宋体" w:eastAsia="宋体" w:cs="宋体"/>
                      <w:color w:val="000000" w:themeColor="text1"/>
                      <w:lang w:val="en-US" w:eastAsia="zh-CN"/>
                      <w14:textFill>
                        <w14:solidFill>
                          <w14:schemeClr w14:val="tx1"/>
                        </w14:solidFill>
                      </w14:textFill>
                    </w:rPr>
                    <w:t>“可替尽替、应代尽代”</w:t>
                  </w:r>
                  <w:r>
                    <w:rPr>
                      <w:rFonts w:hint="default"/>
                      <w:color w:val="000000" w:themeColor="text1"/>
                      <w:lang w:val="en-US" w:eastAsia="zh-CN"/>
                      <w14:textFill>
                        <w14:solidFill>
                          <w14:schemeClr w14:val="tx1"/>
                        </w14:solidFill>
                      </w14:textFill>
                    </w:rPr>
                    <w:t>，源头削减年度完成项目占30%以上。</w:t>
                  </w:r>
                </w:p>
              </w:tc>
              <w:tc>
                <w:tcPr>
                  <w:tcW w:w="2295" w:type="dxa"/>
                  <w:noWrap w:val="0"/>
                  <w:vAlign w:val="center"/>
                </w:tcPr>
                <w:p>
                  <w:pPr>
                    <w:keepNext w:val="0"/>
                    <w:keepLines w:val="0"/>
                    <w:pageBreakBefore w:val="0"/>
                    <w:widowControl w:val="0"/>
                    <w:numPr>
                      <w:ilvl w:val="0"/>
                      <w:numId w:val="0"/>
                    </w:numPr>
                    <w:kinsoku/>
                    <w:wordWrap/>
                    <w:overflowPunct/>
                    <w:topLinePunct w:val="0"/>
                    <w:bidi w:val="0"/>
                    <w:adjustRightInd w:val="0"/>
                    <w:snapToGrid w:val="0"/>
                    <w:jc w:val="center"/>
                    <w:textAlignment w:val="auto"/>
                    <w:rPr>
                      <w:rFonts w:hint="default"/>
                      <w:color w:val="000000" w:themeColor="text1"/>
                      <w:lang w:val="en-US" w:eastAsia="zh-CN"/>
                      <w14:textFill>
                        <w14:solidFill>
                          <w14:schemeClr w14:val="tx1"/>
                        </w14:solidFill>
                      </w14:textFill>
                    </w:rPr>
                  </w:pPr>
                  <w:r>
                    <w:rPr>
                      <w:rFonts w:hint="eastAsia" w:cs="Times New Roman"/>
                      <w:color w:val="auto"/>
                      <w:sz w:val="21"/>
                      <w:szCs w:val="21"/>
                      <w:highlight w:val="none"/>
                      <w:vertAlign w:val="baseline"/>
                      <w:lang w:val="en-US" w:eastAsia="zh-CN"/>
                    </w:rPr>
                    <w:t>本项目不涉及使用涂料、油墨、涂层剂，使用的清洗剂为工业白油，且生产过程中产生的废气采用“活性炭纤维毡”处理+15m高排气筒排放</w:t>
                  </w:r>
                  <w:r>
                    <w:rPr>
                      <w:rFonts w:hint="default" w:ascii="Times New Roman" w:hAnsi="Times New Roman" w:eastAsia="宋体" w:cs="Times New Roman"/>
                      <w:color w:val="auto"/>
                      <w:sz w:val="21"/>
                      <w:szCs w:val="21"/>
                      <w:highlight w:val="none"/>
                      <w:vertAlign w:val="baseline"/>
                      <w:lang w:val="en-US" w:eastAsia="zh-CN"/>
                    </w:rPr>
                    <w:t>。</w:t>
                  </w:r>
                </w:p>
              </w:tc>
              <w:tc>
                <w:tcPr>
                  <w:tcW w:w="966" w:type="dxa"/>
                  <w:noWrap w:val="0"/>
                  <w:vAlign w:val="center"/>
                </w:tcPr>
                <w:p>
                  <w:pPr>
                    <w:keepNext w:val="0"/>
                    <w:keepLines w:val="0"/>
                    <w:pageBreakBefore w:val="0"/>
                    <w:widowControl w:val="0"/>
                    <w:numPr>
                      <w:ilvl w:val="0"/>
                      <w:numId w:val="0"/>
                    </w:numPr>
                    <w:kinsoku/>
                    <w:wordWrap/>
                    <w:overflowPunct/>
                    <w:topLinePunct w:val="0"/>
                    <w:bidi w:val="0"/>
                    <w:adjustRightInd w:val="0"/>
                    <w:snapToGrid w:val="0"/>
                    <w:jc w:val="center"/>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相符</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w:t>
            </w:r>
            <w:r>
              <w:rPr>
                <w:rFonts w:hint="eastAsia" w:cs="Times New Roman"/>
                <w:sz w:val="24"/>
                <w:szCs w:val="24"/>
                <w:lang w:val="en-US" w:eastAsia="zh-CN"/>
              </w:rPr>
              <w:t>4</w:t>
            </w:r>
            <w:r>
              <w:rPr>
                <w:rFonts w:hint="default" w:ascii="Times New Roman" w:hAnsi="Times New Roman" w:eastAsia="宋体" w:cs="Times New Roman"/>
                <w:sz w:val="24"/>
                <w:szCs w:val="24"/>
                <w:lang w:val="en-US" w:eastAsia="zh-CN"/>
              </w:rPr>
              <w:t>）项目与《挥发性有机物（</w:t>
            </w:r>
            <w:r>
              <w:rPr>
                <w:rFonts w:hint="eastAsia" w:cs="Times New Roman"/>
                <w:sz w:val="24"/>
                <w:szCs w:val="24"/>
                <w:lang w:val="en-US" w:eastAsia="zh-CN"/>
              </w:rPr>
              <w:t>挥发性有机物</w:t>
            </w:r>
            <w:r>
              <w:rPr>
                <w:rFonts w:hint="default" w:ascii="Times New Roman" w:hAnsi="Times New Roman" w:eastAsia="宋体" w:cs="Times New Roman"/>
                <w:sz w:val="24"/>
                <w:szCs w:val="24"/>
                <w:lang w:val="en-US" w:eastAsia="zh-CN"/>
              </w:rPr>
              <w:t>）污染防治技术政策》相符性分析详见下表：</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表1.</w:t>
            </w:r>
            <w:r>
              <w:rPr>
                <w:rFonts w:hint="eastAsia" w:cs="Times New Roman"/>
                <w:b/>
                <w:bCs/>
                <w:sz w:val="24"/>
                <w:szCs w:val="24"/>
                <w:lang w:val="en-US" w:eastAsia="zh-CN"/>
              </w:rPr>
              <w:t>8</w:t>
            </w:r>
            <w:r>
              <w:rPr>
                <w:rFonts w:hint="default" w:ascii="Times New Roman" w:hAnsi="Times New Roman" w:eastAsia="宋体" w:cs="Times New Roman"/>
                <w:b/>
                <w:bCs/>
                <w:sz w:val="24"/>
                <w:szCs w:val="24"/>
                <w:lang w:val="en-US" w:eastAsia="zh-CN"/>
              </w:rPr>
              <w:t xml:space="preserve">  挥发性有机物（</w:t>
            </w:r>
            <w:r>
              <w:rPr>
                <w:rFonts w:hint="eastAsia" w:cs="Times New Roman"/>
                <w:b/>
                <w:bCs/>
                <w:sz w:val="24"/>
                <w:szCs w:val="24"/>
                <w:lang w:val="en-US" w:eastAsia="zh-CN"/>
              </w:rPr>
              <w:t>挥发性有机物</w:t>
            </w:r>
            <w:r>
              <w:rPr>
                <w:rFonts w:hint="default" w:ascii="Times New Roman" w:hAnsi="Times New Roman" w:eastAsia="宋体" w:cs="Times New Roman"/>
                <w:b/>
                <w:bCs/>
                <w:sz w:val="24"/>
                <w:szCs w:val="24"/>
                <w:lang w:val="en-US" w:eastAsia="zh-CN"/>
              </w:rPr>
              <w:t>）污染防治技术政策相符性分析一览表</w:t>
            </w:r>
          </w:p>
          <w:tbl>
            <w:tblPr>
              <w:tblStyle w:val="26"/>
              <w:tblW w:w="79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2"/>
              <w:gridCol w:w="2909"/>
              <w:gridCol w:w="3470"/>
              <w:gridCol w:w="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2" w:type="dxa"/>
                  <w:noWrap w:val="0"/>
                  <w:vAlign w:val="center"/>
                </w:tcPr>
                <w:p>
                  <w:pPr>
                    <w:keepNext w:val="0"/>
                    <w:keepLines w:val="0"/>
                    <w:pageBreakBefore w:val="0"/>
                    <w:widowControl w:val="0"/>
                    <w:numPr>
                      <w:ilvl w:val="0"/>
                      <w:numId w:val="0"/>
                    </w:numPr>
                    <w:kinsoku/>
                    <w:wordWrap/>
                    <w:overflowPunct/>
                    <w:topLinePunct w:val="0"/>
                    <w:bidi w:val="0"/>
                    <w:adjustRightInd w:val="0"/>
                    <w:snapToGrid w:val="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序号</w:t>
                  </w:r>
                </w:p>
              </w:tc>
              <w:tc>
                <w:tcPr>
                  <w:tcW w:w="2909" w:type="dxa"/>
                  <w:noWrap w:val="0"/>
                  <w:vAlign w:val="center"/>
                </w:tcPr>
                <w:p>
                  <w:pPr>
                    <w:keepNext w:val="0"/>
                    <w:keepLines w:val="0"/>
                    <w:pageBreakBefore w:val="0"/>
                    <w:widowControl w:val="0"/>
                    <w:numPr>
                      <w:ilvl w:val="0"/>
                      <w:numId w:val="0"/>
                    </w:numPr>
                    <w:kinsoku/>
                    <w:wordWrap/>
                    <w:overflowPunct/>
                    <w:topLinePunct w:val="0"/>
                    <w:bidi w:val="0"/>
                    <w:adjustRightInd w:val="0"/>
                    <w:snapToGrid w:val="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挥发性有机物（</w:t>
                  </w:r>
                  <w:r>
                    <w:rPr>
                      <w:rFonts w:hint="eastAsia" w:cs="Times New Roman"/>
                      <w:sz w:val="21"/>
                      <w:szCs w:val="21"/>
                      <w:lang w:val="en-US" w:eastAsia="zh-CN"/>
                    </w:rPr>
                    <w:t>挥发性有机物</w:t>
                  </w:r>
                  <w:r>
                    <w:rPr>
                      <w:rFonts w:hint="default" w:ascii="Times New Roman" w:hAnsi="Times New Roman" w:eastAsia="宋体" w:cs="Times New Roman"/>
                      <w:sz w:val="21"/>
                      <w:szCs w:val="21"/>
                      <w:lang w:val="en-US" w:eastAsia="zh-CN"/>
                    </w:rPr>
                    <w:t>）污染防治技术政策</w:t>
                  </w:r>
                </w:p>
              </w:tc>
              <w:tc>
                <w:tcPr>
                  <w:tcW w:w="3470" w:type="dxa"/>
                  <w:noWrap w:val="0"/>
                  <w:vAlign w:val="center"/>
                </w:tcPr>
                <w:p>
                  <w:pPr>
                    <w:keepNext w:val="0"/>
                    <w:keepLines w:val="0"/>
                    <w:pageBreakBefore w:val="0"/>
                    <w:widowControl w:val="0"/>
                    <w:numPr>
                      <w:ilvl w:val="0"/>
                      <w:numId w:val="0"/>
                    </w:numPr>
                    <w:kinsoku/>
                    <w:wordWrap/>
                    <w:overflowPunct/>
                    <w:topLinePunct w:val="0"/>
                    <w:bidi w:val="0"/>
                    <w:adjustRightInd w:val="0"/>
                    <w:snapToGrid w:val="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项目情况</w:t>
                  </w:r>
                </w:p>
              </w:tc>
              <w:tc>
                <w:tcPr>
                  <w:tcW w:w="979" w:type="dxa"/>
                  <w:noWrap w:val="0"/>
                  <w:vAlign w:val="center"/>
                </w:tcPr>
                <w:p>
                  <w:pPr>
                    <w:keepNext w:val="0"/>
                    <w:keepLines w:val="0"/>
                    <w:pageBreakBefore w:val="0"/>
                    <w:widowControl w:val="0"/>
                    <w:numPr>
                      <w:ilvl w:val="0"/>
                      <w:numId w:val="0"/>
                    </w:numPr>
                    <w:kinsoku/>
                    <w:wordWrap/>
                    <w:overflowPunct/>
                    <w:topLinePunct w:val="0"/>
                    <w:bidi w:val="0"/>
                    <w:adjustRightInd w:val="0"/>
                    <w:snapToGrid w:val="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2" w:type="dxa"/>
                  <w:noWrap w:val="0"/>
                  <w:vAlign w:val="center"/>
                </w:tcPr>
                <w:p>
                  <w:pPr>
                    <w:keepNext w:val="0"/>
                    <w:keepLines w:val="0"/>
                    <w:pageBreakBefore w:val="0"/>
                    <w:widowControl w:val="0"/>
                    <w:numPr>
                      <w:ilvl w:val="0"/>
                      <w:numId w:val="0"/>
                    </w:numPr>
                    <w:kinsoku/>
                    <w:wordWrap/>
                    <w:overflowPunct/>
                    <w:topLinePunct w:val="0"/>
                    <w:bidi w:val="0"/>
                    <w:adjustRightInd w:val="0"/>
                    <w:snapToGrid w:val="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1</w:t>
                  </w:r>
                </w:p>
              </w:tc>
              <w:tc>
                <w:tcPr>
                  <w:tcW w:w="2909" w:type="dxa"/>
                  <w:noWrap w:val="0"/>
                  <w:vAlign w:val="center"/>
                </w:tcPr>
                <w:p>
                  <w:pPr>
                    <w:widowControl/>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Cs w:val="21"/>
                    </w:rPr>
                    <w:t>在</w:t>
                  </w:r>
                  <w:r>
                    <w:rPr>
                      <w:rFonts w:hint="eastAsia" w:ascii="Times New Roman" w:hAnsi="Times New Roman" w:eastAsia="宋体" w:cs="Times New Roman"/>
                      <w:color w:val="000000"/>
                      <w:szCs w:val="21"/>
                      <w:lang w:val="en-US" w:eastAsia="zh-CN"/>
                    </w:rPr>
                    <w:t>涂装、印刷、粘合、工业清洗等含</w:t>
                  </w:r>
                  <w:r>
                    <w:rPr>
                      <w:rFonts w:hint="eastAsia" w:cs="Times New Roman"/>
                      <w:color w:val="000000"/>
                      <w:szCs w:val="21"/>
                      <w:lang w:val="en-US" w:eastAsia="zh-CN"/>
                    </w:rPr>
                    <w:t>挥发性有机物</w:t>
                  </w:r>
                  <w:r>
                    <w:rPr>
                      <w:rFonts w:hint="eastAsia" w:ascii="Times New Roman" w:hAnsi="Times New Roman" w:eastAsia="宋体" w:cs="Times New Roman"/>
                      <w:color w:val="000000"/>
                      <w:szCs w:val="21"/>
                      <w:lang w:val="en-US" w:eastAsia="zh-CN"/>
                    </w:rPr>
                    <w:t>产品的使用过程中的</w:t>
                  </w:r>
                  <w:r>
                    <w:rPr>
                      <w:rFonts w:hint="eastAsia" w:cs="Times New Roman"/>
                      <w:color w:val="000000"/>
                      <w:szCs w:val="21"/>
                      <w:lang w:val="en-US" w:eastAsia="zh-CN"/>
                    </w:rPr>
                    <w:t>挥发性有机物</w:t>
                  </w:r>
                  <w:r>
                    <w:rPr>
                      <w:rFonts w:hint="eastAsia" w:ascii="Times New Roman" w:hAnsi="Times New Roman" w:eastAsia="宋体" w:cs="Times New Roman"/>
                      <w:color w:val="000000"/>
                      <w:szCs w:val="21"/>
                      <w:lang w:val="en-US" w:eastAsia="zh-CN"/>
                    </w:rPr>
                    <w:t>污染防治技术措施包括：1、鼓励使用通过环境标志产品认证的环保型涂料、油墨、胶粘剂和清洗剂；</w:t>
                  </w:r>
                  <w:r>
                    <w:rPr>
                      <w:rFonts w:hint="eastAsia" w:ascii="Arial" w:hAnsi="Arial" w:eastAsia="宋体" w:cs="Arial"/>
                      <w:color w:val="000000"/>
                      <w:szCs w:val="21"/>
                      <w:lang w:val="en-US" w:eastAsia="zh-CN"/>
                    </w:rPr>
                    <w:t>……</w:t>
                  </w:r>
                  <w:r>
                    <w:rPr>
                      <w:rFonts w:hint="default" w:ascii="Times New Roman" w:hAnsi="Times New Roman" w:eastAsia="宋体" w:cs="Times New Roman"/>
                      <w:color w:val="000000"/>
                      <w:szCs w:val="21"/>
                      <w:lang w:val="en-US" w:eastAsia="zh-CN"/>
                    </w:rPr>
                    <w:t>；5、</w:t>
                  </w:r>
                  <w:r>
                    <w:rPr>
                      <w:rFonts w:hint="eastAsia" w:ascii="Times New Roman" w:hAnsi="Times New Roman" w:eastAsia="宋体" w:cs="Times New Roman"/>
                      <w:color w:val="000000"/>
                      <w:szCs w:val="21"/>
                      <w:lang w:val="en-US" w:eastAsia="zh-CN"/>
                    </w:rPr>
                    <w:t>淘汰以三氟三氯乙烷、甲基氯仿和四氯化碳为清洗剂或溶剂的生产工艺。清洗过程中产生的废溶剂宜密闭收集，有回收价值的废溶剂经处理后回用，其他废溶剂应妥善处置；6、含</w:t>
                  </w:r>
                  <w:r>
                    <w:rPr>
                      <w:rFonts w:hint="eastAsia" w:cs="Times New Roman"/>
                      <w:color w:val="000000"/>
                      <w:szCs w:val="21"/>
                      <w:lang w:val="en-US" w:eastAsia="zh-CN"/>
                    </w:rPr>
                    <w:t>挥发性有机物</w:t>
                  </w:r>
                  <w:r>
                    <w:rPr>
                      <w:rFonts w:hint="eastAsia" w:ascii="Times New Roman" w:hAnsi="Times New Roman" w:eastAsia="宋体" w:cs="Times New Roman"/>
                      <w:color w:val="000000"/>
                      <w:szCs w:val="21"/>
                      <w:lang w:val="en-US" w:eastAsia="zh-CN"/>
                    </w:rPr>
                    <w:t>产品的使用过程中，应采取废气收集措施，提高废气收集效率，减少废气的无组织排放与逸散，并对收集后的废气进行回收或处理后达标排放。</w:t>
                  </w:r>
                </w:p>
              </w:tc>
              <w:tc>
                <w:tcPr>
                  <w:tcW w:w="3470" w:type="dxa"/>
                  <w:noWrap w:val="0"/>
                  <w:vAlign w:val="center"/>
                </w:tcPr>
                <w:p>
                  <w:pPr>
                    <w:jc w:val="center"/>
                    <w:rPr>
                      <w:rFonts w:hint="default" w:ascii="Times New Roman" w:hAnsi="Times New Roman" w:eastAsia="宋体" w:cs="Times New Roman"/>
                      <w:color w:val="000000"/>
                      <w:kern w:val="2"/>
                      <w:sz w:val="21"/>
                      <w:szCs w:val="21"/>
                      <w:lang w:val="en-US" w:eastAsia="zh-CN" w:bidi="ar"/>
                    </w:rPr>
                  </w:pPr>
                  <w:r>
                    <w:rPr>
                      <w:rFonts w:hint="eastAsia" w:ascii="Times New Roman" w:hAnsi="Times New Roman" w:cs="Times New Roman"/>
                      <w:color w:val="000000"/>
                      <w:szCs w:val="21"/>
                      <w:highlight w:val="none"/>
                      <w:lang w:val="en-US" w:eastAsia="zh-CN" w:bidi="ar"/>
                    </w:rPr>
                    <w:t>项目使用</w:t>
                  </w:r>
                  <w:r>
                    <w:rPr>
                      <w:rFonts w:hint="eastAsia" w:cs="Times New Roman"/>
                      <w:color w:val="000000"/>
                      <w:szCs w:val="21"/>
                      <w:highlight w:val="none"/>
                      <w:lang w:val="en-US" w:eastAsia="zh-CN" w:bidi="ar"/>
                    </w:rPr>
                    <w:t>工业白油</w:t>
                  </w:r>
                  <w:r>
                    <w:rPr>
                      <w:rFonts w:hint="eastAsia" w:ascii="Times New Roman" w:hAnsi="Times New Roman" w:cs="Times New Roman"/>
                      <w:color w:val="000000"/>
                      <w:szCs w:val="21"/>
                      <w:highlight w:val="none"/>
                      <w:lang w:val="en-US" w:eastAsia="zh-CN" w:bidi="ar"/>
                    </w:rPr>
                    <w:t>作为清洗剂，具有良</w:t>
                  </w:r>
                  <w:r>
                    <w:rPr>
                      <w:rFonts w:hint="eastAsia" w:ascii="Times New Roman" w:hAnsi="Times New Roman" w:cs="Times New Roman"/>
                      <w:color w:val="auto"/>
                      <w:szCs w:val="21"/>
                      <w:highlight w:val="none"/>
                      <w:lang w:val="en-US" w:eastAsia="zh-CN" w:bidi="ar"/>
                    </w:rPr>
                    <w:t>好的环保特性和清洗能力；循环使用</w:t>
                  </w:r>
                  <w:r>
                    <w:rPr>
                      <w:rFonts w:hint="eastAsia" w:cs="Times New Roman"/>
                      <w:color w:val="auto"/>
                      <w:szCs w:val="21"/>
                      <w:highlight w:val="none"/>
                      <w:lang w:val="en-US" w:eastAsia="zh-CN" w:bidi="ar"/>
                    </w:rPr>
                    <w:t>，</w:t>
                  </w:r>
                  <w:r>
                    <w:rPr>
                      <w:rFonts w:hint="eastAsia" w:ascii="Times New Roman" w:hAnsi="Times New Roman" w:cs="Times New Roman"/>
                      <w:color w:val="auto"/>
                      <w:szCs w:val="21"/>
                      <w:highlight w:val="none"/>
                      <w:lang w:val="en-US" w:eastAsia="zh-CN" w:bidi="ar"/>
                    </w:rPr>
                    <w:t>产生的废气经收集后通过</w:t>
                  </w:r>
                  <w:r>
                    <w:rPr>
                      <w:rFonts w:hint="eastAsia" w:cs="Times New Roman"/>
                      <w:color w:val="auto"/>
                      <w:szCs w:val="21"/>
                      <w:highlight w:val="none"/>
                      <w:lang w:val="en-US" w:eastAsia="zh-CN" w:bidi="ar"/>
                    </w:rPr>
                    <w:t>活性炭纤维毡</w:t>
                  </w:r>
                  <w:r>
                    <w:rPr>
                      <w:rFonts w:hint="eastAsia" w:ascii="Times New Roman" w:hAnsi="Times New Roman" w:cs="Times New Roman"/>
                      <w:color w:val="auto"/>
                      <w:szCs w:val="21"/>
                      <w:highlight w:val="none"/>
                      <w:lang w:val="en-US" w:eastAsia="zh-CN" w:bidi="ar"/>
                    </w:rPr>
                    <w:t>处理后达标排放</w:t>
                  </w:r>
                  <w:r>
                    <w:rPr>
                      <w:rFonts w:hint="eastAsia" w:cs="Times New Roman"/>
                      <w:color w:val="auto"/>
                      <w:szCs w:val="21"/>
                      <w:highlight w:val="none"/>
                      <w:lang w:val="en-US" w:eastAsia="zh-CN" w:bidi="ar"/>
                    </w:rPr>
                    <w:t>。</w:t>
                  </w:r>
                </w:p>
              </w:tc>
              <w:tc>
                <w:tcPr>
                  <w:tcW w:w="979" w:type="dxa"/>
                  <w:noWrap w:val="0"/>
                  <w:vAlign w:val="center"/>
                </w:tcPr>
                <w:p>
                  <w:pPr>
                    <w:jc w:val="center"/>
                    <w:rPr>
                      <w:rFonts w:hint="default" w:ascii="Times New Roman" w:hAnsi="Times New Roman" w:eastAsia="宋体" w:cs="Times New Roman"/>
                      <w:color w:val="000000"/>
                      <w:kern w:val="2"/>
                      <w:sz w:val="21"/>
                      <w:szCs w:val="21"/>
                      <w:lang w:val="en-US" w:eastAsia="zh-CN" w:bidi="ar"/>
                    </w:rPr>
                  </w:pPr>
                  <w:r>
                    <w:rPr>
                      <w:rFonts w:hint="default" w:ascii="Times New Roman" w:hAnsi="Times New Roman" w:cs="Times New Roman"/>
                      <w:color w:val="000000"/>
                      <w:szCs w:val="21"/>
                      <w:lang w:val="en-US" w:eastAsia="zh-CN" w:bidi="ar"/>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2" w:type="dxa"/>
                  <w:noWrap w:val="0"/>
                  <w:vAlign w:val="center"/>
                </w:tcPr>
                <w:p>
                  <w:pPr>
                    <w:keepNext w:val="0"/>
                    <w:keepLines w:val="0"/>
                    <w:pageBreakBefore w:val="0"/>
                    <w:widowControl w:val="0"/>
                    <w:numPr>
                      <w:ilvl w:val="0"/>
                      <w:numId w:val="0"/>
                    </w:numPr>
                    <w:kinsoku/>
                    <w:wordWrap/>
                    <w:overflowPunct/>
                    <w:topLinePunct w:val="0"/>
                    <w:bidi w:val="0"/>
                    <w:adjustRightInd w:val="0"/>
                    <w:snapToGrid w:val="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2</w:t>
                  </w:r>
                </w:p>
              </w:tc>
              <w:tc>
                <w:tcPr>
                  <w:tcW w:w="2909" w:type="dxa"/>
                  <w:noWrap w:val="0"/>
                  <w:vAlign w:val="center"/>
                </w:tcPr>
                <w:p>
                  <w:pPr>
                    <w:keepNext w:val="0"/>
                    <w:keepLines w:val="0"/>
                    <w:pageBreakBefore w:val="0"/>
                    <w:widowControl w:val="0"/>
                    <w:numPr>
                      <w:ilvl w:val="0"/>
                      <w:numId w:val="0"/>
                    </w:numPr>
                    <w:kinsoku/>
                    <w:wordWrap/>
                    <w:overflowPunct/>
                    <w:topLinePunct w:val="0"/>
                    <w:bidi w:val="0"/>
                    <w:adjustRightInd w:val="0"/>
                    <w:snapToGrid w:val="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含</w:t>
                  </w:r>
                  <w:r>
                    <w:rPr>
                      <w:rFonts w:hint="eastAsia" w:cs="Times New Roman"/>
                      <w:sz w:val="21"/>
                      <w:szCs w:val="21"/>
                      <w:lang w:val="en-US" w:eastAsia="zh-CN"/>
                    </w:rPr>
                    <w:t>挥发性有机物</w:t>
                  </w:r>
                  <w:r>
                    <w:rPr>
                      <w:rFonts w:hint="default" w:ascii="Times New Roman" w:hAnsi="Times New Roman" w:eastAsia="宋体" w:cs="Times New Roman"/>
                      <w:sz w:val="21"/>
                      <w:szCs w:val="21"/>
                      <w:lang w:val="en-US" w:eastAsia="zh-CN"/>
                    </w:rPr>
                    <w:t>产品的使用过程中，应采取废气收集措施，提高废气收集效率，减少废气的无组织排放与逸散，并对收集后的废气进行回收或处理后达标排放</w:t>
                  </w:r>
                </w:p>
              </w:tc>
              <w:tc>
                <w:tcPr>
                  <w:tcW w:w="3470" w:type="dxa"/>
                  <w:noWrap w:val="0"/>
                  <w:vAlign w:val="center"/>
                </w:tcPr>
                <w:p>
                  <w:pPr>
                    <w:keepNext w:val="0"/>
                    <w:keepLines w:val="0"/>
                    <w:pageBreakBefore w:val="0"/>
                    <w:widowControl w:val="0"/>
                    <w:numPr>
                      <w:ilvl w:val="0"/>
                      <w:numId w:val="0"/>
                    </w:numPr>
                    <w:kinsoku/>
                    <w:wordWrap/>
                    <w:overflowPunct/>
                    <w:topLinePunct w:val="0"/>
                    <w:bidi w:val="0"/>
                    <w:adjustRightInd w:val="0"/>
                    <w:snapToGrid w:val="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本项目产生的冷镦废气采用活性炭纤维毡处理后经1根15m高排气筒（DA001）排放，淬火、回火废气经油雾静电捕集器+活性炭纤维毡处理后经1根15m高排气筒（DA001）排放，清洗废气采用活性炭纤维毡处理后经1根15m高排气筒（DA002）排放</w:t>
                  </w:r>
                  <w:r>
                    <w:rPr>
                      <w:rFonts w:hint="eastAsia" w:cs="Times New Roman"/>
                      <w:sz w:val="21"/>
                      <w:szCs w:val="21"/>
                      <w:lang w:val="en-US" w:eastAsia="zh-CN"/>
                    </w:rPr>
                    <w:t>。</w:t>
                  </w:r>
                </w:p>
              </w:tc>
              <w:tc>
                <w:tcPr>
                  <w:tcW w:w="979" w:type="dxa"/>
                  <w:noWrap w:val="0"/>
                  <w:vAlign w:val="center"/>
                </w:tcPr>
                <w:p>
                  <w:pPr>
                    <w:keepNext w:val="0"/>
                    <w:keepLines w:val="0"/>
                    <w:pageBreakBefore w:val="0"/>
                    <w:widowControl w:val="0"/>
                    <w:numPr>
                      <w:ilvl w:val="0"/>
                      <w:numId w:val="0"/>
                    </w:numPr>
                    <w:kinsoku/>
                    <w:wordWrap/>
                    <w:overflowPunct/>
                    <w:topLinePunct w:val="0"/>
                    <w:bidi w:val="0"/>
                    <w:adjustRightInd w:val="0"/>
                    <w:snapToGrid w:val="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相符</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w:t>
            </w:r>
            <w:r>
              <w:rPr>
                <w:rFonts w:hint="eastAsia" w:cs="Times New Roman"/>
                <w:sz w:val="24"/>
                <w:szCs w:val="24"/>
                <w:lang w:val="en-US" w:eastAsia="zh-CN"/>
              </w:rPr>
              <w:t>5</w:t>
            </w:r>
            <w:r>
              <w:rPr>
                <w:rFonts w:hint="default" w:ascii="Times New Roman" w:hAnsi="Times New Roman" w:eastAsia="宋体" w:cs="Times New Roman"/>
                <w:sz w:val="24"/>
                <w:szCs w:val="24"/>
                <w:lang w:val="en-US" w:eastAsia="zh-CN"/>
              </w:rPr>
              <w:t>）项目与《重点行业挥发性有机物综合治理方案》相符性分析详见下表：</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表1.</w:t>
            </w:r>
            <w:r>
              <w:rPr>
                <w:rFonts w:hint="eastAsia" w:cs="Times New Roman"/>
                <w:b/>
                <w:bCs/>
                <w:sz w:val="24"/>
                <w:szCs w:val="24"/>
                <w:lang w:val="en-US" w:eastAsia="zh-CN"/>
              </w:rPr>
              <w:t>9</w:t>
            </w:r>
            <w:r>
              <w:rPr>
                <w:rFonts w:hint="default" w:ascii="Times New Roman" w:hAnsi="Times New Roman" w:eastAsia="宋体" w:cs="Times New Roman"/>
                <w:b/>
                <w:bCs/>
                <w:sz w:val="24"/>
                <w:szCs w:val="24"/>
                <w:lang w:val="en-US" w:eastAsia="zh-CN"/>
              </w:rPr>
              <w:t xml:space="preserve">  与《重点行业挥发性有机物综合治理方案》相符性分析一览表</w:t>
            </w:r>
          </w:p>
          <w:tbl>
            <w:tblPr>
              <w:tblStyle w:val="26"/>
              <w:tblW w:w="79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3065"/>
              <w:gridCol w:w="3232"/>
              <w:gridCol w:w="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3" w:type="dxa"/>
                  <w:noWrap w:val="0"/>
                  <w:vAlign w:val="center"/>
                </w:tcPr>
                <w:p>
                  <w:pPr>
                    <w:keepNext w:val="0"/>
                    <w:keepLines w:val="0"/>
                    <w:pageBreakBefore w:val="0"/>
                    <w:widowControl w:val="0"/>
                    <w:numPr>
                      <w:ilvl w:val="0"/>
                      <w:numId w:val="0"/>
                    </w:numPr>
                    <w:kinsoku/>
                    <w:wordWrap/>
                    <w:overflowPunct/>
                    <w:topLinePunct w:val="0"/>
                    <w:bidi w:val="0"/>
                    <w:adjustRightInd w:val="0"/>
                    <w:snapToGrid w:val="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序号</w:t>
                  </w:r>
                </w:p>
              </w:tc>
              <w:tc>
                <w:tcPr>
                  <w:tcW w:w="3065" w:type="dxa"/>
                  <w:noWrap w:val="0"/>
                  <w:vAlign w:val="center"/>
                </w:tcPr>
                <w:p>
                  <w:pPr>
                    <w:keepNext w:val="0"/>
                    <w:keepLines w:val="0"/>
                    <w:pageBreakBefore w:val="0"/>
                    <w:widowControl w:val="0"/>
                    <w:numPr>
                      <w:ilvl w:val="0"/>
                      <w:numId w:val="0"/>
                    </w:numPr>
                    <w:kinsoku/>
                    <w:wordWrap/>
                    <w:overflowPunct/>
                    <w:topLinePunct w:val="0"/>
                    <w:bidi w:val="0"/>
                    <w:adjustRightInd w:val="0"/>
                    <w:snapToGrid w:val="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重点行业挥发性有机物综合治理方案</w:t>
                  </w:r>
                </w:p>
              </w:tc>
              <w:tc>
                <w:tcPr>
                  <w:tcW w:w="3232" w:type="dxa"/>
                  <w:noWrap w:val="0"/>
                  <w:vAlign w:val="center"/>
                </w:tcPr>
                <w:p>
                  <w:pPr>
                    <w:keepNext w:val="0"/>
                    <w:keepLines w:val="0"/>
                    <w:pageBreakBefore w:val="0"/>
                    <w:widowControl w:val="0"/>
                    <w:numPr>
                      <w:ilvl w:val="0"/>
                      <w:numId w:val="0"/>
                    </w:numPr>
                    <w:kinsoku/>
                    <w:wordWrap/>
                    <w:overflowPunct/>
                    <w:topLinePunct w:val="0"/>
                    <w:bidi w:val="0"/>
                    <w:adjustRightInd w:val="0"/>
                    <w:snapToGrid w:val="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项目情况</w:t>
                  </w:r>
                </w:p>
              </w:tc>
              <w:tc>
                <w:tcPr>
                  <w:tcW w:w="947" w:type="dxa"/>
                  <w:noWrap w:val="0"/>
                  <w:vAlign w:val="center"/>
                </w:tcPr>
                <w:p>
                  <w:pPr>
                    <w:keepNext w:val="0"/>
                    <w:keepLines w:val="0"/>
                    <w:pageBreakBefore w:val="0"/>
                    <w:widowControl w:val="0"/>
                    <w:numPr>
                      <w:ilvl w:val="0"/>
                      <w:numId w:val="0"/>
                    </w:numPr>
                    <w:kinsoku/>
                    <w:wordWrap/>
                    <w:overflowPunct/>
                    <w:topLinePunct w:val="0"/>
                    <w:bidi w:val="0"/>
                    <w:adjustRightInd w:val="0"/>
                    <w:snapToGrid w:val="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3" w:type="dxa"/>
                  <w:noWrap w:val="0"/>
                  <w:vAlign w:val="center"/>
                </w:tcPr>
                <w:p>
                  <w:pPr>
                    <w:keepNext w:val="0"/>
                    <w:keepLines w:val="0"/>
                    <w:pageBreakBefore w:val="0"/>
                    <w:widowControl w:val="0"/>
                    <w:numPr>
                      <w:ilvl w:val="0"/>
                      <w:numId w:val="0"/>
                    </w:numPr>
                    <w:kinsoku/>
                    <w:wordWrap/>
                    <w:overflowPunct/>
                    <w:topLinePunct w:val="0"/>
                    <w:bidi w:val="0"/>
                    <w:adjustRightInd w:val="0"/>
                    <w:snapToGrid w:val="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3065" w:type="dxa"/>
                  <w:noWrap w:val="0"/>
                  <w:vAlign w:val="center"/>
                </w:tcPr>
                <w:p>
                  <w:pPr>
                    <w:keepNext w:val="0"/>
                    <w:keepLines w:val="0"/>
                    <w:pageBreakBefore w:val="0"/>
                    <w:widowControl w:val="0"/>
                    <w:numPr>
                      <w:ilvl w:val="0"/>
                      <w:numId w:val="0"/>
                    </w:numPr>
                    <w:kinsoku/>
                    <w:wordWrap/>
                    <w:overflowPunct/>
                    <w:topLinePunct w:val="0"/>
                    <w:bidi w:val="0"/>
                    <w:adjustRightInd w:val="0"/>
                    <w:snapToGrid w:val="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推进建设适宜高效的治污设施。企业新建治污设施或对现有治污设施实施改造，应依据排放废气的浓度、组分、风量、温度、湿度、压力，以及生产工况等，合理选择治理技术。鼓励企业采用多种技术的组合工艺，提高</w:t>
                  </w:r>
                  <w:r>
                    <w:rPr>
                      <w:rFonts w:hint="eastAsia" w:cs="Times New Roman"/>
                      <w:sz w:val="21"/>
                      <w:szCs w:val="21"/>
                      <w:lang w:val="en-US" w:eastAsia="zh-CN"/>
                    </w:rPr>
                    <w:t>挥发性有机物</w:t>
                  </w:r>
                  <w:r>
                    <w:rPr>
                      <w:rFonts w:hint="default" w:ascii="Times New Roman" w:hAnsi="Times New Roman" w:eastAsia="宋体" w:cs="Times New Roman"/>
                      <w:sz w:val="21"/>
                      <w:szCs w:val="21"/>
                      <w:lang w:val="en-US" w:eastAsia="zh-CN"/>
                    </w:rPr>
                    <w:t>治理效率。</w:t>
                  </w:r>
                </w:p>
              </w:tc>
              <w:tc>
                <w:tcPr>
                  <w:tcW w:w="3232" w:type="dxa"/>
                  <w:noWrap w:val="0"/>
                  <w:vAlign w:val="center"/>
                </w:tcPr>
                <w:p>
                  <w:pPr>
                    <w:keepNext w:val="0"/>
                    <w:keepLines w:val="0"/>
                    <w:pageBreakBefore w:val="0"/>
                    <w:widowControl w:val="0"/>
                    <w:numPr>
                      <w:ilvl w:val="0"/>
                      <w:numId w:val="0"/>
                    </w:numPr>
                    <w:kinsoku/>
                    <w:wordWrap/>
                    <w:overflowPunct/>
                    <w:topLinePunct w:val="0"/>
                    <w:bidi w:val="0"/>
                    <w:adjustRightInd w:val="0"/>
                    <w:snapToGrid w:val="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本项目产生的冷镦废气采用活性炭纤维毡处理后经1根15m高排气筒（DA001）排放，淬火、回火废气经油雾静电捕集器+活性炭纤维毡处理后经1根15m高排气筒（DA001）排放，清洗废气采用活性炭纤维毡处理后经1根15m高排气筒（DA002）排放</w:t>
                  </w:r>
                  <w:r>
                    <w:rPr>
                      <w:rFonts w:hint="eastAsia" w:cs="Times New Roman"/>
                      <w:sz w:val="21"/>
                      <w:szCs w:val="21"/>
                      <w:lang w:val="en-US" w:eastAsia="zh-CN"/>
                    </w:rPr>
                    <w:t>。</w:t>
                  </w:r>
                </w:p>
              </w:tc>
              <w:tc>
                <w:tcPr>
                  <w:tcW w:w="947" w:type="dxa"/>
                  <w:noWrap w:val="0"/>
                  <w:vAlign w:val="center"/>
                </w:tcPr>
                <w:p>
                  <w:pPr>
                    <w:keepNext w:val="0"/>
                    <w:keepLines w:val="0"/>
                    <w:pageBreakBefore w:val="0"/>
                    <w:widowControl w:val="0"/>
                    <w:numPr>
                      <w:ilvl w:val="0"/>
                      <w:numId w:val="0"/>
                    </w:numPr>
                    <w:kinsoku/>
                    <w:wordWrap/>
                    <w:overflowPunct/>
                    <w:topLinePunct w:val="0"/>
                    <w:bidi w:val="0"/>
                    <w:adjustRightInd w:val="0"/>
                    <w:snapToGrid w:val="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3" w:type="dxa"/>
                  <w:noWrap w:val="0"/>
                  <w:vAlign w:val="center"/>
                </w:tcPr>
                <w:p>
                  <w:pPr>
                    <w:keepNext w:val="0"/>
                    <w:keepLines w:val="0"/>
                    <w:pageBreakBefore w:val="0"/>
                    <w:widowControl w:val="0"/>
                    <w:numPr>
                      <w:ilvl w:val="0"/>
                      <w:numId w:val="0"/>
                    </w:numPr>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3065" w:type="dxa"/>
                  <w:noWrap w:val="0"/>
                  <w:vAlign w:val="center"/>
                </w:tcPr>
                <w:p>
                  <w:pPr>
                    <w:keepNext w:val="0"/>
                    <w:keepLines w:val="0"/>
                    <w:pageBreakBefore w:val="0"/>
                    <w:widowControl w:val="0"/>
                    <w:numPr>
                      <w:ilvl w:val="0"/>
                      <w:numId w:val="0"/>
                    </w:numPr>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实行重点排放源排放浓度与去除效率双重控制。车间或生产设施收集排放的废气，</w:t>
                  </w:r>
                  <w:r>
                    <w:rPr>
                      <w:rFonts w:hint="eastAsia" w:cs="Times New Roman"/>
                      <w:color w:val="auto"/>
                      <w:sz w:val="21"/>
                      <w:szCs w:val="21"/>
                      <w:lang w:val="en-US" w:eastAsia="zh-CN"/>
                    </w:rPr>
                    <w:t>挥发性有机物</w:t>
                  </w:r>
                  <w:r>
                    <w:rPr>
                      <w:rFonts w:hint="default" w:ascii="Times New Roman" w:hAnsi="Times New Roman" w:eastAsia="宋体" w:cs="Times New Roman"/>
                      <w:color w:val="auto"/>
                      <w:sz w:val="21"/>
                      <w:szCs w:val="21"/>
                      <w:lang w:val="en-US" w:eastAsia="zh-CN"/>
                    </w:rPr>
                    <w:t>初始排放速率大于等于3千克/小时、重点区域大于等于2千克/小时的，应加大控制力度，除确保排放浓度稳定达标外，还应实行去除效率控制，去除效率不低于80%。</w:t>
                  </w:r>
                </w:p>
              </w:tc>
              <w:tc>
                <w:tcPr>
                  <w:tcW w:w="3232" w:type="dxa"/>
                  <w:noWrap w:val="0"/>
                  <w:vAlign w:val="center"/>
                </w:tcPr>
                <w:p>
                  <w:pPr>
                    <w:keepNext w:val="0"/>
                    <w:keepLines w:val="0"/>
                    <w:pageBreakBefore w:val="0"/>
                    <w:widowControl w:val="0"/>
                    <w:numPr>
                      <w:ilvl w:val="0"/>
                      <w:numId w:val="0"/>
                    </w:numPr>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产生的冷镦废气采用活性炭纤维毡处理后经1根15m高排气筒（DA001）排放，淬火、回火废气经油雾静电捕集器+活性炭纤维毡处理后经1根15m高排气筒（DA001）排放，清洗废气采用活性炭纤维毡处理后经1根15m高排气筒（DA002）排放</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冷镦废气</w:t>
                  </w:r>
                  <w:r>
                    <w:rPr>
                      <w:rFonts w:hint="eastAsia" w:cs="Times New Roman"/>
                      <w:color w:val="auto"/>
                      <w:sz w:val="21"/>
                      <w:szCs w:val="21"/>
                      <w:highlight w:val="none"/>
                      <w:lang w:val="en-US" w:eastAsia="zh-CN"/>
                    </w:rPr>
                    <w:t>挥发性有机物</w:t>
                  </w:r>
                  <w:r>
                    <w:rPr>
                      <w:rFonts w:hint="default" w:ascii="Times New Roman" w:hAnsi="Times New Roman" w:eastAsia="宋体" w:cs="Times New Roman"/>
                      <w:color w:val="auto"/>
                      <w:sz w:val="21"/>
                      <w:szCs w:val="21"/>
                      <w:highlight w:val="none"/>
                      <w:lang w:val="en-US" w:eastAsia="zh-CN"/>
                    </w:rPr>
                    <w:t>初始排放速率为0.</w:t>
                  </w:r>
                  <w:r>
                    <w:rPr>
                      <w:rFonts w:hint="eastAsia" w:ascii="Times New Roman" w:hAnsi="Times New Roman" w:eastAsia="宋体" w:cs="Times New Roman"/>
                      <w:color w:val="auto"/>
                      <w:sz w:val="21"/>
                      <w:szCs w:val="21"/>
                      <w:highlight w:val="none"/>
                      <w:lang w:val="en-US" w:eastAsia="zh-CN"/>
                    </w:rPr>
                    <w:t>0238</w:t>
                  </w:r>
                  <w:r>
                    <w:rPr>
                      <w:rFonts w:hint="default" w:ascii="Times New Roman" w:hAnsi="Times New Roman" w:eastAsia="宋体" w:cs="Times New Roman"/>
                      <w:color w:val="auto"/>
                      <w:sz w:val="21"/>
                      <w:szCs w:val="21"/>
                      <w:highlight w:val="none"/>
                      <w:lang w:val="en-US" w:eastAsia="zh-CN"/>
                    </w:rPr>
                    <w:t>千克/小时、淬火及回火废气</w:t>
                  </w:r>
                  <w:r>
                    <w:rPr>
                      <w:rFonts w:hint="eastAsia" w:cs="Times New Roman"/>
                      <w:color w:val="auto"/>
                      <w:sz w:val="21"/>
                      <w:szCs w:val="21"/>
                      <w:highlight w:val="none"/>
                      <w:lang w:val="en-US" w:eastAsia="zh-CN"/>
                    </w:rPr>
                    <w:t>挥发性有机物</w:t>
                  </w:r>
                  <w:r>
                    <w:rPr>
                      <w:rFonts w:hint="default" w:ascii="Times New Roman" w:hAnsi="Times New Roman" w:eastAsia="宋体" w:cs="Times New Roman"/>
                      <w:color w:val="auto"/>
                      <w:sz w:val="21"/>
                      <w:szCs w:val="21"/>
                      <w:highlight w:val="none"/>
                      <w:lang w:val="en-US" w:eastAsia="zh-CN"/>
                    </w:rPr>
                    <w:t>初始排放速率为</w:t>
                  </w:r>
                  <w:r>
                    <w:rPr>
                      <w:rFonts w:hint="eastAsia" w:cs="Times New Roman"/>
                      <w:color w:val="auto"/>
                      <w:sz w:val="21"/>
                      <w:szCs w:val="21"/>
                      <w:highlight w:val="none"/>
                      <w:lang w:val="en-US" w:eastAsia="zh-CN"/>
                    </w:rPr>
                    <w:t>0.03</w:t>
                  </w:r>
                  <w:r>
                    <w:rPr>
                      <w:rFonts w:hint="default" w:ascii="Times New Roman" w:hAnsi="Times New Roman" w:eastAsia="宋体" w:cs="Times New Roman"/>
                      <w:color w:val="auto"/>
                      <w:sz w:val="21"/>
                      <w:szCs w:val="21"/>
                      <w:highlight w:val="none"/>
                      <w:lang w:val="en-US" w:eastAsia="zh-CN"/>
                    </w:rPr>
                    <w:t>千克/小时，清洗废气</w:t>
                  </w:r>
                  <w:r>
                    <w:rPr>
                      <w:rFonts w:hint="eastAsia" w:cs="Times New Roman"/>
                      <w:color w:val="auto"/>
                      <w:sz w:val="21"/>
                      <w:szCs w:val="21"/>
                      <w:highlight w:val="none"/>
                      <w:lang w:val="en-US" w:eastAsia="zh-CN"/>
                    </w:rPr>
                    <w:t>挥发性有机物</w:t>
                  </w:r>
                  <w:r>
                    <w:rPr>
                      <w:rFonts w:hint="default" w:ascii="Times New Roman" w:hAnsi="Times New Roman" w:eastAsia="宋体" w:cs="Times New Roman"/>
                      <w:color w:val="auto"/>
                      <w:sz w:val="21"/>
                      <w:szCs w:val="21"/>
                      <w:highlight w:val="none"/>
                      <w:lang w:val="en-US" w:eastAsia="zh-CN"/>
                    </w:rPr>
                    <w:t>初始排放速率为0.</w:t>
                  </w:r>
                  <w:r>
                    <w:rPr>
                      <w:rFonts w:hint="eastAsia" w:cs="Times New Roman"/>
                      <w:color w:val="auto"/>
                      <w:sz w:val="21"/>
                      <w:szCs w:val="21"/>
                      <w:highlight w:val="none"/>
                      <w:lang w:val="en-US" w:eastAsia="zh-CN"/>
                    </w:rPr>
                    <w:t>0482</w:t>
                  </w:r>
                  <w:r>
                    <w:rPr>
                      <w:rFonts w:hint="default" w:ascii="Times New Roman" w:hAnsi="Times New Roman" w:eastAsia="宋体" w:cs="Times New Roman"/>
                      <w:color w:val="auto"/>
                      <w:sz w:val="21"/>
                      <w:szCs w:val="21"/>
                      <w:highlight w:val="none"/>
                      <w:lang w:val="en-US" w:eastAsia="zh-CN"/>
                    </w:rPr>
                    <w:t>千克/小时，去除效率为90%</w:t>
                  </w:r>
                </w:p>
              </w:tc>
              <w:tc>
                <w:tcPr>
                  <w:tcW w:w="947" w:type="dxa"/>
                  <w:noWrap w:val="0"/>
                  <w:vAlign w:val="center"/>
                </w:tcPr>
                <w:p>
                  <w:pPr>
                    <w:keepNext w:val="0"/>
                    <w:keepLines w:val="0"/>
                    <w:pageBreakBefore w:val="0"/>
                    <w:widowControl w:val="0"/>
                    <w:numPr>
                      <w:ilvl w:val="0"/>
                      <w:numId w:val="0"/>
                    </w:numPr>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相符</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6</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与《热处理行业规范条件》（工信部2015年第50</w:t>
            </w:r>
            <w:r>
              <w:rPr>
                <w:rFonts w:hint="default" w:ascii="Times New Roman" w:hAnsi="Times New Roman" w:eastAsia="宋体" w:cs="Times New Roman"/>
                <w:sz w:val="24"/>
                <w:szCs w:val="24"/>
                <w:lang w:val="en-US" w:eastAsia="zh-CN"/>
              </w:rPr>
              <w:t>号）的符合性分析</w:t>
            </w:r>
          </w:p>
          <w:p>
            <w:pPr>
              <w:pStyle w:val="41"/>
              <w:keepNext w:val="0"/>
              <w:keepLines w:val="0"/>
              <w:pageBreakBefore w:val="0"/>
              <w:widowControl w:val="0"/>
              <w:kinsoku/>
              <w:wordWrap/>
              <w:overflowPunct/>
              <w:topLinePunct w:val="0"/>
              <w:autoSpaceDE/>
              <w:autoSpaceDN/>
              <w:bidi w:val="0"/>
              <w:adjustRightInd w:val="0"/>
              <w:snapToGrid w:val="0"/>
              <w:spacing w:before="0" w:after="0" w:line="240" w:lineRule="auto"/>
              <w:ind w:firstLine="482" w:firstLineChars="200"/>
              <w:textAlignment w:val="auto"/>
              <w:outlineLvl w:val="9"/>
              <w:rPr>
                <w:rFonts w:hint="default" w:ascii="Times New Roman" w:hAnsi="Times New Roman" w:eastAsia="宋体" w:cs="Times New Roman"/>
                <w:b/>
                <w:bCs/>
                <w:i w:val="0"/>
                <w:iCs w:val="0"/>
                <w:color w:val="auto"/>
                <w:sz w:val="24"/>
                <w:szCs w:val="24"/>
              </w:rPr>
            </w:pPr>
            <w:r>
              <w:rPr>
                <w:rFonts w:hint="default" w:ascii="Times New Roman" w:hAnsi="Times New Roman" w:eastAsia="宋体" w:cs="Times New Roman"/>
                <w:b/>
                <w:bCs/>
                <w:i w:val="0"/>
                <w:iCs w:val="0"/>
                <w:color w:val="auto"/>
                <w:sz w:val="24"/>
                <w:szCs w:val="24"/>
                <w:lang w:val="en-US" w:eastAsia="zh-CN"/>
              </w:rPr>
              <w:t>表1</w:t>
            </w:r>
            <w:r>
              <w:rPr>
                <w:rFonts w:hint="eastAsia" w:ascii="Times New Roman" w:hAnsi="Times New Roman" w:eastAsia="宋体" w:cs="Times New Roman"/>
                <w:b/>
                <w:bCs/>
                <w:i w:val="0"/>
                <w:iCs w:val="0"/>
                <w:color w:val="auto"/>
                <w:sz w:val="24"/>
                <w:szCs w:val="24"/>
                <w:lang w:val="en-US" w:eastAsia="zh-CN"/>
              </w:rPr>
              <w:t>.</w:t>
            </w:r>
            <w:r>
              <w:rPr>
                <w:rFonts w:hint="eastAsia" w:eastAsia="宋体" w:cs="Times New Roman"/>
                <w:b/>
                <w:bCs/>
                <w:i w:val="0"/>
                <w:iCs w:val="0"/>
                <w:color w:val="auto"/>
                <w:sz w:val="24"/>
                <w:szCs w:val="24"/>
                <w:lang w:val="en-US" w:eastAsia="zh-CN"/>
              </w:rPr>
              <w:t>10</w:t>
            </w:r>
            <w:r>
              <w:rPr>
                <w:rFonts w:hint="default" w:ascii="Times New Roman" w:hAnsi="Times New Roman" w:eastAsia="宋体" w:cs="Times New Roman"/>
                <w:b/>
                <w:bCs/>
                <w:i w:val="0"/>
                <w:iCs w:val="0"/>
                <w:color w:val="auto"/>
                <w:sz w:val="24"/>
                <w:szCs w:val="24"/>
                <w:lang w:val="en-US" w:eastAsia="zh-CN"/>
              </w:rPr>
              <w:t xml:space="preserve">  </w:t>
            </w:r>
            <w:r>
              <w:rPr>
                <w:rFonts w:hint="default" w:ascii="Times New Roman" w:hAnsi="Times New Roman" w:eastAsia="宋体" w:cs="Times New Roman"/>
                <w:b/>
                <w:bCs/>
                <w:i w:val="0"/>
                <w:iCs w:val="0"/>
                <w:color w:val="auto"/>
                <w:sz w:val="24"/>
                <w:szCs w:val="24"/>
              </w:rPr>
              <w:t>与</w:t>
            </w:r>
            <w:r>
              <w:rPr>
                <w:rFonts w:hint="default" w:ascii="Times New Roman" w:hAnsi="Times New Roman" w:eastAsia="宋体" w:cs="Times New Roman"/>
                <w:b/>
                <w:bCs/>
                <w:i w:val="0"/>
                <w:iCs w:val="0"/>
                <w:color w:val="auto"/>
                <w:sz w:val="24"/>
                <w:szCs w:val="24"/>
                <w:lang w:val="en-US" w:eastAsia="zh-CN"/>
              </w:rPr>
              <w:t>热处理行业规范条件</w:t>
            </w:r>
            <w:r>
              <w:rPr>
                <w:rFonts w:hint="default" w:ascii="Times New Roman" w:hAnsi="Times New Roman" w:eastAsia="宋体" w:cs="Times New Roman"/>
                <w:b/>
                <w:bCs/>
                <w:i w:val="0"/>
                <w:iCs w:val="0"/>
                <w:color w:val="auto"/>
                <w:sz w:val="24"/>
                <w:szCs w:val="24"/>
              </w:rPr>
              <w:t>的符合性分析</w:t>
            </w:r>
          </w:p>
          <w:tbl>
            <w:tblPr>
              <w:tblStyle w:val="26"/>
              <w:tblW w:w="76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3422"/>
              <w:gridCol w:w="2272"/>
              <w:gridCol w:w="1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735"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项目</w:t>
                  </w:r>
                </w:p>
              </w:tc>
              <w:tc>
                <w:tcPr>
                  <w:tcW w:w="3422"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内容</w:t>
                  </w:r>
                </w:p>
              </w:tc>
              <w:tc>
                <w:tcPr>
                  <w:tcW w:w="2272"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本项目情况</w:t>
                  </w:r>
                </w:p>
              </w:tc>
              <w:tc>
                <w:tcPr>
                  <w:tcW w:w="1188"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相符性分析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5" w:hRule="atLeast"/>
              </w:trPr>
              <w:tc>
                <w:tcPr>
                  <w:tcW w:w="735"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建设条件和企业布局</w:t>
                  </w:r>
                </w:p>
              </w:tc>
              <w:tc>
                <w:tcPr>
                  <w:tcW w:w="34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投资新建或改扩建的热处理加工、热处理设备制造和热处理工艺材料生产企业(厂、点)要符合国家产业政策和产业规划，符合地区工业发展规划、产业发展导向和区域功能。新建或改扩建的热处理加工企业生产能力应具有不少于1000万元/年产值的生产能力。</w:t>
                  </w:r>
                </w:p>
              </w:tc>
              <w:tc>
                <w:tcPr>
                  <w:tcW w:w="227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本项目属于新建项目，由规划图可知，本项目在规划的工业用地范围内，符合规划。本项目属于有淬火工序的金属加工处理，根据产品的市场价，年产值不低于1000万元/年产值。</w:t>
                  </w:r>
                </w:p>
              </w:tc>
              <w:tc>
                <w:tcPr>
                  <w:tcW w:w="11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2" w:hRule="atLeast"/>
              </w:trPr>
              <w:tc>
                <w:tcPr>
                  <w:tcW w:w="73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c>
                <w:tcPr>
                  <w:tcW w:w="34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热处理的生产场所禁止设立在自然保护区、重点生态功能区、风景名胜区、饮用水水源保护区等重点保护区域以及居民区、商业区、旅游区、蔬菜预粮食等农作物种植区</w:t>
                  </w:r>
                </w:p>
              </w:tc>
              <w:tc>
                <w:tcPr>
                  <w:tcW w:w="227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根据规划图可知，本项目在规划的工业用地范围内，不在自然保护区、重点生态功能区等重点保护区域级农作物种植区</w:t>
                  </w:r>
                </w:p>
              </w:tc>
              <w:tc>
                <w:tcPr>
                  <w:tcW w:w="11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7" w:hRule="atLeast"/>
              </w:trPr>
              <w:tc>
                <w:tcPr>
                  <w:tcW w:w="73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c>
                <w:tcPr>
                  <w:tcW w:w="34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所有热处理专业化加工厂点的设立要坚决淘汰落后产能，要以加快“发展先进工艺，限制陈旧工艺，淘汰落后工艺”为导向。推动企业转型升级，确保安全生产，强化节能减排，促进开发低碳技术项目，发展高技术附加值的热处理企业。</w:t>
                  </w:r>
                </w:p>
              </w:tc>
              <w:tc>
                <w:tcPr>
                  <w:tcW w:w="227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highlight w:val="yellow"/>
                      <w:lang w:val="en-US" w:eastAsia="zh-CN"/>
                    </w:rPr>
                  </w:pPr>
                  <w:r>
                    <w:rPr>
                      <w:rFonts w:hint="default" w:ascii="Times New Roman" w:hAnsi="Times New Roman" w:eastAsia="宋体" w:cs="Times New Roman"/>
                      <w:sz w:val="21"/>
                      <w:szCs w:val="21"/>
                      <w:highlight w:val="none"/>
                      <w:lang w:val="en-US" w:eastAsia="zh-CN"/>
                    </w:rPr>
                    <w:t>本项目使用能源为水电，不涉及淘汰落后的工艺</w:t>
                  </w:r>
                </w:p>
              </w:tc>
              <w:tc>
                <w:tcPr>
                  <w:tcW w:w="11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3" w:hRule="atLeast"/>
              </w:trPr>
              <w:tc>
                <w:tcPr>
                  <w:tcW w:w="735"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工艺装备及工艺材料</w:t>
                  </w:r>
                </w:p>
              </w:tc>
              <w:tc>
                <w:tcPr>
                  <w:tcW w:w="34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热处理加工企业或厂点应采用先进技术装备，加热设备的有效加热、保温及炉温均匀性应满足工艺要求，少无氧化的热处理加热设备比例达50%或以上。不得使用国家明令禁止和淘汰的热处理工艺和设备( 参见《产业结构调整指导目录》《工业和信息化部高耗能落后机电设备（产品）淘汰目录》、《部分工业行业淘汰落后生产工艺装备和产品指导目录》。新（扩）建热处理加工项目不得采用《产业结构调整指导目录》中限制类工艺和装备，现有生产线不得采用《产业结构调整指导目录》中淘汰类工艺和装备。</w:t>
                  </w:r>
                </w:p>
              </w:tc>
              <w:tc>
                <w:tcPr>
                  <w:tcW w:w="227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highlight w:val="yellow"/>
                      <w:lang w:val="en-US" w:eastAsia="zh-CN"/>
                    </w:rPr>
                  </w:pPr>
                  <w:r>
                    <w:rPr>
                      <w:rFonts w:hint="default" w:ascii="Times New Roman" w:hAnsi="Times New Roman" w:eastAsia="宋体" w:cs="Times New Roman"/>
                      <w:sz w:val="21"/>
                      <w:szCs w:val="21"/>
                      <w:highlight w:val="none"/>
                      <w:lang w:val="en-US" w:eastAsia="zh-CN"/>
                    </w:rPr>
                    <w:t>本项目使用的热处理设备满足工艺要求，不属于国家禁止和淘汰的设备及热处理工艺</w:t>
                  </w:r>
                </w:p>
              </w:tc>
              <w:tc>
                <w:tcPr>
                  <w:tcW w:w="11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trPr>
              <w:tc>
                <w:tcPr>
                  <w:tcW w:w="73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c>
                <w:tcPr>
                  <w:tcW w:w="34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热处理的加热设备应使用陶瓷纤维等性能优良的绝热、保温材料，禁止使用石棉类材料，保证设备和工艺的能耗符合国家、行业的相关标准要求。</w:t>
                  </w:r>
                </w:p>
              </w:tc>
              <w:tc>
                <w:tcPr>
                  <w:tcW w:w="227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highlight w:val="yellow"/>
                      <w:lang w:val="en-US" w:eastAsia="zh-CN"/>
                    </w:rPr>
                  </w:pPr>
                  <w:r>
                    <w:rPr>
                      <w:rFonts w:hint="default" w:ascii="Times New Roman" w:hAnsi="Times New Roman" w:eastAsia="宋体" w:cs="Times New Roman"/>
                      <w:sz w:val="21"/>
                      <w:szCs w:val="21"/>
                      <w:highlight w:val="none"/>
                      <w:lang w:val="en-US" w:eastAsia="zh-CN"/>
                    </w:rPr>
                    <w:t>本项目热处理设备不使用石棉类材料，设备的工艺能耗符合国家标准</w:t>
                  </w:r>
                </w:p>
              </w:tc>
              <w:tc>
                <w:tcPr>
                  <w:tcW w:w="11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2" w:hRule="atLeast"/>
              </w:trPr>
              <w:tc>
                <w:tcPr>
                  <w:tcW w:w="73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c>
                <w:tcPr>
                  <w:tcW w:w="34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热处理设备应采用智能仪表精密控温技术及固态继电器装置，采用工业PC或PLC的计算机控制技术以及智能化柔性控制技术等先进控制系统，其比例应达到控制系统的80%或以上。</w:t>
                  </w:r>
                </w:p>
              </w:tc>
              <w:tc>
                <w:tcPr>
                  <w:tcW w:w="227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highlight w:val="yellow"/>
                      <w:lang w:val="en-US" w:eastAsia="zh-CN"/>
                    </w:rPr>
                  </w:pPr>
                  <w:r>
                    <w:rPr>
                      <w:rFonts w:hint="default" w:ascii="Times New Roman" w:hAnsi="Times New Roman" w:eastAsia="宋体" w:cs="Times New Roman"/>
                      <w:sz w:val="21"/>
                      <w:szCs w:val="21"/>
                      <w:highlight w:val="none"/>
                      <w:lang w:val="en-US" w:eastAsia="zh-CN"/>
                    </w:rPr>
                    <w:t>本项目使用的热处理设备采用智能控温进行项目生产</w:t>
                  </w:r>
                </w:p>
              </w:tc>
              <w:tc>
                <w:tcPr>
                  <w:tcW w:w="11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2" w:hRule="atLeast"/>
              </w:trPr>
              <w:tc>
                <w:tcPr>
                  <w:tcW w:w="73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c>
                <w:tcPr>
                  <w:tcW w:w="34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重视设备的更新改造，具有设备更新改造的近期计划和中长期规划。役龄10年以上的热处理设备须进行更新改造，大修时必须采用节能材料和精密控温仪表。</w:t>
                  </w:r>
                </w:p>
              </w:tc>
              <w:tc>
                <w:tcPr>
                  <w:tcW w:w="227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本项目属于新建项目，购买全新设备，可以满足生产要求</w:t>
                  </w:r>
                </w:p>
              </w:tc>
              <w:tc>
                <w:tcPr>
                  <w:tcW w:w="11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8" w:hRule="atLeast"/>
              </w:trPr>
              <w:tc>
                <w:tcPr>
                  <w:tcW w:w="735"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能源消耗和资源综合利用</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c>
                <w:tcPr>
                  <w:tcW w:w="34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加强能源管理，建立能源管理体系，通过能源管理体系认证、能效管理认证，建立节能计量、统计管理制度，严格执行GB/T23331《能源管理体系要求》、GB/Z18719《热处理节能技术导则》、GB/T17358《热处理生产电耗定额及其计算和测定方法》、GB/T19944《热处理生产燃料消耗定额及其计算和测定方法》等能耗管理标准。热处理厂点应设专职或兼职能源管理员，受企业总经理直接领导负责能源管理工作，按管理规定定期检查、分析企业能源利用情况，并提出报告。</w:t>
                  </w:r>
                </w:p>
              </w:tc>
              <w:tc>
                <w:tcPr>
                  <w:tcW w:w="227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本项目能耗属于电能，要求企业生产后由专人负责能源管理工作，并制定报告</w:t>
                  </w:r>
                </w:p>
              </w:tc>
              <w:tc>
                <w:tcPr>
                  <w:tcW w:w="11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73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c>
                <w:tcPr>
                  <w:tcW w:w="34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热处理能耗指标达到≤3300kWh/万元产值或600kWh/吨工件。</w:t>
                  </w:r>
                </w:p>
              </w:tc>
              <w:tc>
                <w:tcPr>
                  <w:tcW w:w="227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根据本项目使用能源，知热处理能耗低于限值</w:t>
                  </w:r>
                </w:p>
              </w:tc>
              <w:tc>
                <w:tcPr>
                  <w:tcW w:w="11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5" w:hRule="atLeast"/>
              </w:trPr>
              <w:tc>
                <w:tcPr>
                  <w:tcW w:w="73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环境保护</w:t>
                  </w:r>
                </w:p>
              </w:tc>
              <w:tc>
                <w:tcPr>
                  <w:tcW w:w="34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热处理厂应配套建立废气、废水、噪声和固体有害废弃物处理设施，制定环境应急预案。各项处理装置应稳定、有效运行，确保废水、废气和噪声达到标准，按规范建设固体废物暂存场，危险废物应按照 GB18597《危险废物贮存污染控制标准》的要求贮存，委托处置的应交由具有危险废物经营资质和能力的单位进行无害化处置。</w:t>
                  </w:r>
                </w:p>
              </w:tc>
              <w:tc>
                <w:tcPr>
                  <w:tcW w:w="227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highlight w:val="yellow"/>
                      <w:lang w:val="en-US" w:eastAsia="zh-CN"/>
                    </w:rPr>
                  </w:pPr>
                  <w:r>
                    <w:rPr>
                      <w:rFonts w:hint="default" w:ascii="Times New Roman" w:hAnsi="Times New Roman" w:eastAsia="宋体" w:cs="Times New Roman"/>
                      <w:sz w:val="21"/>
                      <w:szCs w:val="21"/>
                      <w:highlight w:val="none"/>
                      <w:lang w:val="en-US" w:eastAsia="zh-CN"/>
                    </w:rPr>
                    <w:t>本项目产生的废气均有效处理，达标排放；本项目目前仅涉及生活污水，</w:t>
                  </w:r>
                  <w:r>
                    <w:rPr>
                      <w:rFonts w:hint="eastAsia" w:cs="Times New Roman"/>
                      <w:color w:val="auto"/>
                      <w:sz w:val="21"/>
                      <w:szCs w:val="21"/>
                      <w:highlight w:val="none"/>
                      <w:vertAlign w:val="baseline"/>
                      <w:lang w:val="en-US" w:eastAsia="zh-CN"/>
                    </w:rPr>
                    <w:t>生活污水依托标准化厂房已建化粪池预处理后经市政污水管网排入灵璧经济开发区北部新区污水处理厂处理</w:t>
                  </w:r>
                  <w:r>
                    <w:rPr>
                      <w:rFonts w:hint="default" w:ascii="Times New Roman" w:hAnsi="Times New Roman" w:eastAsia="宋体" w:cs="Times New Roman"/>
                      <w:sz w:val="21"/>
                      <w:szCs w:val="21"/>
                      <w:highlight w:val="none"/>
                      <w:lang w:val="en-US" w:eastAsia="zh-CN"/>
                    </w:rPr>
                    <w:t>；危险废物暂存在危废间，定期交由有资质单位处理进行无害化处理；噪声满足</w:t>
                  </w:r>
                  <w:r>
                    <w:rPr>
                      <w:rFonts w:hint="eastAsia" w:cs="Times New Roman"/>
                      <w:sz w:val="21"/>
                      <w:szCs w:val="21"/>
                      <w:highlight w:val="none"/>
                      <w:lang w:val="en-US" w:eastAsia="zh-CN"/>
                    </w:rPr>
                    <w:t>3</w:t>
                  </w:r>
                  <w:r>
                    <w:rPr>
                      <w:rFonts w:hint="default" w:ascii="Times New Roman" w:hAnsi="Times New Roman" w:eastAsia="宋体" w:cs="Times New Roman"/>
                      <w:sz w:val="21"/>
                      <w:szCs w:val="21"/>
                      <w:highlight w:val="none"/>
                      <w:lang w:val="en-US" w:eastAsia="zh-CN"/>
                    </w:rPr>
                    <w:t>类标准。</w:t>
                  </w:r>
                </w:p>
              </w:tc>
              <w:tc>
                <w:tcPr>
                  <w:tcW w:w="11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符合</w:t>
                  </w:r>
                </w:p>
              </w:tc>
            </w:tr>
          </w:tbl>
          <w:p>
            <w:pPr>
              <w:adjustRightInd w:val="0"/>
              <w:snapToGrid w:val="0"/>
              <w:spacing w:before="120" w:beforeLines="50" w:line="360" w:lineRule="auto"/>
              <w:rPr>
                <w:b/>
                <w:bCs/>
                <w:sz w:val="24"/>
              </w:rPr>
            </w:pPr>
            <w:r>
              <w:rPr>
                <w:rFonts w:hint="eastAsia"/>
                <w:b/>
                <w:bCs/>
                <w:sz w:val="24"/>
                <w:lang w:val="en-US" w:eastAsia="zh-CN"/>
              </w:rPr>
              <w:t>4</w:t>
            </w:r>
            <w:r>
              <w:rPr>
                <w:rFonts w:hint="eastAsia"/>
                <w:b/>
                <w:bCs/>
                <w:sz w:val="24"/>
              </w:rPr>
              <w:t>、</w:t>
            </w:r>
            <w:r>
              <w:rPr>
                <w:b/>
                <w:bCs/>
                <w:sz w:val="24"/>
              </w:rPr>
              <w:t>环境相容性分析</w:t>
            </w:r>
          </w:p>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pPr>
            <w:r>
              <w:rPr>
                <w:rFonts w:hint="eastAsia"/>
                <w:lang w:eastAsia="zh-CN"/>
              </w:rPr>
              <w:t>（</w:t>
            </w:r>
            <w:r>
              <w:rPr>
                <w:rFonts w:hint="eastAsia"/>
                <w:lang w:val="en-US" w:eastAsia="zh-CN"/>
              </w:rPr>
              <w:t>1</w:t>
            </w:r>
            <w:r>
              <w:rPr>
                <w:rFonts w:hint="eastAsia"/>
                <w:lang w:eastAsia="zh-CN"/>
              </w:rPr>
              <w:t>）</w:t>
            </w:r>
            <w:r>
              <w:t>环境相容性</w:t>
            </w:r>
          </w:p>
          <w:p>
            <w:pPr>
              <w:spacing w:line="360" w:lineRule="auto"/>
              <w:ind w:firstLine="480" w:firstLineChars="200"/>
              <w:jc w:val="left"/>
              <w:rPr>
                <w:rFonts w:hint="default" w:ascii="Times New Roman" w:hAnsi="Times New Roman" w:cs="Times New Roman"/>
                <w:color w:val="auto"/>
                <w:spacing w:val="0"/>
                <w:sz w:val="24"/>
              </w:rPr>
            </w:pPr>
            <w:r>
              <w:rPr>
                <w:sz w:val="24"/>
              </w:rPr>
              <w:t>项目位于</w:t>
            </w:r>
            <w:r>
              <w:rPr>
                <w:rFonts w:hint="eastAsia"/>
                <w:sz w:val="24"/>
              </w:rPr>
              <w:t>安徽省宿州市</w:t>
            </w:r>
            <w:r>
              <w:rPr>
                <w:rFonts w:hint="eastAsia"/>
                <w:sz w:val="24"/>
                <w:lang w:eastAsia="zh-CN"/>
              </w:rPr>
              <w:t>灵璧经济开发区轴承产业园</w:t>
            </w:r>
            <w:r>
              <w:rPr>
                <w:rFonts w:hint="eastAsia"/>
                <w:sz w:val="24"/>
                <w:lang w:val="en-US" w:eastAsia="zh-CN"/>
              </w:rPr>
              <w:t>5期10号厂房</w:t>
            </w:r>
            <w:r>
              <w:rPr>
                <w:sz w:val="24"/>
              </w:rPr>
              <w:t>，</w:t>
            </w:r>
            <w:r>
              <w:rPr>
                <w:rFonts w:hint="default" w:ascii="Times New Roman" w:hAnsi="Times New Roman" w:cs="Times New Roman"/>
                <w:color w:val="000000" w:themeColor="text1"/>
                <w:sz w:val="24"/>
                <w:szCs w:val="24"/>
                <w:lang w:val="en-US" w:eastAsia="zh-CN"/>
                <w14:textFill>
                  <w14:solidFill>
                    <w14:schemeClr w14:val="tx1"/>
                  </w14:solidFill>
                </w14:textFill>
              </w:rPr>
              <w:t>根据现场踏勘，</w:t>
            </w:r>
            <w:r>
              <w:rPr>
                <w:rFonts w:hint="default" w:ascii="Times New Roman" w:hAnsi="Times New Roman" w:cs="Times New Roman"/>
                <w:color w:val="auto"/>
                <w:spacing w:val="0"/>
                <w:sz w:val="24"/>
              </w:rPr>
              <w:t>项目厂区东侧为</w:t>
            </w:r>
            <w:r>
              <w:rPr>
                <w:rFonts w:hint="eastAsia" w:ascii="Times New Roman" w:hAnsi="Times New Roman" w:cs="Times New Roman"/>
                <w:color w:val="auto"/>
                <w:spacing w:val="0"/>
                <w:sz w:val="24"/>
                <w:lang w:val="en-US" w:eastAsia="zh-CN"/>
              </w:rPr>
              <w:t>安徽甬灵达管业科技有限公司</w:t>
            </w:r>
            <w:r>
              <w:rPr>
                <w:rFonts w:hint="default" w:ascii="Times New Roman" w:hAnsi="Times New Roman" w:cs="Times New Roman"/>
                <w:color w:val="auto"/>
                <w:spacing w:val="0"/>
                <w:sz w:val="24"/>
              </w:rPr>
              <w:t>，南侧为</w:t>
            </w:r>
            <w:r>
              <w:rPr>
                <w:rFonts w:hint="eastAsia" w:ascii="Times New Roman" w:hAnsi="Times New Roman" w:cs="Times New Roman"/>
                <w:color w:val="auto"/>
                <w:spacing w:val="0"/>
                <w:sz w:val="24"/>
                <w:lang w:val="en-US" w:eastAsia="zh-CN"/>
              </w:rPr>
              <w:t>泗宿高速</w:t>
            </w:r>
            <w:r>
              <w:rPr>
                <w:rFonts w:hint="default" w:ascii="Times New Roman" w:hAnsi="Times New Roman" w:cs="Times New Roman"/>
                <w:color w:val="auto"/>
                <w:spacing w:val="0"/>
                <w:sz w:val="24"/>
              </w:rPr>
              <w:t>，西侧为</w:t>
            </w:r>
            <w:r>
              <w:rPr>
                <w:rFonts w:hint="eastAsia" w:ascii="Times New Roman" w:hAnsi="Times New Roman" w:cs="Times New Roman"/>
                <w:color w:val="auto"/>
                <w:spacing w:val="0"/>
                <w:sz w:val="24"/>
                <w:lang w:eastAsia="zh-CN"/>
              </w:rPr>
              <w:t>园区内空置厂房</w:t>
            </w:r>
            <w:r>
              <w:rPr>
                <w:rFonts w:hint="default" w:ascii="Times New Roman" w:hAnsi="Times New Roman" w:cs="Times New Roman"/>
                <w:color w:val="auto"/>
                <w:spacing w:val="0"/>
                <w:sz w:val="24"/>
              </w:rPr>
              <w:t>，北侧为</w:t>
            </w:r>
            <w:r>
              <w:rPr>
                <w:rFonts w:hint="eastAsia" w:ascii="Times New Roman" w:hAnsi="Times New Roman" w:cs="Times New Roman"/>
                <w:color w:val="auto"/>
                <w:spacing w:val="0"/>
                <w:sz w:val="24"/>
                <w:lang w:val="en-US" w:eastAsia="zh-CN"/>
              </w:rPr>
              <w:t>园区内空置厂房</w:t>
            </w:r>
            <w:r>
              <w:rPr>
                <w:rFonts w:hint="default" w:ascii="Times New Roman" w:hAnsi="Times New Roman" w:cs="Times New Roman"/>
                <w:color w:val="auto"/>
                <w:spacing w:val="0"/>
                <w:sz w:val="24"/>
              </w:rPr>
              <w:t>；周边企业</w:t>
            </w:r>
            <w:r>
              <w:rPr>
                <w:rFonts w:hint="eastAsia" w:ascii="Times New Roman" w:hAnsi="Times New Roman" w:eastAsia="宋体" w:cs="Times New Roman"/>
                <w:color w:val="auto"/>
                <w:spacing w:val="0"/>
                <w:sz w:val="24"/>
                <w:lang w:val="en-US" w:eastAsia="zh-CN"/>
              </w:rPr>
              <w:t>均</w:t>
            </w:r>
            <w:r>
              <w:rPr>
                <w:rFonts w:hint="default" w:ascii="Times New Roman" w:hAnsi="Times New Roman" w:cs="Times New Roman"/>
                <w:color w:val="auto"/>
                <w:spacing w:val="0"/>
                <w:sz w:val="24"/>
              </w:rPr>
              <w:t>为轴承类制造企业，与</w:t>
            </w:r>
            <w:r>
              <w:rPr>
                <w:rFonts w:hint="eastAsia" w:ascii="Times New Roman" w:hAnsi="Times New Roman" w:eastAsia="宋体" w:cs="Times New Roman"/>
                <w:color w:val="auto"/>
                <w:spacing w:val="0"/>
                <w:sz w:val="24"/>
                <w:lang w:val="en-US" w:eastAsia="zh-CN"/>
              </w:rPr>
              <w:t>周边环境</w:t>
            </w:r>
            <w:r>
              <w:rPr>
                <w:rFonts w:hint="default" w:ascii="Times New Roman" w:hAnsi="Times New Roman" w:cs="Times New Roman"/>
                <w:color w:val="auto"/>
                <w:spacing w:val="0"/>
                <w:sz w:val="24"/>
              </w:rPr>
              <w:t>相容。厂界周边无环境敏感保护目标、饮用水源、城市居民区、自然保护区等环境特殊敏感区。</w:t>
            </w:r>
          </w:p>
          <w:p>
            <w:pPr>
              <w:keepNext w:val="0"/>
              <w:keepLines w:val="0"/>
              <w:pageBreakBefore w:val="0"/>
              <w:widowControl w:val="0"/>
              <w:numPr>
                <w:ilvl w:val="0"/>
                <w:numId w:val="0"/>
              </w:numPr>
              <w:kinsoku/>
              <w:wordWrap/>
              <w:overflowPunct/>
              <w:topLinePunct w:val="0"/>
              <w:bidi w:val="0"/>
              <w:adjustRightInd w:val="0"/>
              <w:snapToGrid w:val="0"/>
              <w:spacing w:line="360" w:lineRule="auto"/>
              <w:ind w:firstLine="480" w:firstLineChars="200"/>
              <w:textAlignment w:val="auto"/>
              <w:rPr>
                <w:rFonts w:hint="eastAsia" w:eastAsia="宋体"/>
                <w:sz w:val="24"/>
                <w:lang w:val="en-US" w:eastAsia="zh-CN"/>
              </w:rPr>
            </w:pPr>
            <w:r>
              <w:rPr>
                <w:sz w:val="24"/>
              </w:rPr>
              <w:t>本项目属于</w:t>
            </w:r>
            <w:r>
              <w:rPr>
                <w:rFonts w:hint="eastAsia"/>
                <w:sz w:val="24"/>
                <w:lang w:eastAsia="zh-CN"/>
              </w:rPr>
              <w:t>轴承制造</w:t>
            </w:r>
            <w:r>
              <w:rPr>
                <w:sz w:val="24"/>
              </w:rPr>
              <w:t>，项目运营期产生的各类污染物</w:t>
            </w:r>
            <w:r>
              <w:rPr>
                <w:sz w:val="24"/>
                <w:lang w:val="zh-CN"/>
              </w:rPr>
              <w:t>在采取相应处理处置措施后，均可做到综合利用或无害化处置，不会对区域环境造成不利影响。</w:t>
            </w:r>
            <w:r>
              <w:rPr>
                <w:sz w:val="24"/>
              </w:rPr>
              <w:t>因此，本项目建设对周边环境影响较小。</w:t>
            </w:r>
          </w:p>
          <w:p>
            <w:pPr>
              <w:pStyle w:val="37"/>
              <w:snapToGrid w:val="0"/>
              <w:spacing w:line="360" w:lineRule="auto"/>
              <w:ind w:firstLine="480" w:firstLineChars="200"/>
              <w:rPr>
                <w:rFonts w:hint="default"/>
                <w:lang w:val="en-US" w:eastAsia="zh-CN"/>
              </w:rPr>
            </w:pPr>
            <w:r>
              <w:rPr>
                <w:rFonts w:hint="eastAsia"/>
              </w:rPr>
              <w:t>综上所述，本项目与周边环境相容。</w:t>
            </w:r>
          </w:p>
          <w:p>
            <w:pPr>
              <w:pStyle w:val="9"/>
              <w:ind w:left="0" w:leftChars="0" w:firstLine="0" w:firstLineChars="0"/>
              <w:rPr>
                <w:rFonts w:hint="eastAsia" w:ascii="宋体" w:hAnsi="宋体" w:cs="宋体"/>
                <w:color w:val="000000" w:themeColor="text1"/>
                <w:sz w:val="24"/>
                <w:szCs w:val="24"/>
                <w:lang w:val="en-US" w:eastAsia="zh-CN"/>
                <w14:textFill>
                  <w14:solidFill>
                    <w14:schemeClr w14:val="tx1"/>
                  </w14:solidFill>
                </w14:textFill>
              </w:rPr>
            </w:pPr>
          </w:p>
          <w:p>
            <w:pPr>
              <w:pStyle w:val="9"/>
              <w:ind w:left="0" w:leftChars="0" w:firstLine="0" w:firstLineChars="0"/>
              <w:rPr>
                <w:rFonts w:hint="eastAsia" w:ascii="宋体" w:hAnsi="宋体" w:cs="宋体"/>
                <w:color w:val="000000" w:themeColor="text1"/>
                <w:sz w:val="24"/>
                <w:szCs w:val="24"/>
                <w:lang w:val="en-US" w:eastAsia="zh-CN"/>
                <w14:textFill>
                  <w14:solidFill>
                    <w14:schemeClr w14:val="tx1"/>
                  </w14:solidFill>
                </w14:textFill>
              </w:rPr>
            </w:pPr>
          </w:p>
          <w:p>
            <w:pPr>
              <w:pStyle w:val="9"/>
              <w:ind w:left="0" w:leftChars="0" w:firstLine="0" w:firstLineChars="0"/>
              <w:rPr>
                <w:rFonts w:hint="eastAsia" w:ascii="宋体" w:hAnsi="宋体" w:cs="宋体"/>
                <w:color w:val="000000" w:themeColor="text1"/>
                <w:sz w:val="24"/>
                <w:szCs w:val="24"/>
                <w:lang w:val="en-US" w:eastAsia="zh-CN"/>
                <w14:textFill>
                  <w14:solidFill>
                    <w14:schemeClr w14:val="tx1"/>
                  </w14:solidFill>
                </w14:textFill>
              </w:rPr>
            </w:pPr>
          </w:p>
          <w:p>
            <w:pPr>
              <w:pStyle w:val="9"/>
              <w:ind w:left="0" w:leftChars="0" w:firstLine="0" w:firstLineChars="0"/>
              <w:rPr>
                <w:rFonts w:hint="eastAsia" w:ascii="宋体" w:hAnsi="宋体" w:cs="宋体"/>
                <w:color w:val="000000" w:themeColor="text1"/>
                <w:sz w:val="24"/>
                <w:szCs w:val="24"/>
                <w:lang w:val="en-US" w:eastAsia="zh-CN"/>
                <w14:textFill>
                  <w14:solidFill>
                    <w14:schemeClr w14:val="tx1"/>
                  </w14:solidFill>
                </w14:textFill>
              </w:rPr>
            </w:pPr>
          </w:p>
          <w:p>
            <w:pPr>
              <w:pStyle w:val="9"/>
              <w:ind w:left="0" w:leftChars="0" w:firstLine="0" w:firstLineChars="0"/>
              <w:rPr>
                <w:rFonts w:hint="eastAsia" w:ascii="宋体" w:hAnsi="宋体" w:cs="宋体"/>
                <w:color w:val="000000" w:themeColor="text1"/>
                <w:sz w:val="24"/>
                <w:szCs w:val="24"/>
                <w:lang w:val="en-US" w:eastAsia="zh-CN"/>
                <w14:textFill>
                  <w14:solidFill>
                    <w14:schemeClr w14:val="tx1"/>
                  </w14:solidFill>
                </w14:textFill>
              </w:rPr>
            </w:pPr>
          </w:p>
          <w:p>
            <w:pPr>
              <w:pStyle w:val="9"/>
              <w:ind w:left="0" w:leftChars="0" w:firstLine="0" w:firstLineChars="0"/>
              <w:rPr>
                <w:rFonts w:hint="eastAsia" w:ascii="宋体" w:hAnsi="宋体" w:cs="宋体"/>
                <w:color w:val="000000" w:themeColor="text1"/>
                <w:sz w:val="24"/>
                <w:szCs w:val="24"/>
                <w:lang w:val="en-US" w:eastAsia="zh-CN"/>
                <w14:textFill>
                  <w14:solidFill>
                    <w14:schemeClr w14:val="tx1"/>
                  </w14:solidFill>
                </w14:textFill>
              </w:rPr>
            </w:pPr>
          </w:p>
          <w:p>
            <w:pPr>
              <w:pStyle w:val="9"/>
              <w:ind w:left="0" w:leftChars="0" w:firstLine="0" w:firstLineChars="0"/>
              <w:rPr>
                <w:rFonts w:hint="eastAsia" w:ascii="宋体" w:hAnsi="宋体" w:cs="宋体"/>
                <w:color w:val="000000" w:themeColor="text1"/>
                <w:sz w:val="24"/>
                <w:szCs w:val="24"/>
                <w:lang w:val="en-US" w:eastAsia="zh-CN"/>
                <w14:textFill>
                  <w14:solidFill>
                    <w14:schemeClr w14:val="tx1"/>
                  </w14:solidFill>
                </w14:textFill>
              </w:rPr>
            </w:pPr>
          </w:p>
          <w:p>
            <w:pPr>
              <w:pStyle w:val="9"/>
              <w:ind w:left="0" w:leftChars="0" w:firstLine="0" w:firstLineChars="0"/>
              <w:rPr>
                <w:rFonts w:hint="eastAsia" w:ascii="宋体" w:hAnsi="宋体" w:cs="宋体"/>
                <w:color w:val="000000" w:themeColor="text1"/>
                <w:sz w:val="24"/>
                <w:szCs w:val="24"/>
                <w:lang w:val="en-US" w:eastAsia="zh-CN"/>
                <w14:textFill>
                  <w14:solidFill>
                    <w14:schemeClr w14:val="tx1"/>
                  </w14:solidFill>
                </w14:textFill>
              </w:rPr>
            </w:pPr>
          </w:p>
          <w:p>
            <w:pPr>
              <w:pStyle w:val="9"/>
              <w:ind w:left="0" w:leftChars="0" w:firstLine="0" w:firstLineChars="0"/>
              <w:rPr>
                <w:rFonts w:hint="eastAsia" w:ascii="宋体" w:hAnsi="宋体" w:cs="宋体"/>
                <w:color w:val="000000" w:themeColor="text1"/>
                <w:sz w:val="24"/>
                <w:szCs w:val="24"/>
                <w:lang w:val="en-US" w:eastAsia="zh-CN"/>
                <w14:textFill>
                  <w14:solidFill>
                    <w14:schemeClr w14:val="tx1"/>
                  </w14:solidFill>
                </w14:textFill>
              </w:rPr>
            </w:pPr>
          </w:p>
          <w:p>
            <w:pPr>
              <w:pStyle w:val="9"/>
              <w:ind w:left="0" w:leftChars="0" w:firstLine="0" w:firstLineChars="0"/>
              <w:rPr>
                <w:rFonts w:hint="eastAsia" w:ascii="宋体" w:hAnsi="宋体" w:cs="宋体"/>
                <w:color w:val="000000" w:themeColor="text1"/>
                <w:sz w:val="24"/>
                <w:szCs w:val="24"/>
                <w:lang w:val="en-US" w:eastAsia="zh-CN"/>
                <w14:textFill>
                  <w14:solidFill>
                    <w14:schemeClr w14:val="tx1"/>
                  </w14:solidFill>
                </w14:textFill>
              </w:rPr>
            </w:pPr>
          </w:p>
          <w:p>
            <w:pPr>
              <w:pStyle w:val="9"/>
              <w:ind w:left="0" w:leftChars="0" w:firstLine="0" w:firstLineChars="0"/>
              <w:rPr>
                <w:rFonts w:hint="eastAsia" w:ascii="宋体" w:hAnsi="宋体" w:cs="宋体"/>
                <w:color w:val="000000" w:themeColor="text1"/>
                <w:sz w:val="24"/>
                <w:szCs w:val="24"/>
                <w:lang w:val="en-US" w:eastAsia="zh-CN"/>
                <w14:textFill>
                  <w14:solidFill>
                    <w14:schemeClr w14:val="tx1"/>
                  </w14:solidFill>
                </w14:textFill>
              </w:rPr>
            </w:pPr>
          </w:p>
          <w:p>
            <w:pPr>
              <w:pStyle w:val="9"/>
              <w:ind w:left="0" w:leftChars="0" w:firstLine="0" w:firstLineChars="0"/>
              <w:rPr>
                <w:rFonts w:hint="eastAsia" w:ascii="宋体" w:hAnsi="宋体" w:cs="宋体"/>
                <w:color w:val="000000" w:themeColor="text1"/>
                <w:sz w:val="24"/>
                <w:szCs w:val="24"/>
                <w:lang w:val="en-US" w:eastAsia="zh-CN"/>
                <w14:textFill>
                  <w14:solidFill>
                    <w14:schemeClr w14:val="tx1"/>
                  </w14:solidFill>
                </w14:textFill>
              </w:rPr>
            </w:pPr>
          </w:p>
          <w:p>
            <w:pPr>
              <w:pStyle w:val="9"/>
              <w:ind w:left="0" w:leftChars="0" w:firstLine="0" w:firstLineChars="0"/>
              <w:rPr>
                <w:rFonts w:hint="eastAsia" w:ascii="宋体" w:hAnsi="宋体" w:cs="宋体"/>
                <w:color w:val="000000" w:themeColor="text1"/>
                <w:sz w:val="24"/>
                <w:szCs w:val="24"/>
                <w:lang w:val="en-US" w:eastAsia="zh-CN"/>
                <w14:textFill>
                  <w14:solidFill>
                    <w14:schemeClr w14:val="tx1"/>
                  </w14:solidFill>
                </w14:textFill>
              </w:rPr>
            </w:pPr>
          </w:p>
          <w:p>
            <w:pPr>
              <w:pStyle w:val="9"/>
              <w:ind w:left="0" w:leftChars="0" w:firstLine="0" w:firstLineChars="0"/>
              <w:rPr>
                <w:rFonts w:hint="eastAsia" w:ascii="宋体" w:hAnsi="宋体" w:cs="宋体"/>
                <w:color w:val="000000" w:themeColor="text1"/>
                <w:sz w:val="24"/>
                <w:szCs w:val="24"/>
                <w:lang w:val="en-US" w:eastAsia="zh-CN"/>
                <w14:textFill>
                  <w14:solidFill>
                    <w14:schemeClr w14:val="tx1"/>
                  </w14:solidFill>
                </w14:textFill>
              </w:rPr>
            </w:pPr>
          </w:p>
          <w:p>
            <w:pPr>
              <w:pStyle w:val="9"/>
              <w:ind w:left="0" w:leftChars="0" w:firstLine="0" w:firstLineChars="0"/>
              <w:rPr>
                <w:rFonts w:hint="eastAsia" w:ascii="宋体" w:hAnsi="宋体" w:cs="宋体"/>
                <w:color w:val="000000" w:themeColor="text1"/>
                <w:sz w:val="24"/>
                <w:szCs w:val="24"/>
                <w:lang w:val="en-US" w:eastAsia="zh-CN"/>
                <w14:textFill>
                  <w14:solidFill>
                    <w14:schemeClr w14:val="tx1"/>
                  </w14:solidFill>
                </w14:textFill>
              </w:rPr>
            </w:pPr>
          </w:p>
          <w:p>
            <w:pPr>
              <w:pStyle w:val="9"/>
              <w:ind w:left="0" w:leftChars="0" w:firstLine="0" w:firstLineChars="0"/>
              <w:rPr>
                <w:rFonts w:hint="eastAsia" w:ascii="宋体" w:hAnsi="宋体" w:cs="宋体"/>
                <w:color w:val="000000" w:themeColor="text1"/>
                <w:sz w:val="24"/>
                <w:szCs w:val="24"/>
                <w:lang w:val="en-US" w:eastAsia="zh-CN"/>
                <w14:textFill>
                  <w14:solidFill>
                    <w14:schemeClr w14:val="tx1"/>
                  </w14:solidFill>
                </w14:textFill>
              </w:rPr>
            </w:pPr>
          </w:p>
          <w:p>
            <w:pPr>
              <w:pStyle w:val="9"/>
              <w:ind w:left="0" w:leftChars="0" w:firstLine="0" w:firstLineChars="0"/>
              <w:rPr>
                <w:rFonts w:hint="eastAsia" w:ascii="宋体" w:hAnsi="宋体" w:cs="宋体"/>
                <w:color w:val="000000" w:themeColor="text1"/>
                <w:sz w:val="24"/>
                <w:szCs w:val="24"/>
                <w:lang w:val="en-US" w:eastAsia="zh-CN"/>
                <w14:textFill>
                  <w14:solidFill>
                    <w14:schemeClr w14:val="tx1"/>
                  </w14:solidFill>
                </w14:textFill>
              </w:rPr>
            </w:pPr>
          </w:p>
          <w:p>
            <w:pPr>
              <w:pStyle w:val="9"/>
              <w:ind w:left="0" w:leftChars="0" w:firstLine="0" w:firstLineChars="0"/>
              <w:rPr>
                <w:rFonts w:hint="eastAsia" w:ascii="宋体" w:hAnsi="宋体" w:cs="宋体"/>
                <w:color w:val="000000" w:themeColor="text1"/>
                <w:sz w:val="24"/>
                <w:szCs w:val="24"/>
                <w:lang w:val="en-US" w:eastAsia="zh-CN"/>
                <w14:textFill>
                  <w14:solidFill>
                    <w14:schemeClr w14:val="tx1"/>
                  </w14:solidFill>
                </w14:textFill>
              </w:rPr>
            </w:pPr>
          </w:p>
          <w:p>
            <w:pPr>
              <w:pStyle w:val="9"/>
              <w:ind w:left="0" w:leftChars="0" w:firstLine="0" w:firstLineChars="0"/>
              <w:rPr>
                <w:rFonts w:hint="eastAsia" w:ascii="宋体" w:hAnsi="宋体" w:cs="宋体"/>
                <w:color w:val="000000" w:themeColor="text1"/>
                <w:sz w:val="24"/>
                <w:szCs w:val="24"/>
                <w:lang w:val="en-US" w:eastAsia="zh-CN"/>
                <w14:textFill>
                  <w14:solidFill>
                    <w14:schemeClr w14:val="tx1"/>
                  </w14:solidFill>
                </w14:textFill>
              </w:rPr>
            </w:pPr>
          </w:p>
          <w:p>
            <w:pPr>
              <w:pStyle w:val="9"/>
              <w:ind w:left="0" w:leftChars="0" w:firstLine="0" w:firstLineChars="0"/>
              <w:rPr>
                <w:rFonts w:hint="eastAsia" w:ascii="宋体" w:hAnsi="宋体" w:cs="宋体"/>
                <w:color w:val="000000" w:themeColor="text1"/>
                <w:sz w:val="24"/>
                <w:szCs w:val="24"/>
                <w:lang w:val="en-US" w:eastAsia="zh-CN"/>
                <w14:textFill>
                  <w14:solidFill>
                    <w14:schemeClr w14:val="tx1"/>
                  </w14:solidFill>
                </w14:textFill>
              </w:rPr>
            </w:pPr>
          </w:p>
          <w:p>
            <w:pPr>
              <w:pStyle w:val="9"/>
              <w:ind w:left="0" w:leftChars="0" w:firstLine="0" w:firstLineChars="0"/>
              <w:rPr>
                <w:rFonts w:hint="eastAsia" w:ascii="宋体" w:hAnsi="宋体" w:cs="宋体"/>
                <w:color w:val="000000" w:themeColor="text1"/>
                <w:sz w:val="24"/>
                <w:szCs w:val="24"/>
                <w:lang w:val="en-US" w:eastAsia="zh-CN"/>
                <w14:textFill>
                  <w14:solidFill>
                    <w14:schemeClr w14:val="tx1"/>
                  </w14:solidFill>
                </w14:textFill>
              </w:rPr>
            </w:pPr>
          </w:p>
          <w:p>
            <w:pPr>
              <w:pStyle w:val="9"/>
              <w:ind w:left="0" w:leftChars="0" w:firstLine="0" w:firstLineChars="0"/>
              <w:rPr>
                <w:rFonts w:hint="eastAsia" w:ascii="宋体" w:hAnsi="宋体" w:cs="宋体"/>
                <w:color w:val="000000" w:themeColor="text1"/>
                <w:sz w:val="24"/>
                <w:szCs w:val="24"/>
                <w:lang w:val="en-US" w:eastAsia="zh-CN"/>
                <w14:textFill>
                  <w14:solidFill>
                    <w14:schemeClr w14:val="tx1"/>
                  </w14:solidFill>
                </w14:textFill>
              </w:rPr>
            </w:pPr>
          </w:p>
          <w:p>
            <w:pPr>
              <w:pStyle w:val="9"/>
              <w:ind w:left="0" w:leftChars="0" w:firstLine="0" w:firstLineChars="0"/>
              <w:rPr>
                <w:rFonts w:hint="eastAsia" w:ascii="宋体" w:hAnsi="宋体" w:cs="宋体"/>
                <w:color w:val="000000" w:themeColor="text1"/>
                <w:sz w:val="24"/>
                <w:szCs w:val="24"/>
                <w:lang w:val="en-US" w:eastAsia="zh-CN"/>
                <w14:textFill>
                  <w14:solidFill>
                    <w14:schemeClr w14:val="tx1"/>
                  </w14:solidFill>
                </w14:textFill>
              </w:rPr>
            </w:pPr>
          </w:p>
          <w:p>
            <w:pPr>
              <w:pStyle w:val="9"/>
              <w:ind w:left="0" w:leftChars="0" w:firstLine="0" w:firstLineChars="0"/>
              <w:rPr>
                <w:rFonts w:hint="eastAsia" w:ascii="宋体" w:hAnsi="宋体" w:cs="宋体"/>
                <w:color w:val="000000" w:themeColor="text1"/>
                <w:sz w:val="24"/>
                <w:szCs w:val="24"/>
                <w:lang w:val="en-US" w:eastAsia="zh-CN"/>
                <w14:textFill>
                  <w14:solidFill>
                    <w14:schemeClr w14:val="tx1"/>
                  </w14:solidFill>
                </w14:textFill>
              </w:rPr>
            </w:pPr>
          </w:p>
          <w:p>
            <w:pPr>
              <w:pStyle w:val="9"/>
              <w:ind w:left="0" w:leftChars="0" w:firstLine="0" w:firstLineChars="0"/>
              <w:rPr>
                <w:rFonts w:hint="eastAsia" w:ascii="宋体" w:hAnsi="宋体" w:cs="宋体"/>
                <w:color w:val="000000" w:themeColor="text1"/>
                <w:sz w:val="24"/>
                <w:szCs w:val="24"/>
                <w:lang w:val="en-US" w:eastAsia="zh-CN"/>
                <w14:textFill>
                  <w14:solidFill>
                    <w14:schemeClr w14:val="tx1"/>
                  </w14:solidFill>
                </w14:textFill>
              </w:rPr>
            </w:pPr>
          </w:p>
          <w:p>
            <w:pPr>
              <w:pStyle w:val="9"/>
              <w:ind w:left="0" w:leftChars="0" w:firstLine="0" w:firstLineChars="0"/>
              <w:rPr>
                <w:rFonts w:hint="eastAsia" w:ascii="宋体" w:hAnsi="宋体" w:cs="宋体"/>
                <w:color w:val="000000" w:themeColor="text1"/>
                <w:sz w:val="24"/>
                <w:szCs w:val="24"/>
                <w:lang w:val="en-US" w:eastAsia="zh-CN"/>
                <w14:textFill>
                  <w14:solidFill>
                    <w14:schemeClr w14:val="tx1"/>
                  </w14:solidFill>
                </w14:textFill>
              </w:rPr>
            </w:pPr>
          </w:p>
          <w:p>
            <w:pPr>
              <w:pStyle w:val="9"/>
              <w:ind w:left="0" w:leftChars="0" w:firstLine="0" w:firstLineChars="0"/>
              <w:rPr>
                <w:rFonts w:hint="eastAsia" w:ascii="宋体" w:hAnsi="宋体" w:cs="宋体"/>
                <w:color w:val="000000" w:themeColor="text1"/>
                <w:sz w:val="24"/>
                <w:szCs w:val="24"/>
                <w:lang w:val="en-US" w:eastAsia="zh-CN"/>
                <w14:textFill>
                  <w14:solidFill>
                    <w14:schemeClr w14:val="tx1"/>
                  </w14:solidFill>
                </w14:textFill>
              </w:rPr>
            </w:pPr>
          </w:p>
          <w:p>
            <w:pPr>
              <w:pStyle w:val="9"/>
              <w:ind w:left="0" w:leftChars="0" w:firstLine="0" w:firstLineChars="0"/>
              <w:rPr>
                <w:rFonts w:hint="eastAsia" w:ascii="宋体" w:hAnsi="宋体" w:cs="宋体"/>
                <w:color w:val="000000" w:themeColor="text1"/>
                <w:sz w:val="24"/>
                <w:szCs w:val="24"/>
                <w:lang w:val="en-US" w:eastAsia="zh-CN"/>
                <w14:textFill>
                  <w14:solidFill>
                    <w14:schemeClr w14:val="tx1"/>
                  </w14:solidFill>
                </w14:textFill>
              </w:rPr>
            </w:pPr>
          </w:p>
          <w:p>
            <w:pPr>
              <w:pStyle w:val="9"/>
              <w:ind w:left="0" w:leftChars="0" w:firstLine="0" w:firstLineChars="0"/>
              <w:rPr>
                <w:rFonts w:hint="eastAsia" w:ascii="宋体" w:hAnsi="宋体" w:cs="宋体"/>
                <w:color w:val="000000" w:themeColor="text1"/>
                <w:sz w:val="24"/>
                <w:szCs w:val="24"/>
                <w:lang w:val="en-US" w:eastAsia="zh-CN"/>
                <w14:textFill>
                  <w14:solidFill>
                    <w14:schemeClr w14:val="tx1"/>
                  </w14:solidFill>
                </w14:textFill>
              </w:rPr>
            </w:pPr>
          </w:p>
          <w:p>
            <w:pPr>
              <w:pStyle w:val="9"/>
              <w:ind w:left="0" w:leftChars="0" w:firstLine="0" w:firstLineChars="0"/>
              <w:rPr>
                <w:rFonts w:hint="eastAsia" w:ascii="宋体" w:hAnsi="宋体" w:cs="宋体"/>
                <w:color w:val="000000" w:themeColor="text1"/>
                <w:sz w:val="24"/>
                <w:szCs w:val="24"/>
                <w:lang w:val="en-US" w:eastAsia="zh-CN"/>
                <w14:textFill>
                  <w14:solidFill>
                    <w14:schemeClr w14:val="tx1"/>
                  </w14:solidFill>
                </w14:textFill>
              </w:rPr>
            </w:pPr>
          </w:p>
          <w:p>
            <w:pPr>
              <w:pStyle w:val="9"/>
              <w:ind w:left="0" w:leftChars="0" w:firstLine="0" w:firstLineChars="0"/>
              <w:rPr>
                <w:rFonts w:hint="default" w:ascii="宋体" w:hAnsi="宋体" w:cs="宋体"/>
                <w:color w:val="000000" w:themeColor="text1"/>
                <w:sz w:val="24"/>
                <w:szCs w:val="24"/>
                <w:lang w:val="en-US" w:eastAsia="zh-CN"/>
                <w14:textFill>
                  <w14:solidFill>
                    <w14:schemeClr w14:val="tx1"/>
                  </w14:solidFill>
                </w14:textFill>
              </w:rPr>
            </w:pPr>
          </w:p>
        </w:tc>
      </w:tr>
    </w:tbl>
    <w:p>
      <w:pPr>
        <w:spacing w:line="360" w:lineRule="auto"/>
        <w:outlineLvl w:val="0"/>
        <w:rPr>
          <w:rFonts w:hint="eastAsia"/>
          <w:color w:val="0000FF"/>
          <w:lang w:val="en-US" w:eastAsia="zh-CN"/>
        </w:rPr>
        <w:sectPr>
          <w:footerReference r:id="rId3" w:type="default"/>
          <w:pgSz w:w="11906" w:h="16838"/>
          <w:pgMar w:top="1440" w:right="1803" w:bottom="1440" w:left="1803" w:header="851" w:footer="1077" w:gutter="0"/>
          <w:pgBorders>
            <w:top w:val="none" w:sz="0" w:space="0"/>
            <w:left w:val="none" w:sz="0" w:space="0"/>
            <w:bottom w:val="none" w:sz="0" w:space="0"/>
            <w:right w:val="none" w:sz="0" w:space="0"/>
          </w:pgBorders>
          <w:pgNumType w:fmt="decimal"/>
          <w:cols w:space="720" w:num="1"/>
          <w:docGrid w:linePitch="312" w:charSpace="0"/>
        </w:sectPr>
      </w:pPr>
    </w:p>
    <w:p>
      <w:pPr>
        <w:pStyle w:val="23"/>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auto"/>
        <w:jc w:val="center"/>
        <w:textAlignment w:val="auto"/>
        <w:outlineLvl w:val="0"/>
        <w:rPr>
          <w:rFonts w:hint="eastAsia" w:ascii="宋体" w:hAnsi="宋体" w:eastAsia="宋体" w:cs="宋体"/>
          <w:b/>
          <w:bCs/>
          <w:snapToGrid w:val="0"/>
          <w:color w:val="000000" w:themeColor="text1"/>
          <w:sz w:val="30"/>
          <w:szCs w:val="30"/>
          <w14:textFill>
            <w14:solidFill>
              <w14:schemeClr w14:val="tx1"/>
            </w14:solidFill>
          </w14:textFill>
        </w:rPr>
      </w:pPr>
      <w:r>
        <w:rPr>
          <w:rFonts w:hint="eastAsia" w:ascii="宋体" w:hAnsi="宋体" w:eastAsia="宋体" w:cs="宋体"/>
          <w:b/>
          <w:bCs/>
          <w:snapToGrid w:val="0"/>
          <w:color w:val="000000" w:themeColor="text1"/>
          <w:sz w:val="30"/>
          <w:szCs w:val="30"/>
          <w14:textFill>
            <w14:solidFill>
              <w14:schemeClr w14:val="tx1"/>
            </w14:solidFill>
          </w14:textFill>
        </w:rPr>
        <w:t>二、建设项目工程分析</w:t>
      </w:r>
    </w:p>
    <w:tbl>
      <w:tblPr>
        <w:tblStyle w:val="25"/>
        <w:tblW w:w="8984"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460"/>
        <w:gridCol w:w="8524"/>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8906" w:hRule="atLeast"/>
          <w:jc w:val="center"/>
        </w:trPr>
        <w:tc>
          <w:tcPr>
            <w:tcW w:w="460" w:type="dxa"/>
            <w:tcBorders>
              <w:tl2br w:val="nil"/>
              <w:tr2bl w:val="nil"/>
            </w:tcBorders>
            <w:noWrap w:val="0"/>
            <w:vAlign w:val="center"/>
          </w:tcPr>
          <w:p>
            <w:pPr>
              <w:pStyle w:val="23"/>
              <w:adjustRightInd w:val="0"/>
              <w:snapToGrid w:val="0"/>
              <w:spacing w:before="0" w:beforeAutospacing="0" w:after="0" w:afterAutospacing="0"/>
              <w:jc w:val="center"/>
              <w:rPr>
                <w:rFonts w:hint="eastAsia" w:ascii="宋体" w:hAnsi="宋体" w:eastAsia="宋体" w:cs="宋体"/>
                <w:color w:val="0000FF"/>
                <w:sz w:val="24"/>
                <w:szCs w:val="24"/>
              </w:rPr>
            </w:pPr>
            <w:r>
              <w:rPr>
                <w:rFonts w:hint="eastAsia" w:ascii="宋体" w:hAnsi="宋体" w:eastAsia="宋体" w:cs="宋体"/>
                <w:b w:val="0"/>
                <w:bCs w:val="0"/>
                <w:color w:val="000000" w:themeColor="text1"/>
                <w:sz w:val="24"/>
                <w:szCs w:val="24"/>
                <w14:textFill>
                  <w14:solidFill>
                    <w14:schemeClr w14:val="tx1"/>
                  </w14:solidFill>
                </w14:textFill>
              </w:rPr>
              <w:t>建设内容</w:t>
            </w:r>
          </w:p>
        </w:tc>
        <w:tc>
          <w:tcPr>
            <w:tcW w:w="8524"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both"/>
              <w:textAlignment w:val="auto"/>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1、项目建设基本情况</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color w:val="auto"/>
                <w:sz w:val="24"/>
                <w:szCs w:val="24"/>
                <w:lang w:val="en-US" w:eastAsia="zh-CN"/>
              </w:rPr>
            </w:pPr>
            <w:r>
              <w:rPr>
                <w:rFonts w:hint="eastAsia" w:cs="Times New Roman"/>
                <w:color w:val="000000" w:themeColor="text1"/>
                <w:sz w:val="24"/>
                <w:szCs w:val="24"/>
                <w:lang w:val="en-US" w:eastAsia="zh-CN"/>
                <w14:textFill>
                  <w14:solidFill>
                    <w14:schemeClr w14:val="tx1"/>
                  </w14:solidFill>
                </w14:textFill>
              </w:rPr>
              <w:t>安徽欣明珠轴承科技有限公司</w:t>
            </w:r>
            <w:r>
              <w:rPr>
                <w:rFonts w:hint="default" w:ascii="Times New Roman" w:hAnsi="Times New Roman" w:eastAsia="宋体" w:cs="Times New Roman"/>
                <w:color w:val="000000" w:themeColor="text1"/>
                <w:sz w:val="24"/>
                <w:szCs w:val="24"/>
                <w14:textFill>
                  <w14:solidFill>
                    <w14:schemeClr w14:val="tx1"/>
                  </w14:solidFill>
                </w14:textFill>
              </w:rPr>
              <w:t>位于</w:t>
            </w:r>
            <w:r>
              <w:rPr>
                <w:rFonts w:hint="eastAsia" w:cs="Times New Roman"/>
                <w:color w:val="000000" w:themeColor="text1"/>
                <w:sz w:val="24"/>
                <w:szCs w:val="24"/>
                <w:lang w:eastAsia="zh-CN"/>
                <w14:textFill>
                  <w14:solidFill>
                    <w14:schemeClr w14:val="tx1"/>
                  </w14:solidFill>
                </w14:textFill>
              </w:rPr>
              <w:t>安徽省宿州市灵璧县经济开发区轴承产业园</w:t>
            </w:r>
            <w:r>
              <w:rPr>
                <w:rFonts w:hint="eastAsia" w:cs="Times New Roman"/>
                <w:color w:val="000000" w:themeColor="text1"/>
                <w:sz w:val="24"/>
                <w:szCs w:val="24"/>
                <w:lang w:val="en-US" w:eastAsia="zh-CN"/>
                <w14:textFill>
                  <w14:solidFill>
                    <w14:schemeClr w14:val="tx1"/>
                  </w14:solidFill>
                </w14:textFill>
              </w:rPr>
              <w:t>5</w:t>
            </w:r>
            <w:r>
              <w:rPr>
                <w:rFonts w:hint="eastAsia" w:cs="Times New Roman"/>
                <w:color w:val="000000" w:themeColor="text1"/>
                <w:sz w:val="24"/>
                <w:szCs w:val="24"/>
                <w:lang w:eastAsia="zh-CN"/>
                <w14:textFill>
                  <w14:solidFill>
                    <w14:schemeClr w14:val="tx1"/>
                  </w14:solidFill>
                </w14:textFill>
              </w:rPr>
              <w:t>期</w:t>
            </w:r>
            <w:r>
              <w:rPr>
                <w:rFonts w:hint="eastAsia" w:cs="Times New Roman"/>
                <w:color w:val="000000" w:themeColor="text1"/>
                <w:sz w:val="24"/>
                <w:szCs w:val="24"/>
                <w:lang w:val="en-US" w:eastAsia="zh-CN"/>
                <w14:textFill>
                  <w14:solidFill>
                    <w14:schemeClr w14:val="tx1"/>
                  </w14:solidFill>
                </w14:textFill>
              </w:rPr>
              <w:t>10</w:t>
            </w:r>
            <w:r>
              <w:rPr>
                <w:rFonts w:hint="eastAsia" w:cs="Times New Roman"/>
                <w:color w:val="000000" w:themeColor="text1"/>
                <w:sz w:val="24"/>
                <w:szCs w:val="24"/>
                <w:lang w:eastAsia="zh-CN"/>
                <w14:textFill>
                  <w14:solidFill>
                    <w14:schemeClr w14:val="tx1"/>
                  </w14:solidFill>
                </w14:textFill>
              </w:rPr>
              <w:t>号厂房</w:t>
            </w:r>
            <w:r>
              <w:rPr>
                <w:rFonts w:hint="default" w:ascii="Times New Roman" w:hAnsi="Times New Roman" w:eastAsia="宋体" w:cs="Times New Roman"/>
                <w:color w:val="000000" w:themeColor="text1"/>
                <w:sz w:val="24"/>
                <w:szCs w:val="24"/>
                <w14:textFill>
                  <w14:solidFill>
                    <w14:schemeClr w14:val="tx1"/>
                  </w14:solidFill>
                </w14:textFill>
              </w:rPr>
              <w:t>，项目</w:t>
            </w:r>
            <w:r>
              <w:rPr>
                <w:rFonts w:hint="default" w:ascii="Times New Roman" w:hAnsi="Times New Roman" w:eastAsia="宋体" w:cs="Times New Roman"/>
                <w:color w:val="000000" w:themeColor="text1"/>
                <w:sz w:val="24"/>
                <w:szCs w:val="24"/>
                <w:lang w:eastAsia="zh-CN"/>
                <w14:textFill>
                  <w14:solidFill>
                    <w14:schemeClr w14:val="tx1"/>
                  </w14:solidFill>
                </w14:textFill>
              </w:rPr>
              <w:t>租用</w:t>
            </w:r>
            <w:r>
              <w:rPr>
                <w:rFonts w:hint="eastAsia" w:cs="Times New Roman"/>
                <w:color w:val="000000" w:themeColor="text1"/>
                <w:sz w:val="24"/>
                <w:szCs w:val="24"/>
                <w:lang w:val="en-US" w:eastAsia="zh-CN"/>
                <w14:textFill>
                  <w14:solidFill>
                    <w14:schemeClr w14:val="tx1"/>
                  </w14:solidFill>
                </w14:textFill>
              </w:rPr>
              <w:t>12000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平方米</w:t>
            </w:r>
            <w:r>
              <w:rPr>
                <w:rFonts w:hint="eastAsia" w:cs="Times New Roman"/>
                <w:color w:val="000000" w:themeColor="text1"/>
                <w:sz w:val="24"/>
                <w:szCs w:val="24"/>
                <w:lang w:val="en-US" w:eastAsia="zh-CN"/>
                <w14:textFill>
                  <w14:solidFill>
                    <w14:schemeClr w14:val="tx1"/>
                  </w14:solidFill>
                </w14:textFill>
              </w:rPr>
              <w:t>厂房</w:t>
            </w:r>
            <w:r>
              <w:rPr>
                <w:rFonts w:hint="default" w:ascii="Times New Roman" w:hAnsi="Times New Roman" w:eastAsia="宋体" w:cs="Times New Roman"/>
                <w:color w:val="auto"/>
                <w:sz w:val="24"/>
                <w:szCs w:val="24"/>
                <w:lang w:val="en-US" w:eastAsia="zh-CN"/>
              </w:rPr>
              <w:t>，主要</w:t>
            </w:r>
            <w:r>
              <w:rPr>
                <w:rFonts w:hint="eastAsia" w:ascii="Times New Roman" w:hAnsi="Times New Roman" w:eastAsia="宋体" w:cs="Times New Roman"/>
                <w:color w:val="auto"/>
                <w:sz w:val="24"/>
                <w:szCs w:val="24"/>
                <w:lang w:val="en-US" w:eastAsia="zh-CN"/>
              </w:rPr>
              <w:t>建设内容为</w:t>
            </w:r>
            <w:r>
              <w:rPr>
                <w:rFonts w:hint="eastAsia" w:cs="Times New Roman"/>
                <w:color w:val="auto"/>
                <w:sz w:val="24"/>
                <w:szCs w:val="24"/>
                <w:lang w:val="en-US" w:eastAsia="zh-CN"/>
              </w:rPr>
              <w:t>生产车间、原料区、成品区、办公室等</w:t>
            </w:r>
            <w:r>
              <w:rPr>
                <w:rFonts w:hint="eastAsia" w:ascii="Times New Roman" w:hAnsi="Times New Roman" w:eastAsia="宋体" w:cs="Times New Roman"/>
                <w:color w:val="auto"/>
                <w:sz w:val="24"/>
                <w:szCs w:val="24"/>
                <w:lang w:val="en-US" w:eastAsia="zh-CN"/>
              </w:rPr>
              <w:t>，购置</w:t>
            </w:r>
            <w:r>
              <w:rPr>
                <w:rFonts w:hint="eastAsia" w:cs="Times New Roman"/>
                <w:color w:val="auto"/>
                <w:sz w:val="24"/>
                <w:szCs w:val="24"/>
                <w:lang w:val="en-US" w:eastAsia="zh-CN"/>
              </w:rPr>
              <w:t>安装用于钢球生产的包括冷镦、光磨、热处理、硬磨、强化、初研、精研、清洗、</w:t>
            </w:r>
            <w:r>
              <w:rPr>
                <w:rFonts w:hint="eastAsia" w:cs="Times New Roman"/>
                <w:b w:val="0"/>
                <w:bCs w:val="0"/>
                <w:color w:val="auto"/>
                <w:sz w:val="24"/>
                <w:szCs w:val="24"/>
                <w:lang w:val="en-US" w:eastAsia="zh-CN"/>
              </w:rPr>
              <w:t>成品检验</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防锈包装</w:t>
            </w:r>
            <w:r>
              <w:rPr>
                <w:rFonts w:hint="eastAsia" w:cs="Times New Roman"/>
                <w:color w:val="auto"/>
                <w:sz w:val="24"/>
                <w:szCs w:val="24"/>
                <w:lang w:val="en-US" w:eastAsia="zh-CN"/>
              </w:rPr>
              <w:t>等</w:t>
            </w:r>
            <w:r>
              <w:rPr>
                <w:rFonts w:hint="eastAsia" w:cs="Times New Roman"/>
                <w:color w:val="000000" w:themeColor="text1"/>
                <w:sz w:val="24"/>
                <w:szCs w:val="24"/>
                <w:lang w:val="en-US" w:eastAsia="zh-CN"/>
                <w14:textFill>
                  <w14:solidFill>
                    <w14:schemeClr w14:val="tx1"/>
                  </w14:solidFill>
                </w14:textFill>
              </w:rPr>
              <w:t>全生产线精密设备，</w:t>
            </w:r>
            <w:r>
              <w:rPr>
                <w:rFonts w:hint="default" w:ascii="Times New Roman" w:hAnsi="Times New Roman" w:cs="Times New Roman"/>
                <w:color w:val="000000" w:themeColor="text1"/>
                <w:sz w:val="24"/>
                <w:szCs w:val="24"/>
                <w:lang w:eastAsia="zh-CN"/>
                <w14:textFill>
                  <w14:solidFill>
                    <w14:schemeClr w14:val="tx1"/>
                  </w14:solidFill>
                </w14:textFill>
              </w:rPr>
              <w:t>配套建设给排水、变配电、消防、环卫等辅助设施。</w:t>
            </w:r>
            <w:r>
              <w:rPr>
                <w:rFonts w:hint="eastAsia" w:ascii="Times New Roman" w:hAnsi="Times New Roman" w:cs="Times New Roman"/>
                <w:color w:val="000000" w:themeColor="text1"/>
                <w:sz w:val="24"/>
                <w:szCs w:val="24"/>
                <w:lang w:eastAsia="zh-CN"/>
                <w14:textFill>
                  <w14:solidFill>
                    <w14:schemeClr w14:val="tx1"/>
                  </w14:solidFill>
                </w14:textFill>
              </w:rPr>
              <w:t>项目建成后</w:t>
            </w:r>
            <w:r>
              <w:rPr>
                <w:rFonts w:hint="eastAsia" w:ascii="Times New Roman" w:hAnsi="Times New Roman" w:cs="Times New Roman"/>
                <w:color w:val="auto"/>
                <w:sz w:val="24"/>
                <w:szCs w:val="24"/>
                <w:lang w:eastAsia="zh-CN"/>
              </w:rPr>
              <w:t>可实现年产</w:t>
            </w:r>
            <w:r>
              <w:rPr>
                <w:rFonts w:hint="eastAsia" w:cs="Times New Roman"/>
                <w:color w:val="auto"/>
                <w:sz w:val="24"/>
                <w:szCs w:val="24"/>
                <w:lang w:val="en-US" w:eastAsia="zh-CN"/>
              </w:rPr>
              <w:t>5500t钢球</w:t>
            </w:r>
            <w:r>
              <w:rPr>
                <w:rFonts w:hint="eastAsia" w:ascii="Times New Roman" w:hAnsi="Times New Roman" w:cs="Times New Roman"/>
                <w:color w:val="auto"/>
                <w:sz w:val="24"/>
                <w:szCs w:val="24"/>
                <w:lang w:val="en-US" w:eastAsia="zh-CN"/>
              </w:rPr>
              <w:t>的生产能力。</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项目建</w:t>
            </w:r>
            <w:r>
              <w:rPr>
                <w:rFonts w:hint="default" w:ascii="Times New Roman" w:hAnsi="Times New Roman" w:eastAsia="宋体" w:cs="Times New Roman"/>
                <w:b w:val="0"/>
                <w:bCs w:val="0"/>
                <w:color w:val="000000" w:themeColor="text1"/>
                <w:sz w:val="24"/>
                <w:szCs w:val="24"/>
                <w14:textFill>
                  <w14:solidFill>
                    <w14:schemeClr w14:val="tx1"/>
                  </w14:solidFill>
                </w14:textFill>
              </w:rPr>
              <w:t>设</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基本情况</w:t>
            </w:r>
            <w:r>
              <w:rPr>
                <w:rFonts w:hint="default" w:ascii="Times New Roman" w:hAnsi="Times New Roman" w:eastAsia="宋体" w:cs="Times New Roman"/>
                <w:color w:val="000000" w:themeColor="text1"/>
                <w:sz w:val="24"/>
                <w:szCs w:val="24"/>
                <w14:textFill>
                  <w14:solidFill>
                    <w14:schemeClr w14:val="tx1"/>
                  </w14:solidFill>
                </w14:textFill>
              </w:rPr>
              <w:t>一览表见表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.1。</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color w:val="0000FF"/>
                <w:sz w:val="24"/>
                <w:szCs w:val="24"/>
              </w:rPr>
            </w:pPr>
            <w:r>
              <w:rPr>
                <w:rFonts w:hint="default" w:ascii="Times New Roman" w:hAnsi="Times New Roman" w:eastAsia="宋体" w:cs="Times New Roman"/>
                <w:b/>
                <w:bCs/>
                <w:color w:val="000000" w:themeColor="text1"/>
                <w:sz w:val="24"/>
                <w:szCs w:val="24"/>
                <w14:textFill>
                  <w14:solidFill>
                    <w14:schemeClr w14:val="tx1"/>
                  </w14:solidFill>
                </w14:textFill>
              </w:rPr>
              <w:t>表</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szCs w:val="24"/>
                <w14:textFill>
                  <w14:solidFill>
                    <w14:schemeClr w14:val="tx1"/>
                  </w14:solidFill>
                </w14:textFill>
              </w:rPr>
              <w:t>.1  项目建设</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基本情况</w:t>
            </w:r>
            <w:r>
              <w:rPr>
                <w:rFonts w:hint="default" w:ascii="Times New Roman" w:hAnsi="Times New Roman" w:eastAsia="宋体" w:cs="Times New Roman"/>
                <w:b/>
                <w:bCs/>
                <w:color w:val="000000" w:themeColor="text1"/>
                <w:sz w:val="24"/>
                <w:szCs w:val="24"/>
                <w14:textFill>
                  <w14:solidFill>
                    <w14:schemeClr w14:val="tx1"/>
                  </w14:solidFill>
                </w14:textFill>
              </w:rPr>
              <w:t>一览表</w:t>
            </w:r>
          </w:p>
          <w:tbl>
            <w:tblPr>
              <w:tblStyle w:val="25"/>
              <w:tblW w:w="82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435"/>
              <w:gridCol w:w="1128"/>
              <w:gridCol w:w="4909"/>
              <w:gridCol w:w="1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03" w:type="dxa"/>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工程类别</w:t>
                  </w:r>
                </w:p>
              </w:tc>
              <w:tc>
                <w:tcPr>
                  <w:tcW w:w="1563" w:type="dxa"/>
                  <w:gridSpan w:val="2"/>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单项工程</w:t>
                  </w:r>
                </w:p>
              </w:tc>
              <w:tc>
                <w:tcPr>
                  <w:tcW w:w="4909" w:type="dxa"/>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工程内容及规模</w:t>
                  </w:r>
                </w:p>
              </w:tc>
              <w:tc>
                <w:tcPr>
                  <w:tcW w:w="1120" w:type="dxa"/>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03" w:type="dxa"/>
                  <w:vMerge w:val="restart"/>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主体工程</w:t>
                  </w:r>
                </w:p>
              </w:tc>
              <w:tc>
                <w:tcPr>
                  <w:tcW w:w="435" w:type="dxa"/>
                  <w:vMerge w:val="restart"/>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生产车间</w:t>
                  </w:r>
                </w:p>
              </w:tc>
              <w:tc>
                <w:tcPr>
                  <w:tcW w:w="1128" w:type="dxa"/>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机加工区</w:t>
                  </w:r>
                </w:p>
              </w:tc>
              <w:tc>
                <w:tcPr>
                  <w:tcW w:w="4909" w:type="dxa"/>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生产车间呈矩形，总</w:t>
                  </w: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建筑</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面积</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约</w:t>
                  </w:r>
                  <w:r>
                    <w:rPr>
                      <w:rFonts w:hint="eastAsia" w:cs="Times New Roman"/>
                      <w:color w:val="000000" w:themeColor="text1"/>
                      <w:sz w:val="21"/>
                      <w:szCs w:val="21"/>
                      <w:highlight w:val="none"/>
                      <w:vertAlign w:val="baseline"/>
                      <w:lang w:val="en-US" w:eastAsia="zh-CN"/>
                      <w14:textFill>
                        <w14:solidFill>
                          <w14:schemeClr w14:val="tx1"/>
                        </w14:solidFill>
                      </w14:textFill>
                    </w:rPr>
                    <w:t>12000</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r>
                    <w:rPr>
                      <w:rFonts w:hint="eastAsia" w:cs="Times New Roman"/>
                      <w:color w:val="000000" w:themeColor="text1"/>
                      <w:sz w:val="21"/>
                      <w:szCs w:val="21"/>
                      <w:highlight w:val="none"/>
                      <w:vertAlign w:val="baseline"/>
                      <w:lang w:val="en-US" w:eastAsia="zh-CN"/>
                      <w14:textFill>
                        <w14:solidFill>
                          <w14:schemeClr w14:val="tx1"/>
                        </w14:solidFill>
                      </w14:textFill>
                    </w:rPr>
                    <w:t>其中</w:t>
                  </w:r>
                  <w:r>
                    <w:rPr>
                      <w:rFonts w:hint="eastAsia" w:cs="Times New Roman"/>
                      <w:color w:val="000000" w:themeColor="text1"/>
                      <w:sz w:val="21"/>
                      <w:szCs w:val="21"/>
                      <w:highlight w:val="none"/>
                      <w:lang w:eastAsia="zh-CN"/>
                      <w14:textFill>
                        <w14:solidFill>
                          <w14:schemeClr w14:val="tx1"/>
                        </w14:solidFill>
                      </w14:textFill>
                    </w:rPr>
                    <w:t>机加工区</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位于</w:t>
                  </w:r>
                  <w:r>
                    <w:rPr>
                      <w:rFonts w:hint="eastAsia"/>
                      <w:color w:val="000000" w:themeColor="text1"/>
                      <w:highlight w:val="none"/>
                      <w:lang w:val="en-US" w:eastAsia="zh-CN"/>
                      <w14:textFill>
                        <w14:solidFill>
                          <w14:schemeClr w14:val="tx1"/>
                        </w14:solidFill>
                      </w14:textFill>
                    </w:rPr>
                    <w:t>生产车间</w:t>
                  </w: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中间，占地面积约</w:t>
                  </w:r>
                  <w:r>
                    <w:rPr>
                      <w:rFonts w:hint="eastAsia" w:cs="Times New Roman"/>
                      <w:color w:val="000000" w:themeColor="text1"/>
                      <w:sz w:val="21"/>
                      <w:szCs w:val="21"/>
                      <w:highlight w:val="none"/>
                      <w:vertAlign w:val="baseline"/>
                      <w:lang w:val="en-US" w:eastAsia="zh-CN"/>
                      <w14:textFill>
                        <w14:solidFill>
                          <w14:schemeClr w14:val="tx1"/>
                        </w14:solidFill>
                      </w14:textFill>
                    </w:rPr>
                    <w:t>7500</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2</w:t>
                  </w: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布置</w:t>
                  </w:r>
                  <w:r>
                    <w:rPr>
                      <w:rFonts w:hint="eastAsia" w:cs="Times New Roman"/>
                      <w:color w:val="000000" w:themeColor="text1"/>
                      <w:sz w:val="21"/>
                      <w:szCs w:val="21"/>
                      <w:highlight w:val="none"/>
                      <w:lang w:eastAsia="zh-CN"/>
                      <w14:textFill>
                        <w14:solidFill>
                          <w14:schemeClr w14:val="tx1"/>
                        </w14:solidFill>
                      </w14:textFill>
                    </w:rPr>
                    <w:t>冷镦</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机</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eastAsia" w:cs="Times New Roman"/>
                      <w:color w:val="000000" w:themeColor="text1"/>
                      <w:sz w:val="21"/>
                      <w:szCs w:val="21"/>
                      <w:highlight w:val="none"/>
                      <w:lang w:eastAsia="zh-CN"/>
                      <w14:textFill>
                        <w14:solidFill>
                          <w14:schemeClr w14:val="tx1"/>
                        </w14:solidFill>
                      </w14:textFill>
                    </w:rPr>
                    <w:t>光球机、磨球机、强化机、初研机、精研机</w:t>
                  </w: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等</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设备</w:t>
                  </w:r>
                  <w:r>
                    <w:rPr>
                      <w:rFonts w:hint="eastAsia" w:cs="Times New Roman"/>
                      <w:color w:val="000000" w:themeColor="text1"/>
                      <w:sz w:val="21"/>
                      <w:szCs w:val="21"/>
                      <w:highlight w:val="none"/>
                      <w:vertAlign w:val="baseline"/>
                      <w:lang w:val="en-US" w:eastAsia="zh-CN"/>
                      <w14:textFill>
                        <w14:solidFill>
                          <w14:schemeClr w14:val="tx1"/>
                        </w14:solidFill>
                      </w14:textFill>
                    </w:rPr>
                    <w:t>，主要用于冷镦、光磨、硬磨、强化、初研、精研等工序</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c>
                <w:tcPr>
                  <w:tcW w:w="1120" w:type="dxa"/>
                  <w:vMerge w:val="restart"/>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依托主体厂房，内部新建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03" w:type="dxa"/>
                  <w:vMerge w:val="continue"/>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435" w:type="dxa"/>
                  <w:vMerge w:val="continue"/>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128" w:type="dxa"/>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热处理区</w:t>
                  </w:r>
                </w:p>
              </w:tc>
              <w:tc>
                <w:tcPr>
                  <w:tcW w:w="4909" w:type="dxa"/>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位于</w:t>
                  </w:r>
                  <w:r>
                    <w:rPr>
                      <w:rFonts w:hint="eastAsia"/>
                      <w:color w:val="000000" w:themeColor="text1"/>
                      <w:highlight w:val="none"/>
                      <w:lang w:val="en-US" w:eastAsia="zh-CN"/>
                      <w14:textFill>
                        <w14:solidFill>
                          <w14:schemeClr w14:val="tx1"/>
                        </w14:solidFill>
                      </w14:textFill>
                    </w:rPr>
                    <w:t>生产车间东</w:t>
                  </w: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侧</w:t>
                  </w:r>
                  <w:r>
                    <w:rPr>
                      <w:rFonts w:hint="eastAsia"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占地面积约</w:t>
                  </w:r>
                  <w:r>
                    <w:rPr>
                      <w:rFonts w:hint="eastAsia" w:cs="Times New Roman"/>
                      <w:color w:val="000000" w:themeColor="text1"/>
                      <w:sz w:val="21"/>
                      <w:szCs w:val="21"/>
                      <w:highlight w:val="none"/>
                      <w:vertAlign w:val="baseline"/>
                      <w:lang w:val="en-US" w:eastAsia="zh-CN"/>
                      <w14:textFill>
                        <w14:solidFill>
                          <w14:schemeClr w14:val="tx1"/>
                        </w14:solidFill>
                      </w14:textFill>
                    </w:rPr>
                    <w:t>600</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。布置</w:t>
                  </w: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淬火炉、回火炉等</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设备</w:t>
                  </w:r>
                  <w:r>
                    <w:rPr>
                      <w:rFonts w:hint="eastAsia" w:cs="Times New Roman"/>
                      <w:color w:val="000000" w:themeColor="text1"/>
                      <w:sz w:val="21"/>
                      <w:szCs w:val="21"/>
                      <w:highlight w:val="none"/>
                      <w:vertAlign w:val="baseline"/>
                      <w:lang w:val="en-US" w:eastAsia="zh-CN"/>
                      <w14:textFill>
                        <w14:solidFill>
                          <w14:schemeClr w14:val="tx1"/>
                        </w14:solidFill>
                      </w14:textFill>
                    </w:rPr>
                    <w:t>，主要用于热处理工序</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c>
                <w:tcPr>
                  <w:tcW w:w="1120" w:type="dxa"/>
                  <w:vMerge w:val="continue"/>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3" w:type="dxa"/>
                  <w:vMerge w:val="continue"/>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435" w:type="dxa"/>
                  <w:vMerge w:val="continue"/>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128" w:type="dxa"/>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清洗光电包装区</w:t>
                  </w:r>
                </w:p>
              </w:tc>
              <w:tc>
                <w:tcPr>
                  <w:tcW w:w="4909" w:type="dxa"/>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1"/>
                      <w:szCs w:val="21"/>
                      <w:highlight w:val="yellow"/>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位于</w:t>
                  </w:r>
                  <w:r>
                    <w:rPr>
                      <w:rFonts w:hint="eastAsia"/>
                      <w:color w:val="000000" w:themeColor="text1"/>
                      <w:highlight w:val="none"/>
                      <w:lang w:val="en-US" w:eastAsia="zh-CN"/>
                      <w14:textFill>
                        <w14:solidFill>
                          <w14:schemeClr w14:val="tx1"/>
                        </w14:solidFill>
                      </w14:textFill>
                    </w:rPr>
                    <w:t>生产车间西</w:t>
                  </w: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侧</w:t>
                  </w:r>
                  <w:r>
                    <w:rPr>
                      <w:rFonts w:hint="eastAsia"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占地面积约</w:t>
                  </w:r>
                  <w:r>
                    <w:rPr>
                      <w:rFonts w:hint="eastAsia" w:cs="Times New Roman"/>
                      <w:color w:val="000000" w:themeColor="text1"/>
                      <w:sz w:val="21"/>
                      <w:szCs w:val="21"/>
                      <w:highlight w:val="none"/>
                      <w:vertAlign w:val="baseline"/>
                      <w:lang w:val="en-US" w:eastAsia="zh-CN"/>
                      <w14:textFill>
                        <w14:solidFill>
                          <w14:schemeClr w14:val="tx1"/>
                        </w14:solidFill>
                      </w14:textFill>
                    </w:rPr>
                    <w:t>850</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。布置</w:t>
                  </w: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清洗机</w:t>
                  </w:r>
                  <w:r>
                    <w:rPr>
                      <w:rFonts w:hint="eastAsia" w:cs="Times New Roman"/>
                      <w:color w:val="000000" w:themeColor="text1"/>
                      <w:sz w:val="21"/>
                      <w:szCs w:val="21"/>
                      <w:highlight w:val="none"/>
                      <w:vertAlign w:val="baseline"/>
                      <w:lang w:val="en-US"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光电外观自动检测仪</w:t>
                  </w: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等</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设备</w:t>
                  </w:r>
                  <w:r>
                    <w:rPr>
                      <w:rFonts w:hint="eastAsia" w:cs="Times New Roman"/>
                      <w:color w:val="000000" w:themeColor="text1"/>
                      <w:sz w:val="21"/>
                      <w:szCs w:val="21"/>
                      <w:highlight w:val="none"/>
                      <w:vertAlign w:val="baseline"/>
                      <w:lang w:val="en-US" w:eastAsia="zh-CN"/>
                      <w14:textFill>
                        <w14:solidFill>
                          <w14:schemeClr w14:val="tx1"/>
                        </w14:solidFill>
                      </w14:textFill>
                    </w:rPr>
                    <w:t>，主要用于清洗、涂油包装工序及产品检验</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c>
                <w:tcPr>
                  <w:tcW w:w="1120" w:type="dxa"/>
                  <w:vMerge w:val="continue"/>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3" w:type="dxa"/>
                  <w:vMerge w:val="restart"/>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辅助工程</w:t>
                  </w:r>
                </w:p>
              </w:tc>
              <w:tc>
                <w:tcPr>
                  <w:tcW w:w="1563" w:type="dxa"/>
                  <w:gridSpan w:val="2"/>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办公室</w:t>
                  </w:r>
                </w:p>
              </w:tc>
              <w:tc>
                <w:tcPr>
                  <w:tcW w:w="4909" w:type="dxa"/>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位于</w:t>
                  </w:r>
                  <w:r>
                    <w:rPr>
                      <w:rFonts w:hint="default" w:ascii="Times New Roman" w:hAnsi="Times New Roman" w:eastAsia="宋体" w:cs="Times New Roman"/>
                      <w:color w:val="000000" w:themeColor="text1"/>
                      <w:sz w:val="21"/>
                      <w:szCs w:val="21"/>
                      <w:highlight w:val="none"/>
                      <w14:textFill>
                        <w14:solidFill>
                          <w14:schemeClr w14:val="tx1"/>
                        </w14:solidFill>
                      </w14:textFill>
                    </w:rPr>
                    <w:t>生产车间</w:t>
                  </w:r>
                  <w:r>
                    <w:rPr>
                      <w:rFonts w:hint="eastAsia" w:cs="Times New Roman"/>
                      <w:color w:val="000000" w:themeColor="text1"/>
                      <w:sz w:val="21"/>
                      <w:szCs w:val="21"/>
                      <w:highlight w:val="none"/>
                      <w:lang w:val="en-US" w:eastAsia="zh-CN"/>
                      <w14:textFill>
                        <w14:solidFill>
                          <w14:schemeClr w14:val="tx1"/>
                        </w14:solidFill>
                      </w14:textFill>
                    </w:rPr>
                    <w:t>北侧2F，</w:t>
                  </w:r>
                  <w:r>
                    <w:rPr>
                      <w:rFonts w:hint="eastAsia" w:cs="Times New Roman"/>
                      <w:color w:val="000000" w:themeColor="text1"/>
                      <w:sz w:val="21"/>
                      <w:szCs w:val="21"/>
                      <w:highlight w:val="none"/>
                      <w:lang w:eastAsia="zh-CN"/>
                      <w14:textFill>
                        <w14:solidFill>
                          <w14:schemeClr w14:val="tx1"/>
                        </w14:solidFill>
                      </w14:textFill>
                    </w:rPr>
                    <w:t>建筑</w:t>
                  </w:r>
                  <w:r>
                    <w:rPr>
                      <w:rFonts w:hint="default" w:ascii="Times New Roman" w:hAnsi="Times New Roman" w:eastAsia="宋体" w:cs="Times New Roman"/>
                      <w:color w:val="000000" w:themeColor="text1"/>
                      <w:sz w:val="21"/>
                      <w:szCs w:val="21"/>
                      <w:highlight w:val="none"/>
                      <w14:textFill>
                        <w14:solidFill>
                          <w14:schemeClr w14:val="tx1"/>
                        </w14:solidFill>
                      </w14:textFill>
                    </w:rPr>
                    <w:t>面积</w:t>
                  </w:r>
                  <w:r>
                    <w:rPr>
                      <w:rFonts w:hint="eastAsia" w:cs="Times New Roman"/>
                      <w:color w:val="000000" w:themeColor="text1"/>
                      <w:sz w:val="21"/>
                      <w:szCs w:val="21"/>
                      <w:highlight w:val="none"/>
                      <w:lang w:eastAsia="zh-CN"/>
                      <w14:textFill>
                        <w14:solidFill>
                          <w14:schemeClr w14:val="tx1"/>
                        </w14:solidFill>
                      </w14:textFill>
                    </w:rPr>
                    <w:t>约</w:t>
                  </w:r>
                  <w:r>
                    <w:rPr>
                      <w:rFonts w:hint="eastAsia" w:cs="Times New Roman"/>
                      <w:color w:val="000000" w:themeColor="text1"/>
                      <w:sz w:val="21"/>
                      <w:szCs w:val="21"/>
                      <w:highlight w:val="none"/>
                      <w:lang w:val="en-US" w:eastAsia="zh-CN"/>
                      <w14:textFill>
                        <w14:solidFill>
                          <w14:schemeClr w14:val="tx1"/>
                        </w14:solidFill>
                      </w14:textFill>
                    </w:rPr>
                    <w:t>520</w:t>
                  </w: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eastAsia" w:cs="Times New Roman"/>
                      <w:color w:val="000000" w:themeColor="text1"/>
                      <w:sz w:val="21"/>
                      <w:szCs w:val="21"/>
                      <w:highlight w:val="none"/>
                      <w:lang w:eastAsia="zh-CN"/>
                      <w14:textFill>
                        <w14:solidFill>
                          <w14:schemeClr w14:val="tx1"/>
                        </w14:solidFill>
                      </w14:textFill>
                    </w:rPr>
                    <w:t>，满足员工办公需求。</w:t>
                  </w:r>
                </w:p>
              </w:tc>
              <w:tc>
                <w:tcPr>
                  <w:tcW w:w="1120" w:type="dxa"/>
                  <w:vMerge w:val="restart"/>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依托主体厂房，内部新建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3" w:type="dxa"/>
                  <w:vMerge w:val="continue"/>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563" w:type="dxa"/>
                  <w:gridSpan w:val="2"/>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倒班室</w:t>
                  </w:r>
                </w:p>
              </w:tc>
              <w:tc>
                <w:tcPr>
                  <w:tcW w:w="4909" w:type="dxa"/>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eastAsia"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位于</w:t>
                  </w:r>
                  <w:r>
                    <w:rPr>
                      <w:rFonts w:hint="eastAsia"/>
                      <w:color w:val="000000" w:themeColor="text1"/>
                      <w:highlight w:val="none"/>
                      <w:lang w:val="en-US" w:eastAsia="zh-CN"/>
                      <w14:textFill>
                        <w14:solidFill>
                          <w14:schemeClr w14:val="tx1"/>
                        </w14:solidFill>
                      </w14:textFill>
                    </w:rPr>
                    <w:t>生产车间北侧3F</w:t>
                  </w:r>
                  <w:r>
                    <w:rPr>
                      <w:rFonts w:hint="eastAsia"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建筑</w:t>
                  </w:r>
                  <w:r>
                    <w:rPr>
                      <w:rFonts w:hint="default" w:ascii="Times New Roman" w:hAnsi="Times New Roman" w:eastAsia="宋体" w:cs="Times New Roman"/>
                      <w:color w:val="000000" w:themeColor="text1"/>
                      <w:sz w:val="21"/>
                      <w:szCs w:val="21"/>
                      <w:highlight w:val="none"/>
                      <w14:textFill>
                        <w14:solidFill>
                          <w14:schemeClr w14:val="tx1"/>
                        </w14:solidFill>
                      </w14:textFill>
                    </w:rPr>
                    <w:t>面积</w:t>
                  </w:r>
                  <w:r>
                    <w:rPr>
                      <w:rFonts w:hint="eastAsia" w:cs="Times New Roman"/>
                      <w:color w:val="000000" w:themeColor="text1"/>
                      <w:sz w:val="21"/>
                      <w:szCs w:val="21"/>
                      <w:highlight w:val="none"/>
                      <w:lang w:val="en-US" w:eastAsia="zh-CN"/>
                      <w14:textFill>
                        <w14:solidFill>
                          <w14:schemeClr w14:val="tx1"/>
                        </w14:solidFill>
                      </w14:textFill>
                    </w:rPr>
                    <w:t>520</w:t>
                  </w: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eastAsia" w:cs="Times New Roman"/>
                      <w:color w:val="000000" w:themeColor="text1"/>
                      <w:sz w:val="21"/>
                      <w:szCs w:val="21"/>
                      <w:highlight w:val="none"/>
                      <w:lang w:eastAsia="zh-CN"/>
                      <w14:textFill>
                        <w14:solidFill>
                          <w14:schemeClr w14:val="tx1"/>
                        </w14:solidFill>
                      </w14:textFill>
                    </w:rPr>
                    <w:t>，主要为满足倒班员工休息需求。</w:t>
                  </w:r>
                </w:p>
              </w:tc>
              <w:tc>
                <w:tcPr>
                  <w:tcW w:w="1120" w:type="dxa"/>
                  <w:vMerge w:val="continue"/>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03" w:type="dxa"/>
                  <w:vMerge w:val="continue"/>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563" w:type="dxa"/>
                  <w:gridSpan w:val="2"/>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检验室</w:t>
                  </w:r>
                </w:p>
              </w:tc>
              <w:tc>
                <w:tcPr>
                  <w:tcW w:w="4909" w:type="dxa"/>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eastAsia" w:cs="Times New Roman"/>
                      <w:color w:val="000000" w:themeColor="text1"/>
                      <w:sz w:val="21"/>
                      <w:szCs w:val="21"/>
                      <w:highlight w:val="yellow"/>
                      <w:lang w:eastAsia="zh-CN"/>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位于</w:t>
                  </w:r>
                  <w:r>
                    <w:rPr>
                      <w:rFonts w:hint="eastAsia"/>
                      <w:color w:val="000000" w:themeColor="text1"/>
                      <w:highlight w:val="none"/>
                      <w:lang w:val="en-US" w:eastAsia="zh-CN"/>
                      <w14:textFill>
                        <w14:solidFill>
                          <w14:schemeClr w14:val="tx1"/>
                        </w14:solidFill>
                      </w14:textFill>
                    </w:rPr>
                    <w:t>生产车间</w:t>
                  </w:r>
                  <w:r>
                    <w:rPr>
                      <w:rFonts w:hint="eastAsia" w:cs="Times New Roman"/>
                      <w:color w:val="000000" w:themeColor="text1"/>
                      <w:sz w:val="21"/>
                      <w:szCs w:val="21"/>
                      <w:highlight w:val="none"/>
                      <w:lang w:eastAsia="zh-CN"/>
                      <w14:textFill>
                        <w14:solidFill>
                          <w14:schemeClr w14:val="tx1"/>
                        </w14:solidFill>
                      </w14:textFill>
                    </w:rPr>
                    <w:t>北</w:t>
                  </w:r>
                  <w:r>
                    <w:rPr>
                      <w:rFonts w:hint="eastAsia" w:cs="Times New Roman"/>
                      <w:color w:val="000000" w:themeColor="text1"/>
                      <w:sz w:val="21"/>
                      <w:szCs w:val="21"/>
                      <w:highlight w:val="none"/>
                      <w:lang w:val="en-US" w:eastAsia="zh-CN"/>
                      <w14:textFill>
                        <w14:solidFill>
                          <w14:schemeClr w14:val="tx1"/>
                        </w14:solidFill>
                      </w14:textFill>
                    </w:rPr>
                    <w:t>侧，</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建筑</w:t>
                  </w:r>
                  <w:r>
                    <w:rPr>
                      <w:rFonts w:hint="default" w:ascii="Times New Roman" w:hAnsi="Times New Roman" w:eastAsia="宋体" w:cs="Times New Roman"/>
                      <w:color w:val="000000" w:themeColor="text1"/>
                      <w:sz w:val="21"/>
                      <w:szCs w:val="21"/>
                      <w:highlight w:val="none"/>
                      <w14:textFill>
                        <w14:solidFill>
                          <w14:schemeClr w14:val="tx1"/>
                        </w14:solidFill>
                      </w14:textFill>
                    </w:rPr>
                    <w:t>面积</w:t>
                  </w:r>
                  <w:r>
                    <w:rPr>
                      <w:rFonts w:hint="eastAsia" w:cs="Times New Roman"/>
                      <w:color w:val="000000" w:themeColor="text1"/>
                      <w:sz w:val="21"/>
                      <w:szCs w:val="21"/>
                      <w:highlight w:val="none"/>
                      <w:lang w:val="en-US" w:eastAsia="zh-CN"/>
                      <w14:textFill>
                        <w14:solidFill>
                          <w14:schemeClr w14:val="tx1"/>
                        </w14:solidFill>
                      </w14:textFill>
                    </w:rPr>
                    <w:t>150</w:t>
                  </w: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eastAsia" w:cs="Times New Roman"/>
                      <w:color w:val="000000" w:themeColor="text1"/>
                      <w:sz w:val="21"/>
                      <w:szCs w:val="21"/>
                      <w:highlight w:val="none"/>
                      <w:lang w:eastAsia="zh-CN"/>
                      <w14:textFill>
                        <w14:solidFill>
                          <w14:schemeClr w14:val="tx1"/>
                        </w14:solidFill>
                      </w14:textFill>
                    </w:rPr>
                    <w:t>，用于产品的检验。</w:t>
                  </w:r>
                </w:p>
              </w:tc>
              <w:tc>
                <w:tcPr>
                  <w:tcW w:w="1120" w:type="dxa"/>
                  <w:vMerge w:val="continue"/>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03" w:type="dxa"/>
                  <w:vMerge w:val="restart"/>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储运工程</w:t>
                  </w:r>
                </w:p>
              </w:tc>
              <w:tc>
                <w:tcPr>
                  <w:tcW w:w="1563" w:type="dxa"/>
                  <w:gridSpan w:val="2"/>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原料区</w:t>
                  </w:r>
                </w:p>
              </w:tc>
              <w:tc>
                <w:tcPr>
                  <w:tcW w:w="4909" w:type="dxa"/>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位于</w:t>
                  </w:r>
                  <w:r>
                    <w:rPr>
                      <w:rFonts w:hint="default" w:ascii="Times New Roman" w:hAnsi="Times New Roman" w:eastAsia="宋体" w:cs="Times New Roman"/>
                      <w:color w:val="000000" w:themeColor="text1"/>
                      <w:sz w:val="21"/>
                      <w:szCs w:val="21"/>
                      <w:highlight w:val="none"/>
                      <w14:textFill>
                        <w14:solidFill>
                          <w14:schemeClr w14:val="tx1"/>
                        </w14:solidFill>
                      </w14:textFill>
                    </w:rPr>
                    <w:t>生产车间</w:t>
                  </w:r>
                  <w:r>
                    <w:rPr>
                      <w:rFonts w:hint="eastAsia" w:cs="Times New Roman"/>
                      <w:color w:val="000000" w:themeColor="text1"/>
                      <w:sz w:val="21"/>
                      <w:szCs w:val="21"/>
                      <w:highlight w:val="none"/>
                      <w:lang w:eastAsia="zh-CN"/>
                      <w14:textFill>
                        <w14:solidFill>
                          <w14:schemeClr w14:val="tx1"/>
                        </w14:solidFill>
                      </w14:textFill>
                    </w:rPr>
                    <w:t>南</w:t>
                  </w:r>
                  <w:r>
                    <w:rPr>
                      <w:rFonts w:hint="eastAsia" w:cs="Times New Roman"/>
                      <w:color w:val="000000" w:themeColor="text1"/>
                      <w:sz w:val="21"/>
                      <w:szCs w:val="21"/>
                      <w:highlight w:val="none"/>
                      <w:lang w:val="en-US" w:eastAsia="zh-CN"/>
                      <w14:textFill>
                        <w14:solidFill>
                          <w14:schemeClr w14:val="tx1"/>
                        </w14:solidFill>
                      </w14:textFill>
                    </w:rPr>
                    <w:t>侧，建筑</w:t>
                  </w:r>
                  <w:r>
                    <w:rPr>
                      <w:rFonts w:hint="default" w:ascii="Times New Roman" w:hAnsi="Times New Roman" w:eastAsia="宋体" w:cs="Times New Roman"/>
                      <w:color w:val="000000" w:themeColor="text1"/>
                      <w:sz w:val="21"/>
                      <w:szCs w:val="21"/>
                      <w:highlight w:val="none"/>
                      <w14:textFill>
                        <w14:solidFill>
                          <w14:schemeClr w14:val="tx1"/>
                        </w14:solidFill>
                      </w14:textFill>
                    </w:rPr>
                    <w:t>面积约</w:t>
                  </w:r>
                  <w:r>
                    <w:rPr>
                      <w:rFonts w:hint="eastAsia" w:cs="Times New Roman"/>
                      <w:color w:val="000000" w:themeColor="text1"/>
                      <w:sz w:val="21"/>
                      <w:szCs w:val="21"/>
                      <w:highlight w:val="none"/>
                      <w:lang w:val="en-US" w:eastAsia="zh-CN"/>
                      <w14:textFill>
                        <w14:solidFill>
                          <w14:schemeClr w14:val="tx1"/>
                        </w14:solidFill>
                      </w14:textFill>
                    </w:rPr>
                    <w:t>200</w:t>
                  </w: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，主要用于存放外购原料</w:t>
                  </w:r>
                  <w:r>
                    <w:rPr>
                      <w:rFonts w:hint="eastAsia" w:cs="Times New Roman"/>
                      <w:color w:val="000000" w:themeColor="text1"/>
                      <w:sz w:val="21"/>
                      <w:szCs w:val="21"/>
                      <w:highlight w:val="none"/>
                      <w:lang w:eastAsia="zh-CN"/>
                      <w14:textFill>
                        <w14:solidFill>
                          <w14:schemeClr w14:val="tx1"/>
                        </w14:solidFill>
                      </w14:textFill>
                    </w:rPr>
                    <w:t>轴承钢丝。</w:t>
                  </w:r>
                </w:p>
              </w:tc>
              <w:tc>
                <w:tcPr>
                  <w:tcW w:w="1120" w:type="dxa"/>
                  <w:vMerge w:val="restart"/>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依托主体厂房，内部新建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03" w:type="dxa"/>
                  <w:vMerge w:val="continue"/>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563" w:type="dxa"/>
                  <w:gridSpan w:val="2"/>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危化品库</w:t>
                  </w:r>
                </w:p>
              </w:tc>
              <w:tc>
                <w:tcPr>
                  <w:tcW w:w="4909" w:type="dxa"/>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位于</w:t>
                  </w:r>
                  <w:r>
                    <w:rPr>
                      <w:rFonts w:hint="eastAsia"/>
                      <w:color w:val="000000" w:themeColor="text1"/>
                      <w:highlight w:val="none"/>
                      <w:lang w:val="en-US" w:eastAsia="zh-CN"/>
                      <w14:textFill>
                        <w14:solidFill>
                          <w14:schemeClr w14:val="tx1"/>
                        </w14:solidFill>
                      </w14:textFill>
                    </w:rPr>
                    <w:t>生产车间</w:t>
                  </w:r>
                  <w:r>
                    <w:rPr>
                      <w:rFonts w:hint="eastAsia" w:cs="Times New Roman"/>
                      <w:color w:val="000000" w:themeColor="text1"/>
                      <w:sz w:val="21"/>
                      <w:szCs w:val="21"/>
                      <w:highlight w:val="none"/>
                      <w:lang w:eastAsia="zh-CN"/>
                      <w14:textFill>
                        <w14:solidFill>
                          <w14:schemeClr w14:val="tx1"/>
                        </w14:solidFill>
                      </w14:textFill>
                    </w:rPr>
                    <w:t>西北</w:t>
                  </w:r>
                  <w:r>
                    <w:rPr>
                      <w:rFonts w:hint="eastAsia" w:cs="Times New Roman"/>
                      <w:color w:val="000000" w:themeColor="text1"/>
                      <w:sz w:val="21"/>
                      <w:szCs w:val="21"/>
                      <w:highlight w:val="none"/>
                      <w:lang w:val="en-US" w:eastAsia="zh-CN"/>
                      <w14:textFill>
                        <w14:solidFill>
                          <w14:schemeClr w14:val="tx1"/>
                        </w14:solidFill>
                      </w14:textFill>
                    </w:rPr>
                    <w:t>角，</w:t>
                  </w:r>
                  <w:r>
                    <w:rPr>
                      <w:rFonts w:hint="eastAsia" w:cs="Times New Roman"/>
                      <w:color w:val="000000" w:themeColor="text1"/>
                      <w:sz w:val="21"/>
                      <w:szCs w:val="21"/>
                      <w:highlight w:val="none"/>
                      <w:lang w:eastAsia="zh-CN"/>
                      <w14:textFill>
                        <w14:solidFill>
                          <w14:schemeClr w14:val="tx1"/>
                        </w14:solidFill>
                      </w14:textFill>
                    </w:rPr>
                    <w:t>建筑</w:t>
                  </w:r>
                  <w:r>
                    <w:rPr>
                      <w:rFonts w:hint="default" w:ascii="Times New Roman" w:hAnsi="Times New Roman" w:eastAsia="宋体" w:cs="Times New Roman"/>
                      <w:color w:val="000000" w:themeColor="text1"/>
                      <w:sz w:val="21"/>
                      <w:szCs w:val="21"/>
                      <w:highlight w:val="none"/>
                      <w14:textFill>
                        <w14:solidFill>
                          <w14:schemeClr w14:val="tx1"/>
                        </w14:solidFill>
                      </w14:textFill>
                    </w:rPr>
                    <w:t>面积约</w:t>
                  </w:r>
                  <w:r>
                    <w:rPr>
                      <w:rFonts w:hint="eastAsia" w:cs="Times New Roman"/>
                      <w:color w:val="000000" w:themeColor="text1"/>
                      <w:sz w:val="21"/>
                      <w:szCs w:val="21"/>
                      <w:highlight w:val="none"/>
                      <w:lang w:val="en-US" w:eastAsia="zh-CN"/>
                      <w14:textFill>
                        <w14:solidFill>
                          <w14:schemeClr w14:val="tx1"/>
                        </w14:solidFill>
                      </w14:textFill>
                    </w:rPr>
                    <w:t>25</w:t>
                  </w: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，主要用于存放</w:t>
                  </w:r>
                  <w:r>
                    <w:rPr>
                      <w:rFonts w:hint="eastAsia" w:cs="Times New Roman"/>
                      <w:color w:val="000000" w:themeColor="text1"/>
                      <w:sz w:val="21"/>
                      <w:szCs w:val="21"/>
                      <w:highlight w:val="none"/>
                      <w:lang w:eastAsia="zh-CN"/>
                      <w14:textFill>
                        <w14:solidFill>
                          <w14:schemeClr w14:val="tx1"/>
                        </w14:solidFill>
                      </w14:textFill>
                    </w:rPr>
                    <w:t>甲醇等危化品</w:t>
                  </w:r>
                  <w:r>
                    <w:rPr>
                      <w:rFonts w:hint="eastAsia" w:cs="Times New Roman"/>
                      <w:color w:val="000000" w:themeColor="text1"/>
                      <w:sz w:val="21"/>
                      <w:szCs w:val="21"/>
                      <w:highlight w:val="none"/>
                      <w:vertAlign w:val="baseline"/>
                      <w:lang w:val="en-US" w:eastAsia="zh-CN"/>
                      <w14:textFill>
                        <w14:solidFill>
                          <w14:schemeClr w14:val="tx1"/>
                        </w14:solidFill>
                      </w14:textFill>
                    </w:rPr>
                    <w:t>。</w:t>
                  </w:r>
                </w:p>
              </w:tc>
              <w:tc>
                <w:tcPr>
                  <w:tcW w:w="1120" w:type="dxa"/>
                  <w:vMerge w:val="continue"/>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03" w:type="dxa"/>
                  <w:vMerge w:val="continue"/>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563" w:type="dxa"/>
                  <w:gridSpan w:val="2"/>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磨液库</w:t>
                  </w:r>
                </w:p>
              </w:tc>
              <w:tc>
                <w:tcPr>
                  <w:tcW w:w="4909" w:type="dxa"/>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eastAsia"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位于车间南侧。建筑面积约</w:t>
                  </w:r>
                  <w:r>
                    <w:rPr>
                      <w:rFonts w:hint="eastAsia" w:cs="Times New Roman"/>
                      <w:color w:val="000000" w:themeColor="text1"/>
                      <w:sz w:val="21"/>
                      <w:szCs w:val="21"/>
                      <w:highlight w:val="none"/>
                      <w:lang w:val="en-US" w:eastAsia="zh-CN"/>
                      <w14:textFill>
                        <w14:solidFill>
                          <w14:schemeClr w14:val="tx1"/>
                        </w14:solidFill>
                      </w14:textFill>
                    </w:rPr>
                    <w:t>120</w:t>
                  </w: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主要用于存放特磨液、循环液、精研液</w:t>
                  </w:r>
                  <w:r>
                    <w:rPr>
                      <w:rFonts w:hint="eastAsia" w:cs="Times New Roman"/>
                      <w:color w:val="000000" w:themeColor="text1"/>
                      <w:sz w:val="21"/>
                      <w:szCs w:val="21"/>
                      <w:highlight w:val="none"/>
                      <w:lang w:eastAsia="zh-CN"/>
                      <w14:textFill>
                        <w14:solidFill>
                          <w14:schemeClr w14:val="tx1"/>
                        </w14:solidFill>
                      </w14:textFill>
                    </w:rPr>
                    <w:t>、工业白油、淬火油</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等原辅材料。</w:t>
                  </w:r>
                </w:p>
              </w:tc>
              <w:tc>
                <w:tcPr>
                  <w:tcW w:w="1120" w:type="dxa"/>
                  <w:vMerge w:val="continue"/>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03" w:type="dxa"/>
                  <w:vMerge w:val="continue"/>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563" w:type="dxa"/>
                  <w:gridSpan w:val="2"/>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成品区</w:t>
                  </w:r>
                </w:p>
              </w:tc>
              <w:tc>
                <w:tcPr>
                  <w:tcW w:w="4909" w:type="dxa"/>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位于</w:t>
                  </w:r>
                  <w:r>
                    <w:rPr>
                      <w:rFonts w:hint="default" w:ascii="Times New Roman" w:hAnsi="Times New Roman" w:eastAsia="宋体" w:cs="Times New Roman"/>
                      <w:color w:val="000000" w:themeColor="text1"/>
                      <w:sz w:val="21"/>
                      <w:szCs w:val="21"/>
                      <w:highlight w:val="none"/>
                      <w14:textFill>
                        <w14:solidFill>
                          <w14:schemeClr w14:val="tx1"/>
                        </w14:solidFill>
                      </w14:textFill>
                    </w:rPr>
                    <w:t>生产车间</w:t>
                  </w:r>
                  <w:r>
                    <w:rPr>
                      <w:rFonts w:hint="eastAsia" w:cs="Times New Roman"/>
                      <w:color w:val="000000" w:themeColor="text1"/>
                      <w:sz w:val="21"/>
                      <w:szCs w:val="21"/>
                      <w:highlight w:val="none"/>
                      <w:lang w:eastAsia="zh-CN"/>
                      <w14:textFill>
                        <w14:solidFill>
                          <w14:schemeClr w14:val="tx1"/>
                        </w14:solidFill>
                      </w14:textFill>
                    </w:rPr>
                    <w:t>西南</w:t>
                  </w:r>
                  <w:r>
                    <w:rPr>
                      <w:rFonts w:hint="eastAsia" w:cs="Times New Roman"/>
                      <w:color w:val="000000" w:themeColor="text1"/>
                      <w:sz w:val="21"/>
                      <w:szCs w:val="21"/>
                      <w:highlight w:val="none"/>
                      <w:lang w:val="en-US" w:eastAsia="zh-CN"/>
                      <w14:textFill>
                        <w14:solidFill>
                          <w14:schemeClr w14:val="tx1"/>
                        </w14:solidFill>
                      </w14:textFill>
                    </w:rPr>
                    <w:t>侧，</w:t>
                  </w:r>
                  <w:r>
                    <w:rPr>
                      <w:rFonts w:hint="eastAsia" w:cs="Times New Roman"/>
                      <w:color w:val="000000" w:themeColor="text1"/>
                      <w:sz w:val="21"/>
                      <w:szCs w:val="21"/>
                      <w:highlight w:val="none"/>
                      <w:lang w:eastAsia="zh-CN"/>
                      <w14:textFill>
                        <w14:solidFill>
                          <w14:schemeClr w14:val="tx1"/>
                        </w14:solidFill>
                      </w14:textFill>
                    </w:rPr>
                    <w:t>建筑面积</w:t>
                  </w:r>
                  <w:r>
                    <w:rPr>
                      <w:rFonts w:hint="default" w:ascii="Times New Roman" w:hAnsi="Times New Roman" w:eastAsia="宋体" w:cs="Times New Roman"/>
                      <w:color w:val="000000" w:themeColor="text1"/>
                      <w:sz w:val="21"/>
                      <w:szCs w:val="21"/>
                      <w:highlight w:val="none"/>
                      <w14:textFill>
                        <w14:solidFill>
                          <w14:schemeClr w14:val="tx1"/>
                        </w14:solidFill>
                      </w14:textFill>
                    </w:rPr>
                    <w:t>约</w:t>
                  </w:r>
                  <w:r>
                    <w:rPr>
                      <w:rFonts w:hint="eastAsia" w:cs="Times New Roman"/>
                      <w:color w:val="000000" w:themeColor="text1"/>
                      <w:sz w:val="21"/>
                      <w:szCs w:val="21"/>
                      <w:highlight w:val="none"/>
                      <w:lang w:val="en-US" w:eastAsia="zh-CN"/>
                      <w14:textFill>
                        <w14:solidFill>
                          <w14:schemeClr w14:val="tx1"/>
                        </w14:solidFill>
                      </w14:textFill>
                    </w:rPr>
                    <w:t>1400</w:t>
                  </w: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，主要用于成品的存放</w:t>
                  </w:r>
                  <w:r>
                    <w:rPr>
                      <w:rFonts w:hint="eastAsia" w:cs="Times New Roman"/>
                      <w:color w:val="000000" w:themeColor="text1"/>
                      <w:sz w:val="21"/>
                      <w:szCs w:val="21"/>
                      <w:highlight w:val="none"/>
                      <w:vertAlign w:val="baseline"/>
                      <w:lang w:val="en-US" w:eastAsia="zh-CN"/>
                      <w14:textFill>
                        <w14:solidFill>
                          <w14:schemeClr w14:val="tx1"/>
                        </w14:solidFill>
                      </w14:textFill>
                    </w:rPr>
                    <w:t>。</w:t>
                  </w:r>
                </w:p>
              </w:tc>
              <w:tc>
                <w:tcPr>
                  <w:tcW w:w="1120" w:type="dxa"/>
                  <w:vMerge w:val="continue"/>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03" w:type="dxa"/>
                  <w:vMerge w:val="continue"/>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563" w:type="dxa"/>
                  <w:gridSpan w:val="2"/>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存球区</w:t>
                  </w:r>
                </w:p>
              </w:tc>
              <w:tc>
                <w:tcPr>
                  <w:tcW w:w="4909" w:type="dxa"/>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位于</w:t>
                  </w:r>
                  <w:r>
                    <w:rPr>
                      <w:rFonts w:hint="eastAsia"/>
                      <w:color w:val="000000" w:themeColor="text1"/>
                      <w:highlight w:val="none"/>
                      <w:lang w:val="en-US" w:eastAsia="zh-CN"/>
                      <w14:textFill>
                        <w14:solidFill>
                          <w14:schemeClr w14:val="tx1"/>
                        </w14:solidFill>
                      </w14:textFill>
                    </w:rPr>
                    <w:t>生产车间东北侧，建筑面积约850</w:t>
                  </w: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，主要用于暂存钢球。</w:t>
                  </w:r>
                </w:p>
              </w:tc>
              <w:tc>
                <w:tcPr>
                  <w:tcW w:w="1120" w:type="dxa"/>
                  <w:vMerge w:val="continue"/>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03" w:type="dxa"/>
                  <w:vMerge w:val="continue"/>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563" w:type="dxa"/>
                  <w:gridSpan w:val="2"/>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eastAsia"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五金库</w:t>
                  </w:r>
                </w:p>
              </w:tc>
              <w:tc>
                <w:tcPr>
                  <w:tcW w:w="4909" w:type="dxa"/>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位于生产车间北侧，建筑面积约</w:t>
                  </w:r>
                  <w:r>
                    <w:rPr>
                      <w:rFonts w:hint="eastAsia" w:cs="Times New Roman"/>
                      <w:color w:val="000000" w:themeColor="text1"/>
                      <w:sz w:val="21"/>
                      <w:szCs w:val="21"/>
                      <w:highlight w:val="none"/>
                      <w:lang w:val="en-US" w:eastAsia="zh-CN"/>
                      <w14:textFill>
                        <w14:solidFill>
                          <w14:schemeClr w14:val="tx1"/>
                        </w14:solidFill>
                      </w14:textFill>
                    </w:rPr>
                    <w:t>150</w:t>
                  </w: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，主要用于存放生产中使用的五金辅材。</w:t>
                  </w:r>
                </w:p>
              </w:tc>
              <w:tc>
                <w:tcPr>
                  <w:tcW w:w="1120" w:type="dxa"/>
                  <w:vMerge w:val="continue"/>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03" w:type="dxa"/>
                  <w:vMerge w:val="restart"/>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公用工程</w:t>
                  </w:r>
                </w:p>
              </w:tc>
              <w:tc>
                <w:tcPr>
                  <w:tcW w:w="1563" w:type="dxa"/>
                  <w:gridSpan w:val="2"/>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给水</w:t>
                  </w:r>
                </w:p>
              </w:tc>
              <w:tc>
                <w:tcPr>
                  <w:tcW w:w="4909" w:type="dxa"/>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1"/>
                      <w:szCs w:val="21"/>
                      <w:highlight w:val="yellow"/>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给水来自</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供水管网</w:t>
                  </w:r>
                  <w:r>
                    <w:rPr>
                      <w:rFonts w:hint="default" w:ascii="Times New Roman" w:hAnsi="Times New Roman" w:eastAsia="宋体" w:cs="Times New Roman"/>
                      <w:color w:val="000000" w:themeColor="text1"/>
                      <w:sz w:val="21"/>
                      <w:szCs w:val="21"/>
                      <w:highlight w:val="none"/>
                      <w14:textFill>
                        <w14:solidFill>
                          <w14:schemeClr w14:val="tx1"/>
                        </w14:solidFill>
                      </w14:textFill>
                    </w:rPr>
                    <w:t>，供水量为</w:t>
                  </w:r>
                  <w:r>
                    <w:rPr>
                      <w:rFonts w:hint="eastAsia" w:cs="Times New Roman"/>
                      <w:color w:val="000000" w:themeColor="text1"/>
                      <w:sz w:val="21"/>
                      <w:szCs w:val="21"/>
                      <w:highlight w:val="none"/>
                      <w:lang w:val="en-US" w:eastAsia="zh-CN"/>
                      <w14:textFill>
                        <w14:solidFill>
                          <w14:schemeClr w14:val="tx1"/>
                        </w14:solidFill>
                      </w14:textFill>
                    </w:rPr>
                    <w:t>2580</w:t>
                  </w:r>
                  <w:r>
                    <w:rPr>
                      <w:rFonts w:hint="default" w:ascii="Times New Roman" w:hAnsi="Times New Roman" w:eastAsia="宋体" w:cs="Times New Roman"/>
                      <w:color w:val="000000" w:themeColor="text1"/>
                      <w:sz w:val="21"/>
                      <w:szCs w:val="21"/>
                      <w:highlight w:val="none"/>
                      <w14:textFill>
                        <w14:solidFill>
                          <w14:schemeClr w14:val="tx1"/>
                        </w14:solidFill>
                      </w14:textFill>
                    </w:rPr>
                    <w:t>t/a</w:t>
                  </w:r>
                  <w:r>
                    <w:rPr>
                      <w:rFonts w:hint="eastAsia" w:cs="Times New Roman"/>
                      <w:color w:val="000000" w:themeColor="text1"/>
                      <w:sz w:val="21"/>
                      <w:szCs w:val="21"/>
                      <w:highlight w:val="none"/>
                      <w:vertAlign w:val="baseline"/>
                      <w:lang w:val="en-US" w:eastAsia="zh-CN"/>
                      <w14:textFill>
                        <w14:solidFill>
                          <w14:schemeClr w14:val="tx1"/>
                        </w14:solidFill>
                      </w14:textFill>
                    </w:rPr>
                    <w:t>。</w:t>
                  </w:r>
                </w:p>
              </w:tc>
              <w:tc>
                <w:tcPr>
                  <w:tcW w:w="1120" w:type="dxa"/>
                  <w:vMerge w:val="restart"/>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03" w:type="dxa"/>
                  <w:vMerge w:val="continue"/>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563" w:type="dxa"/>
                  <w:gridSpan w:val="2"/>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排水</w:t>
                  </w:r>
                </w:p>
              </w:tc>
              <w:tc>
                <w:tcPr>
                  <w:tcW w:w="4909" w:type="dxa"/>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1"/>
                      <w:szCs w:val="21"/>
                      <w:highlight w:val="yellow"/>
                      <w:lang w:eastAsia="zh-CN"/>
                      <w14:textFill>
                        <w14:solidFill>
                          <w14:schemeClr w14:val="tx1"/>
                        </w14:solidFill>
                      </w14:textFill>
                    </w:rPr>
                  </w:pPr>
                  <w:r>
                    <w:rPr>
                      <w:rFonts w:hint="eastAsia" w:cs="Times New Roman"/>
                      <w:color w:val="000000" w:themeColor="text1"/>
                      <w:sz w:val="21"/>
                      <w:szCs w:val="21"/>
                      <w:highlight w:val="none"/>
                      <w:vertAlign w:val="baseline"/>
                      <w:lang w:eastAsia="zh-CN"/>
                      <w14:textFill>
                        <w14:solidFill>
                          <w14:schemeClr w14:val="tx1"/>
                        </w14:solidFill>
                      </w14:textFill>
                    </w:rPr>
                    <w:t>排水实行雨</w:t>
                  </w:r>
                  <w:r>
                    <w:rPr>
                      <w:rFonts w:hint="eastAsia" w:cs="Times New Roman"/>
                      <w:color w:val="auto"/>
                      <w:sz w:val="21"/>
                      <w:szCs w:val="21"/>
                      <w:highlight w:val="none"/>
                      <w:vertAlign w:val="baseline"/>
                      <w:lang w:eastAsia="zh-CN"/>
                    </w:rPr>
                    <w:t>污分流制。雨水经厂区雨水管网排入市政雨水管网；</w:t>
                  </w:r>
                  <w:r>
                    <w:rPr>
                      <w:rFonts w:hint="eastAsia" w:cs="Times New Roman"/>
                      <w:color w:val="auto"/>
                      <w:sz w:val="21"/>
                      <w:szCs w:val="21"/>
                      <w:highlight w:val="none"/>
                      <w:vertAlign w:val="baseline"/>
                      <w:lang w:val="en-US" w:eastAsia="zh-CN"/>
                    </w:rPr>
                    <w:t>生活污水依托标准化厂房已建化粪池预处理后经市政污水管网排入灵璧经济开发区北部新区污水处理厂处理。</w:t>
                  </w:r>
                </w:p>
              </w:tc>
              <w:tc>
                <w:tcPr>
                  <w:tcW w:w="1120" w:type="dxa"/>
                  <w:vMerge w:val="continue"/>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03" w:type="dxa"/>
                  <w:vMerge w:val="continue"/>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563" w:type="dxa"/>
                  <w:gridSpan w:val="2"/>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供电</w:t>
                  </w:r>
                </w:p>
              </w:tc>
              <w:tc>
                <w:tcPr>
                  <w:tcW w:w="4909" w:type="dxa"/>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市政供电管网供给，供电量为</w:t>
                  </w:r>
                  <w:r>
                    <w:rPr>
                      <w:rFonts w:hint="eastAsia" w:cs="Times New Roman"/>
                      <w:color w:val="000000" w:themeColor="text1"/>
                      <w:sz w:val="21"/>
                      <w:szCs w:val="21"/>
                      <w:highlight w:val="none"/>
                      <w:lang w:val="en-US" w:eastAsia="zh-CN"/>
                      <w14:textFill>
                        <w14:solidFill>
                          <w14:schemeClr w14:val="tx1"/>
                        </w14:solidFill>
                      </w14:textFill>
                    </w:rPr>
                    <w:t>850</w:t>
                  </w:r>
                  <w:r>
                    <w:rPr>
                      <w:rFonts w:hint="default" w:ascii="Times New Roman" w:hAnsi="Times New Roman" w:eastAsia="宋体" w:cs="Times New Roman"/>
                      <w:color w:val="000000" w:themeColor="text1"/>
                      <w:sz w:val="21"/>
                      <w:szCs w:val="21"/>
                      <w:highlight w:val="none"/>
                      <w14:textFill>
                        <w14:solidFill>
                          <w14:schemeClr w14:val="tx1"/>
                        </w14:solidFill>
                      </w14:textFill>
                    </w:rPr>
                    <w:t>万kW·h/a</w:t>
                  </w:r>
                  <w:r>
                    <w:rPr>
                      <w:rFonts w:hint="eastAsia" w:cs="Times New Roman"/>
                      <w:color w:val="000000" w:themeColor="text1"/>
                      <w:sz w:val="21"/>
                      <w:szCs w:val="21"/>
                      <w:highlight w:val="none"/>
                      <w:lang w:eastAsia="zh-CN"/>
                      <w14:textFill>
                        <w14:solidFill>
                          <w14:schemeClr w14:val="tx1"/>
                        </w14:solidFill>
                      </w14:textFill>
                    </w:rPr>
                    <w:t>。</w:t>
                  </w:r>
                </w:p>
              </w:tc>
              <w:tc>
                <w:tcPr>
                  <w:tcW w:w="1120" w:type="dxa"/>
                  <w:vMerge w:val="continue"/>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03" w:type="dxa"/>
                  <w:vMerge w:val="continue"/>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563" w:type="dxa"/>
                  <w:gridSpan w:val="2"/>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消防</w:t>
                  </w:r>
                </w:p>
              </w:tc>
              <w:tc>
                <w:tcPr>
                  <w:tcW w:w="4909" w:type="dxa"/>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按照相关规定设置各类消防设施</w:t>
                  </w:r>
                  <w:r>
                    <w:rPr>
                      <w:rFonts w:hint="eastAsia" w:cs="Times New Roman"/>
                      <w:color w:val="000000" w:themeColor="text1"/>
                      <w:sz w:val="21"/>
                      <w:szCs w:val="21"/>
                      <w:highlight w:val="none"/>
                      <w:lang w:eastAsia="zh-CN"/>
                      <w14:textFill>
                        <w14:solidFill>
                          <w14:schemeClr w14:val="tx1"/>
                        </w14:solidFill>
                      </w14:textFill>
                    </w:rPr>
                    <w:t>。</w:t>
                  </w:r>
                </w:p>
              </w:tc>
              <w:tc>
                <w:tcPr>
                  <w:tcW w:w="1120" w:type="dxa"/>
                  <w:vMerge w:val="continue"/>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03" w:type="dxa"/>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依托工程</w:t>
                  </w:r>
                </w:p>
              </w:tc>
              <w:tc>
                <w:tcPr>
                  <w:tcW w:w="1563" w:type="dxa"/>
                  <w:gridSpan w:val="2"/>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废水</w:t>
                  </w:r>
                  <w:r>
                    <w:rPr>
                      <w:rFonts w:hint="default" w:ascii="Times New Roman" w:hAnsi="Times New Roman" w:eastAsia="宋体" w:cs="Times New Roman"/>
                      <w:color w:val="000000" w:themeColor="text1"/>
                      <w:sz w:val="21"/>
                      <w:szCs w:val="21"/>
                      <w14:textFill>
                        <w14:solidFill>
                          <w14:schemeClr w14:val="tx1"/>
                        </w14:solidFill>
                      </w14:textFill>
                    </w:rPr>
                    <w:t>治理</w:t>
                  </w:r>
                </w:p>
              </w:tc>
              <w:tc>
                <w:tcPr>
                  <w:tcW w:w="4909" w:type="dxa"/>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生活污水依托标准化厂房已建化粪池预处理。</w:t>
                  </w:r>
                </w:p>
              </w:tc>
              <w:tc>
                <w:tcPr>
                  <w:tcW w:w="1120" w:type="dxa"/>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03" w:type="dxa"/>
                  <w:vMerge w:val="restart"/>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环保工程</w:t>
                  </w:r>
                </w:p>
              </w:tc>
              <w:tc>
                <w:tcPr>
                  <w:tcW w:w="1563" w:type="dxa"/>
                  <w:gridSpan w:val="2"/>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废水治理</w:t>
                  </w:r>
                </w:p>
              </w:tc>
              <w:tc>
                <w:tcPr>
                  <w:tcW w:w="4909" w:type="dxa"/>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1"/>
                      <w:szCs w:val="21"/>
                      <w:highlight w:val="yellow"/>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生活污水</w:t>
                  </w:r>
                  <w:r>
                    <w:rPr>
                      <w:rFonts w:hint="eastAsia"/>
                      <w:color w:val="000000" w:themeColor="text1"/>
                      <w:sz w:val="21"/>
                      <w:szCs w:val="21"/>
                      <w:highlight w:val="none"/>
                      <w:lang w:val="en-US" w:eastAsia="zh-CN"/>
                      <w14:textFill>
                        <w14:solidFill>
                          <w14:schemeClr w14:val="tx1"/>
                        </w14:solidFill>
                      </w14:textFill>
                    </w:rPr>
                    <w:t>：</w:t>
                  </w:r>
                  <w:r>
                    <w:rPr>
                      <w:rFonts w:hint="eastAsia" w:cs="Times New Roman"/>
                      <w:color w:val="000000" w:themeColor="text1"/>
                      <w:sz w:val="21"/>
                      <w:szCs w:val="21"/>
                      <w:highlight w:val="none"/>
                      <w:vertAlign w:val="baseline"/>
                      <w:lang w:val="en-US" w:eastAsia="zh-CN"/>
                      <w14:textFill>
                        <w14:solidFill>
                          <w14:schemeClr w14:val="tx1"/>
                        </w14:solidFill>
                      </w14:textFill>
                    </w:rPr>
                    <w:t>依托标准化厂房已建化粪池预处理后经市政污水管网排入灵璧经济开发区新北污水处理厂处理</w:t>
                  </w:r>
                  <w:r>
                    <w:rPr>
                      <w:rFonts w:hint="default"/>
                      <w:color w:val="000000" w:themeColor="text1"/>
                      <w:sz w:val="21"/>
                      <w:szCs w:val="21"/>
                      <w:highlight w:val="none"/>
                      <w:lang w:val="en-US" w:eastAsia="zh-CN"/>
                      <w14:textFill>
                        <w14:solidFill>
                          <w14:schemeClr w14:val="tx1"/>
                        </w14:solidFill>
                      </w14:textFill>
                    </w:rPr>
                    <w:t>。</w:t>
                  </w:r>
                </w:p>
              </w:tc>
              <w:tc>
                <w:tcPr>
                  <w:tcW w:w="1120" w:type="dxa"/>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03" w:type="dxa"/>
                  <w:vMerge w:val="continue"/>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563" w:type="dxa"/>
                  <w:gridSpan w:val="2"/>
                  <w:vMerge w:val="restart"/>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废气治理</w:t>
                  </w:r>
                </w:p>
              </w:tc>
              <w:tc>
                <w:tcPr>
                  <w:tcW w:w="4909"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冷镦废气</w:t>
                  </w:r>
                  <w:r>
                    <w:rPr>
                      <w:rFonts w:hint="eastAsia" w:cs="Times New Roman"/>
                      <w:color w:val="auto"/>
                      <w:sz w:val="21"/>
                      <w:szCs w:val="21"/>
                      <w:highlight w:val="none"/>
                      <w:lang w:val="en-US" w:eastAsia="zh-CN"/>
                    </w:rPr>
                    <w:t>：集气罩+</w:t>
                  </w:r>
                  <w:r>
                    <w:rPr>
                      <w:rFonts w:hint="eastAsia" w:ascii="Times New Roman" w:hAnsi="Times New Roman" w:eastAsia="宋体" w:cs="Times New Roman"/>
                      <w:color w:val="auto"/>
                      <w:sz w:val="21"/>
                      <w:szCs w:val="21"/>
                      <w:highlight w:val="none"/>
                      <w:lang w:val="en-US" w:eastAsia="zh-CN"/>
                    </w:rPr>
                    <w:t>活性炭纤维毡处理后经1根15m高排气筒（DA001）排放</w:t>
                  </w:r>
                  <w:r>
                    <w:rPr>
                      <w:rFonts w:hint="eastAsia" w:cs="Times New Roman"/>
                      <w:color w:val="auto"/>
                      <w:sz w:val="21"/>
                      <w:szCs w:val="21"/>
                      <w:highlight w:val="none"/>
                      <w:lang w:val="en-US" w:eastAsia="zh-CN"/>
                    </w:rPr>
                    <w:t>。</w:t>
                  </w:r>
                </w:p>
              </w:tc>
              <w:tc>
                <w:tcPr>
                  <w:tcW w:w="1120" w:type="dxa"/>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03" w:type="dxa"/>
                  <w:vMerge w:val="continue"/>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563" w:type="dxa"/>
                  <w:gridSpan w:val="2"/>
                  <w:vMerge w:val="continue"/>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4909"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淬火、回火废气</w:t>
                  </w:r>
                  <w:r>
                    <w:rPr>
                      <w:rFonts w:hint="eastAsia" w:cs="Times New Roman"/>
                      <w:color w:val="auto"/>
                      <w:sz w:val="21"/>
                      <w:szCs w:val="21"/>
                      <w:highlight w:val="none"/>
                      <w:lang w:val="en-US" w:eastAsia="zh-CN"/>
                    </w:rPr>
                    <w:t>：集气罩+</w:t>
                  </w:r>
                  <w:r>
                    <w:rPr>
                      <w:rFonts w:hint="eastAsia" w:ascii="Times New Roman" w:hAnsi="Times New Roman" w:eastAsia="宋体" w:cs="Times New Roman"/>
                      <w:color w:val="auto"/>
                      <w:sz w:val="21"/>
                      <w:szCs w:val="21"/>
                      <w:highlight w:val="none"/>
                      <w:lang w:val="en-US" w:eastAsia="zh-CN"/>
                    </w:rPr>
                    <w:t>油雾静电捕集器+活性炭纤维毡处理后经1根15m高排气筒（DA001）排放</w:t>
                  </w:r>
                  <w:r>
                    <w:rPr>
                      <w:rFonts w:hint="eastAsia" w:cs="Times New Roman"/>
                      <w:color w:val="auto"/>
                      <w:sz w:val="21"/>
                      <w:szCs w:val="21"/>
                      <w:highlight w:val="none"/>
                      <w:lang w:val="en-US" w:eastAsia="zh-CN"/>
                    </w:rPr>
                    <w:t>。</w:t>
                  </w:r>
                </w:p>
              </w:tc>
              <w:tc>
                <w:tcPr>
                  <w:tcW w:w="1120" w:type="dxa"/>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eastAsia"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03" w:type="dxa"/>
                  <w:vMerge w:val="continue"/>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563" w:type="dxa"/>
                  <w:gridSpan w:val="2"/>
                  <w:vMerge w:val="continue"/>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4909"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清洗</w:t>
                  </w:r>
                  <w:r>
                    <w:rPr>
                      <w:rFonts w:hint="eastAsia" w:ascii="Times New Roman" w:hAnsi="Times New Roman" w:eastAsia="宋体" w:cs="Times New Roman"/>
                      <w:color w:val="auto"/>
                      <w:sz w:val="21"/>
                      <w:szCs w:val="21"/>
                      <w:highlight w:val="none"/>
                      <w:lang w:val="en-US" w:eastAsia="zh-CN"/>
                    </w:rPr>
                    <w:t>废气</w:t>
                  </w:r>
                  <w:r>
                    <w:rPr>
                      <w:rFonts w:hint="default" w:ascii="Times New Roman" w:hAnsi="Times New Roman" w:eastAsia="宋体" w:cs="Times New Roman"/>
                      <w:color w:val="auto"/>
                      <w:sz w:val="21"/>
                      <w:szCs w:val="21"/>
                      <w:highlight w:val="none"/>
                      <w:lang w:eastAsia="zh-CN"/>
                    </w:rPr>
                    <w:t>：集气罩</w:t>
                  </w:r>
                  <w:r>
                    <w:rPr>
                      <w:rFonts w:hint="default"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活性炭纤维毡</w:t>
                  </w:r>
                  <w:r>
                    <w:rPr>
                      <w:rFonts w:hint="eastAsia" w:ascii="宋体" w:hAnsi="宋体" w:eastAsia="宋体" w:cs="宋体"/>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15m高排气筒</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DA002</w:t>
                  </w:r>
                  <w:r>
                    <w:rPr>
                      <w:rFonts w:hint="eastAsia" w:cs="Times New Roman"/>
                      <w:color w:val="auto"/>
                      <w:sz w:val="21"/>
                      <w:szCs w:val="21"/>
                      <w:highlight w:val="none"/>
                      <w:lang w:eastAsia="zh-CN"/>
                    </w:rPr>
                    <w:t>）</w:t>
                  </w:r>
                  <w:r>
                    <w:rPr>
                      <w:rFonts w:hint="eastAsia" w:cs="Times New Roman"/>
                      <w:color w:val="auto"/>
                      <w:sz w:val="21"/>
                      <w:szCs w:val="21"/>
                      <w:highlight w:val="none"/>
                      <w:vertAlign w:val="baseline"/>
                      <w:lang w:val="en-US" w:eastAsia="zh-CN"/>
                    </w:rPr>
                    <w:t>。</w:t>
                  </w:r>
                </w:p>
              </w:tc>
              <w:tc>
                <w:tcPr>
                  <w:tcW w:w="1120" w:type="dxa"/>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eastAsia"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03" w:type="dxa"/>
                  <w:vMerge w:val="continue"/>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563" w:type="dxa"/>
                  <w:gridSpan w:val="2"/>
                  <w:vMerge w:val="continue"/>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4909"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淬火尾气燃烧废气</w:t>
                  </w:r>
                  <w:r>
                    <w:rPr>
                      <w:rFonts w:hint="eastAsia" w:cs="Times New Roman"/>
                      <w:color w:val="000000" w:themeColor="text1"/>
                      <w:sz w:val="21"/>
                      <w:szCs w:val="21"/>
                      <w:highlight w:val="none"/>
                      <w:lang w:val="en-US" w:eastAsia="zh-CN"/>
                      <w14:textFill>
                        <w14:solidFill>
                          <w14:schemeClr w14:val="tx1"/>
                        </w14:solidFill>
                      </w14:textFill>
                    </w:rPr>
                    <w:t>：气体主要成分为CO</w:t>
                  </w:r>
                  <w:r>
                    <w:rPr>
                      <w:rFonts w:hint="eastAsia" w:cs="Times New Roman"/>
                      <w:color w:val="000000" w:themeColor="text1"/>
                      <w:sz w:val="21"/>
                      <w:szCs w:val="21"/>
                      <w:highlight w:val="none"/>
                      <w:vertAlign w:val="subscript"/>
                      <w:lang w:val="en-US" w:eastAsia="zh-CN"/>
                      <w14:textFill>
                        <w14:solidFill>
                          <w14:schemeClr w14:val="tx1"/>
                        </w14:solidFill>
                      </w14:textFill>
                    </w:rPr>
                    <w:t>2</w:t>
                  </w:r>
                  <w:r>
                    <w:rPr>
                      <w:rFonts w:hint="eastAsia" w:cs="Times New Roman"/>
                      <w:color w:val="000000" w:themeColor="text1"/>
                      <w:sz w:val="21"/>
                      <w:szCs w:val="21"/>
                      <w:highlight w:val="none"/>
                      <w:lang w:val="en-US" w:eastAsia="zh-CN"/>
                      <w14:textFill>
                        <w14:solidFill>
                          <w14:schemeClr w14:val="tx1"/>
                        </w14:solidFill>
                      </w14:textFill>
                    </w:rPr>
                    <w:t>、H</w:t>
                  </w:r>
                  <w:r>
                    <w:rPr>
                      <w:rFonts w:hint="eastAsia" w:cs="Times New Roman"/>
                      <w:color w:val="000000" w:themeColor="text1"/>
                      <w:sz w:val="21"/>
                      <w:szCs w:val="21"/>
                      <w:highlight w:val="none"/>
                      <w:vertAlign w:val="subscript"/>
                      <w:lang w:val="en-US" w:eastAsia="zh-CN"/>
                      <w14:textFill>
                        <w14:solidFill>
                          <w14:schemeClr w14:val="tx1"/>
                        </w14:solidFill>
                      </w14:textFill>
                    </w:rPr>
                    <w:t>2</w:t>
                  </w:r>
                  <w:r>
                    <w:rPr>
                      <w:rFonts w:hint="eastAsia" w:cs="Times New Roman"/>
                      <w:color w:val="000000" w:themeColor="text1"/>
                      <w:sz w:val="21"/>
                      <w:szCs w:val="21"/>
                      <w:highlight w:val="none"/>
                      <w:lang w:val="en-US" w:eastAsia="zh-CN"/>
                      <w14:textFill>
                        <w14:solidFill>
                          <w14:schemeClr w14:val="tx1"/>
                        </w14:solidFill>
                      </w14:textFill>
                    </w:rPr>
                    <w:t>O，不列入废气进行统计分析</w:t>
                  </w:r>
                  <w:r>
                    <w:rPr>
                      <w:rFonts w:hint="eastAsia" w:cs="Times New Roman"/>
                      <w:color w:val="000000" w:themeColor="text1"/>
                      <w:sz w:val="21"/>
                      <w:szCs w:val="21"/>
                      <w:highlight w:val="none"/>
                      <w:vertAlign w:val="baseline"/>
                      <w:lang w:val="en-US" w:eastAsia="zh-CN"/>
                      <w14:textFill>
                        <w14:solidFill>
                          <w14:schemeClr w14:val="tx1"/>
                        </w14:solidFill>
                      </w14:textFill>
                    </w:rPr>
                    <w:t>。</w:t>
                  </w:r>
                </w:p>
              </w:tc>
              <w:tc>
                <w:tcPr>
                  <w:tcW w:w="1120" w:type="dxa"/>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eastAsia"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03" w:type="dxa"/>
                  <w:vMerge w:val="continue"/>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563" w:type="dxa"/>
                  <w:gridSpan w:val="2"/>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噪声治理</w:t>
                  </w:r>
                </w:p>
              </w:tc>
              <w:tc>
                <w:tcPr>
                  <w:tcW w:w="4909" w:type="dxa"/>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隔声、消声、减振、设备定期保养等</w:t>
                  </w:r>
                  <w:r>
                    <w:rPr>
                      <w:rFonts w:hint="eastAsia" w:cs="Times New Roman"/>
                      <w:color w:val="000000" w:themeColor="text1"/>
                      <w:sz w:val="21"/>
                      <w:szCs w:val="21"/>
                      <w:highlight w:val="none"/>
                      <w:vertAlign w:val="baseline"/>
                      <w:lang w:val="en-US" w:eastAsia="zh-CN"/>
                      <w14:textFill>
                        <w14:solidFill>
                          <w14:schemeClr w14:val="tx1"/>
                        </w14:solidFill>
                      </w14:textFill>
                    </w:rPr>
                    <w:t>。</w:t>
                  </w:r>
                </w:p>
              </w:tc>
              <w:tc>
                <w:tcPr>
                  <w:tcW w:w="1120" w:type="dxa"/>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03" w:type="dxa"/>
                  <w:vMerge w:val="continue"/>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563" w:type="dxa"/>
                  <w:gridSpan w:val="2"/>
                  <w:vMerge w:val="restart"/>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固废治理</w:t>
                  </w:r>
                </w:p>
              </w:tc>
              <w:tc>
                <w:tcPr>
                  <w:tcW w:w="4909"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一般工业固体废物：一般工业固体废物暂存间</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，位于</w:t>
                  </w:r>
                  <w:r>
                    <w:rPr>
                      <w:rFonts w:hint="default" w:ascii="Times New Roman" w:hAnsi="Times New Roman" w:eastAsia="宋体" w:cs="Times New Roman"/>
                      <w:color w:val="000000" w:themeColor="text1"/>
                      <w:sz w:val="21"/>
                      <w:szCs w:val="21"/>
                      <w:highlight w:val="none"/>
                      <w14:textFill>
                        <w14:solidFill>
                          <w14:schemeClr w14:val="tx1"/>
                        </w14:solidFill>
                      </w14:textFill>
                    </w:rPr>
                    <w:t>生产车间</w:t>
                  </w:r>
                  <w:r>
                    <w:rPr>
                      <w:rFonts w:hint="eastAsia" w:cs="Times New Roman"/>
                      <w:color w:val="000000" w:themeColor="text1"/>
                      <w:sz w:val="21"/>
                      <w:szCs w:val="21"/>
                      <w:highlight w:val="none"/>
                      <w:lang w:eastAsia="zh-CN"/>
                      <w14:textFill>
                        <w14:solidFill>
                          <w14:schemeClr w14:val="tx1"/>
                        </w14:solidFill>
                      </w14:textFill>
                    </w:rPr>
                    <w:t>东</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侧，</w:t>
                  </w:r>
                  <w:r>
                    <w:rPr>
                      <w:rFonts w:hint="eastAsia" w:cs="Times New Roman"/>
                      <w:color w:val="000000" w:themeColor="text1"/>
                      <w:sz w:val="21"/>
                      <w:szCs w:val="21"/>
                      <w:highlight w:val="none"/>
                      <w:lang w:eastAsia="zh-CN"/>
                      <w14:textFill>
                        <w14:solidFill>
                          <w14:schemeClr w14:val="tx1"/>
                        </w14:solidFill>
                      </w14:textFill>
                    </w:rPr>
                    <w:t>建筑</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面积</w:t>
                  </w:r>
                  <w:r>
                    <w:rPr>
                      <w:rFonts w:hint="eastAsia" w:cs="Times New Roman"/>
                      <w:color w:val="000000" w:themeColor="text1"/>
                      <w:sz w:val="21"/>
                      <w:szCs w:val="21"/>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eastAsia" w:cs="Times New Roman"/>
                      <w:color w:val="000000" w:themeColor="text1"/>
                      <w:sz w:val="21"/>
                      <w:szCs w:val="21"/>
                      <w:highlight w:val="none"/>
                      <w:vertAlign w:val="baseline"/>
                      <w:lang w:val="en-US" w:eastAsia="zh-CN"/>
                      <w14:textFill>
                        <w14:solidFill>
                          <w14:schemeClr w14:val="tx1"/>
                        </w14:solidFill>
                      </w14:textFill>
                    </w:rPr>
                    <w:t>。</w:t>
                  </w:r>
                </w:p>
              </w:tc>
              <w:tc>
                <w:tcPr>
                  <w:tcW w:w="1120" w:type="dxa"/>
                  <w:vMerge w:val="restart"/>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03" w:type="dxa"/>
                  <w:vMerge w:val="continue"/>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jc w:val="center"/>
                    <w:textAlignment w:val="auto"/>
                    <w:rPr>
                      <w:color w:val="000000" w:themeColor="text1"/>
                      <w14:textFill>
                        <w14:solidFill>
                          <w14:schemeClr w14:val="tx1"/>
                        </w14:solidFill>
                      </w14:textFill>
                    </w:rPr>
                  </w:pPr>
                </w:p>
              </w:tc>
              <w:tc>
                <w:tcPr>
                  <w:tcW w:w="1563" w:type="dxa"/>
                  <w:gridSpan w:val="2"/>
                  <w:vMerge w:val="continue"/>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jc w:val="center"/>
                    <w:textAlignment w:val="auto"/>
                    <w:rPr>
                      <w:color w:val="000000" w:themeColor="text1"/>
                      <w14:textFill>
                        <w14:solidFill>
                          <w14:schemeClr w14:val="tx1"/>
                        </w14:solidFill>
                      </w14:textFill>
                    </w:rPr>
                  </w:pPr>
                </w:p>
              </w:tc>
              <w:tc>
                <w:tcPr>
                  <w:tcW w:w="4909"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危险废物：危险废物暂存间</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位于</w:t>
                  </w:r>
                  <w:r>
                    <w:rPr>
                      <w:rFonts w:hint="default" w:ascii="Times New Roman" w:hAnsi="Times New Roman" w:eastAsia="宋体" w:cs="Times New Roman"/>
                      <w:color w:val="000000" w:themeColor="text1"/>
                      <w:sz w:val="21"/>
                      <w:szCs w:val="21"/>
                      <w:highlight w:val="none"/>
                      <w14:textFill>
                        <w14:solidFill>
                          <w14:schemeClr w14:val="tx1"/>
                        </w14:solidFill>
                      </w14:textFill>
                    </w:rPr>
                    <w:t>一般工业固体废物暂存间</w:t>
                  </w:r>
                  <w:r>
                    <w:rPr>
                      <w:rFonts w:hint="eastAsia" w:cs="Times New Roman"/>
                      <w:color w:val="000000" w:themeColor="text1"/>
                      <w:sz w:val="21"/>
                      <w:szCs w:val="21"/>
                      <w:highlight w:val="none"/>
                      <w:lang w:eastAsia="zh-CN"/>
                      <w14:textFill>
                        <w14:solidFill>
                          <w14:schemeClr w14:val="tx1"/>
                        </w14:solidFill>
                      </w14:textFill>
                    </w:rPr>
                    <w:t>北</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侧，</w:t>
                  </w:r>
                  <w:r>
                    <w:rPr>
                      <w:rFonts w:hint="eastAsia" w:cs="Times New Roman"/>
                      <w:color w:val="000000" w:themeColor="text1"/>
                      <w:sz w:val="21"/>
                      <w:szCs w:val="21"/>
                      <w:highlight w:val="none"/>
                      <w:lang w:eastAsia="zh-CN"/>
                      <w14:textFill>
                        <w14:solidFill>
                          <w14:schemeClr w14:val="tx1"/>
                        </w14:solidFill>
                      </w14:textFill>
                    </w:rPr>
                    <w:t>建筑</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面积</w:t>
                  </w:r>
                  <w:r>
                    <w:rPr>
                      <w:rFonts w:hint="eastAsia" w:cs="Times New Roman"/>
                      <w:color w:val="000000" w:themeColor="text1"/>
                      <w:sz w:val="21"/>
                      <w:szCs w:val="21"/>
                      <w:highlight w:val="none"/>
                      <w:lang w:val="en-US" w:eastAsia="zh-CN"/>
                      <w14:textFill>
                        <w14:solidFill>
                          <w14:schemeClr w14:val="tx1"/>
                        </w14:solidFill>
                      </w14:textFill>
                    </w:rPr>
                    <w:t>15</w:t>
                  </w: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eastAsia" w:cs="Times New Roman"/>
                      <w:color w:val="000000" w:themeColor="text1"/>
                      <w:sz w:val="21"/>
                      <w:szCs w:val="21"/>
                      <w:highlight w:val="none"/>
                      <w:vertAlign w:val="baseline"/>
                      <w:lang w:val="en-US" w:eastAsia="zh-CN"/>
                      <w14:textFill>
                        <w14:solidFill>
                          <w14:schemeClr w14:val="tx1"/>
                        </w14:solidFill>
                      </w14:textFill>
                    </w:rPr>
                    <w:t>。</w:t>
                  </w:r>
                </w:p>
              </w:tc>
              <w:tc>
                <w:tcPr>
                  <w:tcW w:w="1120" w:type="dxa"/>
                  <w:vMerge w:val="continue"/>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03" w:type="dxa"/>
                  <w:vMerge w:val="continue"/>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563" w:type="dxa"/>
                  <w:gridSpan w:val="2"/>
                  <w:vMerge w:val="continue"/>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4909"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生活垃圾：</w:t>
                  </w:r>
                  <w:r>
                    <w:rPr>
                      <w:rFonts w:hint="eastAsia" w:cs="Times New Roman"/>
                      <w:color w:val="000000" w:themeColor="text1"/>
                      <w:sz w:val="21"/>
                      <w:szCs w:val="21"/>
                      <w:highlight w:val="none"/>
                      <w:lang w:eastAsia="zh-CN"/>
                      <w14:textFill>
                        <w14:solidFill>
                          <w14:schemeClr w14:val="tx1"/>
                        </w14:solidFill>
                      </w14:textFill>
                    </w:rPr>
                    <w:t>交由环卫部门定期清理</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120" w:type="dxa"/>
                  <w:vMerge w:val="continue"/>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03" w:type="dxa"/>
                  <w:vMerge w:val="continue"/>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563"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地下水、土壤</w:t>
                  </w:r>
                </w:p>
              </w:tc>
              <w:tc>
                <w:tcPr>
                  <w:tcW w:w="4909" w:type="dxa"/>
                  <w:noWrap w:val="0"/>
                  <w:vAlign w:val="center"/>
                </w:tcPr>
                <w:p>
                  <w:pPr>
                    <w:pStyle w:val="50"/>
                    <w:keepNext w:val="0"/>
                    <w:keepLines w:val="0"/>
                    <w:pageBreakBefore w:val="0"/>
                    <w:widowControl w:val="0"/>
                    <w:kinsoku/>
                    <w:wordWrap/>
                    <w:overflowPunct/>
                    <w:topLinePunct w:val="0"/>
                    <w:bidi w:val="0"/>
                    <w:adjustRightInd w:val="0"/>
                    <w:spacing w:line="240" w:lineRule="exact"/>
                    <w:ind w:firstLine="0" w:firstLineChars="0"/>
                    <w:textAlignment w:val="auto"/>
                    <w:rPr>
                      <w:rFonts w:hint="eastAsia" w:ascii="Times New Roman" w:hAnsi="Times New Roman" w:eastAsia="宋体" w:cs="Times New Roman"/>
                      <w:color w:val="000000" w:themeColor="text1"/>
                      <w:kern w:val="2"/>
                      <w:sz w:val="21"/>
                      <w:szCs w:val="21"/>
                      <w:highlight w:val="yellow"/>
                      <w:vertAlign w:val="baseline"/>
                      <w:lang w:val="en-US" w:eastAsia="zh-CN" w:bidi="ar-SA"/>
                      <w14:textFill>
                        <w14:solidFill>
                          <w14:schemeClr w14:val="tx1"/>
                        </w14:solidFill>
                      </w14:textFill>
                    </w:rPr>
                  </w:pPr>
                  <w:r>
                    <w:rPr>
                      <w:rFonts w:cs="Times New Roman"/>
                      <w:color w:val="000000" w:themeColor="text1"/>
                      <w:sz w:val="21"/>
                      <w:szCs w:val="21"/>
                      <w:highlight w:val="none"/>
                      <w14:textFill>
                        <w14:solidFill>
                          <w14:schemeClr w14:val="tx1"/>
                        </w14:solidFill>
                      </w14:textFill>
                    </w:rPr>
                    <w:t>重点防渗区域</w:t>
                  </w:r>
                  <w:r>
                    <w:rPr>
                      <w:rFonts w:hint="eastAsia" w:cs="Times New Roman"/>
                      <w:color w:val="000000" w:themeColor="text1"/>
                      <w:sz w:val="21"/>
                      <w:szCs w:val="21"/>
                      <w:highlight w:val="none"/>
                      <w:lang w:eastAsia="zh-CN"/>
                      <w14:textFill>
                        <w14:solidFill>
                          <w14:schemeClr w14:val="tx1"/>
                        </w14:solidFill>
                      </w14:textFill>
                    </w:rPr>
                    <w:t>采用抗渗混凝土（</w:t>
                  </w:r>
                  <w:r>
                    <w:rPr>
                      <w:rFonts w:hint="eastAsia" w:cs="Times New Roman"/>
                      <w:color w:val="000000" w:themeColor="text1"/>
                      <w:sz w:val="21"/>
                      <w:szCs w:val="21"/>
                      <w:highlight w:val="none"/>
                      <w:lang w:val="en-US" w:eastAsia="zh-CN"/>
                      <w14:textFill>
                        <w14:solidFill>
                          <w14:schemeClr w14:val="tx1"/>
                        </w14:solidFill>
                      </w14:textFill>
                    </w:rPr>
                    <w:t>0.2m）+环氧树脂漆</w:t>
                  </w:r>
                  <w:r>
                    <w:rPr>
                      <w:rFonts w:hint="eastAsia" w:cs="Times New Roman"/>
                      <w:color w:val="000000" w:themeColor="text1"/>
                      <w:sz w:val="21"/>
                      <w:szCs w:val="21"/>
                      <w:highlight w:val="none"/>
                      <w:lang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1.5mm）进行重点防渗，渗透系数</w:t>
                  </w:r>
                  <w:r>
                    <w:rPr>
                      <w:rFonts w:hint="default" w:ascii="Times New Roman" w:hAnsi="Times New Roman" w:eastAsia="宋体" w:cs="Times New Roman"/>
                      <w:color w:val="000000" w:themeColor="text1"/>
                      <w:sz w:val="21"/>
                      <w:szCs w:val="21"/>
                      <w:highlight w:val="none"/>
                      <w14:textFill>
                        <w14:solidFill>
                          <w14:schemeClr w14:val="tx1"/>
                        </w14:solidFill>
                      </w14:textFill>
                    </w:rPr>
                    <w:t>≤1×10</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-7</w:t>
                  </w:r>
                  <w:r>
                    <w:rPr>
                      <w:rFonts w:hint="default" w:ascii="Times New Roman" w:hAnsi="Times New Roman" w:eastAsia="宋体" w:cs="Times New Roman"/>
                      <w:color w:val="000000" w:themeColor="text1"/>
                      <w:sz w:val="21"/>
                      <w:szCs w:val="21"/>
                      <w:highlight w:val="none"/>
                      <w14:textFill>
                        <w14:solidFill>
                          <w14:schemeClr w14:val="tx1"/>
                        </w14:solidFill>
                      </w14:textFill>
                    </w:rPr>
                    <w:t>cm/s</w:t>
                  </w:r>
                  <w:r>
                    <w:rPr>
                      <w:rFonts w:hint="eastAsia" w:cs="Times New Roman"/>
                      <w:color w:val="000000" w:themeColor="text1"/>
                      <w:sz w:val="21"/>
                      <w:szCs w:val="21"/>
                      <w:highlight w:val="none"/>
                      <w:lang w:eastAsia="zh-CN"/>
                      <w14:textFill>
                        <w14:solidFill>
                          <w14:schemeClr w14:val="tx1"/>
                        </w14:solidFill>
                      </w14:textFill>
                    </w:rPr>
                    <w:t>；</w:t>
                  </w:r>
                  <w:r>
                    <w:rPr>
                      <w:rFonts w:cs="Times New Roman"/>
                      <w:color w:val="000000" w:themeColor="text1"/>
                      <w:sz w:val="21"/>
                      <w:szCs w:val="21"/>
                      <w:highlight w:val="none"/>
                      <w14:textFill>
                        <w14:solidFill>
                          <w14:schemeClr w14:val="tx1"/>
                        </w14:solidFill>
                      </w14:textFill>
                    </w:rPr>
                    <w:t>一般防渗区域</w:t>
                  </w:r>
                  <w:r>
                    <w:rPr>
                      <w:rFonts w:hint="eastAsia" w:cs="Times New Roman"/>
                      <w:color w:val="000000" w:themeColor="text1"/>
                      <w:sz w:val="21"/>
                      <w:szCs w:val="21"/>
                      <w:highlight w:val="none"/>
                      <w:lang w:eastAsia="zh-CN"/>
                      <w14:textFill>
                        <w14:solidFill>
                          <w14:schemeClr w14:val="tx1"/>
                        </w14:solidFill>
                      </w14:textFill>
                    </w:rPr>
                    <w:t>采用环氧地坪进行一般防渗，渗透系数</w:t>
                  </w:r>
                  <w:r>
                    <w:rPr>
                      <w:rFonts w:hint="default" w:ascii="Times New Roman" w:hAnsi="Times New Roman" w:eastAsia="宋体" w:cs="Times New Roman"/>
                      <w:color w:val="000000" w:themeColor="text1"/>
                      <w:sz w:val="21"/>
                      <w:szCs w:val="21"/>
                      <w:highlight w:val="none"/>
                      <w14:textFill>
                        <w14:solidFill>
                          <w14:schemeClr w14:val="tx1"/>
                        </w14:solidFill>
                      </w14:textFill>
                    </w:rPr>
                    <w:t>≤1×10</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-7</w:t>
                  </w:r>
                  <w:r>
                    <w:rPr>
                      <w:rFonts w:hint="default" w:ascii="Times New Roman" w:hAnsi="Times New Roman" w:eastAsia="宋体" w:cs="Times New Roman"/>
                      <w:color w:val="000000" w:themeColor="text1"/>
                      <w:sz w:val="21"/>
                      <w:szCs w:val="21"/>
                      <w:highlight w:val="none"/>
                      <w14:textFill>
                        <w14:solidFill>
                          <w14:schemeClr w14:val="tx1"/>
                        </w14:solidFill>
                      </w14:textFill>
                    </w:rPr>
                    <w:t>cm/s</w:t>
                  </w:r>
                  <w:r>
                    <w:rPr>
                      <w:rFonts w:hint="eastAsia" w:cs="Times New Roman"/>
                      <w:color w:val="000000" w:themeColor="text1"/>
                      <w:sz w:val="21"/>
                      <w:szCs w:val="21"/>
                      <w:highlight w:val="none"/>
                      <w:lang w:eastAsia="zh-CN"/>
                      <w14:textFill>
                        <w14:solidFill>
                          <w14:schemeClr w14:val="tx1"/>
                        </w14:solidFill>
                      </w14:textFill>
                    </w:rPr>
                    <w:t>。</w:t>
                  </w:r>
                </w:p>
              </w:tc>
              <w:tc>
                <w:tcPr>
                  <w:tcW w:w="11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703" w:type="dxa"/>
                  <w:vMerge w:val="continue"/>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563"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vertAlign w:val="baseline"/>
                      <w:lang w:val="en-US" w:eastAsia="zh-CN" w:bidi="ar-SA"/>
                      <w14:textFill>
                        <w14:solidFill>
                          <w14:schemeClr w14:val="tx1"/>
                        </w14:solidFill>
                      </w14:textFill>
                    </w:rPr>
                    <w:t>风险</w:t>
                  </w:r>
                </w:p>
              </w:tc>
              <w:tc>
                <w:tcPr>
                  <w:tcW w:w="4909" w:type="dxa"/>
                  <w:noWrap w:val="0"/>
                  <w:vAlign w:val="center"/>
                </w:tcPr>
                <w:p>
                  <w:pPr>
                    <w:pStyle w:val="50"/>
                    <w:keepNext w:val="0"/>
                    <w:keepLines w:val="0"/>
                    <w:pageBreakBefore w:val="0"/>
                    <w:widowControl w:val="0"/>
                    <w:kinsoku/>
                    <w:wordWrap/>
                    <w:overflowPunct/>
                    <w:topLinePunct w:val="0"/>
                    <w:bidi w:val="0"/>
                    <w:adjustRightInd w:val="0"/>
                    <w:spacing w:line="240" w:lineRule="exact"/>
                    <w:ind w:firstLine="0" w:firstLineChars="0"/>
                    <w:textAlignment w:val="auto"/>
                    <w:rPr>
                      <w:rFonts w:hint="default" w:ascii="Times New Roman" w:hAnsi="Times New Roman" w:eastAsia="宋体" w:cs="Times New Roman"/>
                      <w:color w:val="000000" w:themeColor="text1"/>
                      <w:kern w:val="2"/>
                      <w:sz w:val="21"/>
                      <w:szCs w:val="21"/>
                      <w:highlight w:val="yellow"/>
                      <w:vertAlign w:val="baseline"/>
                      <w:lang w:val="en-US" w:eastAsia="zh-CN" w:bidi="ar-SA"/>
                      <w14:textFill>
                        <w14:solidFill>
                          <w14:schemeClr w14:val="tx1"/>
                        </w14:solidFill>
                      </w14:textFill>
                    </w:rPr>
                  </w:pPr>
                  <w:r>
                    <w:rPr>
                      <w:rFonts w:hint="eastAsia" w:cs="Times New Roman"/>
                      <w:color w:val="auto"/>
                      <w:sz w:val="21"/>
                      <w:szCs w:val="21"/>
                      <w:highlight w:val="none"/>
                      <w:lang w:val="en-US" w:eastAsia="zh-CN"/>
                    </w:rPr>
                    <w:t>导流沟及泄漏收集池（</w:t>
                  </w:r>
                  <w:r>
                    <w:rPr>
                      <w:rFonts w:hint="eastAsia" w:cs="Times New Roman"/>
                      <w:b w:val="0"/>
                      <w:i w:val="0"/>
                      <w:color w:val="auto"/>
                      <w:sz w:val="21"/>
                      <w:szCs w:val="21"/>
                      <w:highlight w:val="none"/>
                      <w:lang w:val="en-US" w:eastAsia="zh-CN"/>
                    </w:rPr>
                    <w:t>0.5m</w:t>
                  </w:r>
                  <w:r>
                    <w:rPr>
                      <w:rFonts w:hint="eastAsia" w:cs="Times New Roman"/>
                      <w:b w:val="0"/>
                      <w:i w:val="0"/>
                      <w:color w:val="auto"/>
                      <w:sz w:val="21"/>
                      <w:szCs w:val="21"/>
                      <w:highlight w:val="none"/>
                      <w:vertAlign w:val="superscript"/>
                      <w:lang w:val="en-US" w:eastAsia="zh-CN"/>
                    </w:rPr>
                    <w:t>3</w:t>
                  </w:r>
                  <w:r>
                    <w:rPr>
                      <w:rFonts w:hint="eastAsia" w:cs="Times New Roman"/>
                      <w:color w:val="auto"/>
                      <w:sz w:val="21"/>
                      <w:szCs w:val="21"/>
                      <w:highlight w:val="none"/>
                      <w:lang w:val="en-US" w:eastAsia="zh-CN"/>
                    </w:rPr>
                    <w:t>）；事故防范及应急设施等</w:t>
                  </w:r>
                </w:p>
              </w:tc>
              <w:tc>
                <w:tcPr>
                  <w:tcW w:w="11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新建</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both"/>
              <w:textAlignment w:val="auto"/>
              <w:rPr>
                <w:rFonts w:hint="eastAsia" w:ascii="宋体" w:hAnsi="宋体" w:eastAsia="宋体" w:cs="宋体"/>
                <w:b/>
                <w:bCs/>
                <w:color w:val="000000" w:themeColor="text1"/>
                <w:sz w:val="24"/>
                <w:szCs w:val="24"/>
                <w:lang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szCs w:val="24"/>
                <w14:textFill>
                  <w14:solidFill>
                    <w14:schemeClr w14:val="tx1"/>
                  </w14:solidFill>
                </w14:textFill>
              </w:rPr>
              <w:t>项目</w:t>
            </w:r>
            <w:r>
              <w:rPr>
                <w:rFonts w:hint="default" w:ascii="Times New Roman" w:hAnsi="Times New Roman" w:eastAsia="宋体" w:cs="Times New Roman"/>
                <w:b/>
                <w:bCs/>
                <w:color w:val="000000" w:themeColor="text1"/>
                <w:sz w:val="24"/>
                <w:szCs w:val="24"/>
                <w:lang w:eastAsia="zh-CN"/>
                <w14:textFill>
                  <w14:solidFill>
                    <w14:schemeClr w14:val="tx1"/>
                  </w14:solidFill>
                </w14:textFill>
              </w:rPr>
              <w:t>主要</w:t>
            </w:r>
            <w:r>
              <w:rPr>
                <w:rFonts w:hint="default" w:ascii="Times New Roman" w:hAnsi="Times New Roman" w:eastAsia="宋体" w:cs="Times New Roman"/>
                <w:b/>
                <w:bCs/>
                <w:color w:val="000000" w:themeColor="text1"/>
                <w:sz w:val="24"/>
                <w:szCs w:val="24"/>
                <w14:textFill>
                  <w14:solidFill>
                    <w14:schemeClr w14:val="tx1"/>
                  </w14:solidFill>
                </w14:textFill>
              </w:rPr>
              <w:t>产品</w:t>
            </w:r>
            <w:r>
              <w:rPr>
                <w:rFonts w:hint="default" w:ascii="Times New Roman" w:hAnsi="Times New Roman" w:eastAsia="宋体" w:cs="Times New Roman"/>
                <w:b/>
                <w:bCs/>
                <w:color w:val="000000" w:themeColor="text1"/>
                <w:sz w:val="24"/>
                <w:szCs w:val="24"/>
                <w:lang w:eastAsia="zh-CN"/>
                <w14:textFill>
                  <w14:solidFill>
                    <w14:schemeClr w14:val="tx1"/>
                  </w14:solidFill>
                </w14:textFill>
              </w:rPr>
              <w:t>及产能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项目</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主要</w:t>
            </w:r>
            <w:r>
              <w:rPr>
                <w:rFonts w:hint="default" w:ascii="Times New Roman" w:hAnsi="Times New Roman" w:eastAsia="宋体" w:cs="Times New Roman"/>
                <w:b w:val="0"/>
                <w:bCs w:val="0"/>
                <w:color w:val="000000" w:themeColor="text1"/>
                <w:sz w:val="24"/>
                <w:szCs w:val="24"/>
                <w14:textFill>
                  <w14:solidFill>
                    <w14:schemeClr w14:val="tx1"/>
                  </w14:solidFill>
                </w14:textFill>
              </w:rPr>
              <w:t>产品</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及产能</w:t>
            </w:r>
            <w:r>
              <w:rPr>
                <w:rFonts w:hint="default" w:ascii="Times New Roman" w:hAnsi="Times New Roman" w:eastAsia="宋体" w:cs="Times New Roman"/>
                <w:color w:val="000000" w:themeColor="text1"/>
                <w:sz w:val="24"/>
                <w:szCs w:val="24"/>
                <w14:textFill>
                  <w14:solidFill>
                    <w14:schemeClr w14:val="tx1"/>
                  </w14:solidFill>
                </w14:textFill>
              </w:rPr>
              <w:t>见表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2.2。</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表</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szCs w:val="24"/>
                <w14:textFill>
                  <w14:solidFill>
                    <w14:schemeClr w14:val="tx1"/>
                  </w14:solidFill>
                </w14:textFill>
              </w:rPr>
              <w:t>.2  项目</w:t>
            </w:r>
            <w:r>
              <w:rPr>
                <w:rFonts w:hint="default" w:ascii="Times New Roman" w:hAnsi="Times New Roman" w:eastAsia="宋体" w:cs="Times New Roman"/>
                <w:b/>
                <w:bCs/>
                <w:color w:val="000000" w:themeColor="text1"/>
                <w:sz w:val="24"/>
                <w:szCs w:val="24"/>
                <w:lang w:eastAsia="zh-CN"/>
                <w14:textFill>
                  <w14:solidFill>
                    <w14:schemeClr w14:val="tx1"/>
                  </w14:solidFill>
                </w14:textFill>
              </w:rPr>
              <w:t>主要</w:t>
            </w:r>
            <w:r>
              <w:rPr>
                <w:rFonts w:hint="default" w:ascii="Times New Roman" w:hAnsi="Times New Roman" w:eastAsia="宋体" w:cs="Times New Roman"/>
                <w:b/>
                <w:bCs/>
                <w:color w:val="000000" w:themeColor="text1"/>
                <w:sz w:val="24"/>
                <w:szCs w:val="24"/>
                <w14:textFill>
                  <w14:solidFill>
                    <w14:schemeClr w14:val="tx1"/>
                  </w14:solidFill>
                </w14:textFill>
              </w:rPr>
              <w:t>产品</w:t>
            </w:r>
            <w:r>
              <w:rPr>
                <w:rFonts w:hint="default" w:ascii="Times New Roman" w:hAnsi="Times New Roman" w:eastAsia="宋体" w:cs="Times New Roman"/>
                <w:b/>
                <w:bCs/>
                <w:color w:val="000000" w:themeColor="text1"/>
                <w:sz w:val="24"/>
                <w:szCs w:val="24"/>
                <w:lang w:eastAsia="zh-CN"/>
                <w14:textFill>
                  <w14:solidFill>
                    <w14:schemeClr w14:val="tx1"/>
                  </w14:solidFill>
                </w14:textFill>
              </w:rPr>
              <w:t>及产能</w:t>
            </w:r>
            <w:r>
              <w:rPr>
                <w:rFonts w:hint="default" w:ascii="Times New Roman" w:hAnsi="Times New Roman" w:eastAsia="宋体" w:cs="Times New Roman"/>
                <w:b/>
                <w:bCs/>
                <w:color w:val="000000" w:themeColor="text1"/>
                <w:sz w:val="24"/>
                <w:szCs w:val="24"/>
                <w14:textFill>
                  <w14:solidFill>
                    <w14:schemeClr w14:val="tx1"/>
                  </w14:solidFill>
                </w14:textFill>
              </w:rPr>
              <w:t>一览表</w:t>
            </w:r>
          </w:p>
          <w:tbl>
            <w:tblPr>
              <w:tblStyle w:val="25"/>
              <w:tblW w:w="8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2"/>
              <w:gridCol w:w="1654"/>
              <w:gridCol w:w="2313"/>
              <w:gridCol w:w="1705"/>
              <w:gridCol w:w="1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2" w:type="dxa"/>
                  <w:noWrap w:val="0"/>
                  <w:vAlign w:val="center"/>
                </w:tcPr>
                <w:p>
                  <w:pPr>
                    <w:autoSpaceDE w:val="0"/>
                    <w:autoSpaceDN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序号</w:t>
                  </w:r>
                </w:p>
              </w:tc>
              <w:tc>
                <w:tcPr>
                  <w:tcW w:w="1654" w:type="dxa"/>
                  <w:noWrap w:val="0"/>
                  <w:vAlign w:val="center"/>
                </w:tcPr>
                <w:p>
                  <w:pPr>
                    <w:autoSpaceDE w:val="0"/>
                    <w:autoSpaceDN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产品名称</w:t>
                  </w:r>
                </w:p>
              </w:tc>
              <w:tc>
                <w:tcPr>
                  <w:tcW w:w="2313" w:type="dxa"/>
                  <w:noWrap w:val="0"/>
                  <w:vAlign w:val="center"/>
                </w:tcPr>
                <w:p>
                  <w:pPr>
                    <w:autoSpaceDE w:val="0"/>
                    <w:autoSpaceDN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规格</w:t>
                  </w:r>
                </w:p>
              </w:tc>
              <w:tc>
                <w:tcPr>
                  <w:tcW w:w="1705" w:type="dxa"/>
                  <w:noWrap w:val="0"/>
                  <w:vAlign w:val="center"/>
                </w:tcPr>
                <w:p>
                  <w:pPr>
                    <w:autoSpaceDE w:val="0"/>
                    <w:autoSpaceDN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产能</w:t>
                  </w:r>
                </w:p>
              </w:tc>
              <w:tc>
                <w:tcPr>
                  <w:tcW w:w="1794" w:type="dxa"/>
                  <w:noWrap w:val="0"/>
                  <w:vAlign w:val="center"/>
                </w:tcPr>
                <w:p>
                  <w:pPr>
                    <w:autoSpaceDE w:val="0"/>
                    <w:autoSpaceDN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2" w:type="dxa"/>
                  <w:noWrap w:val="0"/>
                  <w:vAlign w:val="center"/>
                </w:tcPr>
                <w:p>
                  <w:pPr>
                    <w:autoSpaceDE w:val="0"/>
                    <w:autoSpaceDN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1654" w:type="dxa"/>
                  <w:noWrap w:val="0"/>
                  <w:vAlign w:val="center"/>
                </w:tcPr>
                <w:p>
                  <w:pPr>
                    <w:pStyle w:val="40"/>
                    <w:ind w:left="420" w:leftChars="0" w:hanging="420" w:firstLineChars="0"/>
                    <w:jc w:val="left"/>
                    <w:rPr>
                      <w:rFonts w:hint="default" w:ascii="Times New Roman" w:hAnsi="Times New Roman" w:eastAsia="宋体" w:cs="Times New Roman"/>
                      <w:b w:val="0"/>
                      <w:bCs w:val="0"/>
                      <w:color w:val="000000" w:themeColor="text1"/>
                      <w:kern w:val="0"/>
                      <w:sz w:val="21"/>
                      <w:szCs w:val="21"/>
                      <w:lang w:val="en-US" w:eastAsia="zh-CN" w:bidi="en-US"/>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高端精密轴承钢球</w:t>
                  </w:r>
                </w:p>
              </w:tc>
              <w:tc>
                <w:tcPr>
                  <w:tcW w:w="2313" w:type="dxa"/>
                  <w:noWrap w:val="0"/>
                  <w:vAlign w:val="center"/>
                </w:tcPr>
                <w:p>
                  <w:pPr>
                    <w:autoSpaceDE w:val="0"/>
                    <w:autoSpaceDN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Ф3.175-25.4</w:t>
                  </w:r>
                </w:p>
              </w:tc>
              <w:tc>
                <w:tcPr>
                  <w:tcW w:w="1705" w:type="dxa"/>
                  <w:noWrap w:val="0"/>
                  <w:vAlign w:val="center"/>
                </w:tcPr>
                <w:p>
                  <w:pPr>
                    <w:autoSpaceDE w:val="0"/>
                    <w:autoSpaceDN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5500</w:t>
                  </w:r>
                </w:p>
              </w:tc>
              <w:tc>
                <w:tcPr>
                  <w:tcW w:w="1794" w:type="dxa"/>
                  <w:noWrap w:val="0"/>
                  <w:vAlign w:val="center"/>
                </w:tcPr>
                <w:p>
                  <w:pPr>
                    <w:autoSpaceDE w:val="0"/>
                    <w:autoSpaceDN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98" w:type="dxa"/>
                  <w:gridSpan w:val="5"/>
                  <w:noWrap w:val="0"/>
                  <w:vAlign w:val="center"/>
                </w:tcPr>
                <w:p>
                  <w:pPr>
                    <w:autoSpaceDE w:val="0"/>
                    <w:autoSpaceDN w:val="0"/>
                    <w:jc w:val="both"/>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注：本项目所生产的钢球材质一样，仅规格不同，钢球规格具体</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按照客户要求进行</w:t>
                  </w:r>
                  <w:r>
                    <w:rPr>
                      <w:rFonts w:hint="eastAsia" w:cs="Times New Roman"/>
                      <w:color w:val="000000" w:themeColor="text1"/>
                      <w:sz w:val="21"/>
                      <w:szCs w:val="21"/>
                      <w:lang w:val="en-US" w:eastAsia="zh-CN"/>
                      <w14:textFill>
                        <w14:solidFill>
                          <w14:schemeClr w14:val="tx1"/>
                        </w14:solidFill>
                      </w14:textFill>
                    </w:rPr>
                    <w:t>生产。</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left"/>
              <w:textAlignment w:val="auto"/>
              <w:rPr>
                <w:rFonts w:hint="eastAsia" w:ascii="Times New Roman" w:hAnsi="Times New Roman" w:eastAsia="宋体" w:cs="Times New Roman"/>
                <w:b w:val="0"/>
                <w:bCs w:val="0"/>
                <w:color w:val="000000" w:themeColor="text1"/>
                <w:sz w:val="24"/>
                <w:szCs w:val="24"/>
                <w:lang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b/>
                <w:bCs/>
                <w:color w:val="000000" w:themeColor="text1"/>
                <w:sz w:val="24"/>
                <w:szCs w:val="24"/>
                <w14:textFill>
                  <w14:solidFill>
                    <w14:schemeClr w14:val="tx1"/>
                  </w14:solidFill>
                </w14:textFill>
              </w:rPr>
              <w:t>项目</w:t>
            </w:r>
            <w:r>
              <w:rPr>
                <w:rFonts w:hint="default" w:ascii="Times New Roman" w:hAnsi="Times New Roman" w:eastAsia="宋体" w:cs="Times New Roman"/>
                <w:b/>
                <w:bCs/>
                <w:color w:val="000000" w:themeColor="text1"/>
                <w:sz w:val="24"/>
                <w:szCs w:val="24"/>
                <w:lang w:eastAsia="zh-CN"/>
                <w14:textFill>
                  <w14:solidFill>
                    <w14:schemeClr w14:val="tx1"/>
                  </w14:solidFill>
                </w14:textFill>
              </w:rPr>
              <w:t>主要生产单元、主要工艺、主要生产设施及设施参数</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表</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szCs w:val="24"/>
                <w14:textFill>
                  <w14:solidFill>
                    <w14:schemeClr w14:val="tx1"/>
                  </w14:solidFill>
                </w14:textFill>
              </w:rPr>
              <w:t>.</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b/>
                <w:bCs/>
                <w:color w:val="000000" w:themeColor="text1"/>
                <w:sz w:val="24"/>
                <w:szCs w:val="24"/>
                <w14:textFill>
                  <w14:solidFill>
                    <w14:schemeClr w14:val="tx1"/>
                  </w14:solidFill>
                </w14:textFill>
              </w:rPr>
              <w:t xml:space="preserve"> </w:t>
            </w:r>
            <w:r>
              <w:rPr>
                <w:rFonts w:hint="eastAsia" w:cs="Times New Roman"/>
                <w:b/>
                <w:bCs/>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4"/>
                <w:szCs w:val="24"/>
                <w14:textFill>
                  <w14:solidFill>
                    <w14:schemeClr w14:val="tx1"/>
                  </w14:solidFill>
                </w14:textFill>
              </w:rPr>
              <w:t>项目</w:t>
            </w:r>
            <w:r>
              <w:rPr>
                <w:rFonts w:hint="default" w:ascii="Times New Roman" w:hAnsi="Times New Roman" w:eastAsia="宋体" w:cs="Times New Roman"/>
                <w:b/>
                <w:bCs/>
                <w:color w:val="000000" w:themeColor="text1"/>
                <w:sz w:val="24"/>
                <w:szCs w:val="24"/>
                <w:lang w:eastAsia="zh-CN"/>
                <w14:textFill>
                  <w14:solidFill>
                    <w14:schemeClr w14:val="tx1"/>
                  </w14:solidFill>
                </w14:textFill>
              </w:rPr>
              <w:t>主要生产单元、主要工艺、主要生产设施及设施参数</w:t>
            </w:r>
            <w:r>
              <w:rPr>
                <w:rFonts w:hint="default" w:ascii="Times New Roman" w:hAnsi="Times New Roman" w:eastAsia="宋体" w:cs="Times New Roman"/>
                <w:b/>
                <w:bCs/>
                <w:color w:val="000000" w:themeColor="text1"/>
                <w:sz w:val="24"/>
                <w:szCs w:val="24"/>
                <w14:textFill>
                  <w14:solidFill>
                    <w14:schemeClr w14:val="tx1"/>
                  </w14:solidFill>
                </w14:textFill>
              </w:rPr>
              <w:t>一览表</w:t>
            </w:r>
          </w:p>
          <w:tbl>
            <w:tblPr>
              <w:tblStyle w:val="25"/>
              <w:tblW w:w="843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72"/>
              <w:gridCol w:w="1089"/>
              <w:gridCol w:w="1103"/>
              <w:gridCol w:w="996"/>
              <w:gridCol w:w="1073"/>
              <w:gridCol w:w="990"/>
              <w:gridCol w:w="824"/>
              <w:gridCol w:w="9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jc w:val="center"/>
              </w:trPr>
              <w:tc>
                <w:tcPr>
                  <w:tcW w:w="1372" w:type="dxa"/>
                  <w:vMerge w:val="restart"/>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ottom"/>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主要生产单元名称</w:t>
                  </w:r>
                </w:p>
              </w:tc>
              <w:tc>
                <w:tcPr>
                  <w:tcW w:w="1089" w:type="dxa"/>
                  <w:vMerge w:val="restart"/>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ottom"/>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主要工艺</w:t>
                  </w:r>
                </w:p>
              </w:tc>
              <w:tc>
                <w:tcPr>
                  <w:tcW w:w="1103" w:type="dxa"/>
                  <w:vMerge w:val="restart"/>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ottom"/>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主要生产设施</w:t>
                  </w:r>
                </w:p>
              </w:tc>
              <w:tc>
                <w:tcPr>
                  <w:tcW w:w="3883" w:type="dxa"/>
                  <w:gridSpan w:val="4"/>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ottom"/>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设施参数</w:t>
                  </w:r>
                </w:p>
              </w:tc>
              <w:tc>
                <w:tcPr>
                  <w:tcW w:w="990" w:type="dxa"/>
                  <w:vMerge w:val="restart"/>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ottom"/>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设备数量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jc w:val="center"/>
              </w:trPr>
              <w:tc>
                <w:tcPr>
                  <w:tcW w:w="1372" w:type="dxa"/>
                  <w:vMerge w:val="continue"/>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ottom"/>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089" w:type="dxa"/>
                  <w:vMerge w:val="continue"/>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ottom"/>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03" w:type="dxa"/>
                  <w:vMerge w:val="continue"/>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ottom"/>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96" w:type="dxa"/>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ottom"/>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设备型号</w:t>
                  </w:r>
                </w:p>
              </w:tc>
              <w:tc>
                <w:tcPr>
                  <w:tcW w:w="1073" w:type="dxa"/>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ottom"/>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参数名称</w:t>
                  </w:r>
                </w:p>
              </w:tc>
              <w:tc>
                <w:tcPr>
                  <w:tcW w:w="990" w:type="dxa"/>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ottom"/>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计量单位</w:t>
                  </w:r>
                </w:p>
              </w:tc>
              <w:tc>
                <w:tcPr>
                  <w:tcW w:w="824" w:type="dxa"/>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ottom"/>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单台设计值</w:t>
                  </w:r>
                </w:p>
              </w:tc>
              <w:tc>
                <w:tcPr>
                  <w:tcW w:w="990" w:type="dxa"/>
                  <w:vMerge w:val="continue"/>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ottom"/>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jc w:val="center"/>
              </w:trPr>
              <w:tc>
                <w:tcPr>
                  <w:tcW w:w="1372" w:type="dxa"/>
                  <w:vMerge w:val="restart"/>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冷镦</w:t>
                  </w:r>
                </w:p>
              </w:tc>
              <w:tc>
                <w:tcPr>
                  <w:tcW w:w="1089" w:type="dxa"/>
                  <w:vMerge w:val="restart"/>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冷镦</w:t>
                  </w:r>
                </w:p>
              </w:tc>
              <w:tc>
                <w:tcPr>
                  <w:tcW w:w="1103" w:type="dxa"/>
                  <w:vMerge w:val="restart"/>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冷镦</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机</w:t>
                  </w:r>
                </w:p>
              </w:tc>
              <w:tc>
                <w:tcPr>
                  <w:tcW w:w="996" w:type="dxa"/>
                  <w:noWrap w:val="0"/>
                  <w:vAlign w:val="center"/>
                </w:tcPr>
                <w:p>
                  <w:pPr>
                    <w:keepNext w:val="0"/>
                    <w:keepLines w:val="0"/>
                    <w:pageBreakBefore w:val="0"/>
                    <w:widowControl/>
                    <w:kinsoku/>
                    <w:wordWrap/>
                    <w:overflowPunct/>
                    <w:topLinePunct w:val="0"/>
                    <w:bidi w:val="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rPr>
                    <w:t>Z32-16</w:t>
                  </w:r>
                </w:p>
              </w:tc>
              <w:tc>
                <w:tcPr>
                  <w:tcW w:w="1073" w:type="dxa"/>
                  <w:vMerge w:val="restart"/>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功率</w:t>
                  </w:r>
                </w:p>
              </w:tc>
              <w:tc>
                <w:tcPr>
                  <w:tcW w:w="990" w:type="dxa"/>
                  <w:vMerge w:val="restart"/>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kW</w:t>
                  </w:r>
                </w:p>
              </w:tc>
              <w:tc>
                <w:tcPr>
                  <w:tcW w:w="824" w:type="dxa"/>
                  <w:noWrap w:val="0"/>
                  <w:vAlign w:val="center"/>
                </w:tcPr>
                <w:p>
                  <w:pPr>
                    <w:keepNext w:val="0"/>
                    <w:keepLines w:val="0"/>
                    <w:pageBreakBefore w:val="0"/>
                    <w:widowControl/>
                    <w:kinsoku/>
                    <w:wordWrap/>
                    <w:overflowPunct/>
                    <w:topLinePunct w:val="0"/>
                    <w:bidi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kern w:val="0"/>
                      <w:sz w:val="21"/>
                      <w:szCs w:val="21"/>
                      <w:highlight w:val="none"/>
                      <w:lang w:val="en-US" w:eastAsia="zh-CN"/>
                    </w:rPr>
                    <w:t>15.37</w:t>
                  </w:r>
                </w:p>
              </w:tc>
              <w:tc>
                <w:tcPr>
                  <w:tcW w:w="990" w:type="dxa"/>
                  <w:noWrap w:val="0"/>
                  <w:vAlign w:val="center"/>
                </w:tcPr>
                <w:p>
                  <w:pPr>
                    <w:keepNext w:val="0"/>
                    <w:keepLines w:val="0"/>
                    <w:pageBreakBefore w:val="0"/>
                    <w:widowControl/>
                    <w:kinsoku/>
                    <w:wordWrap/>
                    <w:overflowPunct/>
                    <w:topLinePunct w:val="0"/>
                    <w:bidi w:val="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jc w:val="center"/>
              </w:trPr>
              <w:tc>
                <w:tcPr>
                  <w:tcW w:w="1372" w:type="dxa"/>
                  <w:vMerge w:val="continue"/>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089" w:type="dxa"/>
                  <w:vMerge w:val="continue"/>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103" w:type="dxa"/>
                  <w:vMerge w:val="continue"/>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996" w:type="dxa"/>
                  <w:noWrap w:val="0"/>
                  <w:vAlign w:val="center"/>
                </w:tcPr>
                <w:p>
                  <w:pPr>
                    <w:keepNext w:val="0"/>
                    <w:keepLines w:val="0"/>
                    <w:pageBreakBefore w:val="0"/>
                    <w:widowControl/>
                    <w:kinsoku/>
                    <w:wordWrap/>
                    <w:overflowPunct/>
                    <w:topLinePunct w:val="0"/>
                    <w:bidi w:val="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rPr>
                    <w:t>Z32-13</w:t>
                  </w:r>
                </w:p>
              </w:tc>
              <w:tc>
                <w:tcPr>
                  <w:tcW w:w="1073" w:type="dxa"/>
                  <w:vMerge w:val="continue"/>
                  <w:noWrap w:val="0"/>
                  <w:vAlign w:val="center"/>
                </w:tcPr>
                <w:p>
                  <w:pPr>
                    <w:keepNext w:val="0"/>
                    <w:keepLines w:val="0"/>
                    <w:pageBreakBefore w:val="0"/>
                    <w:kinsoku/>
                    <w:wordWrap/>
                    <w:overflowPunct/>
                    <w:topLinePunct w:val="0"/>
                    <w:bidi w:val="0"/>
                    <w:adjustRightInd w:val="0"/>
                    <w:snapToGrid w:val="0"/>
                    <w:spacing w:line="240" w:lineRule="auto"/>
                    <w:ind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990" w:type="dxa"/>
                  <w:vMerge w:val="continue"/>
                  <w:noWrap w:val="0"/>
                  <w:vAlign w:val="center"/>
                </w:tcPr>
                <w:p>
                  <w:pPr>
                    <w:keepNext w:val="0"/>
                    <w:keepLines w:val="0"/>
                    <w:pageBreakBefore w:val="0"/>
                    <w:kinsoku/>
                    <w:wordWrap/>
                    <w:overflowPunct/>
                    <w:topLinePunct w:val="0"/>
                    <w:bidi w:val="0"/>
                    <w:adjustRightInd w:val="0"/>
                    <w:snapToGrid w:val="0"/>
                    <w:spacing w:line="240" w:lineRule="auto"/>
                    <w:ind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824" w:type="dxa"/>
                  <w:noWrap w:val="0"/>
                  <w:vAlign w:val="center"/>
                </w:tcPr>
                <w:p>
                  <w:pPr>
                    <w:keepNext w:val="0"/>
                    <w:keepLines w:val="0"/>
                    <w:pageBreakBefore w:val="0"/>
                    <w:widowControl/>
                    <w:kinsoku/>
                    <w:wordWrap/>
                    <w:overflowPunct/>
                    <w:topLinePunct w:val="0"/>
                    <w:bidi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kern w:val="0"/>
                      <w:sz w:val="21"/>
                      <w:szCs w:val="21"/>
                      <w:highlight w:val="none"/>
                      <w:lang w:val="en-US" w:eastAsia="zh-CN"/>
                    </w:rPr>
                    <w:t>8.75</w:t>
                  </w:r>
                </w:p>
              </w:tc>
              <w:tc>
                <w:tcPr>
                  <w:tcW w:w="990" w:type="dxa"/>
                  <w:noWrap w:val="0"/>
                  <w:vAlign w:val="center"/>
                </w:tcPr>
                <w:p>
                  <w:pPr>
                    <w:keepNext w:val="0"/>
                    <w:keepLines w:val="0"/>
                    <w:pageBreakBefore w:val="0"/>
                    <w:widowControl/>
                    <w:kinsoku/>
                    <w:wordWrap/>
                    <w:overflowPunct/>
                    <w:topLinePunct w:val="0"/>
                    <w:bidi w:val="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jc w:val="center"/>
              </w:trPr>
              <w:tc>
                <w:tcPr>
                  <w:tcW w:w="1372" w:type="dxa"/>
                  <w:vMerge w:val="continue"/>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089" w:type="dxa"/>
                  <w:vMerge w:val="continue"/>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103" w:type="dxa"/>
                  <w:vMerge w:val="continue"/>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996" w:type="dxa"/>
                  <w:noWrap w:val="0"/>
                  <w:vAlign w:val="center"/>
                </w:tcPr>
                <w:p>
                  <w:pPr>
                    <w:keepNext w:val="0"/>
                    <w:keepLines w:val="0"/>
                    <w:pageBreakBefore w:val="0"/>
                    <w:widowControl/>
                    <w:kinsoku/>
                    <w:wordWrap/>
                    <w:overflowPunct/>
                    <w:topLinePunct w:val="0"/>
                    <w:bidi w:val="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rPr>
                    <w:t>Z32-10</w:t>
                  </w:r>
                </w:p>
              </w:tc>
              <w:tc>
                <w:tcPr>
                  <w:tcW w:w="1073" w:type="dxa"/>
                  <w:vMerge w:val="continue"/>
                  <w:noWrap w:val="0"/>
                  <w:vAlign w:val="center"/>
                </w:tcPr>
                <w:p>
                  <w:pPr>
                    <w:keepNext w:val="0"/>
                    <w:keepLines w:val="0"/>
                    <w:pageBreakBefore w:val="0"/>
                    <w:kinsoku/>
                    <w:wordWrap/>
                    <w:overflowPunct/>
                    <w:topLinePunct w:val="0"/>
                    <w:bidi w:val="0"/>
                    <w:adjustRightInd w:val="0"/>
                    <w:snapToGrid w:val="0"/>
                    <w:spacing w:line="240" w:lineRule="auto"/>
                    <w:ind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990" w:type="dxa"/>
                  <w:vMerge w:val="continue"/>
                  <w:noWrap w:val="0"/>
                  <w:vAlign w:val="center"/>
                </w:tcPr>
                <w:p>
                  <w:pPr>
                    <w:keepNext w:val="0"/>
                    <w:keepLines w:val="0"/>
                    <w:pageBreakBefore w:val="0"/>
                    <w:kinsoku/>
                    <w:wordWrap/>
                    <w:overflowPunct/>
                    <w:topLinePunct w:val="0"/>
                    <w:bidi w:val="0"/>
                    <w:adjustRightInd w:val="0"/>
                    <w:snapToGrid w:val="0"/>
                    <w:spacing w:line="240" w:lineRule="auto"/>
                    <w:ind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824" w:type="dxa"/>
                  <w:noWrap w:val="0"/>
                  <w:vAlign w:val="center"/>
                </w:tcPr>
                <w:p>
                  <w:pPr>
                    <w:keepNext w:val="0"/>
                    <w:keepLines w:val="0"/>
                    <w:pageBreakBefore w:val="0"/>
                    <w:widowControl/>
                    <w:kinsoku/>
                    <w:wordWrap/>
                    <w:overflowPunct/>
                    <w:topLinePunct w:val="0"/>
                    <w:bidi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kern w:val="0"/>
                      <w:sz w:val="21"/>
                      <w:szCs w:val="21"/>
                      <w:highlight w:val="none"/>
                      <w:lang w:val="en-US" w:eastAsia="zh-CN"/>
                    </w:rPr>
                    <w:t>5.75</w:t>
                  </w:r>
                </w:p>
              </w:tc>
              <w:tc>
                <w:tcPr>
                  <w:tcW w:w="990" w:type="dxa"/>
                  <w:noWrap w:val="0"/>
                  <w:vAlign w:val="center"/>
                </w:tcPr>
                <w:p>
                  <w:pPr>
                    <w:keepNext w:val="0"/>
                    <w:keepLines w:val="0"/>
                    <w:pageBreakBefore w:val="0"/>
                    <w:widowControl/>
                    <w:kinsoku/>
                    <w:wordWrap/>
                    <w:overflowPunct/>
                    <w:topLinePunct w:val="0"/>
                    <w:bidi w:val="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jc w:val="center"/>
              </w:trPr>
              <w:tc>
                <w:tcPr>
                  <w:tcW w:w="1372" w:type="dxa"/>
                  <w:vMerge w:val="continue"/>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089" w:type="dxa"/>
                  <w:vMerge w:val="continue"/>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103" w:type="dxa"/>
                  <w:vMerge w:val="continue"/>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996" w:type="dxa"/>
                  <w:noWrap w:val="0"/>
                  <w:vAlign w:val="center"/>
                </w:tcPr>
                <w:p>
                  <w:pPr>
                    <w:keepNext w:val="0"/>
                    <w:keepLines w:val="0"/>
                    <w:pageBreakBefore w:val="0"/>
                    <w:widowControl/>
                    <w:kinsoku/>
                    <w:wordWrap/>
                    <w:overflowPunct/>
                    <w:topLinePunct w:val="0"/>
                    <w:bidi w:val="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rPr>
                    <w:t>Z32-7.5/-8</w:t>
                  </w:r>
                </w:p>
              </w:tc>
              <w:tc>
                <w:tcPr>
                  <w:tcW w:w="1073" w:type="dxa"/>
                  <w:vMerge w:val="continue"/>
                  <w:noWrap w:val="0"/>
                  <w:vAlign w:val="center"/>
                </w:tcPr>
                <w:p>
                  <w:pPr>
                    <w:keepNext w:val="0"/>
                    <w:keepLines w:val="0"/>
                    <w:pageBreakBefore w:val="0"/>
                    <w:kinsoku/>
                    <w:wordWrap/>
                    <w:overflowPunct/>
                    <w:topLinePunct w:val="0"/>
                    <w:bidi w:val="0"/>
                    <w:adjustRightInd w:val="0"/>
                    <w:snapToGrid w:val="0"/>
                    <w:spacing w:line="240" w:lineRule="auto"/>
                    <w:ind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990" w:type="dxa"/>
                  <w:vMerge w:val="continue"/>
                  <w:noWrap w:val="0"/>
                  <w:vAlign w:val="center"/>
                </w:tcPr>
                <w:p>
                  <w:pPr>
                    <w:keepNext w:val="0"/>
                    <w:keepLines w:val="0"/>
                    <w:pageBreakBefore w:val="0"/>
                    <w:kinsoku/>
                    <w:wordWrap/>
                    <w:overflowPunct/>
                    <w:topLinePunct w:val="0"/>
                    <w:bidi w:val="0"/>
                    <w:adjustRightInd w:val="0"/>
                    <w:snapToGrid w:val="0"/>
                    <w:spacing w:line="240" w:lineRule="auto"/>
                    <w:ind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824" w:type="dxa"/>
                  <w:noWrap w:val="0"/>
                  <w:vAlign w:val="center"/>
                </w:tcPr>
                <w:p>
                  <w:pPr>
                    <w:keepNext w:val="0"/>
                    <w:keepLines w:val="0"/>
                    <w:pageBreakBefore w:val="0"/>
                    <w:widowControl/>
                    <w:kinsoku/>
                    <w:wordWrap/>
                    <w:overflowPunct/>
                    <w:topLinePunct w:val="0"/>
                    <w:bidi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kern w:val="0"/>
                      <w:sz w:val="21"/>
                      <w:szCs w:val="21"/>
                      <w:highlight w:val="none"/>
                      <w:lang w:val="en-US" w:eastAsia="zh-CN"/>
                    </w:rPr>
                    <w:t>4.2</w:t>
                  </w:r>
                </w:p>
              </w:tc>
              <w:tc>
                <w:tcPr>
                  <w:tcW w:w="990" w:type="dxa"/>
                  <w:noWrap w:val="0"/>
                  <w:vAlign w:val="center"/>
                </w:tcPr>
                <w:p>
                  <w:pPr>
                    <w:keepNext w:val="0"/>
                    <w:keepLines w:val="0"/>
                    <w:pageBreakBefore w:val="0"/>
                    <w:widowControl/>
                    <w:kinsoku/>
                    <w:wordWrap/>
                    <w:overflowPunct/>
                    <w:topLinePunct w:val="0"/>
                    <w:bidi w:val="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rPr>
                    <w:t>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jc w:val="center"/>
              </w:trPr>
              <w:tc>
                <w:tcPr>
                  <w:tcW w:w="1372" w:type="dxa"/>
                  <w:vMerge w:val="continue"/>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089" w:type="dxa"/>
                  <w:vMerge w:val="continue"/>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103" w:type="dxa"/>
                  <w:vMerge w:val="continue"/>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996" w:type="dxa"/>
                  <w:noWrap w:val="0"/>
                  <w:vAlign w:val="center"/>
                </w:tcPr>
                <w:p>
                  <w:pPr>
                    <w:keepNext w:val="0"/>
                    <w:keepLines w:val="0"/>
                    <w:pageBreakBefore w:val="0"/>
                    <w:widowControl/>
                    <w:kinsoku/>
                    <w:wordWrap/>
                    <w:overflowPunct/>
                    <w:topLinePunct w:val="0"/>
                    <w:bidi w:val="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rPr>
                    <w:t>Z32-5</w:t>
                  </w:r>
                </w:p>
              </w:tc>
              <w:tc>
                <w:tcPr>
                  <w:tcW w:w="1073" w:type="dxa"/>
                  <w:vMerge w:val="continue"/>
                  <w:noWrap w:val="0"/>
                  <w:vAlign w:val="center"/>
                </w:tcPr>
                <w:p>
                  <w:pPr>
                    <w:keepNext w:val="0"/>
                    <w:keepLines w:val="0"/>
                    <w:pageBreakBefore w:val="0"/>
                    <w:kinsoku/>
                    <w:wordWrap/>
                    <w:overflowPunct/>
                    <w:topLinePunct w:val="0"/>
                    <w:bidi w:val="0"/>
                    <w:adjustRightInd w:val="0"/>
                    <w:snapToGrid w:val="0"/>
                    <w:spacing w:line="240" w:lineRule="auto"/>
                    <w:ind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990" w:type="dxa"/>
                  <w:vMerge w:val="continue"/>
                  <w:noWrap w:val="0"/>
                  <w:vAlign w:val="center"/>
                </w:tcPr>
                <w:p>
                  <w:pPr>
                    <w:keepNext w:val="0"/>
                    <w:keepLines w:val="0"/>
                    <w:pageBreakBefore w:val="0"/>
                    <w:kinsoku/>
                    <w:wordWrap/>
                    <w:overflowPunct/>
                    <w:topLinePunct w:val="0"/>
                    <w:bidi w:val="0"/>
                    <w:adjustRightInd w:val="0"/>
                    <w:snapToGrid w:val="0"/>
                    <w:spacing w:line="240" w:lineRule="auto"/>
                    <w:ind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824" w:type="dxa"/>
                  <w:noWrap w:val="0"/>
                  <w:vAlign w:val="center"/>
                </w:tcPr>
                <w:p>
                  <w:pPr>
                    <w:keepNext w:val="0"/>
                    <w:keepLines w:val="0"/>
                    <w:pageBreakBefore w:val="0"/>
                    <w:widowControl/>
                    <w:kinsoku/>
                    <w:wordWrap/>
                    <w:overflowPunct/>
                    <w:topLinePunct w:val="0"/>
                    <w:bidi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kern w:val="0"/>
                      <w:sz w:val="21"/>
                      <w:szCs w:val="21"/>
                      <w:highlight w:val="none"/>
                      <w:lang w:val="en-US" w:eastAsia="zh-CN"/>
                    </w:rPr>
                    <w:t>1.47</w:t>
                  </w:r>
                </w:p>
              </w:tc>
              <w:tc>
                <w:tcPr>
                  <w:tcW w:w="990" w:type="dxa"/>
                  <w:noWrap w:val="0"/>
                  <w:vAlign w:val="center"/>
                </w:tcPr>
                <w:p>
                  <w:pPr>
                    <w:keepNext w:val="0"/>
                    <w:keepLines w:val="0"/>
                    <w:pageBreakBefore w:val="0"/>
                    <w:widowControl/>
                    <w:kinsoku/>
                    <w:wordWrap/>
                    <w:overflowPunct/>
                    <w:topLinePunct w:val="0"/>
                    <w:bidi w:val="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jc w:val="center"/>
              </w:trPr>
              <w:tc>
                <w:tcPr>
                  <w:tcW w:w="1372" w:type="dxa"/>
                  <w:vMerge w:val="restart"/>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光磨</w:t>
                  </w:r>
                </w:p>
              </w:tc>
              <w:tc>
                <w:tcPr>
                  <w:tcW w:w="1089" w:type="dxa"/>
                  <w:vMerge w:val="restart"/>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光磨</w:t>
                  </w:r>
                </w:p>
              </w:tc>
              <w:tc>
                <w:tcPr>
                  <w:tcW w:w="1103" w:type="dxa"/>
                  <w:vMerge w:val="restart"/>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kern w:val="0"/>
                      <w:sz w:val="21"/>
                      <w:szCs w:val="21"/>
                      <w:highlight w:val="none"/>
                      <w:lang w:val="en-US" w:eastAsia="zh-CN"/>
                    </w:rPr>
                    <w:t>光磨机</w:t>
                  </w:r>
                </w:p>
              </w:tc>
              <w:tc>
                <w:tcPr>
                  <w:tcW w:w="996" w:type="dxa"/>
                  <w:noWrap w:val="0"/>
                  <w:vAlign w:val="center"/>
                </w:tcPr>
                <w:p>
                  <w:pPr>
                    <w:keepNext w:val="0"/>
                    <w:keepLines w:val="0"/>
                    <w:pageBreakBefore w:val="0"/>
                    <w:widowControl/>
                    <w:kinsoku/>
                    <w:wordWrap/>
                    <w:overflowPunct/>
                    <w:topLinePunct w:val="0"/>
                    <w:bidi w:val="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rPr>
                    <w:t>3M4980B</w:t>
                  </w:r>
                </w:p>
              </w:tc>
              <w:tc>
                <w:tcPr>
                  <w:tcW w:w="1073" w:type="dxa"/>
                  <w:vMerge w:val="restart"/>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功率</w:t>
                  </w:r>
                </w:p>
              </w:tc>
              <w:tc>
                <w:tcPr>
                  <w:tcW w:w="990" w:type="dxa"/>
                  <w:vMerge w:val="restart"/>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kW</w:t>
                  </w:r>
                </w:p>
              </w:tc>
              <w:tc>
                <w:tcPr>
                  <w:tcW w:w="824" w:type="dxa"/>
                  <w:noWrap w:val="0"/>
                  <w:vAlign w:val="center"/>
                </w:tcPr>
                <w:p>
                  <w:pPr>
                    <w:keepNext w:val="0"/>
                    <w:keepLines w:val="0"/>
                    <w:pageBreakBefore w:val="0"/>
                    <w:widowControl/>
                    <w:kinsoku/>
                    <w:wordWrap/>
                    <w:overflowPunct/>
                    <w:topLinePunct w:val="0"/>
                    <w:bidi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kern w:val="0"/>
                      <w:sz w:val="21"/>
                      <w:szCs w:val="21"/>
                      <w:highlight w:val="none"/>
                      <w:lang w:val="en-US" w:eastAsia="zh-CN"/>
                    </w:rPr>
                    <w:t>58.2</w:t>
                  </w:r>
                </w:p>
              </w:tc>
              <w:tc>
                <w:tcPr>
                  <w:tcW w:w="990" w:type="dxa"/>
                  <w:noWrap w:val="0"/>
                  <w:vAlign w:val="center"/>
                </w:tcPr>
                <w:p>
                  <w:pPr>
                    <w:keepNext w:val="0"/>
                    <w:keepLines w:val="0"/>
                    <w:pageBreakBefore w:val="0"/>
                    <w:widowControl/>
                    <w:kinsoku/>
                    <w:wordWrap/>
                    <w:overflowPunct/>
                    <w:topLinePunct w:val="0"/>
                    <w:bidi w:val="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jc w:val="center"/>
              </w:trPr>
              <w:tc>
                <w:tcPr>
                  <w:tcW w:w="1372" w:type="dxa"/>
                  <w:vMerge w:val="continue"/>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089" w:type="dxa"/>
                  <w:vMerge w:val="continue"/>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103" w:type="dxa"/>
                  <w:vMerge w:val="continue"/>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kern w:val="0"/>
                      <w:sz w:val="21"/>
                      <w:szCs w:val="21"/>
                      <w:highlight w:val="none"/>
                      <w:lang w:val="en-US" w:eastAsia="zh-CN"/>
                    </w:rPr>
                  </w:pPr>
                </w:p>
              </w:tc>
              <w:tc>
                <w:tcPr>
                  <w:tcW w:w="996" w:type="dxa"/>
                  <w:noWrap w:val="0"/>
                  <w:vAlign w:val="center"/>
                </w:tcPr>
                <w:p>
                  <w:pPr>
                    <w:keepNext w:val="0"/>
                    <w:keepLines w:val="0"/>
                    <w:pageBreakBefore w:val="0"/>
                    <w:widowControl/>
                    <w:kinsoku/>
                    <w:wordWrap/>
                    <w:overflowPunct/>
                    <w:topLinePunct w:val="0"/>
                    <w:bidi w:val="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rPr>
                    <w:t>3M4980</w:t>
                  </w:r>
                </w:p>
              </w:tc>
              <w:tc>
                <w:tcPr>
                  <w:tcW w:w="1073" w:type="dxa"/>
                  <w:vMerge w:val="continue"/>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990" w:type="dxa"/>
                  <w:vMerge w:val="continue"/>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824" w:type="dxa"/>
                  <w:noWrap w:val="0"/>
                  <w:vAlign w:val="center"/>
                </w:tcPr>
                <w:p>
                  <w:pPr>
                    <w:keepNext w:val="0"/>
                    <w:keepLines w:val="0"/>
                    <w:pageBreakBefore w:val="0"/>
                    <w:widowControl/>
                    <w:kinsoku/>
                    <w:wordWrap/>
                    <w:overflowPunct/>
                    <w:topLinePunct w:val="0"/>
                    <w:bidi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kern w:val="0"/>
                      <w:sz w:val="21"/>
                      <w:szCs w:val="21"/>
                      <w:highlight w:val="none"/>
                      <w:lang w:val="en-US" w:eastAsia="zh-CN"/>
                    </w:rPr>
                    <w:t>48.2</w:t>
                  </w:r>
                </w:p>
              </w:tc>
              <w:tc>
                <w:tcPr>
                  <w:tcW w:w="990" w:type="dxa"/>
                  <w:noWrap w:val="0"/>
                  <w:vAlign w:val="center"/>
                </w:tcPr>
                <w:p>
                  <w:pPr>
                    <w:keepNext w:val="0"/>
                    <w:keepLines w:val="0"/>
                    <w:pageBreakBefore w:val="0"/>
                    <w:widowControl/>
                    <w:kinsoku/>
                    <w:wordWrap/>
                    <w:overflowPunct/>
                    <w:topLinePunct w:val="0"/>
                    <w:bidi w:val="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jc w:val="center"/>
              </w:trPr>
              <w:tc>
                <w:tcPr>
                  <w:tcW w:w="1372" w:type="dxa"/>
                  <w:vMerge w:val="continue"/>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089" w:type="dxa"/>
                  <w:vMerge w:val="continue"/>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103" w:type="dxa"/>
                  <w:vMerge w:val="continue"/>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kern w:val="0"/>
                      <w:sz w:val="21"/>
                      <w:szCs w:val="21"/>
                      <w:highlight w:val="none"/>
                      <w:lang w:val="en-US" w:eastAsia="zh-CN"/>
                    </w:rPr>
                  </w:pPr>
                </w:p>
              </w:tc>
              <w:tc>
                <w:tcPr>
                  <w:tcW w:w="996" w:type="dxa"/>
                  <w:noWrap w:val="0"/>
                  <w:vAlign w:val="center"/>
                </w:tcPr>
                <w:p>
                  <w:pPr>
                    <w:keepNext w:val="0"/>
                    <w:keepLines w:val="0"/>
                    <w:pageBreakBefore w:val="0"/>
                    <w:widowControl/>
                    <w:kinsoku/>
                    <w:wordWrap/>
                    <w:overflowPunct/>
                    <w:topLinePunct w:val="0"/>
                    <w:bidi w:val="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rPr>
                    <w:t>3ML4980</w:t>
                  </w:r>
                </w:p>
              </w:tc>
              <w:tc>
                <w:tcPr>
                  <w:tcW w:w="1073" w:type="dxa"/>
                  <w:vMerge w:val="continue"/>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990" w:type="dxa"/>
                  <w:vMerge w:val="continue"/>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824" w:type="dxa"/>
                  <w:noWrap w:val="0"/>
                  <w:vAlign w:val="center"/>
                </w:tcPr>
                <w:p>
                  <w:pPr>
                    <w:keepNext w:val="0"/>
                    <w:keepLines w:val="0"/>
                    <w:pageBreakBefore w:val="0"/>
                    <w:widowControl/>
                    <w:kinsoku/>
                    <w:wordWrap/>
                    <w:overflowPunct/>
                    <w:topLinePunct w:val="0"/>
                    <w:bidi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kern w:val="0"/>
                      <w:sz w:val="21"/>
                      <w:szCs w:val="21"/>
                      <w:highlight w:val="none"/>
                      <w:lang w:val="en-US" w:eastAsia="zh-CN"/>
                    </w:rPr>
                    <w:t>48.2</w:t>
                  </w:r>
                </w:p>
              </w:tc>
              <w:tc>
                <w:tcPr>
                  <w:tcW w:w="990" w:type="dxa"/>
                  <w:noWrap w:val="0"/>
                  <w:vAlign w:val="center"/>
                </w:tcPr>
                <w:p>
                  <w:pPr>
                    <w:keepNext w:val="0"/>
                    <w:keepLines w:val="0"/>
                    <w:pageBreakBefore w:val="0"/>
                    <w:widowControl/>
                    <w:kinsoku/>
                    <w:wordWrap/>
                    <w:overflowPunct/>
                    <w:topLinePunct w:val="0"/>
                    <w:bidi w:val="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jc w:val="center"/>
              </w:trPr>
              <w:tc>
                <w:tcPr>
                  <w:tcW w:w="1372" w:type="dxa"/>
                  <w:vMerge w:val="continue"/>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089" w:type="dxa"/>
                  <w:vMerge w:val="continue"/>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103" w:type="dxa"/>
                  <w:vMerge w:val="continue"/>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kern w:val="0"/>
                      <w:sz w:val="21"/>
                      <w:szCs w:val="21"/>
                      <w:highlight w:val="none"/>
                      <w:lang w:val="en-US" w:eastAsia="zh-CN"/>
                    </w:rPr>
                  </w:pPr>
                </w:p>
              </w:tc>
              <w:tc>
                <w:tcPr>
                  <w:tcW w:w="996" w:type="dxa"/>
                  <w:noWrap w:val="0"/>
                  <w:vAlign w:val="center"/>
                </w:tcPr>
                <w:p>
                  <w:pPr>
                    <w:keepNext w:val="0"/>
                    <w:keepLines w:val="0"/>
                    <w:pageBreakBefore w:val="0"/>
                    <w:widowControl/>
                    <w:kinsoku/>
                    <w:wordWrap/>
                    <w:overflowPunct/>
                    <w:topLinePunct w:val="0"/>
                    <w:bidi w:val="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rPr>
                    <w:t>3M4930</w:t>
                  </w:r>
                </w:p>
              </w:tc>
              <w:tc>
                <w:tcPr>
                  <w:tcW w:w="1073" w:type="dxa"/>
                  <w:vMerge w:val="continue"/>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990" w:type="dxa"/>
                  <w:vMerge w:val="continue"/>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824" w:type="dxa"/>
                  <w:noWrap w:val="0"/>
                  <w:vAlign w:val="center"/>
                </w:tcPr>
                <w:p>
                  <w:pPr>
                    <w:keepNext w:val="0"/>
                    <w:keepLines w:val="0"/>
                    <w:pageBreakBefore w:val="0"/>
                    <w:widowControl/>
                    <w:kinsoku/>
                    <w:wordWrap/>
                    <w:overflowPunct/>
                    <w:topLinePunct w:val="0"/>
                    <w:bidi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kern w:val="0"/>
                      <w:sz w:val="21"/>
                      <w:szCs w:val="21"/>
                      <w:highlight w:val="none"/>
                      <w:lang w:val="en-US" w:eastAsia="zh-CN"/>
                    </w:rPr>
                    <w:t>48.2</w:t>
                  </w:r>
                </w:p>
              </w:tc>
              <w:tc>
                <w:tcPr>
                  <w:tcW w:w="990" w:type="dxa"/>
                  <w:noWrap w:val="0"/>
                  <w:vAlign w:val="center"/>
                </w:tcPr>
                <w:p>
                  <w:pPr>
                    <w:keepNext w:val="0"/>
                    <w:keepLines w:val="0"/>
                    <w:pageBreakBefore w:val="0"/>
                    <w:widowControl/>
                    <w:kinsoku/>
                    <w:wordWrap/>
                    <w:overflowPunct/>
                    <w:topLinePunct w:val="0"/>
                    <w:bidi w:val="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jc w:val="center"/>
              </w:trPr>
              <w:tc>
                <w:tcPr>
                  <w:tcW w:w="1372" w:type="dxa"/>
                  <w:vMerge w:val="restart"/>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热处理</w:t>
                  </w:r>
                </w:p>
              </w:tc>
              <w:tc>
                <w:tcPr>
                  <w:tcW w:w="1089" w:type="dxa"/>
                  <w:vMerge w:val="restart"/>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淬火</w:t>
                  </w:r>
                </w:p>
              </w:tc>
              <w:tc>
                <w:tcPr>
                  <w:tcW w:w="1103" w:type="dxa"/>
                  <w:vMerge w:val="restart"/>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淬火炉</w:t>
                  </w:r>
                </w:p>
              </w:tc>
              <w:tc>
                <w:tcPr>
                  <w:tcW w:w="996" w:type="dxa"/>
                  <w:noWrap w:val="0"/>
                  <w:vAlign w:val="center"/>
                </w:tcPr>
                <w:p>
                  <w:pPr>
                    <w:keepNext w:val="0"/>
                    <w:keepLines w:val="0"/>
                    <w:pageBreakBefore w:val="0"/>
                    <w:widowControl/>
                    <w:kinsoku/>
                    <w:wordWrap/>
                    <w:overflowPunct/>
                    <w:topLinePunct w:val="0"/>
                    <w:bidi w:val="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rPr>
                    <w:t>SG750-160-9</w:t>
                  </w:r>
                </w:p>
              </w:tc>
              <w:tc>
                <w:tcPr>
                  <w:tcW w:w="1073" w:type="dxa"/>
                  <w:vMerge w:val="restart"/>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功率</w:t>
                  </w:r>
                </w:p>
              </w:tc>
              <w:tc>
                <w:tcPr>
                  <w:tcW w:w="990" w:type="dxa"/>
                  <w:vMerge w:val="restart"/>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kW</w:t>
                  </w:r>
                </w:p>
              </w:tc>
              <w:tc>
                <w:tcPr>
                  <w:tcW w:w="824" w:type="dxa"/>
                  <w:noWrap w:val="0"/>
                  <w:vAlign w:val="center"/>
                </w:tcPr>
                <w:p>
                  <w:pPr>
                    <w:keepNext w:val="0"/>
                    <w:keepLines w:val="0"/>
                    <w:pageBreakBefore w:val="0"/>
                    <w:widowControl/>
                    <w:kinsoku/>
                    <w:wordWrap/>
                    <w:overflowPunct/>
                    <w:topLinePunct w:val="0"/>
                    <w:bidi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kern w:val="0"/>
                      <w:sz w:val="21"/>
                      <w:szCs w:val="21"/>
                      <w:highlight w:val="none"/>
                      <w:lang w:val="en-US" w:eastAsia="zh-CN"/>
                    </w:rPr>
                    <w:t>143.5</w:t>
                  </w:r>
                </w:p>
              </w:tc>
              <w:tc>
                <w:tcPr>
                  <w:tcW w:w="990" w:type="dxa"/>
                  <w:noWrap w:val="0"/>
                  <w:vAlign w:val="center"/>
                </w:tcPr>
                <w:p>
                  <w:pPr>
                    <w:keepNext w:val="0"/>
                    <w:keepLines w:val="0"/>
                    <w:pageBreakBefore w:val="0"/>
                    <w:widowControl/>
                    <w:kinsoku/>
                    <w:wordWrap/>
                    <w:overflowPunct/>
                    <w:topLinePunct w:val="0"/>
                    <w:bidi w:val="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jc w:val="center"/>
              </w:trPr>
              <w:tc>
                <w:tcPr>
                  <w:tcW w:w="1372" w:type="dxa"/>
                  <w:vMerge w:val="continue"/>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089" w:type="dxa"/>
                  <w:vMerge w:val="continue"/>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103" w:type="dxa"/>
                  <w:vMerge w:val="continue"/>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996" w:type="dxa"/>
                  <w:noWrap w:val="0"/>
                  <w:vAlign w:val="center"/>
                </w:tcPr>
                <w:p>
                  <w:pPr>
                    <w:keepNext w:val="0"/>
                    <w:keepLines w:val="0"/>
                    <w:pageBreakBefore w:val="0"/>
                    <w:widowControl/>
                    <w:kinsoku/>
                    <w:wordWrap/>
                    <w:overflowPunct/>
                    <w:topLinePunct w:val="0"/>
                    <w:bidi w:val="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rPr>
                    <w:t>RG-45/-60</w:t>
                  </w:r>
                </w:p>
              </w:tc>
              <w:tc>
                <w:tcPr>
                  <w:tcW w:w="1073" w:type="dxa"/>
                  <w:vMerge w:val="continue"/>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990" w:type="dxa"/>
                  <w:vMerge w:val="continue"/>
                  <w:noWrap w:val="0"/>
                  <w:vAlign w:val="center"/>
                </w:tcPr>
                <w:p>
                  <w:pPr>
                    <w:keepNext w:val="0"/>
                    <w:keepLines w:val="0"/>
                    <w:pageBreakBefore w:val="0"/>
                    <w:kinsoku/>
                    <w:wordWrap/>
                    <w:overflowPunct/>
                    <w:topLinePunct w:val="0"/>
                    <w:bidi w:val="0"/>
                    <w:adjustRightInd w:val="0"/>
                    <w:snapToGrid w:val="0"/>
                    <w:spacing w:line="240" w:lineRule="auto"/>
                    <w:ind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824" w:type="dxa"/>
                  <w:noWrap w:val="0"/>
                  <w:vAlign w:val="center"/>
                </w:tcPr>
                <w:p>
                  <w:pPr>
                    <w:keepNext w:val="0"/>
                    <w:keepLines w:val="0"/>
                    <w:pageBreakBefore w:val="0"/>
                    <w:widowControl/>
                    <w:kinsoku/>
                    <w:wordWrap/>
                    <w:overflowPunct/>
                    <w:topLinePunct w:val="0"/>
                    <w:bidi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kern w:val="0"/>
                      <w:sz w:val="21"/>
                      <w:szCs w:val="21"/>
                      <w:highlight w:val="none"/>
                      <w:lang w:val="en-US" w:eastAsia="zh-CN"/>
                    </w:rPr>
                    <w:t>48.2</w:t>
                  </w:r>
                </w:p>
              </w:tc>
              <w:tc>
                <w:tcPr>
                  <w:tcW w:w="990" w:type="dxa"/>
                  <w:noWrap w:val="0"/>
                  <w:vAlign w:val="center"/>
                </w:tcPr>
                <w:p>
                  <w:pPr>
                    <w:keepNext w:val="0"/>
                    <w:keepLines w:val="0"/>
                    <w:pageBreakBefore w:val="0"/>
                    <w:widowControl/>
                    <w:kinsoku/>
                    <w:wordWrap/>
                    <w:overflowPunct/>
                    <w:topLinePunct w:val="0"/>
                    <w:bidi w:val="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jc w:val="center"/>
              </w:trPr>
              <w:tc>
                <w:tcPr>
                  <w:tcW w:w="1372" w:type="dxa"/>
                  <w:vMerge w:val="continue"/>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089" w:type="dxa"/>
                  <w:vMerge w:val="restart"/>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回火</w:t>
                  </w:r>
                </w:p>
              </w:tc>
              <w:tc>
                <w:tcPr>
                  <w:tcW w:w="1103" w:type="dxa"/>
                  <w:vMerge w:val="restart"/>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回火</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炉</w:t>
                  </w:r>
                </w:p>
              </w:tc>
              <w:tc>
                <w:tcPr>
                  <w:tcW w:w="996" w:type="dxa"/>
                  <w:noWrap w:val="0"/>
                  <w:vAlign w:val="center"/>
                </w:tcPr>
                <w:p>
                  <w:pPr>
                    <w:keepNext w:val="0"/>
                    <w:keepLines w:val="0"/>
                    <w:pageBreakBefore w:val="0"/>
                    <w:widowControl/>
                    <w:kinsoku/>
                    <w:wordWrap/>
                    <w:overflowPunct/>
                    <w:topLinePunct w:val="0"/>
                    <w:bidi w:val="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rPr>
                    <w:t>RG-45</w:t>
                  </w:r>
                </w:p>
              </w:tc>
              <w:tc>
                <w:tcPr>
                  <w:tcW w:w="1073" w:type="dxa"/>
                  <w:vMerge w:val="continue"/>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990" w:type="dxa"/>
                  <w:vMerge w:val="continue"/>
                  <w:noWrap w:val="0"/>
                  <w:vAlign w:val="center"/>
                </w:tcPr>
                <w:p>
                  <w:pPr>
                    <w:keepNext w:val="0"/>
                    <w:keepLines w:val="0"/>
                    <w:pageBreakBefore w:val="0"/>
                    <w:kinsoku/>
                    <w:wordWrap/>
                    <w:overflowPunct/>
                    <w:topLinePunct w:val="0"/>
                    <w:bidi w:val="0"/>
                    <w:adjustRightInd w:val="0"/>
                    <w:snapToGrid w:val="0"/>
                    <w:spacing w:line="240" w:lineRule="auto"/>
                    <w:ind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824" w:type="dxa"/>
                  <w:noWrap w:val="0"/>
                  <w:vAlign w:val="center"/>
                </w:tcPr>
                <w:p>
                  <w:pPr>
                    <w:keepNext w:val="0"/>
                    <w:keepLines w:val="0"/>
                    <w:pageBreakBefore w:val="0"/>
                    <w:widowControl/>
                    <w:kinsoku/>
                    <w:wordWrap/>
                    <w:overflowPunct/>
                    <w:topLinePunct w:val="0"/>
                    <w:bidi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kern w:val="0"/>
                      <w:sz w:val="21"/>
                      <w:szCs w:val="21"/>
                      <w:highlight w:val="none"/>
                      <w:lang w:val="en-US" w:eastAsia="zh-CN"/>
                    </w:rPr>
                    <w:t>48.2</w:t>
                  </w:r>
                </w:p>
              </w:tc>
              <w:tc>
                <w:tcPr>
                  <w:tcW w:w="990" w:type="dxa"/>
                  <w:noWrap w:val="0"/>
                  <w:vAlign w:val="center"/>
                </w:tcPr>
                <w:p>
                  <w:pPr>
                    <w:keepNext w:val="0"/>
                    <w:keepLines w:val="0"/>
                    <w:pageBreakBefore w:val="0"/>
                    <w:widowControl/>
                    <w:kinsoku/>
                    <w:wordWrap/>
                    <w:overflowPunct/>
                    <w:topLinePunct w:val="0"/>
                    <w:bidi w:val="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jc w:val="center"/>
              </w:trPr>
              <w:tc>
                <w:tcPr>
                  <w:tcW w:w="1372" w:type="dxa"/>
                  <w:vMerge w:val="continue"/>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089" w:type="dxa"/>
                  <w:vMerge w:val="continue"/>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103" w:type="dxa"/>
                  <w:vMerge w:val="continue"/>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996" w:type="dxa"/>
                  <w:noWrap w:val="0"/>
                  <w:vAlign w:val="center"/>
                </w:tcPr>
                <w:p>
                  <w:pPr>
                    <w:keepNext w:val="0"/>
                    <w:keepLines w:val="0"/>
                    <w:pageBreakBefore w:val="0"/>
                    <w:widowControl/>
                    <w:kinsoku/>
                    <w:wordWrap/>
                    <w:overflowPunct/>
                    <w:topLinePunct w:val="0"/>
                    <w:bidi w:val="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rPr>
                    <w:t>HH-01</w:t>
                  </w:r>
                </w:p>
              </w:tc>
              <w:tc>
                <w:tcPr>
                  <w:tcW w:w="1073" w:type="dxa"/>
                  <w:vMerge w:val="continue"/>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990" w:type="dxa"/>
                  <w:vMerge w:val="continue"/>
                  <w:noWrap w:val="0"/>
                  <w:vAlign w:val="center"/>
                </w:tcPr>
                <w:p>
                  <w:pPr>
                    <w:keepNext w:val="0"/>
                    <w:keepLines w:val="0"/>
                    <w:pageBreakBefore w:val="0"/>
                    <w:kinsoku/>
                    <w:wordWrap/>
                    <w:overflowPunct/>
                    <w:topLinePunct w:val="0"/>
                    <w:bidi w:val="0"/>
                    <w:adjustRightInd w:val="0"/>
                    <w:snapToGrid w:val="0"/>
                    <w:spacing w:line="240" w:lineRule="auto"/>
                    <w:ind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824" w:type="dxa"/>
                  <w:noWrap w:val="0"/>
                  <w:vAlign w:val="center"/>
                </w:tcPr>
                <w:p>
                  <w:pPr>
                    <w:keepNext w:val="0"/>
                    <w:keepLines w:val="0"/>
                    <w:pageBreakBefore w:val="0"/>
                    <w:widowControl/>
                    <w:kinsoku/>
                    <w:wordWrap/>
                    <w:overflowPunct/>
                    <w:topLinePunct w:val="0"/>
                    <w:bidi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kern w:val="0"/>
                      <w:sz w:val="21"/>
                      <w:szCs w:val="21"/>
                      <w:highlight w:val="none"/>
                      <w:lang w:val="en-US" w:eastAsia="zh-CN"/>
                    </w:rPr>
                    <w:t>36</w:t>
                  </w:r>
                </w:p>
              </w:tc>
              <w:tc>
                <w:tcPr>
                  <w:tcW w:w="990" w:type="dxa"/>
                  <w:noWrap w:val="0"/>
                  <w:vAlign w:val="center"/>
                </w:tcPr>
                <w:p>
                  <w:pPr>
                    <w:keepNext w:val="0"/>
                    <w:keepLines w:val="0"/>
                    <w:pageBreakBefore w:val="0"/>
                    <w:widowControl/>
                    <w:kinsoku/>
                    <w:wordWrap/>
                    <w:overflowPunct/>
                    <w:topLinePunct w:val="0"/>
                    <w:bidi w:val="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jc w:val="center"/>
              </w:trPr>
              <w:tc>
                <w:tcPr>
                  <w:tcW w:w="1372" w:type="dxa"/>
                  <w:vMerge w:val="continue"/>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089" w:type="dxa"/>
                  <w:vMerge w:val="continue"/>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103" w:type="dxa"/>
                  <w:vMerge w:val="continue"/>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996" w:type="dxa"/>
                  <w:noWrap w:val="0"/>
                  <w:vAlign w:val="center"/>
                </w:tcPr>
                <w:p>
                  <w:pPr>
                    <w:keepNext w:val="0"/>
                    <w:keepLines w:val="0"/>
                    <w:pageBreakBefore w:val="0"/>
                    <w:widowControl/>
                    <w:kinsoku/>
                    <w:wordWrap/>
                    <w:overflowPunct/>
                    <w:topLinePunct w:val="0"/>
                    <w:bidi w:val="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rPr>
                    <w:t>HG-01</w:t>
                  </w:r>
                </w:p>
              </w:tc>
              <w:tc>
                <w:tcPr>
                  <w:tcW w:w="1073" w:type="dxa"/>
                  <w:vMerge w:val="continue"/>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990" w:type="dxa"/>
                  <w:vMerge w:val="continue"/>
                  <w:noWrap w:val="0"/>
                  <w:vAlign w:val="center"/>
                </w:tcPr>
                <w:p>
                  <w:pPr>
                    <w:keepNext w:val="0"/>
                    <w:keepLines w:val="0"/>
                    <w:pageBreakBefore w:val="0"/>
                    <w:kinsoku/>
                    <w:wordWrap/>
                    <w:overflowPunct/>
                    <w:topLinePunct w:val="0"/>
                    <w:bidi w:val="0"/>
                    <w:adjustRightInd w:val="0"/>
                    <w:snapToGrid w:val="0"/>
                    <w:spacing w:line="240" w:lineRule="auto"/>
                    <w:ind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824" w:type="dxa"/>
                  <w:noWrap w:val="0"/>
                  <w:vAlign w:val="center"/>
                </w:tcPr>
                <w:p>
                  <w:pPr>
                    <w:keepNext w:val="0"/>
                    <w:keepLines w:val="0"/>
                    <w:pageBreakBefore w:val="0"/>
                    <w:widowControl/>
                    <w:kinsoku/>
                    <w:wordWrap/>
                    <w:overflowPunct/>
                    <w:topLinePunct w:val="0"/>
                    <w:bidi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kern w:val="0"/>
                      <w:sz w:val="21"/>
                      <w:szCs w:val="21"/>
                      <w:highlight w:val="none"/>
                      <w:lang w:val="en-US" w:eastAsia="zh-CN"/>
                    </w:rPr>
                    <w:t>36</w:t>
                  </w:r>
                </w:p>
              </w:tc>
              <w:tc>
                <w:tcPr>
                  <w:tcW w:w="990" w:type="dxa"/>
                  <w:noWrap w:val="0"/>
                  <w:vAlign w:val="center"/>
                </w:tcPr>
                <w:p>
                  <w:pPr>
                    <w:keepNext w:val="0"/>
                    <w:keepLines w:val="0"/>
                    <w:pageBreakBefore w:val="0"/>
                    <w:widowControl/>
                    <w:kinsoku/>
                    <w:wordWrap/>
                    <w:overflowPunct/>
                    <w:topLinePunct w:val="0"/>
                    <w:bidi w:val="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jc w:val="center"/>
              </w:trPr>
              <w:tc>
                <w:tcPr>
                  <w:tcW w:w="1372" w:type="dxa"/>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加压</w:t>
                  </w:r>
                </w:p>
              </w:tc>
              <w:tc>
                <w:tcPr>
                  <w:tcW w:w="1089" w:type="dxa"/>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加压</w:t>
                  </w:r>
                </w:p>
              </w:tc>
              <w:tc>
                <w:tcPr>
                  <w:tcW w:w="1103" w:type="dxa"/>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加压机</w:t>
                  </w:r>
                </w:p>
              </w:tc>
              <w:tc>
                <w:tcPr>
                  <w:tcW w:w="996" w:type="dxa"/>
                  <w:noWrap w:val="0"/>
                  <w:vAlign w:val="center"/>
                </w:tcPr>
                <w:p>
                  <w:pPr>
                    <w:keepNext w:val="0"/>
                    <w:keepLines w:val="0"/>
                    <w:pageBreakBefore w:val="0"/>
                    <w:widowControl/>
                    <w:kinsoku/>
                    <w:wordWrap/>
                    <w:overflowPunct/>
                    <w:topLinePunct w:val="0"/>
                    <w:bidi w:val="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rPr>
                    <w:t>JY-1</w:t>
                  </w:r>
                </w:p>
              </w:tc>
              <w:tc>
                <w:tcPr>
                  <w:tcW w:w="1073" w:type="dxa"/>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功率</w:t>
                  </w:r>
                </w:p>
              </w:tc>
              <w:tc>
                <w:tcPr>
                  <w:tcW w:w="990" w:type="dxa"/>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kW</w:t>
                  </w:r>
                </w:p>
              </w:tc>
              <w:tc>
                <w:tcPr>
                  <w:tcW w:w="824" w:type="dxa"/>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7.0</w:t>
                  </w:r>
                </w:p>
              </w:tc>
              <w:tc>
                <w:tcPr>
                  <w:tcW w:w="990" w:type="dxa"/>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jc w:val="center"/>
              </w:trPr>
              <w:tc>
                <w:tcPr>
                  <w:tcW w:w="1372" w:type="dxa"/>
                  <w:vMerge w:val="restart"/>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硬磨</w:t>
                  </w:r>
                </w:p>
              </w:tc>
              <w:tc>
                <w:tcPr>
                  <w:tcW w:w="1089" w:type="dxa"/>
                  <w:vMerge w:val="restart"/>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硬磨</w:t>
                  </w:r>
                </w:p>
              </w:tc>
              <w:tc>
                <w:tcPr>
                  <w:tcW w:w="1103" w:type="dxa"/>
                  <w:vMerge w:val="restart"/>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硬磨机</w:t>
                  </w:r>
                </w:p>
              </w:tc>
              <w:tc>
                <w:tcPr>
                  <w:tcW w:w="996" w:type="dxa"/>
                  <w:noWrap w:val="0"/>
                  <w:vAlign w:val="center"/>
                </w:tcPr>
                <w:p>
                  <w:pPr>
                    <w:keepNext w:val="0"/>
                    <w:keepLines w:val="0"/>
                    <w:pageBreakBefore w:val="0"/>
                    <w:widowControl/>
                    <w:kinsoku/>
                    <w:wordWrap/>
                    <w:overflowPunct/>
                    <w:topLinePunct w:val="0"/>
                    <w:bidi w:val="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rPr>
                    <w:t>3M4680/7680</w:t>
                  </w:r>
                </w:p>
              </w:tc>
              <w:tc>
                <w:tcPr>
                  <w:tcW w:w="1073" w:type="dxa"/>
                  <w:vMerge w:val="restart"/>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功率</w:t>
                  </w:r>
                </w:p>
              </w:tc>
              <w:tc>
                <w:tcPr>
                  <w:tcW w:w="990" w:type="dxa"/>
                  <w:vMerge w:val="restart"/>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kW</w:t>
                  </w:r>
                </w:p>
              </w:tc>
              <w:tc>
                <w:tcPr>
                  <w:tcW w:w="824" w:type="dxa"/>
                  <w:noWrap w:val="0"/>
                  <w:vAlign w:val="center"/>
                </w:tcPr>
                <w:p>
                  <w:pPr>
                    <w:keepNext w:val="0"/>
                    <w:keepLines w:val="0"/>
                    <w:pageBreakBefore w:val="0"/>
                    <w:widowControl/>
                    <w:kinsoku/>
                    <w:wordWrap/>
                    <w:overflowPunct/>
                    <w:topLinePunct w:val="0"/>
                    <w:bidi w:val="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rPr>
                    <w:t>22.95</w:t>
                  </w:r>
                </w:p>
              </w:tc>
              <w:tc>
                <w:tcPr>
                  <w:tcW w:w="990" w:type="dxa"/>
                  <w:noWrap w:val="0"/>
                  <w:vAlign w:val="center"/>
                </w:tcPr>
                <w:p>
                  <w:pPr>
                    <w:keepNext w:val="0"/>
                    <w:keepLines w:val="0"/>
                    <w:pageBreakBefore w:val="0"/>
                    <w:widowControl/>
                    <w:kinsoku/>
                    <w:wordWrap/>
                    <w:overflowPunct/>
                    <w:topLinePunct w:val="0"/>
                    <w:bidi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kern w:val="0"/>
                      <w:sz w:val="21"/>
                      <w:szCs w:val="21"/>
                      <w:highlight w:val="none"/>
                      <w:lang w:val="en-US" w:eastAsia="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372" w:type="dxa"/>
                  <w:vMerge w:val="continue"/>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089" w:type="dxa"/>
                  <w:vMerge w:val="continue"/>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103" w:type="dxa"/>
                  <w:vMerge w:val="continue"/>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996" w:type="dxa"/>
                  <w:noWrap w:val="0"/>
                  <w:vAlign w:val="center"/>
                </w:tcPr>
                <w:p>
                  <w:pPr>
                    <w:keepNext w:val="0"/>
                    <w:keepLines w:val="0"/>
                    <w:pageBreakBefore w:val="0"/>
                    <w:widowControl/>
                    <w:kinsoku/>
                    <w:wordWrap/>
                    <w:overflowPunct/>
                    <w:topLinePunct w:val="0"/>
                    <w:bidi w:val="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rPr>
                    <w:t>3ML4680</w:t>
                  </w:r>
                </w:p>
              </w:tc>
              <w:tc>
                <w:tcPr>
                  <w:tcW w:w="1073" w:type="dxa"/>
                  <w:vMerge w:val="continue"/>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990" w:type="dxa"/>
                  <w:vMerge w:val="continue"/>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824" w:type="dxa"/>
                  <w:noWrap w:val="0"/>
                  <w:vAlign w:val="center"/>
                </w:tcPr>
                <w:p>
                  <w:pPr>
                    <w:keepNext w:val="0"/>
                    <w:keepLines w:val="0"/>
                    <w:pageBreakBefore w:val="0"/>
                    <w:widowControl/>
                    <w:kinsoku/>
                    <w:wordWrap/>
                    <w:overflowPunct/>
                    <w:topLinePunct w:val="0"/>
                    <w:bidi w:val="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rPr>
                    <w:t>21</w:t>
                  </w:r>
                </w:p>
              </w:tc>
              <w:tc>
                <w:tcPr>
                  <w:tcW w:w="990" w:type="dxa"/>
                  <w:noWrap w:val="0"/>
                  <w:vAlign w:val="center"/>
                </w:tcPr>
                <w:p>
                  <w:pPr>
                    <w:keepNext w:val="0"/>
                    <w:keepLines w:val="0"/>
                    <w:pageBreakBefore w:val="0"/>
                    <w:widowControl/>
                    <w:kinsoku/>
                    <w:wordWrap/>
                    <w:overflowPunct/>
                    <w:topLinePunct w:val="0"/>
                    <w:bidi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kern w:val="0"/>
                      <w:sz w:val="21"/>
                      <w:szCs w:val="21"/>
                      <w:highlight w:val="none"/>
                      <w:lang w:val="en-US" w:eastAsia="zh-CN"/>
                    </w:rPr>
                    <w:t>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jc w:val="center"/>
              </w:trPr>
              <w:tc>
                <w:tcPr>
                  <w:tcW w:w="1372" w:type="dxa"/>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振动</w:t>
                  </w:r>
                </w:p>
              </w:tc>
              <w:tc>
                <w:tcPr>
                  <w:tcW w:w="1089" w:type="dxa"/>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振动</w:t>
                  </w:r>
                </w:p>
              </w:tc>
              <w:tc>
                <w:tcPr>
                  <w:tcW w:w="1103" w:type="dxa"/>
                  <w:noWrap w:val="0"/>
                  <w:vAlign w:val="center"/>
                </w:tcPr>
                <w:p>
                  <w:pPr>
                    <w:keepNext w:val="0"/>
                    <w:keepLines w:val="0"/>
                    <w:pageBreakBefore w:val="0"/>
                    <w:widowControl/>
                    <w:kinsoku/>
                    <w:wordWrap/>
                    <w:overflowPunct/>
                    <w:topLinePunct w:val="0"/>
                    <w:bidi w:val="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eastAsia="zh-CN"/>
                    </w:rPr>
                    <w:t>振动筛</w:t>
                  </w:r>
                </w:p>
              </w:tc>
              <w:tc>
                <w:tcPr>
                  <w:tcW w:w="996" w:type="dxa"/>
                  <w:noWrap w:val="0"/>
                  <w:vAlign w:val="center"/>
                </w:tcPr>
                <w:p>
                  <w:pPr>
                    <w:keepNext w:val="0"/>
                    <w:keepLines w:val="0"/>
                    <w:pageBreakBefore w:val="0"/>
                    <w:widowControl/>
                    <w:kinsoku/>
                    <w:wordWrap/>
                    <w:overflowPunct/>
                    <w:topLinePunct w:val="0"/>
                    <w:bidi w:val="0"/>
                    <w:jc w:val="center"/>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kern w:val="0"/>
                      <w:sz w:val="21"/>
                      <w:szCs w:val="21"/>
                      <w:highlight w:val="none"/>
                      <w:lang w:val="en-US" w:eastAsia="zh-CN"/>
                    </w:rPr>
                    <w:t>/</w:t>
                  </w:r>
                </w:p>
              </w:tc>
              <w:tc>
                <w:tcPr>
                  <w:tcW w:w="1073" w:type="dxa"/>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功率</w:t>
                  </w:r>
                </w:p>
              </w:tc>
              <w:tc>
                <w:tcPr>
                  <w:tcW w:w="990" w:type="dxa"/>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kW</w:t>
                  </w:r>
                </w:p>
              </w:tc>
              <w:tc>
                <w:tcPr>
                  <w:tcW w:w="824" w:type="dxa"/>
                  <w:noWrap w:val="0"/>
                  <w:vAlign w:val="center"/>
                </w:tcPr>
                <w:p>
                  <w:pPr>
                    <w:keepNext w:val="0"/>
                    <w:keepLines w:val="0"/>
                    <w:pageBreakBefore w:val="0"/>
                    <w:widowControl/>
                    <w:kinsoku/>
                    <w:wordWrap/>
                    <w:overflowPunct/>
                    <w:topLinePunct w:val="0"/>
                    <w:bidi w:val="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rPr>
                    <w:t>2.2</w:t>
                  </w:r>
                </w:p>
              </w:tc>
              <w:tc>
                <w:tcPr>
                  <w:tcW w:w="990" w:type="dxa"/>
                  <w:noWrap w:val="0"/>
                  <w:vAlign w:val="center"/>
                </w:tcPr>
                <w:p>
                  <w:pPr>
                    <w:keepNext w:val="0"/>
                    <w:keepLines w:val="0"/>
                    <w:pageBreakBefore w:val="0"/>
                    <w:widowControl/>
                    <w:kinsoku/>
                    <w:wordWrap/>
                    <w:overflowPunct/>
                    <w:topLinePunct w:val="0"/>
                    <w:bidi w:val="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4" w:hRule="atLeast"/>
                <w:jc w:val="center"/>
              </w:trPr>
              <w:tc>
                <w:tcPr>
                  <w:tcW w:w="1372" w:type="dxa"/>
                  <w:vMerge w:val="restart"/>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强化</w:t>
                  </w:r>
                </w:p>
              </w:tc>
              <w:tc>
                <w:tcPr>
                  <w:tcW w:w="1089" w:type="dxa"/>
                  <w:vMerge w:val="restart"/>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强化</w:t>
                  </w:r>
                </w:p>
              </w:tc>
              <w:tc>
                <w:tcPr>
                  <w:tcW w:w="1103" w:type="dxa"/>
                  <w:vMerge w:val="restart"/>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滚杠机</w:t>
                  </w:r>
                </w:p>
              </w:tc>
              <w:tc>
                <w:tcPr>
                  <w:tcW w:w="996" w:type="dxa"/>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kern w:val="0"/>
                      <w:sz w:val="21"/>
                      <w:szCs w:val="21"/>
                      <w:highlight w:val="none"/>
                      <w:lang w:val="en-US" w:eastAsia="zh-CN"/>
                    </w:rPr>
                    <w:t>GX-900</w:t>
                  </w:r>
                </w:p>
              </w:tc>
              <w:tc>
                <w:tcPr>
                  <w:tcW w:w="1073" w:type="dxa"/>
                  <w:vMerge w:val="restart"/>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功率</w:t>
                  </w:r>
                </w:p>
              </w:tc>
              <w:tc>
                <w:tcPr>
                  <w:tcW w:w="990" w:type="dxa"/>
                  <w:vMerge w:val="restart"/>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kW</w:t>
                  </w:r>
                </w:p>
              </w:tc>
              <w:tc>
                <w:tcPr>
                  <w:tcW w:w="824" w:type="dxa"/>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0.37</w:t>
                  </w:r>
                </w:p>
              </w:tc>
              <w:tc>
                <w:tcPr>
                  <w:tcW w:w="990" w:type="dxa"/>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7" w:hRule="atLeast"/>
                <w:jc w:val="center"/>
              </w:trPr>
              <w:tc>
                <w:tcPr>
                  <w:tcW w:w="1372" w:type="dxa"/>
                  <w:vMerge w:val="restart"/>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初研</w:t>
                  </w:r>
                </w:p>
              </w:tc>
              <w:tc>
                <w:tcPr>
                  <w:tcW w:w="1089" w:type="dxa"/>
                  <w:vMerge w:val="restart"/>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初研</w:t>
                  </w:r>
                </w:p>
              </w:tc>
              <w:tc>
                <w:tcPr>
                  <w:tcW w:w="1103" w:type="dxa"/>
                  <w:vMerge w:val="restart"/>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初研机</w:t>
                  </w:r>
                </w:p>
              </w:tc>
              <w:tc>
                <w:tcPr>
                  <w:tcW w:w="996" w:type="dxa"/>
                  <w:noWrap w:val="0"/>
                  <w:vAlign w:val="center"/>
                </w:tcPr>
                <w:p>
                  <w:pPr>
                    <w:keepNext w:val="0"/>
                    <w:keepLines w:val="0"/>
                    <w:pageBreakBefore w:val="0"/>
                    <w:widowControl/>
                    <w:kinsoku/>
                    <w:wordWrap/>
                    <w:overflowPunct/>
                    <w:topLinePunct w:val="0"/>
                    <w:bidi w:val="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rPr>
                    <w:t>3ML4780</w:t>
                  </w:r>
                </w:p>
              </w:tc>
              <w:tc>
                <w:tcPr>
                  <w:tcW w:w="1073" w:type="dxa"/>
                  <w:vMerge w:val="restart"/>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功率</w:t>
                  </w:r>
                </w:p>
              </w:tc>
              <w:tc>
                <w:tcPr>
                  <w:tcW w:w="990" w:type="dxa"/>
                  <w:vMerge w:val="restart"/>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kW</w:t>
                  </w:r>
                </w:p>
              </w:tc>
              <w:tc>
                <w:tcPr>
                  <w:tcW w:w="824" w:type="dxa"/>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6</w:t>
                  </w:r>
                </w:p>
              </w:tc>
              <w:tc>
                <w:tcPr>
                  <w:tcW w:w="990" w:type="dxa"/>
                  <w:noWrap w:val="0"/>
                  <w:vAlign w:val="center"/>
                </w:tcPr>
                <w:p>
                  <w:pPr>
                    <w:keepNext w:val="0"/>
                    <w:keepLines w:val="0"/>
                    <w:pageBreakBefore w:val="0"/>
                    <w:widowControl/>
                    <w:kinsoku/>
                    <w:wordWrap/>
                    <w:overflowPunct/>
                    <w:topLinePunct w:val="0"/>
                    <w:bidi w:val="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jc w:val="center"/>
              </w:trPr>
              <w:tc>
                <w:tcPr>
                  <w:tcW w:w="1372" w:type="dxa"/>
                  <w:vMerge w:val="continue"/>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089" w:type="dxa"/>
                  <w:vMerge w:val="continue"/>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103" w:type="dxa"/>
                  <w:vMerge w:val="continue"/>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996" w:type="dxa"/>
                  <w:noWrap w:val="0"/>
                  <w:vAlign w:val="center"/>
                </w:tcPr>
                <w:p>
                  <w:pPr>
                    <w:keepNext w:val="0"/>
                    <w:keepLines w:val="0"/>
                    <w:pageBreakBefore w:val="0"/>
                    <w:widowControl/>
                    <w:kinsoku/>
                    <w:wordWrap/>
                    <w:overflowPunct/>
                    <w:topLinePunct w:val="0"/>
                    <w:bidi w:val="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rPr>
                    <w:t>3M7780</w:t>
                  </w:r>
                </w:p>
              </w:tc>
              <w:tc>
                <w:tcPr>
                  <w:tcW w:w="1073" w:type="dxa"/>
                  <w:vMerge w:val="continue"/>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990" w:type="dxa"/>
                  <w:vMerge w:val="continue"/>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824" w:type="dxa"/>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6</w:t>
                  </w:r>
                </w:p>
              </w:tc>
              <w:tc>
                <w:tcPr>
                  <w:tcW w:w="990" w:type="dxa"/>
                  <w:noWrap w:val="0"/>
                  <w:vAlign w:val="center"/>
                </w:tcPr>
                <w:p>
                  <w:pPr>
                    <w:keepNext w:val="0"/>
                    <w:keepLines w:val="0"/>
                    <w:pageBreakBefore w:val="0"/>
                    <w:widowControl/>
                    <w:kinsoku/>
                    <w:wordWrap/>
                    <w:overflowPunct/>
                    <w:topLinePunct w:val="0"/>
                    <w:bidi w:val="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jc w:val="center"/>
              </w:trPr>
              <w:tc>
                <w:tcPr>
                  <w:tcW w:w="1372" w:type="dxa"/>
                  <w:vMerge w:val="restart"/>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精研</w:t>
                  </w:r>
                </w:p>
              </w:tc>
              <w:tc>
                <w:tcPr>
                  <w:tcW w:w="1089" w:type="dxa"/>
                  <w:vMerge w:val="restart"/>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精研</w:t>
                  </w:r>
                </w:p>
              </w:tc>
              <w:tc>
                <w:tcPr>
                  <w:tcW w:w="1103" w:type="dxa"/>
                  <w:vMerge w:val="restart"/>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精研机</w:t>
                  </w:r>
                </w:p>
              </w:tc>
              <w:tc>
                <w:tcPr>
                  <w:tcW w:w="996" w:type="dxa"/>
                  <w:noWrap w:val="0"/>
                  <w:vAlign w:val="center"/>
                </w:tcPr>
                <w:p>
                  <w:pPr>
                    <w:keepNext w:val="0"/>
                    <w:keepLines w:val="0"/>
                    <w:pageBreakBefore w:val="0"/>
                    <w:widowControl/>
                    <w:kinsoku/>
                    <w:wordWrap/>
                    <w:overflowPunct/>
                    <w:topLinePunct w:val="0"/>
                    <w:bidi w:val="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rPr>
                    <w:t>ND660</w:t>
                  </w:r>
                </w:p>
              </w:tc>
              <w:tc>
                <w:tcPr>
                  <w:tcW w:w="1073" w:type="dxa"/>
                  <w:vMerge w:val="restart"/>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功率</w:t>
                  </w:r>
                </w:p>
              </w:tc>
              <w:tc>
                <w:tcPr>
                  <w:tcW w:w="990" w:type="dxa"/>
                  <w:vMerge w:val="restart"/>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kW</w:t>
                  </w:r>
                </w:p>
              </w:tc>
              <w:tc>
                <w:tcPr>
                  <w:tcW w:w="824" w:type="dxa"/>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7.85</w:t>
                  </w:r>
                </w:p>
              </w:tc>
              <w:tc>
                <w:tcPr>
                  <w:tcW w:w="990" w:type="dxa"/>
                  <w:noWrap w:val="0"/>
                  <w:vAlign w:val="center"/>
                </w:tcPr>
                <w:p>
                  <w:pPr>
                    <w:keepNext w:val="0"/>
                    <w:keepLines w:val="0"/>
                    <w:pageBreakBefore w:val="0"/>
                    <w:widowControl/>
                    <w:kinsoku/>
                    <w:wordWrap/>
                    <w:overflowPunct/>
                    <w:topLinePunct w:val="0"/>
                    <w:bidi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kern w:val="0"/>
                      <w:sz w:val="21"/>
                      <w:szCs w:val="21"/>
                      <w:highlight w:val="none"/>
                      <w:lang w:val="en-US" w:eastAsia="zh-CN"/>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jc w:val="center"/>
              </w:trPr>
              <w:tc>
                <w:tcPr>
                  <w:tcW w:w="1372" w:type="dxa"/>
                  <w:vMerge w:val="continue"/>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089" w:type="dxa"/>
                  <w:vMerge w:val="continue"/>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103" w:type="dxa"/>
                  <w:vMerge w:val="continue"/>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996" w:type="dxa"/>
                  <w:noWrap w:val="0"/>
                  <w:vAlign w:val="center"/>
                </w:tcPr>
                <w:p>
                  <w:pPr>
                    <w:keepNext w:val="0"/>
                    <w:keepLines w:val="0"/>
                    <w:pageBreakBefore w:val="0"/>
                    <w:widowControl/>
                    <w:kinsoku/>
                    <w:wordWrap/>
                    <w:overflowPunct/>
                    <w:topLinePunct w:val="0"/>
                    <w:bidi w:val="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rPr>
                    <w:t>3ML4780</w:t>
                  </w:r>
                </w:p>
              </w:tc>
              <w:tc>
                <w:tcPr>
                  <w:tcW w:w="1073" w:type="dxa"/>
                  <w:vMerge w:val="continue"/>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990" w:type="dxa"/>
                  <w:vMerge w:val="continue"/>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824" w:type="dxa"/>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6</w:t>
                  </w:r>
                </w:p>
              </w:tc>
              <w:tc>
                <w:tcPr>
                  <w:tcW w:w="990" w:type="dxa"/>
                  <w:noWrap w:val="0"/>
                  <w:vAlign w:val="center"/>
                </w:tcPr>
                <w:p>
                  <w:pPr>
                    <w:keepNext w:val="0"/>
                    <w:keepLines w:val="0"/>
                    <w:pageBreakBefore w:val="0"/>
                    <w:widowControl/>
                    <w:kinsoku/>
                    <w:wordWrap/>
                    <w:overflowPunct/>
                    <w:topLinePunct w:val="0"/>
                    <w:bidi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kern w:val="0"/>
                      <w:sz w:val="21"/>
                      <w:szCs w:val="21"/>
                      <w:highlight w:val="none"/>
                      <w:lang w:val="en-US" w:eastAsia="zh-CN"/>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jc w:val="center"/>
              </w:trPr>
              <w:tc>
                <w:tcPr>
                  <w:tcW w:w="1372" w:type="dxa"/>
                  <w:vMerge w:val="continue"/>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089" w:type="dxa"/>
                  <w:vMerge w:val="continue"/>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103" w:type="dxa"/>
                  <w:vMerge w:val="continue"/>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996" w:type="dxa"/>
                  <w:noWrap w:val="0"/>
                  <w:vAlign w:val="center"/>
                </w:tcPr>
                <w:p>
                  <w:pPr>
                    <w:keepNext w:val="0"/>
                    <w:keepLines w:val="0"/>
                    <w:pageBreakBefore w:val="0"/>
                    <w:widowControl/>
                    <w:kinsoku/>
                    <w:wordWrap/>
                    <w:overflowPunct/>
                    <w:topLinePunct w:val="0"/>
                    <w:bidi w:val="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rPr>
                    <w:t>3M7780</w:t>
                  </w:r>
                </w:p>
              </w:tc>
              <w:tc>
                <w:tcPr>
                  <w:tcW w:w="1073" w:type="dxa"/>
                  <w:vMerge w:val="continue"/>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990" w:type="dxa"/>
                  <w:vMerge w:val="continue"/>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824" w:type="dxa"/>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6</w:t>
                  </w:r>
                </w:p>
              </w:tc>
              <w:tc>
                <w:tcPr>
                  <w:tcW w:w="990" w:type="dxa"/>
                  <w:noWrap w:val="0"/>
                  <w:vAlign w:val="center"/>
                </w:tcPr>
                <w:p>
                  <w:pPr>
                    <w:keepNext w:val="0"/>
                    <w:keepLines w:val="0"/>
                    <w:pageBreakBefore w:val="0"/>
                    <w:widowControl/>
                    <w:kinsoku/>
                    <w:wordWrap/>
                    <w:overflowPunct/>
                    <w:topLinePunct w:val="0"/>
                    <w:bidi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kern w:val="0"/>
                      <w:sz w:val="21"/>
                      <w:szCs w:val="21"/>
                      <w:highlight w:val="none"/>
                      <w:lang w:val="en-US" w:eastAsia="zh-CN"/>
                    </w:rPr>
                    <w:t>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1372" w:type="dxa"/>
                  <w:vMerge w:val="continue"/>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089" w:type="dxa"/>
                  <w:vMerge w:val="continue"/>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103" w:type="dxa"/>
                  <w:vMerge w:val="continue"/>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996" w:type="dxa"/>
                  <w:noWrap w:val="0"/>
                  <w:vAlign w:val="center"/>
                </w:tcPr>
                <w:p>
                  <w:pPr>
                    <w:keepNext w:val="0"/>
                    <w:keepLines w:val="0"/>
                    <w:pageBreakBefore w:val="0"/>
                    <w:widowControl/>
                    <w:kinsoku/>
                    <w:wordWrap/>
                    <w:overflowPunct/>
                    <w:topLinePunct w:val="0"/>
                    <w:bidi w:val="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rPr>
                    <w:t>QX-01</w:t>
                  </w:r>
                </w:p>
              </w:tc>
              <w:tc>
                <w:tcPr>
                  <w:tcW w:w="1073" w:type="dxa"/>
                  <w:vMerge w:val="continue"/>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990" w:type="dxa"/>
                  <w:vMerge w:val="continue"/>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824" w:type="dxa"/>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3.5</w:t>
                  </w:r>
                </w:p>
              </w:tc>
              <w:tc>
                <w:tcPr>
                  <w:tcW w:w="990" w:type="dxa"/>
                  <w:noWrap w:val="0"/>
                  <w:vAlign w:val="center"/>
                </w:tcPr>
                <w:p>
                  <w:pPr>
                    <w:keepNext w:val="0"/>
                    <w:keepLines w:val="0"/>
                    <w:pageBreakBefore w:val="0"/>
                    <w:widowControl/>
                    <w:kinsoku/>
                    <w:wordWrap/>
                    <w:overflowPunct/>
                    <w:topLinePunct w:val="0"/>
                    <w:bidi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kern w:val="0"/>
                      <w:sz w:val="21"/>
                      <w:szCs w:val="21"/>
                      <w:highlight w:val="none"/>
                      <w:lang w:val="en-US" w:eastAsia="zh-CN"/>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9" w:hRule="atLeast"/>
                <w:jc w:val="center"/>
              </w:trPr>
              <w:tc>
                <w:tcPr>
                  <w:tcW w:w="1372" w:type="dxa"/>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清洗</w:t>
                  </w:r>
                </w:p>
              </w:tc>
              <w:tc>
                <w:tcPr>
                  <w:tcW w:w="1089" w:type="dxa"/>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清洗</w:t>
                  </w:r>
                </w:p>
              </w:tc>
              <w:tc>
                <w:tcPr>
                  <w:tcW w:w="1103" w:type="dxa"/>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钢球清洗机</w:t>
                  </w:r>
                </w:p>
              </w:tc>
              <w:tc>
                <w:tcPr>
                  <w:tcW w:w="996" w:type="dxa"/>
                  <w:noWrap w:val="0"/>
                  <w:vAlign w:val="center"/>
                </w:tcPr>
                <w:p>
                  <w:pPr>
                    <w:keepNext w:val="0"/>
                    <w:keepLines w:val="0"/>
                    <w:pageBreakBefore w:val="0"/>
                    <w:widowControl/>
                    <w:kinsoku/>
                    <w:wordWrap/>
                    <w:overflowPunct/>
                    <w:topLinePunct w:val="0"/>
                    <w:bidi w:val="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rPr>
                    <w:t>/</w:t>
                  </w:r>
                </w:p>
              </w:tc>
              <w:tc>
                <w:tcPr>
                  <w:tcW w:w="1073" w:type="dxa"/>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功率</w:t>
                  </w:r>
                </w:p>
              </w:tc>
              <w:tc>
                <w:tcPr>
                  <w:tcW w:w="990" w:type="dxa"/>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kW</w:t>
                  </w:r>
                </w:p>
              </w:tc>
              <w:tc>
                <w:tcPr>
                  <w:tcW w:w="824" w:type="dxa"/>
                  <w:noWrap w:val="0"/>
                  <w:vAlign w:val="center"/>
                </w:tcPr>
                <w:p>
                  <w:pPr>
                    <w:keepNext w:val="0"/>
                    <w:keepLines w:val="0"/>
                    <w:pageBreakBefore w:val="0"/>
                    <w:widowControl/>
                    <w:kinsoku/>
                    <w:wordWrap/>
                    <w:overflowPunct/>
                    <w:topLinePunct w:val="0"/>
                    <w:bidi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2.2</w:t>
                  </w:r>
                </w:p>
              </w:tc>
              <w:tc>
                <w:tcPr>
                  <w:tcW w:w="990" w:type="dxa"/>
                  <w:noWrap w:val="0"/>
                  <w:vAlign w:val="center"/>
                </w:tcPr>
                <w:p>
                  <w:pPr>
                    <w:keepNext w:val="0"/>
                    <w:keepLines w:val="0"/>
                    <w:pageBreakBefore w:val="0"/>
                    <w:widowControl/>
                    <w:kinsoku/>
                    <w:wordWrap/>
                    <w:overflowPunct/>
                    <w:topLinePunct w:val="0"/>
                    <w:bidi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1" w:hRule="atLeast"/>
                <w:jc w:val="center"/>
              </w:trPr>
              <w:tc>
                <w:tcPr>
                  <w:tcW w:w="1372" w:type="dxa"/>
                  <w:vMerge w:val="restart"/>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检验</w:t>
                  </w:r>
                </w:p>
              </w:tc>
              <w:tc>
                <w:tcPr>
                  <w:tcW w:w="1089" w:type="dxa"/>
                  <w:vMerge w:val="restart"/>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检验</w:t>
                  </w:r>
                </w:p>
              </w:tc>
              <w:tc>
                <w:tcPr>
                  <w:tcW w:w="1103" w:type="dxa"/>
                  <w:vMerge w:val="restart"/>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光电外观自动检测仪</w:t>
                  </w:r>
                </w:p>
              </w:tc>
              <w:tc>
                <w:tcPr>
                  <w:tcW w:w="996" w:type="dxa"/>
                  <w:noWrap w:val="0"/>
                  <w:vAlign w:val="center"/>
                </w:tcPr>
                <w:p>
                  <w:pPr>
                    <w:keepNext w:val="0"/>
                    <w:keepLines w:val="0"/>
                    <w:pageBreakBefore w:val="0"/>
                    <w:widowControl/>
                    <w:kinsoku/>
                    <w:wordWrap/>
                    <w:overflowPunct/>
                    <w:topLinePunct w:val="0"/>
                    <w:bidi w:val="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rPr>
                    <w:t>JQJ-01</w:t>
                  </w:r>
                </w:p>
              </w:tc>
              <w:tc>
                <w:tcPr>
                  <w:tcW w:w="1073" w:type="dxa"/>
                  <w:vMerge w:val="restart"/>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功率</w:t>
                  </w:r>
                </w:p>
              </w:tc>
              <w:tc>
                <w:tcPr>
                  <w:tcW w:w="990" w:type="dxa"/>
                  <w:vMerge w:val="restart"/>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kW</w:t>
                  </w:r>
                </w:p>
              </w:tc>
              <w:tc>
                <w:tcPr>
                  <w:tcW w:w="824" w:type="dxa"/>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0.37</w:t>
                  </w:r>
                </w:p>
              </w:tc>
              <w:tc>
                <w:tcPr>
                  <w:tcW w:w="990" w:type="dxa"/>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1" w:hRule="atLeast"/>
                <w:jc w:val="center"/>
              </w:trPr>
              <w:tc>
                <w:tcPr>
                  <w:tcW w:w="1372" w:type="dxa"/>
                  <w:vMerge w:val="continue"/>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089" w:type="dxa"/>
                  <w:vMerge w:val="continue"/>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103" w:type="dxa"/>
                  <w:vMerge w:val="continue"/>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996" w:type="dxa"/>
                  <w:noWrap w:val="0"/>
                  <w:vAlign w:val="center"/>
                </w:tcPr>
                <w:p>
                  <w:pPr>
                    <w:keepNext w:val="0"/>
                    <w:keepLines w:val="0"/>
                    <w:pageBreakBefore w:val="0"/>
                    <w:widowControl/>
                    <w:kinsoku/>
                    <w:wordWrap/>
                    <w:overflowPunct/>
                    <w:topLinePunct w:val="0"/>
                    <w:bidi w:val="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rPr>
                    <w:t>JD-03</w:t>
                  </w:r>
                </w:p>
              </w:tc>
              <w:tc>
                <w:tcPr>
                  <w:tcW w:w="1073" w:type="dxa"/>
                  <w:vMerge w:val="continue"/>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990" w:type="dxa"/>
                  <w:vMerge w:val="continue"/>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824" w:type="dxa"/>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0.139</w:t>
                  </w:r>
                </w:p>
              </w:tc>
              <w:tc>
                <w:tcPr>
                  <w:tcW w:w="990" w:type="dxa"/>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jc w:val="center"/>
              </w:trPr>
              <w:tc>
                <w:tcPr>
                  <w:tcW w:w="1372" w:type="dxa"/>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压缩空气</w:t>
                  </w:r>
                </w:p>
              </w:tc>
              <w:tc>
                <w:tcPr>
                  <w:tcW w:w="1089" w:type="dxa"/>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压缩空气</w:t>
                  </w:r>
                </w:p>
              </w:tc>
              <w:tc>
                <w:tcPr>
                  <w:tcW w:w="1103" w:type="dxa"/>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空压机</w:t>
                  </w:r>
                </w:p>
              </w:tc>
              <w:tc>
                <w:tcPr>
                  <w:tcW w:w="996" w:type="dxa"/>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073" w:type="dxa"/>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990" w:type="dxa"/>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824" w:type="dxa"/>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990" w:type="dxa"/>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9" w:hRule="atLeast"/>
                <w:jc w:val="center"/>
              </w:trPr>
              <w:tc>
                <w:tcPr>
                  <w:tcW w:w="1372" w:type="dxa"/>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回收工业白油</w:t>
                  </w:r>
                </w:p>
              </w:tc>
              <w:tc>
                <w:tcPr>
                  <w:tcW w:w="1089" w:type="dxa"/>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回收工业白油</w:t>
                  </w:r>
                </w:p>
              </w:tc>
              <w:tc>
                <w:tcPr>
                  <w:tcW w:w="1103" w:type="dxa"/>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溶剂回收机</w:t>
                  </w:r>
                </w:p>
              </w:tc>
              <w:tc>
                <w:tcPr>
                  <w:tcW w:w="996" w:type="dxa"/>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073" w:type="dxa"/>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容积</w:t>
                  </w:r>
                </w:p>
              </w:tc>
              <w:tc>
                <w:tcPr>
                  <w:tcW w:w="990" w:type="dxa"/>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w:t>
                  </w:r>
                </w:p>
              </w:tc>
              <w:tc>
                <w:tcPr>
                  <w:tcW w:w="824" w:type="dxa"/>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250</w:t>
                  </w:r>
                </w:p>
              </w:tc>
              <w:tc>
                <w:tcPr>
                  <w:tcW w:w="990" w:type="dxa"/>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jc w:val="center"/>
              </w:trPr>
              <w:tc>
                <w:tcPr>
                  <w:tcW w:w="1372" w:type="dxa"/>
                  <w:vMerge w:val="restart"/>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公用工程</w:t>
                  </w:r>
                </w:p>
              </w:tc>
              <w:tc>
                <w:tcPr>
                  <w:tcW w:w="1089" w:type="dxa"/>
                  <w:vMerge w:val="restart"/>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103" w:type="dxa"/>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立车</w:t>
                  </w:r>
                </w:p>
              </w:tc>
              <w:tc>
                <w:tcPr>
                  <w:tcW w:w="996" w:type="dxa"/>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073" w:type="dxa"/>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功率</w:t>
                  </w:r>
                </w:p>
              </w:tc>
              <w:tc>
                <w:tcPr>
                  <w:tcW w:w="990" w:type="dxa"/>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kW</w:t>
                  </w:r>
                </w:p>
              </w:tc>
              <w:tc>
                <w:tcPr>
                  <w:tcW w:w="824" w:type="dxa"/>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7.5</w:t>
                  </w:r>
                </w:p>
              </w:tc>
              <w:tc>
                <w:tcPr>
                  <w:tcW w:w="990" w:type="dxa"/>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2" w:hRule="atLeast"/>
                <w:jc w:val="center"/>
              </w:trPr>
              <w:tc>
                <w:tcPr>
                  <w:tcW w:w="1372" w:type="dxa"/>
                  <w:vMerge w:val="continue"/>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089" w:type="dxa"/>
                  <w:vMerge w:val="continue"/>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103" w:type="dxa"/>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行车</w:t>
                  </w:r>
                </w:p>
              </w:tc>
              <w:tc>
                <w:tcPr>
                  <w:tcW w:w="996" w:type="dxa"/>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073" w:type="dxa"/>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功率</w:t>
                  </w:r>
                </w:p>
              </w:tc>
              <w:tc>
                <w:tcPr>
                  <w:tcW w:w="990" w:type="dxa"/>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kW</w:t>
                  </w:r>
                </w:p>
              </w:tc>
              <w:tc>
                <w:tcPr>
                  <w:tcW w:w="824" w:type="dxa"/>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w:t>
                  </w:r>
                </w:p>
              </w:tc>
              <w:tc>
                <w:tcPr>
                  <w:tcW w:w="990" w:type="dxa"/>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8</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both"/>
              <w:textAlignment w:val="auto"/>
              <w:rPr>
                <w:rFonts w:hint="eastAsia" w:ascii="Times New Roman" w:hAnsi="Times New Roman" w:eastAsia="宋体" w:cs="Times New Roman"/>
                <w:b w:val="0"/>
                <w:bCs w:val="0"/>
                <w:color w:val="000000" w:themeColor="text1"/>
                <w:sz w:val="24"/>
                <w:szCs w:val="24"/>
                <w:lang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4、</w:t>
            </w:r>
            <w:r>
              <w:rPr>
                <w:rFonts w:hint="eastAsia" w:ascii="Times New Roman" w:hAnsi="Times New Roman" w:eastAsia="宋体" w:cs="Times New Roman"/>
                <w:b/>
                <w:bCs/>
                <w:color w:val="000000" w:themeColor="text1"/>
                <w:sz w:val="24"/>
                <w:szCs w:val="24"/>
                <w:lang w:eastAsia="zh-CN"/>
                <w14:textFill>
                  <w14:solidFill>
                    <w14:schemeClr w14:val="tx1"/>
                  </w14:solidFill>
                </w14:textFill>
              </w:rPr>
              <w:t>项目原辅材料及资源、能源消耗</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项目主要原辅材料及</w:t>
            </w:r>
            <w:r>
              <w:rPr>
                <w:rFonts w:hint="eastAsia" w:ascii="Times New Roman" w:hAnsi="Times New Roman" w:eastAsia="宋体" w:cs="Times New Roman"/>
                <w:b w:val="0"/>
                <w:bCs w:val="0"/>
                <w:color w:val="000000" w:themeColor="text1"/>
                <w:sz w:val="24"/>
                <w:szCs w:val="24"/>
                <w:lang w:eastAsia="zh-CN"/>
                <w14:textFill>
                  <w14:solidFill>
                    <w14:schemeClr w14:val="tx1"/>
                  </w14:solidFill>
                </w14:textFill>
              </w:rPr>
              <w:t>资源、能源</w:t>
            </w:r>
            <w:r>
              <w:rPr>
                <w:rFonts w:hint="default" w:ascii="Times New Roman" w:hAnsi="Times New Roman" w:eastAsia="宋体" w:cs="Times New Roman"/>
                <w:color w:val="000000" w:themeColor="text1"/>
                <w:sz w:val="24"/>
                <w:szCs w:val="24"/>
                <w14:textFill>
                  <w14:solidFill>
                    <w14:schemeClr w14:val="tx1"/>
                  </w14:solidFill>
                </w14:textFill>
              </w:rPr>
              <w:t>消耗见表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w:t>
            </w:r>
            <w:r>
              <w:rPr>
                <w:rFonts w:hint="eastAsia" w:cs="Times New Roman"/>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表</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szCs w:val="24"/>
                <w14:textFill>
                  <w14:solidFill>
                    <w14:schemeClr w14:val="tx1"/>
                  </w14:solidFill>
                </w14:textFill>
              </w:rPr>
              <w:t>.</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b/>
                <w:bCs/>
                <w:color w:val="000000" w:themeColor="text1"/>
                <w:sz w:val="24"/>
                <w:szCs w:val="24"/>
                <w14:textFill>
                  <w14:solidFill>
                    <w14:schemeClr w14:val="tx1"/>
                  </w14:solidFill>
                </w14:textFill>
              </w:rPr>
              <w:t xml:space="preserve"> </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4"/>
                <w:szCs w:val="24"/>
                <w:lang w:eastAsia="zh-CN"/>
                <w14:textFill>
                  <w14:solidFill>
                    <w14:schemeClr w14:val="tx1"/>
                  </w14:solidFill>
                </w14:textFill>
              </w:rPr>
              <w:t>项目原辅材料及资源、能源消耗</w:t>
            </w:r>
            <w:r>
              <w:rPr>
                <w:rFonts w:hint="default" w:ascii="Times New Roman" w:hAnsi="Times New Roman" w:eastAsia="宋体" w:cs="Times New Roman"/>
                <w:b/>
                <w:bCs/>
                <w:color w:val="000000" w:themeColor="text1"/>
                <w:sz w:val="24"/>
                <w:szCs w:val="24"/>
                <w14:textFill>
                  <w14:solidFill>
                    <w14:schemeClr w14:val="tx1"/>
                  </w14:solidFill>
                </w14:textFill>
              </w:rPr>
              <w:t>一览表</w:t>
            </w:r>
          </w:p>
          <w:tbl>
            <w:tblPr>
              <w:tblStyle w:val="25"/>
              <w:tblW w:w="8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1080"/>
              <w:gridCol w:w="929"/>
              <w:gridCol w:w="1050"/>
              <w:gridCol w:w="1440"/>
              <w:gridCol w:w="30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序号</w:t>
                  </w:r>
                </w:p>
              </w:tc>
              <w:tc>
                <w:tcPr>
                  <w:tcW w:w="1080" w:type="dxa"/>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名称</w:t>
                  </w:r>
                </w:p>
              </w:tc>
              <w:tc>
                <w:tcPr>
                  <w:tcW w:w="929" w:type="dxa"/>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单位</w:t>
                  </w:r>
                </w:p>
              </w:tc>
              <w:tc>
                <w:tcPr>
                  <w:tcW w:w="1050" w:type="dxa"/>
                  <w:noWrap w:val="0"/>
                  <w:vAlign w:val="center"/>
                </w:tcPr>
                <w:p>
                  <w:pPr>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年用量</w:t>
                  </w:r>
                </w:p>
              </w:tc>
              <w:tc>
                <w:tcPr>
                  <w:tcW w:w="1440" w:type="dxa"/>
                  <w:noWrap w:val="0"/>
                  <w:vAlign w:val="center"/>
                </w:tcPr>
                <w:p>
                  <w:pPr>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最大存储量</w:t>
                  </w:r>
                </w:p>
              </w:tc>
              <w:tc>
                <w:tcPr>
                  <w:tcW w:w="3081" w:type="dxa"/>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98" w:type="dxa"/>
                  <w:gridSpan w:val="6"/>
                  <w:noWrap w:val="0"/>
                  <w:vAlign w:val="center"/>
                </w:tcPr>
                <w:p>
                  <w:pPr>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原辅材料消耗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1080" w:type="dxa"/>
                  <w:noWrap w:val="0"/>
                  <w:vAlign w:val="center"/>
                </w:tcPr>
                <w:p>
                  <w:pPr>
                    <w:autoSpaceDE w:val="0"/>
                    <w:autoSpaceDN w:val="0"/>
                    <w:adjustRightInd w:val="0"/>
                    <w:snapToGrid w:val="0"/>
                    <w:spacing w:line="400" w:lineRule="exact"/>
                    <w:ind w:right="-34"/>
                    <w:jc w:val="center"/>
                    <w:textAlignment w:val="bottom"/>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轴承钢丝</w:t>
                  </w:r>
                </w:p>
              </w:tc>
              <w:tc>
                <w:tcPr>
                  <w:tcW w:w="929" w:type="dxa"/>
                  <w:noWrap w:val="0"/>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t/a</w:t>
                  </w:r>
                </w:p>
              </w:tc>
              <w:tc>
                <w:tcPr>
                  <w:tcW w:w="1050" w:type="dxa"/>
                  <w:noWrap w:val="0"/>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7000</w:t>
                  </w:r>
                </w:p>
              </w:tc>
              <w:tc>
                <w:tcPr>
                  <w:tcW w:w="1440" w:type="dxa"/>
                  <w:noWrap w:val="0"/>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600</w:t>
                  </w:r>
                </w:p>
              </w:tc>
              <w:tc>
                <w:tcPr>
                  <w:tcW w:w="3081" w:type="dxa"/>
                  <w:noWrap w:val="0"/>
                  <w:vAlign w:val="center"/>
                </w:tcPr>
                <w:p>
                  <w:pPr>
                    <w:tabs>
                      <w:tab w:val="left" w:pos="387"/>
                    </w:tabs>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500kg/件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w:t>
                  </w:r>
                </w:p>
              </w:tc>
              <w:tc>
                <w:tcPr>
                  <w:tcW w:w="1080" w:type="dxa"/>
                  <w:noWrap w:val="0"/>
                  <w:vAlign w:val="center"/>
                </w:tcPr>
                <w:p>
                  <w:pPr>
                    <w:autoSpaceDE w:val="0"/>
                    <w:autoSpaceDN w:val="0"/>
                    <w:adjustRightInd w:val="0"/>
                    <w:snapToGrid w:val="0"/>
                    <w:spacing w:line="400" w:lineRule="exact"/>
                    <w:ind w:right="-34"/>
                    <w:jc w:val="center"/>
                    <w:textAlignment w:val="bottom"/>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冷镦机油</w:t>
                  </w:r>
                </w:p>
              </w:tc>
              <w:tc>
                <w:tcPr>
                  <w:tcW w:w="929" w:type="dxa"/>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t/a</w:t>
                  </w:r>
                </w:p>
              </w:tc>
              <w:tc>
                <w:tcPr>
                  <w:tcW w:w="1050" w:type="dxa"/>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10</w:t>
                  </w:r>
                </w:p>
              </w:tc>
              <w:tc>
                <w:tcPr>
                  <w:tcW w:w="1440" w:type="dxa"/>
                  <w:noWrap w:val="0"/>
                  <w:vAlign w:val="center"/>
                </w:tcPr>
                <w:p>
                  <w:pPr>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6桶，1.0t</w:t>
                  </w:r>
                </w:p>
              </w:tc>
              <w:tc>
                <w:tcPr>
                  <w:tcW w:w="3081" w:type="dxa"/>
                  <w:noWrap w:val="0"/>
                  <w:vAlign w:val="center"/>
                </w:tcPr>
                <w:p>
                  <w:pPr>
                    <w:tabs>
                      <w:tab w:val="left" w:pos="387"/>
                    </w:tabs>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外购，桶装</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170</w:t>
                  </w:r>
                  <w:r>
                    <w:rPr>
                      <w:rFonts w:hint="default" w:ascii="Times New Roman" w:hAnsi="Times New Roman" w:eastAsia="宋体" w:cs="Times New Roman"/>
                      <w:color w:val="000000" w:themeColor="text1"/>
                      <w:sz w:val="21"/>
                      <w:szCs w:val="21"/>
                      <w14:textFill>
                        <w14:solidFill>
                          <w14:schemeClr w14:val="tx1"/>
                        </w14:solidFill>
                      </w14:textFill>
                    </w:rPr>
                    <w:t>kg/</w:t>
                  </w:r>
                  <w:r>
                    <w:rPr>
                      <w:rFonts w:hint="eastAsia" w:ascii="Times New Roman" w:hAnsi="Times New Roman" w:eastAsia="宋体" w:cs="Times New Roman"/>
                      <w:color w:val="000000" w:themeColor="text1"/>
                      <w:sz w:val="21"/>
                      <w:szCs w:val="21"/>
                      <w:lang w:eastAsia="zh-CN"/>
                      <w14:textFill>
                        <w14:solidFill>
                          <w14:schemeClr w14:val="tx1"/>
                        </w14:solidFill>
                      </w14:textFill>
                    </w:rPr>
                    <w:t>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noWrap w:val="0"/>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3</w:t>
                  </w:r>
                </w:p>
              </w:tc>
              <w:tc>
                <w:tcPr>
                  <w:tcW w:w="1080" w:type="dxa"/>
                  <w:noWrap w:val="0"/>
                  <w:vAlign w:val="center"/>
                </w:tcPr>
                <w:p>
                  <w:pPr>
                    <w:autoSpaceDE w:val="0"/>
                    <w:autoSpaceDN w:val="0"/>
                    <w:adjustRightInd w:val="0"/>
                    <w:snapToGrid w:val="0"/>
                    <w:spacing w:line="400" w:lineRule="exact"/>
                    <w:ind w:right="-34"/>
                    <w:jc w:val="center"/>
                    <w:textAlignment w:val="bottom"/>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特磨液</w:t>
                  </w:r>
                </w:p>
              </w:tc>
              <w:tc>
                <w:tcPr>
                  <w:tcW w:w="929" w:type="dxa"/>
                  <w:noWrap w:val="0"/>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t/a</w:t>
                  </w:r>
                </w:p>
              </w:tc>
              <w:tc>
                <w:tcPr>
                  <w:tcW w:w="1050" w:type="dxa"/>
                  <w:noWrap w:val="0"/>
                  <w:vAlign w:val="center"/>
                </w:tcPr>
                <w:p>
                  <w:pPr>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35</w:t>
                  </w:r>
                </w:p>
              </w:tc>
              <w:tc>
                <w:tcPr>
                  <w:tcW w:w="1440" w:type="dxa"/>
                  <w:noWrap w:val="0"/>
                  <w:vAlign w:val="center"/>
                </w:tcPr>
                <w:p>
                  <w:pPr>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14桶，2.5t</w:t>
                  </w:r>
                </w:p>
              </w:tc>
              <w:tc>
                <w:tcPr>
                  <w:tcW w:w="3081" w:type="dxa"/>
                  <w:noWrap w:val="0"/>
                  <w:vAlign w:val="center"/>
                </w:tcPr>
                <w:p>
                  <w:pPr>
                    <w:tabs>
                      <w:tab w:val="left" w:pos="387"/>
                    </w:tabs>
                    <w:jc w:val="center"/>
                    <w:rPr>
                      <w:rFonts w:hint="default"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外购，桶装</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175</w:t>
                  </w:r>
                  <w:r>
                    <w:rPr>
                      <w:rFonts w:hint="default" w:ascii="Times New Roman" w:hAnsi="Times New Roman" w:eastAsia="宋体" w:cs="Times New Roman"/>
                      <w:color w:val="000000" w:themeColor="text1"/>
                      <w:sz w:val="21"/>
                      <w:szCs w:val="21"/>
                      <w14:textFill>
                        <w14:solidFill>
                          <w14:schemeClr w14:val="tx1"/>
                        </w14:solidFill>
                      </w14:textFill>
                    </w:rPr>
                    <w:t>kg/</w:t>
                  </w:r>
                  <w:r>
                    <w:rPr>
                      <w:rFonts w:hint="eastAsia" w:ascii="Times New Roman" w:hAnsi="Times New Roman" w:eastAsia="宋体" w:cs="Times New Roman"/>
                      <w:color w:val="000000" w:themeColor="text1"/>
                      <w:sz w:val="21"/>
                      <w:szCs w:val="21"/>
                      <w:lang w:eastAsia="zh-CN"/>
                      <w14:textFill>
                        <w14:solidFill>
                          <w14:schemeClr w14:val="tx1"/>
                        </w14:solidFill>
                      </w14:textFill>
                    </w:rPr>
                    <w:t>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noWrap w:val="0"/>
                  <w:vAlign w:val="center"/>
                </w:tcPr>
                <w:p>
                  <w:pPr>
                    <w:jc w:val="center"/>
                    <w:rPr>
                      <w:rFonts w:hint="default"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4</w:t>
                  </w:r>
                </w:p>
              </w:tc>
              <w:tc>
                <w:tcPr>
                  <w:tcW w:w="1080" w:type="dxa"/>
                  <w:noWrap w:val="0"/>
                  <w:vAlign w:val="center"/>
                </w:tcPr>
                <w:p>
                  <w:pPr>
                    <w:autoSpaceDE w:val="0"/>
                    <w:autoSpaceDN w:val="0"/>
                    <w:adjustRightInd w:val="0"/>
                    <w:snapToGrid w:val="0"/>
                    <w:spacing w:line="400" w:lineRule="exact"/>
                    <w:ind w:right="-34"/>
                    <w:jc w:val="center"/>
                    <w:textAlignment w:val="bottom"/>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循环液</w:t>
                  </w:r>
                </w:p>
              </w:tc>
              <w:tc>
                <w:tcPr>
                  <w:tcW w:w="929" w:type="dxa"/>
                  <w:noWrap w:val="0"/>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t/a</w:t>
                  </w:r>
                </w:p>
              </w:tc>
              <w:tc>
                <w:tcPr>
                  <w:tcW w:w="1050" w:type="dxa"/>
                  <w:noWrap w:val="0"/>
                  <w:vAlign w:val="center"/>
                </w:tcPr>
                <w:p>
                  <w:pPr>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50</w:t>
                  </w:r>
                </w:p>
              </w:tc>
              <w:tc>
                <w:tcPr>
                  <w:tcW w:w="1440" w:type="dxa"/>
                  <w:noWrap w:val="0"/>
                  <w:vAlign w:val="center"/>
                </w:tcPr>
                <w:p>
                  <w:pPr>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28桶，5t</w:t>
                  </w:r>
                </w:p>
              </w:tc>
              <w:tc>
                <w:tcPr>
                  <w:tcW w:w="3081" w:type="dxa"/>
                  <w:noWrap w:val="0"/>
                  <w:vAlign w:val="center"/>
                </w:tcPr>
                <w:p>
                  <w:pPr>
                    <w:tabs>
                      <w:tab w:val="left" w:pos="387"/>
                    </w:tabs>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外购，桶装</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175</w:t>
                  </w:r>
                  <w:r>
                    <w:rPr>
                      <w:rFonts w:hint="default" w:ascii="Times New Roman" w:hAnsi="Times New Roman" w:eastAsia="宋体" w:cs="Times New Roman"/>
                      <w:color w:val="000000" w:themeColor="text1"/>
                      <w:sz w:val="21"/>
                      <w:szCs w:val="21"/>
                      <w14:textFill>
                        <w14:solidFill>
                          <w14:schemeClr w14:val="tx1"/>
                        </w14:solidFill>
                      </w14:textFill>
                    </w:rPr>
                    <w:t>kg/</w:t>
                  </w:r>
                  <w:r>
                    <w:rPr>
                      <w:rFonts w:hint="eastAsia" w:ascii="Times New Roman" w:hAnsi="Times New Roman" w:eastAsia="宋体" w:cs="Times New Roman"/>
                      <w:color w:val="000000" w:themeColor="text1"/>
                      <w:sz w:val="21"/>
                      <w:szCs w:val="21"/>
                      <w:lang w:eastAsia="zh-CN"/>
                      <w14:textFill>
                        <w14:solidFill>
                          <w14:schemeClr w14:val="tx1"/>
                        </w14:solidFill>
                      </w14:textFill>
                    </w:rPr>
                    <w:t>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noWrap w:val="0"/>
                  <w:vAlign w:val="center"/>
                </w:tcPr>
                <w:p>
                  <w:pPr>
                    <w:jc w:val="center"/>
                    <w:rPr>
                      <w:rFonts w:hint="default"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5</w:t>
                  </w:r>
                </w:p>
              </w:tc>
              <w:tc>
                <w:tcPr>
                  <w:tcW w:w="1080" w:type="dxa"/>
                  <w:noWrap w:val="0"/>
                  <w:vAlign w:val="center"/>
                </w:tcPr>
                <w:p>
                  <w:pPr>
                    <w:autoSpaceDE w:val="0"/>
                    <w:autoSpaceDN w:val="0"/>
                    <w:adjustRightInd w:val="0"/>
                    <w:snapToGrid w:val="0"/>
                    <w:spacing w:line="400" w:lineRule="exact"/>
                    <w:ind w:right="-34"/>
                    <w:jc w:val="center"/>
                    <w:textAlignment w:val="bottom"/>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精研液</w:t>
                  </w:r>
                </w:p>
              </w:tc>
              <w:tc>
                <w:tcPr>
                  <w:tcW w:w="929" w:type="dxa"/>
                  <w:noWrap w:val="0"/>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t/a</w:t>
                  </w:r>
                </w:p>
              </w:tc>
              <w:tc>
                <w:tcPr>
                  <w:tcW w:w="1050" w:type="dxa"/>
                  <w:noWrap w:val="0"/>
                  <w:vAlign w:val="center"/>
                </w:tcPr>
                <w:p>
                  <w:pPr>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35</w:t>
                  </w:r>
                </w:p>
              </w:tc>
              <w:tc>
                <w:tcPr>
                  <w:tcW w:w="1440" w:type="dxa"/>
                  <w:noWrap w:val="0"/>
                  <w:vAlign w:val="center"/>
                </w:tcPr>
                <w:p>
                  <w:pPr>
                    <w:jc w:val="center"/>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14桶，2.5t</w:t>
                  </w:r>
                </w:p>
              </w:tc>
              <w:tc>
                <w:tcPr>
                  <w:tcW w:w="3081" w:type="dxa"/>
                  <w:noWrap w:val="0"/>
                  <w:vAlign w:val="center"/>
                </w:tcPr>
                <w:p>
                  <w:pPr>
                    <w:tabs>
                      <w:tab w:val="left" w:pos="387"/>
                    </w:tabs>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外购，桶装</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175</w:t>
                  </w:r>
                  <w:r>
                    <w:rPr>
                      <w:rFonts w:hint="eastAsia" w:cs="Times New Roman"/>
                      <w:color w:val="000000" w:themeColor="text1"/>
                      <w:sz w:val="21"/>
                      <w:szCs w:val="21"/>
                      <w:highlight w:val="none"/>
                      <w:lang w:val="en-US" w:eastAsia="zh-CN"/>
                      <w14:textFill>
                        <w14:solidFill>
                          <w14:schemeClr w14:val="tx1"/>
                        </w14:solidFill>
                      </w14:textFill>
                    </w:rPr>
                    <w:t>kg</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eastAsia="zh-CN"/>
                      <w14:textFill>
                        <w14:solidFill>
                          <w14:schemeClr w14:val="tx1"/>
                        </w14:solidFill>
                      </w14:textFill>
                    </w:rPr>
                    <w:t>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6</w:t>
                  </w:r>
                </w:p>
              </w:tc>
              <w:tc>
                <w:tcPr>
                  <w:tcW w:w="1080" w:type="dxa"/>
                  <w:noWrap w:val="0"/>
                  <w:vAlign w:val="center"/>
                </w:tcPr>
                <w:p>
                  <w:pPr>
                    <w:autoSpaceDE w:val="0"/>
                    <w:autoSpaceDN w:val="0"/>
                    <w:adjustRightInd w:val="0"/>
                    <w:snapToGrid w:val="0"/>
                    <w:spacing w:line="400" w:lineRule="exact"/>
                    <w:ind w:right="-34"/>
                    <w:jc w:val="center"/>
                    <w:textAlignment w:val="bottom"/>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甲醇</w:t>
                  </w:r>
                </w:p>
              </w:tc>
              <w:tc>
                <w:tcPr>
                  <w:tcW w:w="929" w:type="dxa"/>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t/a</w:t>
                  </w:r>
                </w:p>
              </w:tc>
              <w:tc>
                <w:tcPr>
                  <w:tcW w:w="1050" w:type="dxa"/>
                  <w:noWrap w:val="0"/>
                  <w:vAlign w:val="center"/>
                </w:tcPr>
                <w:p>
                  <w:pPr>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9</w:t>
                  </w:r>
                </w:p>
              </w:tc>
              <w:tc>
                <w:tcPr>
                  <w:tcW w:w="1440" w:type="dxa"/>
                  <w:noWrap w:val="0"/>
                  <w:vAlign w:val="center"/>
                </w:tcPr>
                <w:p>
                  <w:pPr>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3桶，</w:t>
                  </w:r>
                  <w:r>
                    <w:rPr>
                      <w:rFonts w:hint="eastAsia" w:cs="Times New Roman"/>
                      <w:color w:val="000000" w:themeColor="text1"/>
                      <w:sz w:val="21"/>
                      <w:szCs w:val="21"/>
                      <w:highlight w:val="none"/>
                      <w:lang w:val="en-US" w:eastAsia="zh-CN"/>
                      <w14:textFill>
                        <w14:solidFill>
                          <w14:schemeClr w14:val="tx1"/>
                        </w14:solidFill>
                      </w14:textFill>
                    </w:rPr>
                    <w:t>0.495</w:t>
                  </w:r>
                  <w:r>
                    <w:rPr>
                      <w:rFonts w:hint="eastAsia" w:cs="Times New Roman"/>
                      <w:color w:val="000000" w:themeColor="text1"/>
                      <w:sz w:val="21"/>
                      <w:szCs w:val="21"/>
                      <w:lang w:val="en-US" w:eastAsia="zh-CN"/>
                      <w14:textFill>
                        <w14:solidFill>
                          <w14:schemeClr w14:val="tx1"/>
                        </w14:solidFill>
                      </w14:textFill>
                    </w:rPr>
                    <w:t>t</w:t>
                  </w:r>
                </w:p>
              </w:tc>
              <w:tc>
                <w:tcPr>
                  <w:tcW w:w="3081" w:type="dxa"/>
                  <w:noWrap w:val="0"/>
                  <w:vAlign w:val="center"/>
                </w:tcPr>
                <w:p>
                  <w:pPr>
                    <w:tabs>
                      <w:tab w:val="left" w:pos="387"/>
                    </w:tabs>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外购，桶装</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160</w:t>
                  </w:r>
                  <w:r>
                    <w:rPr>
                      <w:rFonts w:hint="default" w:ascii="Times New Roman" w:hAnsi="Times New Roman" w:eastAsia="宋体" w:cs="Times New Roman"/>
                      <w:color w:val="000000" w:themeColor="text1"/>
                      <w:sz w:val="21"/>
                      <w:szCs w:val="21"/>
                      <w14:textFill>
                        <w14:solidFill>
                          <w14:schemeClr w14:val="tx1"/>
                        </w14:solidFill>
                      </w14:textFill>
                    </w:rPr>
                    <w:t>kg/</w:t>
                  </w:r>
                  <w:r>
                    <w:rPr>
                      <w:rFonts w:hint="eastAsia" w:ascii="Times New Roman" w:hAnsi="Times New Roman" w:eastAsia="宋体" w:cs="Times New Roman"/>
                      <w:color w:val="000000" w:themeColor="text1"/>
                      <w:sz w:val="21"/>
                      <w:szCs w:val="21"/>
                      <w:lang w:eastAsia="zh-CN"/>
                      <w14:textFill>
                        <w14:solidFill>
                          <w14:schemeClr w14:val="tx1"/>
                        </w14:solidFill>
                      </w14:textFill>
                    </w:rPr>
                    <w:t>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7</w:t>
                  </w:r>
                </w:p>
              </w:tc>
              <w:tc>
                <w:tcPr>
                  <w:tcW w:w="1080" w:type="dxa"/>
                  <w:noWrap w:val="0"/>
                  <w:vAlign w:val="center"/>
                </w:tcPr>
                <w:p>
                  <w:pPr>
                    <w:autoSpaceDE w:val="0"/>
                    <w:autoSpaceDN w:val="0"/>
                    <w:adjustRightInd w:val="0"/>
                    <w:snapToGrid w:val="0"/>
                    <w:spacing w:line="400" w:lineRule="exact"/>
                    <w:ind w:right="-34"/>
                    <w:jc w:val="center"/>
                    <w:textAlignment w:val="bottom"/>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淬火油</w:t>
                  </w:r>
                </w:p>
              </w:tc>
              <w:tc>
                <w:tcPr>
                  <w:tcW w:w="929" w:type="dxa"/>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t/a</w:t>
                  </w:r>
                </w:p>
              </w:tc>
              <w:tc>
                <w:tcPr>
                  <w:tcW w:w="1050" w:type="dxa"/>
                  <w:noWrap w:val="0"/>
                  <w:vAlign w:val="center"/>
                </w:tcPr>
                <w:p>
                  <w:pPr>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12</w:t>
                  </w:r>
                </w:p>
              </w:tc>
              <w:tc>
                <w:tcPr>
                  <w:tcW w:w="1440" w:type="dxa"/>
                  <w:noWrap w:val="0"/>
                  <w:vAlign w:val="center"/>
                </w:tcPr>
                <w:p>
                  <w:pPr>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6桶，1.0t</w:t>
                  </w:r>
                </w:p>
              </w:tc>
              <w:tc>
                <w:tcPr>
                  <w:tcW w:w="3081" w:type="dxa"/>
                  <w:noWrap w:val="0"/>
                  <w:vAlign w:val="center"/>
                </w:tcPr>
                <w:p>
                  <w:pPr>
                    <w:tabs>
                      <w:tab w:val="left" w:pos="387"/>
                    </w:tabs>
                    <w:jc w:val="center"/>
                    <w:rPr>
                      <w:rFonts w:hint="eastAsia"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外购，桶装</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165</w:t>
                  </w:r>
                  <w:r>
                    <w:rPr>
                      <w:rFonts w:hint="default" w:ascii="Times New Roman" w:hAnsi="Times New Roman" w:eastAsia="宋体" w:cs="Times New Roman"/>
                      <w:color w:val="000000" w:themeColor="text1"/>
                      <w:sz w:val="21"/>
                      <w:szCs w:val="21"/>
                      <w14:textFill>
                        <w14:solidFill>
                          <w14:schemeClr w14:val="tx1"/>
                        </w14:solidFill>
                      </w14:textFill>
                    </w:rPr>
                    <w:t>kg/</w:t>
                  </w:r>
                  <w:r>
                    <w:rPr>
                      <w:rFonts w:hint="eastAsia" w:ascii="Times New Roman" w:hAnsi="Times New Roman" w:eastAsia="宋体" w:cs="Times New Roman"/>
                      <w:color w:val="000000" w:themeColor="text1"/>
                      <w:sz w:val="21"/>
                      <w:szCs w:val="21"/>
                      <w:lang w:eastAsia="zh-CN"/>
                      <w14:textFill>
                        <w14:solidFill>
                          <w14:schemeClr w14:val="tx1"/>
                        </w14:solidFill>
                      </w14:textFill>
                    </w:rPr>
                    <w:t>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8</w:t>
                  </w:r>
                </w:p>
              </w:tc>
              <w:tc>
                <w:tcPr>
                  <w:tcW w:w="1080" w:type="dxa"/>
                  <w:noWrap w:val="0"/>
                  <w:vAlign w:val="center"/>
                </w:tcPr>
                <w:p>
                  <w:pPr>
                    <w:autoSpaceDE w:val="0"/>
                    <w:autoSpaceDN w:val="0"/>
                    <w:adjustRightInd w:val="0"/>
                    <w:snapToGrid w:val="0"/>
                    <w:spacing w:line="400" w:lineRule="exact"/>
                    <w:ind w:right="-34"/>
                    <w:jc w:val="center"/>
                    <w:textAlignment w:val="bottom"/>
                    <w:rPr>
                      <w:rFonts w:hint="eastAsia"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工业白油</w:t>
                  </w:r>
                </w:p>
              </w:tc>
              <w:tc>
                <w:tcPr>
                  <w:tcW w:w="929" w:type="dxa"/>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t/a</w:t>
                  </w:r>
                </w:p>
              </w:tc>
              <w:tc>
                <w:tcPr>
                  <w:tcW w:w="1050" w:type="dxa"/>
                  <w:noWrap w:val="0"/>
                  <w:vAlign w:val="center"/>
                </w:tcPr>
                <w:p>
                  <w:pPr>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20</w:t>
                  </w:r>
                </w:p>
              </w:tc>
              <w:tc>
                <w:tcPr>
                  <w:tcW w:w="1440" w:type="dxa"/>
                  <w:noWrap w:val="0"/>
                  <w:vAlign w:val="center"/>
                </w:tcPr>
                <w:p>
                  <w:pPr>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13桶，2.0t</w:t>
                  </w:r>
                </w:p>
              </w:tc>
              <w:tc>
                <w:tcPr>
                  <w:tcW w:w="3081" w:type="dxa"/>
                  <w:noWrap w:val="0"/>
                  <w:vAlign w:val="center"/>
                </w:tcPr>
                <w:p>
                  <w:pPr>
                    <w:tabs>
                      <w:tab w:val="left" w:pos="387"/>
                    </w:tabs>
                    <w:jc w:val="center"/>
                    <w:rPr>
                      <w:rFonts w:hint="eastAsia"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外购，桶装</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160</w:t>
                  </w:r>
                  <w:r>
                    <w:rPr>
                      <w:rFonts w:hint="default" w:ascii="Times New Roman" w:hAnsi="Times New Roman" w:eastAsia="宋体" w:cs="Times New Roman"/>
                      <w:color w:val="000000" w:themeColor="text1"/>
                      <w:sz w:val="21"/>
                      <w:szCs w:val="21"/>
                      <w14:textFill>
                        <w14:solidFill>
                          <w14:schemeClr w14:val="tx1"/>
                        </w14:solidFill>
                      </w14:textFill>
                    </w:rPr>
                    <w:t>kg/</w:t>
                  </w:r>
                  <w:r>
                    <w:rPr>
                      <w:rFonts w:hint="eastAsia" w:ascii="Times New Roman" w:hAnsi="Times New Roman" w:eastAsia="宋体" w:cs="Times New Roman"/>
                      <w:color w:val="000000" w:themeColor="text1"/>
                      <w:sz w:val="21"/>
                      <w:szCs w:val="21"/>
                      <w:lang w:eastAsia="zh-CN"/>
                      <w14:textFill>
                        <w14:solidFill>
                          <w14:schemeClr w14:val="tx1"/>
                        </w14:solidFill>
                      </w14:textFill>
                    </w:rPr>
                    <w:t>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9</w:t>
                  </w:r>
                </w:p>
              </w:tc>
              <w:tc>
                <w:tcPr>
                  <w:tcW w:w="1080" w:type="dxa"/>
                  <w:noWrap w:val="0"/>
                  <w:vAlign w:val="center"/>
                </w:tcPr>
                <w:p>
                  <w:pPr>
                    <w:autoSpaceDE w:val="0"/>
                    <w:autoSpaceDN w:val="0"/>
                    <w:adjustRightInd w:val="0"/>
                    <w:snapToGrid w:val="0"/>
                    <w:spacing w:line="400" w:lineRule="exact"/>
                    <w:ind w:right="-34"/>
                    <w:jc w:val="center"/>
                    <w:textAlignment w:val="bottom"/>
                    <w:rPr>
                      <w:rFonts w:hint="eastAsia"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防锈油</w:t>
                  </w:r>
                </w:p>
              </w:tc>
              <w:tc>
                <w:tcPr>
                  <w:tcW w:w="929" w:type="dxa"/>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t/a</w:t>
                  </w:r>
                </w:p>
              </w:tc>
              <w:tc>
                <w:tcPr>
                  <w:tcW w:w="1050" w:type="dxa"/>
                  <w:noWrap w:val="0"/>
                  <w:vAlign w:val="center"/>
                </w:tcPr>
                <w:p>
                  <w:pPr>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10</w:t>
                  </w:r>
                </w:p>
              </w:tc>
              <w:tc>
                <w:tcPr>
                  <w:tcW w:w="1440" w:type="dxa"/>
                  <w:noWrap w:val="0"/>
                  <w:vAlign w:val="center"/>
                </w:tcPr>
                <w:p>
                  <w:pPr>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12桶，2.0t</w:t>
                  </w:r>
                </w:p>
              </w:tc>
              <w:tc>
                <w:tcPr>
                  <w:tcW w:w="3081" w:type="dxa"/>
                  <w:noWrap w:val="0"/>
                  <w:vAlign w:val="center"/>
                </w:tcPr>
                <w:p>
                  <w:pPr>
                    <w:tabs>
                      <w:tab w:val="left" w:pos="387"/>
                    </w:tabs>
                    <w:jc w:val="center"/>
                    <w:rPr>
                      <w:rFonts w:hint="eastAsia"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外购，桶装</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170</w:t>
                  </w:r>
                  <w:r>
                    <w:rPr>
                      <w:rFonts w:hint="default" w:ascii="Times New Roman" w:hAnsi="Times New Roman" w:eastAsia="宋体" w:cs="Times New Roman"/>
                      <w:color w:val="000000" w:themeColor="text1"/>
                      <w:sz w:val="21"/>
                      <w:szCs w:val="21"/>
                      <w14:textFill>
                        <w14:solidFill>
                          <w14:schemeClr w14:val="tx1"/>
                        </w14:solidFill>
                      </w14:textFill>
                    </w:rPr>
                    <w:t>kg/</w:t>
                  </w:r>
                  <w:r>
                    <w:rPr>
                      <w:rFonts w:hint="eastAsia" w:ascii="Times New Roman" w:hAnsi="Times New Roman" w:eastAsia="宋体" w:cs="Times New Roman"/>
                      <w:color w:val="000000" w:themeColor="text1"/>
                      <w:sz w:val="21"/>
                      <w:szCs w:val="21"/>
                      <w:lang w:eastAsia="zh-CN"/>
                      <w14:textFill>
                        <w14:solidFill>
                          <w14:schemeClr w14:val="tx1"/>
                        </w14:solidFill>
                      </w14:textFill>
                    </w:rPr>
                    <w:t>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98" w:type="dxa"/>
                  <w:gridSpan w:val="6"/>
                  <w:noWrap w:val="0"/>
                  <w:vAlign w:val="center"/>
                </w:tcPr>
                <w:p>
                  <w:pPr>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能源消耗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1080"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w:t>
                  </w:r>
                </w:p>
              </w:tc>
              <w:tc>
                <w:tcPr>
                  <w:tcW w:w="929"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t/a</w:t>
                  </w:r>
                </w:p>
              </w:tc>
              <w:tc>
                <w:tcPr>
                  <w:tcW w:w="1050"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2580</w:t>
                  </w:r>
                </w:p>
              </w:tc>
              <w:tc>
                <w:tcPr>
                  <w:tcW w:w="1440" w:type="dxa"/>
                  <w:noWrap w:val="0"/>
                  <w:vAlign w:val="center"/>
                </w:tcPr>
                <w:p>
                  <w:pPr>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3081" w:type="dxa"/>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供水管网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1080" w:type="dxa"/>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电</w:t>
                  </w:r>
                </w:p>
              </w:tc>
              <w:tc>
                <w:tcPr>
                  <w:tcW w:w="929" w:type="dxa"/>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万kW·h/a</w:t>
                  </w:r>
                </w:p>
              </w:tc>
              <w:tc>
                <w:tcPr>
                  <w:tcW w:w="1050" w:type="dxa"/>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850</w:t>
                  </w:r>
                </w:p>
              </w:tc>
              <w:tc>
                <w:tcPr>
                  <w:tcW w:w="1440" w:type="dxa"/>
                  <w:noWrap w:val="0"/>
                  <w:vAlign w:val="center"/>
                </w:tcPr>
                <w:p>
                  <w:pPr>
                    <w:jc w:val="center"/>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3081" w:type="dxa"/>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市政供电</w:t>
                  </w:r>
                </w:p>
              </w:tc>
            </w:tr>
          </w:tbl>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原辅材料理化性质</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表</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szCs w:val="24"/>
                <w14:textFill>
                  <w14:solidFill>
                    <w14:schemeClr w14:val="tx1"/>
                  </w14:solidFill>
                </w14:textFill>
              </w:rPr>
              <w:t>.</w:t>
            </w:r>
            <w:r>
              <w:rPr>
                <w:rFonts w:hint="eastAsia" w:cs="Times New Roman"/>
                <w:b/>
                <w:bCs/>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b/>
                <w:bCs/>
                <w:color w:val="000000" w:themeColor="text1"/>
                <w:sz w:val="24"/>
                <w:szCs w:val="24"/>
                <w14:textFill>
                  <w14:solidFill>
                    <w14:schemeClr w14:val="tx1"/>
                  </w14:solidFill>
                </w14:textFill>
              </w:rPr>
              <w:t xml:space="preserve"> </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4"/>
                <w:szCs w:val="24"/>
                <w:lang w:eastAsia="zh-CN"/>
                <w14:textFill>
                  <w14:solidFill>
                    <w14:schemeClr w14:val="tx1"/>
                  </w14:solidFill>
                </w14:textFill>
              </w:rPr>
              <w:t>项目原辅材料</w:t>
            </w:r>
            <w:r>
              <w:rPr>
                <w:rFonts w:hint="eastAsia" w:cs="Times New Roman"/>
                <w:b/>
                <w:bCs/>
                <w:color w:val="000000" w:themeColor="text1"/>
                <w:sz w:val="24"/>
                <w:szCs w:val="24"/>
                <w:lang w:eastAsia="zh-CN"/>
                <w14:textFill>
                  <w14:solidFill>
                    <w14:schemeClr w14:val="tx1"/>
                  </w14:solidFill>
                </w14:textFill>
              </w:rPr>
              <w:t>理化性质</w:t>
            </w:r>
            <w:r>
              <w:rPr>
                <w:rFonts w:hint="default" w:ascii="Times New Roman" w:hAnsi="Times New Roman" w:eastAsia="宋体" w:cs="Times New Roman"/>
                <w:b/>
                <w:bCs/>
                <w:color w:val="000000" w:themeColor="text1"/>
                <w:sz w:val="24"/>
                <w:szCs w:val="24"/>
                <w14:textFill>
                  <w14:solidFill>
                    <w14:schemeClr w14:val="tx1"/>
                  </w14:solidFill>
                </w14:textFill>
              </w:rPr>
              <w:t>一览表</w:t>
            </w:r>
          </w:p>
          <w:tbl>
            <w:tblPr>
              <w:tblStyle w:val="26"/>
              <w:tblW w:w="83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7"/>
              <w:gridCol w:w="4095"/>
              <w:gridCol w:w="1395"/>
              <w:gridCol w:w="15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rightChars="0"/>
                    <w:jc w:val="center"/>
                    <w:textAlignment w:val="auto"/>
                    <w:outlineLvl w:val="9"/>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原辅料名称</w:t>
                  </w:r>
                </w:p>
              </w:tc>
              <w:tc>
                <w:tcPr>
                  <w:tcW w:w="409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rightChars="0"/>
                    <w:jc w:val="center"/>
                    <w:textAlignment w:val="auto"/>
                    <w:outlineLvl w:val="9"/>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理化性质</w:t>
                  </w:r>
                </w:p>
              </w:tc>
              <w:tc>
                <w:tcPr>
                  <w:tcW w:w="1395" w:type="dxa"/>
                  <w:vAlign w:val="center"/>
                </w:tcPr>
                <w:p>
                  <w:pPr>
                    <w:pStyle w:val="61"/>
                    <w:keepNext w:val="0"/>
                    <w:keepLines w:val="0"/>
                    <w:pageBreakBefore w:val="0"/>
                    <w:widowControl w:val="0"/>
                    <w:kinsoku/>
                    <w:wordWrap/>
                    <w:overflowPunct/>
                    <w:topLinePunct w:val="0"/>
                    <w:bidi w:val="0"/>
                    <w:spacing w:line="240" w:lineRule="auto"/>
                    <w:ind w:left="0" w:leftChars="0" w:right="0"/>
                    <w:jc w:val="cente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sz w:val="21"/>
                      <w:szCs w:val="21"/>
                      <w:highlight w:val="none"/>
                    </w:rPr>
                    <w:t>燃烧爆炸性</w:t>
                  </w:r>
                </w:p>
              </w:tc>
              <w:tc>
                <w:tcPr>
                  <w:tcW w:w="1511" w:type="dxa"/>
                  <w:vAlign w:val="center"/>
                </w:tcPr>
                <w:p>
                  <w:pPr>
                    <w:pStyle w:val="61"/>
                    <w:keepNext w:val="0"/>
                    <w:keepLines w:val="0"/>
                    <w:pageBreakBefore w:val="0"/>
                    <w:widowControl w:val="0"/>
                    <w:kinsoku/>
                    <w:wordWrap/>
                    <w:overflowPunct/>
                    <w:topLinePunct w:val="0"/>
                    <w:bidi w:val="0"/>
                    <w:spacing w:line="240" w:lineRule="auto"/>
                    <w:ind w:left="0" w:leftChars="0" w:right="0"/>
                    <w:jc w:val="cente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sz w:val="21"/>
                      <w:szCs w:val="21"/>
                      <w:highlight w:val="none"/>
                    </w:rPr>
                    <w:t>毒性毒理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7"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rightChars="0"/>
                    <w:jc w:val="center"/>
                    <w:textAlignment w:val="bottom"/>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冷镦机油</w:t>
                  </w:r>
                </w:p>
              </w:tc>
              <w:tc>
                <w:tcPr>
                  <w:tcW w:w="409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46#机械油，是一种通用润滑油，密度约为0.91×103（kg/m</w:t>
                  </w:r>
                  <w:r>
                    <w:rPr>
                      <w:rFonts w:hint="default" w:ascii="Times New Roman" w:hAnsi="Times New Roman" w:eastAsia="宋体" w:cs="Times New Roman"/>
                      <w:b w:val="0"/>
                      <w:bCs w:val="0"/>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运动粘度（40℃）为45.5mm2/s，闪点（℃）170℃，能对设备起到润滑减磨、辅助冷却降温、密封防漏、防锈防蚀、减震缓冲等作用。在多数情况下，机油同时起到润滑作用和冷却作用，它通过降低工具和工件之间的摩擦起润滑剂的作用。机油化学稳定性、热稳定性，减少摩擦和耐负荷能力较高。冷镦机油可燃，长时间接触可引起眼、鼻刺激症状，头晕及头痛</w:t>
                  </w:r>
                </w:p>
              </w:tc>
              <w:tc>
                <w:tcPr>
                  <w:tcW w:w="139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151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7"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rightChars="0"/>
                    <w:jc w:val="center"/>
                    <w:textAlignment w:val="bottom"/>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循环液</w:t>
                  </w:r>
                </w:p>
              </w:tc>
              <w:tc>
                <w:tcPr>
                  <w:tcW w:w="409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sz w:val="21"/>
                      <w:szCs w:val="21"/>
                      <w:lang w:eastAsia="zh-CN"/>
                    </w:rPr>
                    <w:t>棕红色液体，</w:t>
                  </w:r>
                  <w:r>
                    <w:rPr>
                      <w:rFonts w:hint="default" w:ascii="Times New Roman" w:hAnsi="Times New Roman" w:eastAsia="宋体" w:cs="Times New Roman"/>
                      <w:b w:val="0"/>
                      <w:bCs w:val="0"/>
                      <w:sz w:val="21"/>
                      <w:szCs w:val="21"/>
                      <w:lang w:val="en-US" w:eastAsia="zh-CN"/>
                    </w:rPr>
                    <w:t>pH7.0-7.6，</w:t>
                  </w:r>
                  <w:r>
                    <w:rPr>
                      <w:rFonts w:hint="default" w:ascii="Times New Roman" w:hAnsi="Times New Roman" w:eastAsia="宋体" w:cs="Times New Roman"/>
                      <w:b w:val="0"/>
                      <w:bCs w:val="0"/>
                      <w:sz w:val="21"/>
                      <w:szCs w:val="21"/>
                    </w:rPr>
                    <w:t>水溶性</w:t>
                  </w:r>
                  <w:r>
                    <w:rPr>
                      <w:rFonts w:hint="default" w:ascii="Times New Roman" w:hAnsi="Times New Roman" w:eastAsia="宋体" w:cs="Times New Roman"/>
                      <w:b w:val="0"/>
                      <w:bCs w:val="0"/>
                      <w:sz w:val="21"/>
                      <w:szCs w:val="21"/>
                      <w:lang w:eastAsia="zh-CN"/>
                    </w:rPr>
                    <w:t>，成分占比：</w:t>
                  </w:r>
                  <w:r>
                    <w:rPr>
                      <w:rFonts w:hint="default" w:ascii="Times New Roman" w:hAnsi="Times New Roman" w:eastAsia="宋体" w:cs="Times New Roman"/>
                      <w:b w:val="0"/>
                      <w:bCs w:val="0"/>
                      <w:sz w:val="21"/>
                      <w:szCs w:val="21"/>
                    </w:rPr>
                    <w:t>机械通用油（10#）70%-80%</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EL-401%-6%</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植物油酸15%-20%</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S-801%-3%</w:t>
                  </w:r>
                  <w:r>
                    <w:rPr>
                      <w:rFonts w:hint="default" w:ascii="Times New Roman" w:hAnsi="Times New Roman" w:eastAsia="宋体" w:cs="Times New Roman"/>
                      <w:b w:val="0"/>
                      <w:bCs w:val="0"/>
                      <w:sz w:val="21"/>
                      <w:szCs w:val="21"/>
                      <w:lang w:eastAsia="zh-CN"/>
                    </w:rPr>
                    <w:t>。</w:t>
                  </w:r>
                </w:p>
              </w:tc>
              <w:tc>
                <w:tcPr>
                  <w:tcW w:w="139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rightChars="0"/>
                    <w:jc w:val="center"/>
                    <w:textAlignment w:val="auto"/>
                    <w:outlineLvl w:val="9"/>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不易燃</w:t>
                  </w:r>
                </w:p>
              </w:tc>
              <w:tc>
                <w:tcPr>
                  <w:tcW w:w="151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rightChars="0"/>
                    <w:jc w:val="center"/>
                    <w:textAlignment w:val="auto"/>
                    <w:outlineLvl w:val="9"/>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不易爆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7"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rightChars="0"/>
                    <w:jc w:val="center"/>
                    <w:textAlignment w:val="bottom"/>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精研液</w:t>
                  </w:r>
                </w:p>
              </w:tc>
              <w:tc>
                <w:tcPr>
                  <w:tcW w:w="409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sz w:val="21"/>
                      <w:szCs w:val="21"/>
                      <w:lang w:eastAsia="zh-CN"/>
                    </w:rPr>
                    <w:t>棕红色液体，</w:t>
                  </w:r>
                  <w:r>
                    <w:rPr>
                      <w:rFonts w:hint="default" w:ascii="Times New Roman" w:hAnsi="Times New Roman" w:eastAsia="宋体" w:cs="Times New Roman"/>
                      <w:b w:val="0"/>
                      <w:bCs w:val="0"/>
                      <w:sz w:val="21"/>
                      <w:szCs w:val="21"/>
                      <w:lang w:val="en-US" w:eastAsia="zh-CN"/>
                    </w:rPr>
                    <w:t>pH7.5-7.9，</w:t>
                  </w:r>
                  <w:r>
                    <w:rPr>
                      <w:rFonts w:hint="default" w:ascii="Times New Roman" w:hAnsi="Times New Roman" w:eastAsia="宋体" w:cs="Times New Roman"/>
                      <w:b w:val="0"/>
                      <w:bCs w:val="0"/>
                      <w:sz w:val="21"/>
                      <w:szCs w:val="21"/>
                      <w:lang w:eastAsia="zh-CN"/>
                    </w:rPr>
                    <w:t>水溶性，</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成分占比：纯净水60%-80%，</w:t>
                  </w:r>
                  <w:r>
                    <w:rPr>
                      <w:rFonts w:hint="default" w:ascii="Times New Roman" w:hAnsi="Times New Roman" w:eastAsia="宋体" w:cs="Times New Roman"/>
                      <w:b w:val="0"/>
                      <w:bCs w:val="0"/>
                      <w:sz w:val="21"/>
                      <w:szCs w:val="21"/>
                      <w:lang w:eastAsia="zh-CN"/>
                    </w:rPr>
                    <w:t>二乙二醇（</w:t>
                  </w:r>
                  <w:r>
                    <w:rPr>
                      <w:rFonts w:hint="default" w:ascii="Times New Roman" w:hAnsi="Times New Roman" w:eastAsia="宋体" w:cs="Times New Roman"/>
                      <w:b w:val="0"/>
                      <w:bCs w:val="0"/>
                      <w:sz w:val="21"/>
                      <w:szCs w:val="21"/>
                      <w:lang w:val="en-US" w:eastAsia="zh-CN"/>
                    </w:rPr>
                    <w:t>KOH</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lang w:val="en-US" w:eastAsia="zh-CN"/>
                    </w:rPr>
                    <w:t>3%-5%，植物油酸10%-20%，105净洗剂1%-3%。</w:t>
                  </w:r>
                </w:p>
              </w:tc>
              <w:tc>
                <w:tcPr>
                  <w:tcW w:w="139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不易燃</w:t>
                  </w:r>
                </w:p>
              </w:tc>
              <w:tc>
                <w:tcPr>
                  <w:tcW w:w="151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不易爆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7"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rightChars="0"/>
                    <w:jc w:val="center"/>
                    <w:textAlignment w:val="bottom"/>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甲醇</w:t>
                  </w:r>
                </w:p>
              </w:tc>
              <w:tc>
                <w:tcPr>
                  <w:tcW w:w="409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无色透明液体，有刺激性气味。</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分子式：</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CH</w:t>
                  </w:r>
                  <w:r>
                    <w:rPr>
                      <w:rFonts w:hint="default" w:ascii="Times New Roman" w:hAnsi="Times New Roman" w:eastAsia="宋体" w:cs="Times New Roman"/>
                      <w:b w:val="0"/>
                      <w:bCs w:val="0"/>
                      <w:color w:val="000000" w:themeColor="text1"/>
                      <w:sz w:val="21"/>
                      <w:szCs w:val="21"/>
                      <w:vertAlign w:val="subscript"/>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O，分子量：</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32.04，熔点：-97.8℃，</w:t>
                  </w: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沸点：</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64.7</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℃，闪点：11℃，</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自燃温度：</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436</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℃，相对密度：0.79（水=1）。溶解性：</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与水互溶，可混溶于醇类、乙醚等多数有机溶剂。</w:t>
                  </w:r>
                </w:p>
              </w:tc>
              <w:tc>
                <w:tcPr>
                  <w:tcW w:w="139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易燃</w:t>
                  </w:r>
                </w:p>
              </w:tc>
              <w:tc>
                <w:tcPr>
                  <w:tcW w:w="151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LD50：5628mg/kg（大鼠经口）；15800mg/kg（兔经皮）；</w:t>
                  </w:r>
                </w:p>
                <w:p>
                  <w:pPr>
                    <w:keepNext w:val="0"/>
                    <w:keepLines w:val="0"/>
                    <w:pageBreakBefore w:val="0"/>
                    <w:widowControl w:val="0"/>
                    <w:kinsoku/>
                    <w:wordWrap/>
                    <w:overflowPunct/>
                    <w:topLinePunct w:val="0"/>
                    <w:autoSpaceDE/>
                    <w:autoSpaceDN/>
                    <w:bidi w:val="0"/>
                    <w:adjustRightInd w:val="0"/>
                    <w:snapToGrid w:val="0"/>
                    <w:spacing w:line="240" w:lineRule="auto"/>
                    <w:ind w:left="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LC50：83776mg/m</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，4小时（大鼠吸入）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7"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rightChars="0"/>
                    <w:jc w:val="center"/>
                    <w:textAlignment w:val="bottom"/>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淬火油</w:t>
                  </w:r>
                </w:p>
              </w:tc>
              <w:tc>
                <w:tcPr>
                  <w:tcW w:w="409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淡黄色液体，有特殊气味，密度：0.83g/cm</w:t>
                  </w:r>
                  <w:r>
                    <w:rPr>
                      <w:rFonts w:hint="default" w:ascii="Times New Roman" w:hAnsi="Times New Roman" w:eastAsia="宋体" w:cs="Times New Roman"/>
                      <w:b w:val="0"/>
                      <w:bCs w:val="0"/>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，不溶于水，成分占比：矿物油余量，催冷剂5-10%，抗氧剂0.5-1%，消泡剂0.01-0.1%。</w:t>
                  </w:r>
                </w:p>
                <w:p>
                  <w:pPr>
                    <w:keepNext w:val="0"/>
                    <w:keepLines w:val="0"/>
                    <w:pageBreakBefore w:val="0"/>
                    <w:widowControl w:val="0"/>
                    <w:kinsoku/>
                    <w:wordWrap/>
                    <w:overflowPunct/>
                    <w:topLinePunct w:val="0"/>
                    <w:autoSpaceDE/>
                    <w:autoSpaceDN/>
                    <w:bidi w:val="0"/>
                    <w:adjustRightInd w:val="0"/>
                    <w:snapToGrid w:val="0"/>
                    <w:spacing w:line="240" w:lineRule="auto"/>
                    <w:ind w:left="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是一种工艺用油，淬火油是零件在可控气氛下加热淬火的一种冷却介质，具有较高的闪点和燃点，良好的冷却性能。本项目所使用淬火油是深棕色液体，无味，运动粘度（40℃）为40.0mm2/s，闪点（℃）222℃，光亮级为2级，酸值为0.259mgKOH/g，不溶于水</w:t>
                  </w:r>
                </w:p>
              </w:tc>
              <w:tc>
                <w:tcPr>
                  <w:tcW w:w="139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151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食入：LD50（测试动物、吸收途径）&gt;500mg/kg(老鼠、吞食)。</w:t>
                  </w:r>
                </w:p>
                <w:p>
                  <w:pPr>
                    <w:keepNext w:val="0"/>
                    <w:keepLines w:val="0"/>
                    <w:pageBreakBefore w:val="0"/>
                    <w:widowControl w:val="0"/>
                    <w:kinsoku/>
                    <w:wordWrap/>
                    <w:overflowPunct/>
                    <w:topLinePunct w:val="0"/>
                    <w:autoSpaceDE/>
                    <w:autoSpaceDN/>
                    <w:bidi w:val="0"/>
                    <w:adjustRightInd w:val="0"/>
                    <w:snapToGrid w:val="0"/>
                    <w:spacing w:line="240" w:lineRule="auto"/>
                    <w:ind w:left="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慢毒性：复吸入高浓度的油气，低人体免疫，人体器官也有损坏。</w:t>
                  </w:r>
                </w:p>
                <w:p>
                  <w:pPr>
                    <w:keepNext w:val="0"/>
                    <w:keepLines w:val="0"/>
                    <w:pageBreakBefore w:val="0"/>
                    <w:widowControl w:val="0"/>
                    <w:kinsoku/>
                    <w:wordWrap/>
                    <w:overflowPunct/>
                    <w:topLinePunct w:val="0"/>
                    <w:autoSpaceDE/>
                    <w:autoSpaceDN/>
                    <w:bidi w:val="0"/>
                    <w:adjustRightInd w:val="0"/>
                    <w:snapToGrid w:val="0"/>
                    <w:spacing w:line="240" w:lineRule="auto"/>
                    <w:ind w:left="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致癌影响：本产品等同于受到严格限制的矿物油，没有被列入国际防癌组织 (IARC)。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7"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rightChars="0"/>
                    <w:jc w:val="center"/>
                    <w:textAlignment w:val="bottom"/>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工业白油</w:t>
                  </w:r>
                </w:p>
              </w:tc>
              <w:tc>
                <w:tcPr>
                  <w:tcW w:w="409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是高度精炼产品，无色、无味，无毒。运动黏度40℃为2.5～3.5mm2/s，闪点130℃，凝点：-20℃，密度20℃为0.777g/cm3，酸值为0.006mgKOH/g。不溶于水，</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fldChar w:fldCharType="begin"/>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instrText xml:space="preserve"> HYPERLINK "https://baike.so.com/doc/5249044.html" \t "https://baike.so.com/doc/_blank" </w:instrTex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fldChar w:fldCharType="separate"/>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易溶</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fldChar w:fldCharType="end"/>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于醇和其他</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fldChar w:fldCharType="begin"/>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instrText xml:space="preserve"> HYPERLINK "https://baike.so.com/doc/4792021.html" \t "https://baike.so.com/doc/_blank" </w:instrTex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fldChar w:fldCharType="separate"/>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有机溶剂</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fldChar w:fldCharType="end"/>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139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151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7"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rightChars="0"/>
                    <w:jc w:val="center"/>
                    <w:textAlignment w:val="bottom"/>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防锈油</w:t>
                  </w:r>
                </w:p>
              </w:tc>
              <w:tc>
                <w:tcPr>
                  <w:tcW w:w="409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黄褐色透明液体，脂肪族碳氢化合物气味，可燃，熔点＜-20℃，沸点290～330℃，相对密度（水=1）0.850，相对蒸汽密度（空气=1）＞1.00，饱和蒸气压 0.017kPa（20℃），闪点：＞220℃，引燃温度：＞300℃，爆炸上限：7%体积百分比，主要用于材料冲剪加工及材料防锈。</w:t>
                  </w:r>
                </w:p>
              </w:tc>
              <w:tc>
                <w:tcPr>
                  <w:tcW w:w="139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151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b/>
                <w:bCs/>
                <w:color w:val="000000" w:themeColor="text1"/>
                <w:sz w:val="24"/>
                <w:szCs w:val="24"/>
                <w:lang w:eastAsia="zh-CN"/>
                <w14:textFill>
                  <w14:solidFill>
                    <w14:schemeClr w14:val="tx1"/>
                  </w14:solidFill>
                </w14:textFill>
              </w:rPr>
              <w:t>劳动定员及工作制度</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根据生产的需要，项目劳动定员</w:t>
            </w:r>
            <w:r>
              <w:rPr>
                <w:rFonts w:hint="eastAsia" w:cs="Times New Roman"/>
                <w:color w:val="000000" w:themeColor="text1"/>
                <w:sz w:val="24"/>
                <w:szCs w:val="24"/>
                <w:highlight w:val="none"/>
                <w:lang w:val="en-US" w:eastAsia="zh-CN"/>
                <w14:textFill>
                  <w14:solidFill>
                    <w14:schemeClr w14:val="tx1"/>
                  </w14:solidFill>
                </w14:textFill>
              </w:rPr>
              <w:t>100</w:t>
            </w:r>
            <w:r>
              <w:rPr>
                <w:rFonts w:hint="default" w:ascii="Times New Roman" w:hAnsi="Times New Roman" w:eastAsia="宋体" w:cs="Times New Roman"/>
                <w:color w:val="000000" w:themeColor="text1"/>
                <w:sz w:val="24"/>
                <w:szCs w:val="24"/>
                <w:highlight w:val="none"/>
                <w14:textFill>
                  <w14:solidFill>
                    <w14:schemeClr w14:val="tx1"/>
                  </w14:solidFill>
                </w14:textFill>
              </w:rPr>
              <w:t>人。</w:t>
            </w:r>
            <w:r>
              <w:rPr>
                <w:rFonts w:ascii="宋体" w:hAnsi="宋体" w:eastAsia="宋体" w:cs="宋体"/>
                <w:b w:val="0"/>
                <w:i w:val="0"/>
                <w:color w:val="000000" w:themeColor="text1"/>
                <w:sz w:val="24"/>
                <w:szCs w:val="24"/>
                <w:highlight w:val="none"/>
                <w14:textFill>
                  <w14:solidFill>
                    <w14:schemeClr w14:val="tx1"/>
                  </w14:solidFill>
                </w14:textFill>
              </w:rPr>
              <w:t>项目</w:t>
            </w:r>
            <w:r>
              <w:rPr>
                <w:rFonts w:hint="eastAsia" w:ascii="宋体" w:hAnsi="宋体" w:cs="宋体"/>
                <w:b w:val="0"/>
                <w:i w:val="0"/>
                <w:color w:val="000000" w:themeColor="text1"/>
                <w:sz w:val="24"/>
                <w:szCs w:val="24"/>
                <w:highlight w:val="none"/>
                <w:lang w:eastAsia="zh-CN"/>
                <w14:textFill>
                  <w14:solidFill>
                    <w14:schemeClr w14:val="tx1"/>
                  </w14:solidFill>
                </w14:textFill>
              </w:rPr>
              <w:t>工序</w:t>
            </w:r>
            <w:r>
              <w:rPr>
                <w:rFonts w:ascii="宋体" w:hAnsi="宋体" w:eastAsia="宋体" w:cs="宋体"/>
                <w:b w:val="0"/>
                <w:i w:val="0"/>
                <w:color w:val="000000" w:themeColor="text1"/>
                <w:sz w:val="24"/>
                <w:szCs w:val="24"/>
                <w:highlight w:val="none"/>
                <w14:textFill>
                  <w14:solidFill>
                    <w14:schemeClr w14:val="tx1"/>
                  </w14:solidFill>
                </w14:textFill>
              </w:rPr>
              <w:t>采用</w:t>
            </w:r>
            <w:r>
              <w:rPr>
                <w:rFonts w:hint="eastAsia" w:ascii="Times New Roman" w:hAnsi="Times New Roman" w:eastAsia="宋体" w:cs="Times New Roman"/>
                <w:b w:val="0"/>
                <w:i w:val="0"/>
                <w:color w:val="000000" w:themeColor="text1"/>
                <w:sz w:val="24"/>
                <w:szCs w:val="24"/>
                <w:highlight w:val="none"/>
                <w:lang w:val="en-US" w:eastAsia="zh-CN"/>
                <w14:textFill>
                  <w14:solidFill>
                    <w14:schemeClr w14:val="tx1"/>
                  </w14:solidFill>
                </w14:textFill>
              </w:rPr>
              <w:t>三班</w:t>
            </w:r>
            <w:r>
              <w:rPr>
                <w:rFonts w:ascii="宋体" w:hAnsi="宋体" w:eastAsia="宋体" w:cs="宋体"/>
                <w:b w:val="0"/>
                <w:i w:val="0"/>
                <w:color w:val="000000" w:themeColor="text1"/>
                <w:sz w:val="24"/>
                <w:szCs w:val="24"/>
                <w:highlight w:val="none"/>
                <w14:textFill>
                  <w14:solidFill>
                    <w14:schemeClr w14:val="tx1"/>
                  </w14:solidFill>
                </w14:textFill>
              </w:rPr>
              <w:t>工作制</w:t>
            </w:r>
            <w:r>
              <w:rPr>
                <w:rFonts w:hint="eastAsia" w:ascii="宋体" w:hAnsi="宋体" w:eastAsia="宋体" w:cs="宋体"/>
                <w:b w:val="0"/>
                <w:i w:val="0"/>
                <w:color w:val="000000" w:themeColor="text1"/>
                <w:sz w:val="24"/>
                <w:szCs w:val="24"/>
                <w:highlight w:val="none"/>
                <w:lang w:eastAsia="zh-CN"/>
                <w14:textFill>
                  <w14:solidFill>
                    <w14:schemeClr w14:val="tx1"/>
                  </w14:solidFill>
                </w14:textFill>
              </w:rPr>
              <w:t>，</w:t>
            </w:r>
            <w:r>
              <w:rPr>
                <w:rFonts w:ascii="宋体" w:hAnsi="宋体" w:eastAsia="宋体" w:cs="宋体"/>
                <w:b w:val="0"/>
                <w:i w:val="0"/>
                <w:color w:val="000000" w:themeColor="text1"/>
                <w:sz w:val="24"/>
                <w:szCs w:val="24"/>
                <w:highlight w:val="none"/>
                <w14:textFill>
                  <w14:solidFill>
                    <w14:schemeClr w14:val="tx1"/>
                  </w14:solidFill>
                </w14:textFill>
              </w:rPr>
              <w:t>年工作日为</w:t>
            </w:r>
            <w:r>
              <w:rPr>
                <w:rFonts w:hint="eastAsia" w:ascii="TimesNewRomanPSMT" w:hAnsi="TimesNewRomanPSMT" w:cs="TimesNewRomanPSMT"/>
                <w:b w:val="0"/>
                <w:i w:val="0"/>
                <w:color w:val="000000" w:themeColor="text1"/>
                <w:sz w:val="24"/>
                <w:szCs w:val="24"/>
                <w:highlight w:val="none"/>
                <w:lang w:val="en-US" w:eastAsia="zh-CN"/>
                <w14:textFill>
                  <w14:solidFill>
                    <w14:schemeClr w14:val="tx1"/>
                  </w14:solidFill>
                </w14:textFill>
              </w:rPr>
              <w:t>300</w:t>
            </w:r>
            <w:r>
              <w:rPr>
                <w:rFonts w:ascii="宋体" w:hAnsi="宋体" w:eastAsia="宋体" w:cs="宋体"/>
                <w:b w:val="0"/>
                <w:i w:val="0"/>
                <w:color w:val="000000" w:themeColor="text1"/>
                <w:sz w:val="24"/>
                <w:szCs w:val="24"/>
                <w:highlight w:val="none"/>
                <w14:textFill>
                  <w14:solidFill>
                    <w14:schemeClr w14:val="tx1"/>
                  </w14:solidFill>
                </w14:textFill>
              </w:rPr>
              <w:t>天，厂区提供</w:t>
            </w:r>
            <w:r>
              <w:rPr>
                <w:rFonts w:hint="eastAsia" w:ascii="宋体" w:hAnsi="宋体" w:cs="宋体"/>
                <w:b w:val="0"/>
                <w:i w:val="0"/>
                <w:color w:val="000000" w:themeColor="text1"/>
                <w:sz w:val="24"/>
                <w:szCs w:val="24"/>
                <w:highlight w:val="none"/>
                <w:lang w:eastAsia="zh-CN"/>
                <w14:textFill>
                  <w14:solidFill>
                    <w14:schemeClr w14:val="tx1"/>
                  </w14:solidFill>
                </w14:textFill>
              </w:rPr>
              <w:t>倒班休息室</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pPr>
              <w:pStyle w:val="37"/>
              <w:keepNext w:val="0"/>
              <w:keepLines w:val="0"/>
              <w:pageBreakBefore w:val="0"/>
              <w:widowControl w:val="0"/>
              <w:numPr>
                <w:ilvl w:val="0"/>
                <w:numId w:val="0"/>
              </w:numPr>
              <w:kinsoku/>
              <w:wordWrap/>
              <w:overflowPunct/>
              <w:topLinePunct w:val="0"/>
              <w:bidi w:val="0"/>
              <w:adjustRightInd w:val="0"/>
              <w:snapToGrid/>
              <w:spacing w:line="360" w:lineRule="auto"/>
              <w:ind w:firstLine="480" w:firstLineChars="200"/>
              <w:textAlignment w:val="auto"/>
              <w:rPr>
                <w:rFonts w:hint="default" w:ascii="Times New Roman" w:hAnsi="Times New Roman" w:eastAsia="宋体" w:cs="Times New Roman"/>
                <w:color w:val="auto"/>
                <w:kern w:val="0"/>
                <w:sz w:val="24"/>
                <w:szCs w:val="28"/>
                <w:lang w:val="en-US" w:eastAsia="zh-CN" w:bidi="ar-SA"/>
              </w:rPr>
            </w:pPr>
            <w:r>
              <w:rPr>
                <w:rFonts w:hint="default" w:ascii="Times New Roman" w:hAnsi="Times New Roman" w:eastAsia="宋体" w:cs="Times New Roman"/>
                <w:color w:val="auto"/>
                <w:kern w:val="0"/>
                <w:sz w:val="24"/>
                <w:szCs w:val="28"/>
                <w:lang w:val="en-US" w:eastAsia="zh-CN" w:bidi="ar-SA"/>
              </w:rPr>
              <w:t>本项目营运过程用水主要为职工生活用水</w:t>
            </w:r>
            <w:r>
              <w:rPr>
                <w:rFonts w:hint="eastAsia" w:cs="Times New Roman"/>
                <w:color w:val="auto"/>
                <w:kern w:val="0"/>
                <w:sz w:val="24"/>
                <w:szCs w:val="28"/>
                <w:lang w:val="en-US" w:eastAsia="zh-CN" w:bidi="ar-SA"/>
              </w:rPr>
              <w:t>和精研夜、特磨液、循环液配置用水</w:t>
            </w:r>
            <w:r>
              <w:rPr>
                <w:rFonts w:hint="default" w:ascii="Times New Roman" w:hAnsi="Times New Roman" w:eastAsia="宋体" w:cs="Times New Roman"/>
                <w:color w:val="auto"/>
                <w:kern w:val="0"/>
                <w:sz w:val="24"/>
                <w:szCs w:val="28"/>
                <w:lang w:val="en-US" w:eastAsia="zh-CN" w:bidi="ar-SA"/>
              </w:rPr>
              <w:t>，本项目产生的废水主要为生活污水。</w:t>
            </w:r>
          </w:p>
          <w:p>
            <w:pPr>
              <w:pStyle w:val="7"/>
              <w:rPr>
                <w:rFonts w:hint="default"/>
                <w:lang w:val="en-US" w:eastAsia="zh-CN"/>
              </w:rPr>
            </w:pPr>
            <w:r>
              <w:rPr>
                <w:rFonts w:hint="eastAsia" w:cs="Times New Roman"/>
                <w:color w:val="auto"/>
                <w:kern w:val="0"/>
                <w:sz w:val="24"/>
                <w:szCs w:val="28"/>
                <w:lang w:val="en-US" w:eastAsia="zh-CN" w:bidi="ar-SA"/>
              </w:rPr>
              <w:t>项目水平衡图见下图：</w:t>
            </w:r>
          </w:p>
          <w:p>
            <w:pPr>
              <w:spacing w:line="360" w:lineRule="auto"/>
              <w:jc w:val="center"/>
              <w:rPr>
                <w:rFonts w:hint="eastAsia"/>
                <w:lang w:val="en-US" w:eastAsia="zh-CN"/>
              </w:rPr>
            </w:pPr>
            <w:r>
              <w:rPr>
                <w:rFonts w:hint="default"/>
                <w:color w:val="0000FF"/>
                <w:lang w:val="en-US" w:eastAsia="zh-CN"/>
              </w:rPr>
              <w:object>
                <v:shape id="_x0000_i1025" o:spt="75" type="#_x0000_t75" style="height:248.25pt;width:419.75pt;" o:ole="t" filled="f" o:preferrelative="t" stroked="f" coordsize="21600,21600">
                  <v:path/>
                  <v:fill on="f" focussize="0,0"/>
                  <v:stroke on="f"/>
                  <v:imagedata r:id="rId7" o:title=""/>
                  <o:lock v:ext="edit" aspectratio="t"/>
                  <w10:wrap type="none"/>
                  <w10:anchorlock/>
                </v:shape>
                <o:OLEObject Type="Embed" ProgID="RFFlow4" ShapeID="_x0000_i1025" DrawAspect="Content" ObjectID="_1468075725" r:id="rId6">
                  <o:LockedField>false</o:LockedField>
                </o:OLEObject>
              </w:object>
            </w:r>
            <w:r>
              <w:rPr>
                <w:b/>
                <w:bCs/>
                <w:sz w:val="24"/>
              </w:rPr>
              <w:t>图2</w:t>
            </w:r>
            <w:r>
              <w:rPr>
                <w:rFonts w:hint="eastAsia"/>
                <w:b/>
                <w:bCs/>
                <w:sz w:val="24"/>
                <w:lang w:val="en-US" w:eastAsia="zh-CN"/>
              </w:rPr>
              <w:t xml:space="preserve">.1  </w:t>
            </w:r>
            <w:r>
              <w:rPr>
                <w:b/>
                <w:bCs/>
                <w:sz w:val="24"/>
              </w:rPr>
              <w:t>项目水量平衡图单位：t/</w:t>
            </w:r>
            <w:r>
              <w:rPr>
                <w:rFonts w:hint="eastAsia"/>
                <w:b/>
                <w:bCs/>
                <w:sz w:val="24"/>
                <w:lang w:val="en-US" w:eastAsia="zh-CN"/>
              </w:rPr>
              <w:t>d</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6、</w:t>
            </w:r>
            <w:r>
              <w:rPr>
                <w:rFonts w:hint="default" w:ascii="Times New Roman" w:hAnsi="Times New Roman" w:eastAsia="宋体" w:cs="Times New Roman"/>
                <w:b/>
                <w:bCs/>
                <w:color w:val="000000" w:themeColor="text1"/>
                <w:sz w:val="24"/>
                <w:szCs w:val="24"/>
                <w:lang w:eastAsia="zh-CN"/>
                <w14:textFill>
                  <w14:solidFill>
                    <w14:schemeClr w14:val="tx1"/>
                  </w14:solidFill>
                </w14:textFill>
              </w:rPr>
              <w:t>厂区平面布置</w:t>
            </w:r>
          </w:p>
          <w:p>
            <w:pPr>
              <w:keepNext w:val="0"/>
              <w:keepLines w:val="0"/>
              <w:pageBreakBefore w:val="0"/>
              <w:widowControl w:val="0"/>
              <w:kinsoku/>
              <w:wordWrap/>
              <w:overflowPunct/>
              <w:topLinePunct w:val="0"/>
              <w:bidi w:val="0"/>
              <w:adjustRightInd w:val="0"/>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项目整体布置</w:t>
            </w:r>
          </w:p>
          <w:p>
            <w:pPr>
              <w:keepNext w:val="0"/>
              <w:keepLines w:val="0"/>
              <w:pageBreakBefore w:val="0"/>
              <w:widowControl w:val="0"/>
              <w:kinsoku/>
              <w:wordWrap/>
              <w:overflowPunct/>
              <w:topLinePunct w:val="0"/>
              <w:bidi w:val="0"/>
              <w:adjustRightInd w:val="0"/>
              <w:snapToGrid/>
              <w:spacing w:line="360" w:lineRule="auto"/>
              <w:ind w:firstLine="480" w:firstLineChars="200"/>
              <w:textAlignment w:val="auto"/>
              <w:rPr>
                <w:rFonts w:hint="default" w:ascii="宋体" w:hAnsi="宋体" w:eastAsia="宋体" w:cs="宋体"/>
                <w:color w:val="0000FF"/>
                <w:sz w:val="24"/>
                <w:szCs w:val="24"/>
                <w:lang w:val="en-US" w:eastAsia="zh-CN"/>
              </w:rPr>
            </w:pPr>
            <w:r>
              <w:rPr>
                <w:rFonts w:hint="default" w:ascii="Times New Roman" w:hAnsi="Times New Roman" w:eastAsia="宋体" w:cs="Times New Roman"/>
                <w:color w:val="000000" w:themeColor="text1"/>
                <w:sz w:val="24"/>
                <w:szCs w:val="24"/>
                <w:lang w:eastAsia="zh-CN"/>
                <w14:textFill>
                  <w14:solidFill>
                    <w14:schemeClr w14:val="tx1"/>
                  </w14:solidFill>
                </w14:textFill>
              </w:rPr>
              <w:t>项目建设地点位于</w:t>
            </w:r>
            <w:r>
              <w:rPr>
                <w:rFonts w:hint="eastAsia" w:cs="Times New Roman"/>
                <w:color w:val="000000" w:themeColor="text1"/>
                <w:sz w:val="24"/>
                <w:szCs w:val="24"/>
                <w:lang w:eastAsia="zh-CN"/>
                <w14:textFill>
                  <w14:solidFill>
                    <w14:schemeClr w14:val="tx1"/>
                  </w14:solidFill>
                </w14:textFill>
              </w:rPr>
              <w:t>安徽省宿州市灵璧县经济开发区轴承产业园</w:t>
            </w:r>
            <w:r>
              <w:rPr>
                <w:rFonts w:hint="eastAsia" w:cs="Times New Roman"/>
                <w:color w:val="000000" w:themeColor="text1"/>
                <w:sz w:val="24"/>
                <w:szCs w:val="24"/>
                <w:lang w:val="en-US" w:eastAsia="zh-CN"/>
                <w14:textFill>
                  <w14:solidFill>
                    <w14:schemeClr w14:val="tx1"/>
                  </w14:solidFill>
                </w14:textFill>
              </w:rPr>
              <w:t>5</w:t>
            </w:r>
            <w:r>
              <w:rPr>
                <w:rFonts w:hint="eastAsia" w:cs="Times New Roman"/>
                <w:color w:val="000000" w:themeColor="text1"/>
                <w:sz w:val="24"/>
                <w:szCs w:val="24"/>
                <w:lang w:eastAsia="zh-CN"/>
                <w14:textFill>
                  <w14:solidFill>
                    <w14:schemeClr w14:val="tx1"/>
                  </w14:solidFill>
                </w14:textFill>
              </w:rPr>
              <w:t>期</w:t>
            </w:r>
            <w:r>
              <w:rPr>
                <w:rFonts w:hint="eastAsia" w:cs="Times New Roman"/>
                <w:color w:val="000000" w:themeColor="text1"/>
                <w:sz w:val="24"/>
                <w:szCs w:val="24"/>
                <w:lang w:val="en-US" w:eastAsia="zh-CN"/>
                <w14:textFill>
                  <w14:solidFill>
                    <w14:schemeClr w14:val="tx1"/>
                  </w14:solidFill>
                </w14:textFill>
              </w:rPr>
              <w:t>10</w:t>
            </w:r>
            <w:r>
              <w:rPr>
                <w:rFonts w:hint="eastAsia" w:cs="Times New Roman"/>
                <w:color w:val="000000" w:themeColor="text1"/>
                <w:sz w:val="24"/>
                <w:szCs w:val="24"/>
                <w:lang w:eastAsia="zh-CN"/>
                <w14:textFill>
                  <w14:solidFill>
                    <w14:schemeClr w14:val="tx1"/>
                  </w14:solidFill>
                </w14:textFill>
              </w:rPr>
              <w:t>号厂房</w:t>
            </w:r>
            <w:r>
              <w:rPr>
                <w:rFonts w:hint="eastAsia" w:ascii="Times New Roman" w:hAnsi="Times New Roman"/>
                <w:color w:val="000000" w:themeColor="text1"/>
                <w:sz w:val="24"/>
                <w:szCs w:val="24"/>
                <w:lang w:eastAsia="zh-CN"/>
                <w14:textFill>
                  <w14:solidFill>
                    <w14:schemeClr w14:val="tx1"/>
                  </w14:solidFill>
                </w14:textFill>
              </w:rPr>
              <w:t>，</w:t>
            </w:r>
            <w:r>
              <w:rPr>
                <w:rFonts w:hint="eastAsia" w:ascii="Times New Roman" w:hAnsi="Times New Roman"/>
                <w:color w:val="000000" w:themeColor="text1"/>
                <w:sz w:val="24"/>
                <w:szCs w:val="24"/>
                <w:highlight w:val="none"/>
                <w:lang w:eastAsia="zh-CN"/>
                <w14:textFill>
                  <w14:solidFill>
                    <w14:schemeClr w14:val="tx1"/>
                  </w14:solidFill>
                </w14:textFill>
              </w:rPr>
              <w:t>划分机</w:t>
            </w:r>
            <w:r>
              <w:rPr>
                <w:rFonts w:hint="eastAsia" w:ascii="Times New Roman" w:hAnsi="Times New Roman"/>
                <w:color w:val="000000" w:themeColor="text1"/>
                <w:sz w:val="24"/>
                <w:szCs w:val="24"/>
                <w:highlight w:val="none"/>
                <w:lang w:val="en-US" w:eastAsia="zh-CN"/>
                <w14:textFill>
                  <w14:solidFill>
                    <w14:schemeClr w14:val="tx1"/>
                  </w14:solidFill>
                </w14:textFill>
              </w:rPr>
              <w:t>加工区、清洗区、热处理区、原料区、成品区、</w:t>
            </w:r>
            <w:r>
              <w:rPr>
                <w:rFonts w:hint="eastAsia"/>
                <w:color w:val="000000" w:themeColor="text1"/>
                <w:sz w:val="24"/>
                <w:szCs w:val="24"/>
                <w:highlight w:val="none"/>
                <w:lang w:val="en-US" w:eastAsia="zh-CN"/>
                <w14:textFill>
                  <w14:solidFill>
                    <w14:schemeClr w14:val="tx1"/>
                  </w14:solidFill>
                </w14:textFill>
              </w:rPr>
              <w:t>化学品仓库</w:t>
            </w:r>
            <w:r>
              <w:rPr>
                <w:rFonts w:hint="eastAsia" w:ascii="Times New Roman" w:hAnsi="Times New Roman"/>
                <w:color w:val="000000" w:themeColor="text1"/>
                <w:sz w:val="24"/>
                <w:szCs w:val="24"/>
                <w:highlight w:val="none"/>
                <w:lang w:val="en-US" w:eastAsia="zh-CN"/>
                <w14:textFill>
                  <w14:solidFill>
                    <w14:schemeClr w14:val="tx1"/>
                  </w14:solidFill>
                </w14:textFill>
              </w:rPr>
              <w:t>、办公室等</w:t>
            </w:r>
            <w:r>
              <w:rPr>
                <w:rFonts w:hint="eastAsia" w:cs="Times New Roman"/>
                <w:color w:val="000000" w:themeColor="text1"/>
                <w:sz w:val="24"/>
                <w:szCs w:val="24"/>
                <w:highlight w:val="none"/>
                <w:lang w:val="en-US" w:eastAsia="zh-CN"/>
                <w14:textFill>
                  <w14:solidFill>
                    <w14:schemeClr w14:val="tx1"/>
                  </w14:solidFill>
                </w14:textFill>
              </w:rPr>
              <w:t>功能分区，具体见项目平面布置图</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项目厂区布置总体来说，结构明朗，流程顺畅，布局紧凑，符合防火、安全卫生、环保、交通、运输、生产工艺流程等需求。总体上做到按功能分区，系统分明，布置整齐。</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0668" w:hRule="atLeast"/>
          <w:jc w:val="center"/>
        </w:trPr>
        <w:tc>
          <w:tcPr>
            <w:tcW w:w="460" w:type="dxa"/>
            <w:tcBorders>
              <w:tl2br w:val="nil"/>
              <w:tr2bl w:val="nil"/>
            </w:tcBorders>
            <w:noWrap w:val="0"/>
            <w:vAlign w:val="center"/>
          </w:tcPr>
          <w:p>
            <w:pPr>
              <w:pStyle w:val="23"/>
              <w:adjustRightInd w:val="0"/>
              <w:snapToGrid w:val="0"/>
              <w:spacing w:before="0" w:beforeAutospacing="0" w:after="0" w:afterAutospacing="0"/>
              <w:jc w:val="center"/>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z w:val="24"/>
                <w:szCs w:val="24"/>
                <w14:textFill>
                  <w14:solidFill>
                    <w14:schemeClr w14:val="tx1"/>
                  </w14:solidFill>
                </w14:textFill>
              </w:rPr>
              <w:t>工艺流程和产排污环节</w:t>
            </w:r>
          </w:p>
        </w:tc>
        <w:tc>
          <w:tcPr>
            <w:tcW w:w="8524"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工艺流程简述：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1</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eastAsia="zh-CN"/>
                <w14:textFill>
                  <w14:solidFill>
                    <w14:schemeClr w14:val="tx1"/>
                  </w14:solidFill>
                </w14:textFill>
              </w:rPr>
              <w:t>冷镦</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eastAsia="zh-CN"/>
                <w14:textFill>
                  <w14:solidFill>
                    <w14:schemeClr w14:val="tx1"/>
                  </w14:solidFill>
                </w14:textFill>
              </w:rPr>
              <w:t>根据产品需求，</w:t>
            </w:r>
            <w:r>
              <w:rPr>
                <w:rFonts w:hint="default" w:ascii="Times New Roman" w:hAnsi="Times New Roman" w:eastAsia="宋体" w:cs="Times New Roman"/>
                <w:color w:val="000000" w:themeColor="text1"/>
                <w:sz w:val="24"/>
                <w:szCs w:val="24"/>
                <w:lang w:eastAsia="zh-CN"/>
                <w14:textFill>
                  <w14:solidFill>
                    <w14:schemeClr w14:val="tx1"/>
                  </w14:solidFill>
                </w14:textFill>
              </w:rPr>
              <w:t>将原材料轴承钢</w:t>
            </w:r>
            <w:r>
              <w:rPr>
                <w:rFonts w:hint="eastAsia" w:cs="Times New Roman"/>
                <w:color w:val="000000" w:themeColor="text1"/>
                <w:sz w:val="24"/>
                <w:szCs w:val="24"/>
                <w:lang w:eastAsia="zh-CN"/>
                <w14:textFill>
                  <w14:solidFill>
                    <w14:schemeClr w14:val="tx1"/>
                  </w14:solidFill>
                </w14:textFill>
              </w:rPr>
              <w:t>丝用</w:t>
            </w:r>
            <w:r>
              <w:rPr>
                <w:rFonts w:hint="default" w:ascii="Times New Roman" w:hAnsi="Times New Roman" w:cs="Times New Roman"/>
                <w:color w:val="000000" w:themeColor="text1"/>
                <w:sz w:val="24"/>
                <w:szCs w:val="24"/>
                <w:lang w:eastAsia="zh-CN"/>
                <w14:textFill>
                  <w14:solidFill>
                    <w14:schemeClr w14:val="tx1"/>
                  </w14:solidFill>
                </w14:textFill>
              </w:rPr>
              <w:t>冷镦</w:t>
            </w:r>
            <w:r>
              <w:rPr>
                <w:rFonts w:hint="default" w:ascii="Times New Roman" w:hAnsi="Times New Roman" w:eastAsia="宋体" w:cs="Times New Roman"/>
                <w:color w:val="000000" w:themeColor="text1"/>
                <w:sz w:val="24"/>
                <w:szCs w:val="24"/>
                <w:lang w:eastAsia="zh-CN"/>
                <w14:textFill>
                  <w14:solidFill>
                    <w14:schemeClr w14:val="tx1"/>
                  </w14:solidFill>
                </w14:textFill>
              </w:rPr>
              <w:t>机</w:t>
            </w:r>
            <w:r>
              <w:rPr>
                <w:rFonts w:hint="eastAsia" w:cs="Times New Roman"/>
                <w:color w:val="000000" w:themeColor="text1"/>
                <w:sz w:val="24"/>
                <w:szCs w:val="24"/>
                <w:lang w:eastAsia="zh-CN"/>
                <w14:textFill>
                  <w14:solidFill>
                    <w14:schemeClr w14:val="tx1"/>
                  </w14:solidFill>
                </w14:textFill>
              </w:rPr>
              <w:t>冲压成符合规格的钢球毛坯件</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eastAsia="zh-CN"/>
                <w14:textFill>
                  <w14:solidFill>
                    <w14:schemeClr w14:val="tx1"/>
                  </w14:solidFill>
                </w14:textFill>
              </w:rPr>
              <w:t>冷镦</w:t>
            </w:r>
            <w:r>
              <w:rPr>
                <w:rFonts w:hint="default" w:ascii="Times New Roman" w:hAnsi="Times New Roman" w:eastAsia="宋体" w:cs="Times New Roman"/>
                <w:color w:val="000000" w:themeColor="text1"/>
                <w:sz w:val="24"/>
                <w:szCs w:val="24"/>
                <w:lang w:eastAsia="zh-CN"/>
                <w14:textFill>
                  <w14:solidFill>
                    <w14:schemeClr w14:val="tx1"/>
                  </w14:solidFill>
                </w14:textFill>
              </w:rPr>
              <w:t>制成的</w:t>
            </w:r>
            <w:r>
              <w:rPr>
                <w:rFonts w:hint="eastAsia" w:cs="Times New Roman"/>
                <w:color w:val="000000" w:themeColor="text1"/>
                <w:sz w:val="24"/>
                <w:szCs w:val="24"/>
                <w:lang w:val="en-US" w:eastAsia="zh-CN"/>
                <w14:textFill>
                  <w14:solidFill>
                    <w14:schemeClr w14:val="tx1"/>
                  </w14:solidFill>
                </w14:textFill>
              </w:rPr>
              <w:t>钢球毛坯件</w:t>
            </w:r>
            <w:r>
              <w:rPr>
                <w:rFonts w:hint="default" w:ascii="Times New Roman" w:hAnsi="Times New Roman" w:eastAsia="宋体" w:cs="Times New Roman"/>
                <w:color w:val="000000" w:themeColor="text1"/>
                <w:sz w:val="24"/>
                <w:szCs w:val="24"/>
                <w:lang w:eastAsia="zh-CN"/>
                <w14:textFill>
                  <w14:solidFill>
                    <w14:schemeClr w14:val="tx1"/>
                  </w14:solidFill>
                </w14:textFill>
              </w:rPr>
              <w:t>为近似球形的椭球体，留存有外环带、极点等</w:t>
            </w:r>
            <w:r>
              <w:rPr>
                <w:rFonts w:hint="eastAsia" w:cs="Times New Roman"/>
                <w:color w:val="000000" w:themeColor="text1"/>
                <w:sz w:val="24"/>
                <w:szCs w:val="24"/>
                <w:lang w:eastAsia="zh-CN"/>
                <w14:textFill>
                  <w14:solidFill>
                    <w14:schemeClr w14:val="tx1"/>
                  </w14:solidFill>
                </w14:textFill>
              </w:rPr>
              <w:t>，在此过程中会使用冷镦机油，主要起润滑和冷却作用，</w:t>
            </w:r>
            <w:r>
              <w:rPr>
                <w:rFonts w:hint="default" w:ascii="Times New Roman" w:hAnsi="Times New Roman" w:cs="Times New Roman"/>
                <w:color w:val="000000" w:themeColor="text1"/>
                <w:sz w:val="24"/>
                <w:szCs w:val="24"/>
                <w:lang w:eastAsia="zh-CN"/>
                <w14:textFill>
                  <w14:solidFill>
                    <w14:schemeClr w14:val="tx1"/>
                  </w14:solidFill>
                </w14:textFill>
              </w:rPr>
              <w:t>冷镦</w:t>
            </w:r>
            <w:r>
              <w:rPr>
                <w:rFonts w:hint="default" w:ascii="Times New Roman" w:hAnsi="Times New Roman" w:eastAsia="宋体" w:cs="Times New Roman"/>
                <w:color w:val="000000" w:themeColor="text1"/>
                <w:sz w:val="24"/>
                <w:szCs w:val="24"/>
                <w:lang w:eastAsia="zh-CN"/>
                <w14:textFill>
                  <w14:solidFill>
                    <w14:schemeClr w14:val="tx1"/>
                  </w14:solidFill>
                </w14:textFill>
              </w:rPr>
              <w:t>机</w:t>
            </w:r>
            <w:r>
              <w:rPr>
                <w:rFonts w:hint="eastAsia" w:cs="Times New Roman"/>
                <w:color w:val="000000" w:themeColor="text1"/>
                <w:sz w:val="24"/>
                <w:szCs w:val="24"/>
                <w:lang w:eastAsia="zh-CN"/>
                <w14:textFill>
                  <w14:solidFill>
                    <w14:schemeClr w14:val="tx1"/>
                  </w14:solidFill>
                </w14:textFill>
              </w:rPr>
              <w:t>最高工作温度为</w:t>
            </w:r>
            <w:r>
              <w:rPr>
                <w:rFonts w:hint="eastAsia" w:cs="Times New Roman"/>
                <w:color w:val="000000" w:themeColor="text1"/>
                <w:sz w:val="24"/>
                <w:szCs w:val="24"/>
                <w:lang w:val="en-US" w:eastAsia="zh-CN"/>
                <w14:textFill>
                  <w14:solidFill>
                    <w14:schemeClr w14:val="tx1"/>
                  </w14:solidFill>
                </w14:textFill>
              </w:rPr>
              <w:t>80</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此</w:t>
            </w:r>
            <w:r>
              <w:rPr>
                <w:rFonts w:hint="eastAsia" w:cs="Times New Roman"/>
                <w:color w:val="000000" w:themeColor="text1"/>
                <w:sz w:val="24"/>
                <w:szCs w:val="24"/>
                <w:highlight w:val="none"/>
                <w:lang w:eastAsia="zh-CN"/>
                <w14:textFill>
                  <w14:solidFill>
                    <w14:schemeClr w14:val="tx1"/>
                  </w14:solidFill>
                </w14:textFill>
              </w:rPr>
              <w:t>工序</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中会产生</w:t>
            </w:r>
            <w:r>
              <w:rPr>
                <w:rFonts w:hint="eastAsia" w:cs="Times New Roman"/>
                <w:color w:val="000000" w:themeColor="text1"/>
                <w:sz w:val="24"/>
                <w:szCs w:val="24"/>
                <w:highlight w:val="none"/>
                <w:lang w:eastAsia="zh-CN"/>
                <w14:textFill>
                  <w14:solidFill>
                    <w14:schemeClr w14:val="tx1"/>
                  </w14:solidFill>
                </w14:textFill>
              </w:rPr>
              <w:t>冷镦废气</w:t>
            </w:r>
            <w:r>
              <w:rPr>
                <w:rFonts w:hint="eastAsia" w:cs="Times New Roman"/>
                <w:color w:val="000000" w:themeColor="text1"/>
                <w:sz w:val="24"/>
                <w:szCs w:val="24"/>
                <w:highlight w:val="none"/>
                <w:lang w:val="en-US" w:eastAsia="zh-CN"/>
                <w14:textFill>
                  <w14:solidFill>
                    <w14:schemeClr w14:val="tx1"/>
                  </w14:solidFill>
                </w14:textFill>
              </w:rPr>
              <w:t>G1、</w:t>
            </w:r>
            <w:r>
              <w:rPr>
                <w:rFonts w:hint="default" w:ascii="Times New Roman" w:hAnsi="Times New Roman" w:cs="Times New Roman"/>
                <w:color w:val="000000" w:themeColor="text1"/>
                <w:sz w:val="24"/>
                <w:szCs w:val="24"/>
                <w:highlight w:val="none"/>
                <w:lang w:eastAsia="zh-CN"/>
                <w14:textFill>
                  <w14:solidFill>
                    <w14:schemeClr w14:val="tx1"/>
                  </w14:solidFill>
                </w14:textFill>
              </w:rPr>
              <w:t>废钢</w:t>
            </w:r>
            <w:r>
              <w:rPr>
                <w:rFonts w:hint="eastAsia" w:cs="Times New Roman"/>
                <w:color w:val="000000" w:themeColor="text1"/>
                <w:sz w:val="24"/>
                <w:szCs w:val="24"/>
                <w:highlight w:val="none"/>
                <w:lang w:eastAsia="zh-CN"/>
                <w14:textFill>
                  <w14:solidFill>
                    <w14:schemeClr w14:val="tx1"/>
                  </w14:solidFill>
                </w14:textFill>
              </w:rPr>
              <w:t>屑</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S</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1、废</w:t>
            </w:r>
            <w:r>
              <w:rPr>
                <w:rFonts w:hint="default" w:ascii="Times New Roman" w:hAnsi="Times New Roman" w:cs="Times New Roman"/>
                <w:color w:val="000000" w:themeColor="text1"/>
                <w:sz w:val="24"/>
                <w:szCs w:val="24"/>
                <w:highlight w:val="none"/>
                <w:lang w:eastAsia="zh-CN"/>
                <w14:textFill>
                  <w14:solidFill>
                    <w14:schemeClr w14:val="tx1"/>
                  </w14:solidFill>
                </w14:textFill>
              </w:rPr>
              <w:t>冷镦</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机油S2及</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噪声</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N</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（2）光</w:t>
            </w:r>
            <w:r>
              <w:rPr>
                <w:rFonts w:hint="eastAsia" w:cs="Times New Roman"/>
                <w:color w:val="000000" w:themeColor="text1"/>
                <w:sz w:val="24"/>
                <w:szCs w:val="24"/>
                <w:highlight w:val="none"/>
                <w:lang w:val="en-US" w:eastAsia="zh-CN"/>
                <w14:textFill>
                  <w14:solidFill>
                    <w14:schemeClr w14:val="tx1"/>
                  </w14:solidFill>
                </w14:textFill>
              </w:rPr>
              <w:t>磨</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将特磨液：水按1：9比例调制成混合液使用，利用光球机、特磨液混合液对钢球毛坯件不断打磨，去除毛坯件上的</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外环带和两极点</w:t>
            </w:r>
            <w:r>
              <w:rPr>
                <w:rFonts w:hint="eastAsia" w:cs="Times New Roman"/>
                <w:color w:val="000000" w:themeColor="text1"/>
                <w:sz w:val="24"/>
                <w:szCs w:val="24"/>
                <w:highlight w:val="none"/>
                <w:lang w:val="en-US" w:eastAsia="zh-CN"/>
                <w14:textFill>
                  <w14:solidFill>
                    <w14:schemeClr w14:val="tx1"/>
                  </w14:solidFill>
                </w14:textFill>
              </w:rPr>
              <w:t>，磨成所需的钢球球径和表面粗糙度。</w:t>
            </w:r>
            <w:r>
              <w:rPr>
                <w:rFonts w:hint="default" w:ascii="Times New Roman" w:hAnsi="Times New Roman" w:eastAsia="宋体" w:cs="Times New Roman"/>
                <w:color w:val="000000" w:themeColor="text1"/>
                <w:sz w:val="24"/>
                <w:szCs w:val="24"/>
                <w:highlight w:val="none"/>
                <w14:textFill>
                  <w14:solidFill>
                    <w14:schemeClr w14:val="tx1"/>
                  </w14:solidFill>
                </w14:textFill>
              </w:rPr>
              <w:t>此</w:t>
            </w:r>
            <w:r>
              <w:rPr>
                <w:rFonts w:hint="eastAsia" w:cs="Times New Roman"/>
                <w:color w:val="000000" w:themeColor="text1"/>
                <w:sz w:val="24"/>
                <w:szCs w:val="24"/>
                <w:highlight w:val="none"/>
                <w:lang w:eastAsia="zh-CN"/>
                <w14:textFill>
                  <w14:solidFill>
                    <w14:schemeClr w14:val="tx1"/>
                  </w14:solidFill>
                </w14:textFill>
              </w:rPr>
              <w:t>工序</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会</w:t>
            </w:r>
            <w:r>
              <w:rPr>
                <w:rFonts w:hint="default" w:ascii="Times New Roman" w:hAnsi="Times New Roman" w:eastAsia="宋体" w:cs="Times New Roman"/>
                <w:color w:val="000000" w:themeColor="text1"/>
                <w:sz w:val="24"/>
                <w:szCs w:val="24"/>
                <w:highlight w:val="none"/>
                <w14:textFill>
                  <w14:solidFill>
                    <w14:schemeClr w14:val="tx1"/>
                  </w14:solidFill>
                </w14:textFill>
              </w:rPr>
              <w:t>产生</w:t>
            </w:r>
            <w:r>
              <w:rPr>
                <w:rFonts w:hint="eastAsia" w:cs="Times New Roman"/>
                <w:color w:val="000000" w:themeColor="text1"/>
                <w:sz w:val="24"/>
                <w:szCs w:val="24"/>
                <w:highlight w:val="none"/>
                <w:lang w:eastAsia="zh-CN"/>
                <w14:textFill>
                  <w14:solidFill>
                    <w14:schemeClr w14:val="tx1"/>
                  </w14:solidFill>
                </w14:textFill>
              </w:rPr>
              <w:t>废钢屑</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S</w:t>
            </w:r>
            <w:r>
              <w:rPr>
                <w:rFonts w:hint="eastAsia"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及</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噪声</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N</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eastAsia"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3</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热处理：项目</w:t>
            </w:r>
            <w:r>
              <w:rPr>
                <w:rFonts w:hint="eastAsia" w:cs="Times New Roman"/>
                <w:color w:val="000000" w:themeColor="text1"/>
                <w:sz w:val="24"/>
                <w:szCs w:val="24"/>
                <w:highlight w:val="none"/>
                <w:lang w:eastAsia="zh-CN"/>
                <w14:textFill>
                  <w14:solidFill>
                    <w14:schemeClr w14:val="tx1"/>
                  </w14:solidFill>
                </w14:textFill>
              </w:rPr>
              <w:t>购置</w:t>
            </w:r>
            <w:r>
              <w:rPr>
                <w:rFonts w:hint="eastAsia" w:cs="Times New Roman"/>
                <w:color w:val="000000" w:themeColor="text1"/>
                <w:sz w:val="24"/>
                <w:szCs w:val="24"/>
                <w:highlight w:val="none"/>
                <w:lang w:val="en-US" w:eastAsia="zh-CN"/>
                <w14:textFill>
                  <w14:solidFill>
                    <w14:schemeClr w14:val="tx1"/>
                  </w14:solidFill>
                </w14:textFill>
              </w:rPr>
              <w:t>7台淬火炉和11台低温回火炉</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。该设备能精确控制淬回火加热温度和保温时间、快速冷却合成淬火与表面均匀性硬度控制技术的运用，保证项目产能及产品热处理质量需要。</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热处理加工过程主要有以下几步：</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①</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 xml:space="preserve"> 淬火：本项目淬火工序</w:t>
            </w:r>
            <w:r>
              <w:rPr>
                <w:rFonts w:hint="eastAsia" w:cs="Times New Roman"/>
                <w:color w:val="000000" w:themeColor="text1"/>
                <w:sz w:val="24"/>
                <w:szCs w:val="24"/>
                <w:highlight w:val="none"/>
                <w:lang w:val="en-US" w:eastAsia="zh-CN"/>
                <w14:textFill>
                  <w14:solidFill>
                    <w14:schemeClr w14:val="tx1"/>
                  </w14:solidFill>
                </w14:textFill>
              </w:rPr>
              <w:t>滚动式</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加热炉，</w:t>
            </w:r>
            <w:r>
              <w:rPr>
                <w:rFonts w:hint="eastAsia" w:cs="Times New Roman"/>
                <w:color w:val="000000" w:themeColor="text1"/>
                <w:sz w:val="24"/>
                <w:szCs w:val="24"/>
                <w:highlight w:val="none"/>
                <w:lang w:val="en-US" w:eastAsia="zh-CN"/>
                <w14:textFill>
                  <w14:solidFill>
                    <w14:schemeClr w14:val="tx1"/>
                  </w14:solidFill>
                </w14:textFill>
              </w:rPr>
              <w:t>加热温度为840</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，淬火工序采用淬火油</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，从而达到改善材料性能的工艺。</w:t>
            </w:r>
            <w:r>
              <w:rPr>
                <w:rFonts w:hint="eastAsia" w:cs="Times New Roman"/>
                <w:color w:val="000000" w:themeColor="text1"/>
                <w:sz w:val="24"/>
                <w:szCs w:val="24"/>
                <w:highlight w:val="none"/>
                <w:lang w:val="en-US" w:eastAsia="zh-CN"/>
                <w14:textFill>
                  <w14:solidFill>
                    <w14:schemeClr w14:val="tx1"/>
                  </w14:solidFill>
                </w14:textFill>
              </w:rPr>
              <w:t>钢球</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在接触淬火油瞬间，淬火油会遇热挥发，生成油雾</w:t>
            </w:r>
            <w:r>
              <w:rPr>
                <w:rFonts w:hint="eastAsia"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使用的淬火油循环使用、定期补充</w:t>
            </w:r>
            <w:r>
              <w:rPr>
                <w:rFonts w:hint="eastAsia" w:cs="Times New Roman"/>
                <w:color w:val="000000" w:themeColor="text1"/>
                <w:sz w:val="24"/>
                <w:szCs w:val="24"/>
                <w:highlight w:val="none"/>
                <w:lang w:val="en-US" w:eastAsia="zh-CN"/>
                <w14:textFill>
                  <w14:solidFill>
                    <w14:schemeClr w14:val="tx1"/>
                  </w14:solidFill>
                </w14:textFill>
              </w:rPr>
              <w:t>损耗。在滚动炉开启前后需要通入</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甲醇排出炉内空气</w:t>
            </w:r>
            <w:r>
              <w:rPr>
                <w:rFonts w:hint="eastAsia" w:cs="Times New Roman"/>
                <w:color w:val="000000" w:themeColor="text1"/>
                <w:sz w:val="24"/>
                <w:szCs w:val="24"/>
                <w:highlight w:val="none"/>
                <w:lang w:val="en-US" w:eastAsia="zh-CN"/>
                <w14:textFill>
                  <w14:solidFill>
                    <w14:schemeClr w14:val="tx1"/>
                  </w14:solidFill>
                </w14:textFill>
              </w:rPr>
              <w:t>保护钢球表面防止脱碳</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，电炉一侧设置一内径约2cm的排气口，空气排出后，将排出的甲醇用火点燃，此过程为火封，燃烧产物为二氧化碳和水。 此工序会产生淬火废气G</w:t>
            </w:r>
            <w:r>
              <w:rPr>
                <w:rFonts w:hint="eastAsia"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、废淬火油S</w:t>
            </w:r>
            <w:r>
              <w:rPr>
                <w:rFonts w:hint="eastAsia"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及噪声N。</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cs="Times New Roman"/>
                <w:b w:val="0"/>
                <w:bCs w:val="0"/>
                <w:color w:val="000000" w:themeColor="text1"/>
                <w:sz w:val="24"/>
                <w:szCs w:val="24"/>
                <w:highlight w:val="none"/>
                <w:lang w:val="en-US" w:eastAsia="zh-CN"/>
                <w14:textFill>
                  <w14:solidFill>
                    <w14:schemeClr w14:val="tx1"/>
                  </w14:solidFill>
                </w14:textFill>
              </w:rPr>
              <w:t>钢</w:t>
            </w:r>
            <w:r>
              <w:rPr>
                <w:rFonts w:hint="eastAsia" w:cs="Times New Roman"/>
                <w:color w:val="000000" w:themeColor="text1"/>
                <w:sz w:val="24"/>
                <w:szCs w:val="24"/>
                <w:highlight w:val="none"/>
                <w:lang w:val="en-US" w:eastAsia="zh-CN"/>
                <w14:textFill>
                  <w14:solidFill>
                    <w14:schemeClr w14:val="tx1"/>
                  </w14:solidFill>
                </w14:textFill>
              </w:rPr>
              <w:t>球</w:t>
            </w:r>
            <w:r>
              <w:rPr>
                <w:rFonts w:hint="eastAsia" w:cs="Times New Roman"/>
                <w:b w:val="0"/>
                <w:bCs w:val="0"/>
                <w:color w:val="000000" w:themeColor="text1"/>
                <w:sz w:val="24"/>
                <w:szCs w:val="24"/>
                <w:highlight w:val="none"/>
                <w:lang w:val="en-US" w:eastAsia="zh-CN"/>
                <w14:textFill>
                  <w14:solidFill>
                    <w14:schemeClr w14:val="tx1"/>
                  </w14:solidFill>
                </w14:textFill>
              </w:rPr>
              <w:t>淬火是将钢</w:t>
            </w:r>
            <w:r>
              <w:rPr>
                <w:rFonts w:hint="eastAsia" w:cs="Times New Roman"/>
                <w:color w:val="000000" w:themeColor="text1"/>
                <w:sz w:val="24"/>
                <w:szCs w:val="24"/>
                <w:highlight w:val="none"/>
                <w:lang w:val="en-US" w:eastAsia="zh-CN"/>
                <w14:textFill>
                  <w14:solidFill>
                    <w14:schemeClr w14:val="tx1"/>
                  </w14:solidFill>
                </w14:textFill>
              </w:rPr>
              <w:t>球</w:t>
            </w:r>
            <w:r>
              <w:rPr>
                <w:rFonts w:hint="eastAsia" w:cs="Times New Roman"/>
                <w:b w:val="0"/>
                <w:bCs w:val="0"/>
                <w:color w:val="000000" w:themeColor="text1"/>
                <w:sz w:val="24"/>
                <w:szCs w:val="24"/>
                <w:highlight w:val="none"/>
                <w:lang w:val="en-US" w:eastAsia="zh-CN"/>
                <w14:textFill>
                  <w14:solidFill>
                    <w14:schemeClr w14:val="tx1"/>
                  </w14:solidFill>
                </w14:textFill>
              </w:rPr>
              <w:t>加热到临界温度840</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左右</w:t>
            </w:r>
            <w:r>
              <w:rPr>
                <w:rFonts w:hint="eastAsia" w:cs="Times New Roman"/>
                <w:b w:val="0"/>
                <w:bCs w:val="0"/>
                <w:color w:val="000000" w:themeColor="text1"/>
                <w:sz w:val="24"/>
                <w:szCs w:val="24"/>
                <w:highlight w:val="none"/>
                <w:lang w:val="en-US" w:eastAsia="zh-CN"/>
                <w14:textFill>
                  <w14:solidFill>
                    <w14:schemeClr w14:val="tx1"/>
                  </w14:solidFill>
                </w14:textFill>
              </w:rPr>
              <w:t>，保温一段时间，使之全部或部分</w:t>
            </w:r>
            <w:r>
              <w:rPr>
                <w:rFonts w:hint="eastAsia" w:cs="Times New Roman"/>
                <w:b w:val="0"/>
                <w:bCs w:val="0"/>
                <w:color w:val="000000" w:themeColor="text1"/>
                <w:sz w:val="24"/>
                <w:szCs w:val="24"/>
                <w:highlight w:val="none"/>
                <w:lang w:val="en-US" w:eastAsia="zh-CN"/>
                <w14:textFill>
                  <w14:solidFill>
                    <w14:schemeClr w14:val="tx1"/>
                  </w14:solidFill>
                </w14:textFill>
              </w:rPr>
              <w:fldChar w:fldCharType="begin"/>
            </w:r>
            <w:r>
              <w:rPr>
                <w:rFonts w:hint="eastAsia" w:cs="Times New Roman"/>
                <w:b w:val="0"/>
                <w:bCs w:val="0"/>
                <w:color w:val="000000" w:themeColor="text1"/>
                <w:sz w:val="24"/>
                <w:szCs w:val="24"/>
                <w:highlight w:val="none"/>
                <w:lang w:val="en-US" w:eastAsia="zh-CN"/>
                <w14:textFill>
                  <w14:solidFill>
                    <w14:schemeClr w14:val="tx1"/>
                  </w14:solidFill>
                </w14:textFill>
              </w:rPr>
              <w:instrText xml:space="preserve"> HYPERLINK "https://baike.so.com/doc/336711-356583.html" \t "https://baike.so.com/doc/_blank" </w:instrText>
            </w:r>
            <w:r>
              <w:rPr>
                <w:rFonts w:hint="eastAsia" w:cs="Times New Roman"/>
                <w:b w:val="0"/>
                <w:bCs w:val="0"/>
                <w:color w:val="000000" w:themeColor="text1"/>
                <w:sz w:val="24"/>
                <w:szCs w:val="24"/>
                <w:highlight w:val="none"/>
                <w:lang w:val="en-US" w:eastAsia="zh-CN"/>
                <w14:textFill>
                  <w14:solidFill>
                    <w14:schemeClr w14:val="tx1"/>
                  </w14:solidFill>
                </w14:textFill>
              </w:rPr>
              <w:fldChar w:fldCharType="separate"/>
            </w:r>
            <w:r>
              <w:rPr>
                <w:rFonts w:hint="eastAsia" w:cs="Times New Roman"/>
                <w:b w:val="0"/>
                <w:bCs w:val="0"/>
                <w:color w:val="000000" w:themeColor="text1"/>
                <w:sz w:val="24"/>
                <w:szCs w:val="24"/>
                <w:highlight w:val="none"/>
                <w:lang w:val="en-US" w:eastAsia="zh-CN"/>
                <w14:textFill>
                  <w14:solidFill>
                    <w14:schemeClr w14:val="tx1"/>
                  </w14:solidFill>
                </w14:textFill>
              </w:rPr>
              <w:t>奥氏体化</w:t>
            </w:r>
            <w:r>
              <w:rPr>
                <w:rFonts w:hint="eastAsia" w:cs="Times New Roman"/>
                <w:b w:val="0"/>
                <w:bCs w:val="0"/>
                <w:color w:val="000000" w:themeColor="text1"/>
                <w:sz w:val="24"/>
                <w:szCs w:val="24"/>
                <w:highlight w:val="none"/>
                <w:lang w:val="en-US" w:eastAsia="zh-CN"/>
                <w14:textFill>
                  <w14:solidFill>
                    <w14:schemeClr w14:val="tx1"/>
                  </w14:solidFill>
                </w14:textFill>
              </w:rPr>
              <w:fldChar w:fldCharType="end"/>
            </w:r>
            <w:r>
              <w:rPr>
                <w:rFonts w:hint="eastAsia" w:cs="Times New Roman"/>
                <w:b w:val="0"/>
                <w:bCs w:val="0"/>
                <w:color w:val="000000" w:themeColor="text1"/>
                <w:sz w:val="24"/>
                <w:szCs w:val="24"/>
                <w:highlight w:val="none"/>
                <w:lang w:val="en-US" w:eastAsia="zh-CN"/>
                <w14:textFill>
                  <w14:solidFill>
                    <w14:schemeClr w14:val="tx1"/>
                  </w14:solidFill>
                </w14:textFill>
              </w:rPr>
              <w:t>，然后以大于</w:t>
            </w:r>
            <w:r>
              <w:rPr>
                <w:rFonts w:hint="eastAsia" w:cs="Times New Roman"/>
                <w:b w:val="0"/>
                <w:bCs w:val="0"/>
                <w:color w:val="000000" w:themeColor="text1"/>
                <w:sz w:val="24"/>
                <w:szCs w:val="24"/>
                <w:highlight w:val="none"/>
                <w:lang w:val="en-US" w:eastAsia="zh-CN"/>
                <w14:textFill>
                  <w14:solidFill>
                    <w14:schemeClr w14:val="tx1"/>
                  </w14:solidFill>
                </w14:textFill>
              </w:rPr>
              <w:fldChar w:fldCharType="begin"/>
            </w:r>
            <w:r>
              <w:rPr>
                <w:rFonts w:hint="eastAsia" w:cs="Times New Roman"/>
                <w:b w:val="0"/>
                <w:bCs w:val="0"/>
                <w:color w:val="000000" w:themeColor="text1"/>
                <w:sz w:val="24"/>
                <w:szCs w:val="24"/>
                <w:highlight w:val="none"/>
                <w:lang w:val="en-US" w:eastAsia="zh-CN"/>
                <w14:textFill>
                  <w14:solidFill>
                    <w14:schemeClr w14:val="tx1"/>
                  </w14:solidFill>
                </w14:textFill>
              </w:rPr>
              <w:instrText xml:space="preserve"> HYPERLINK "https://baike.so.com/doc/2159068-2284494.html" \t "https://baike.so.com/doc/_blank" </w:instrText>
            </w:r>
            <w:r>
              <w:rPr>
                <w:rFonts w:hint="eastAsia" w:cs="Times New Roman"/>
                <w:b w:val="0"/>
                <w:bCs w:val="0"/>
                <w:color w:val="000000" w:themeColor="text1"/>
                <w:sz w:val="24"/>
                <w:szCs w:val="24"/>
                <w:highlight w:val="none"/>
                <w:lang w:val="en-US" w:eastAsia="zh-CN"/>
                <w14:textFill>
                  <w14:solidFill>
                    <w14:schemeClr w14:val="tx1"/>
                  </w14:solidFill>
                </w14:textFill>
              </w:rPr>
              <w:fldChar w:fldCharType="separate"/>
            </w:r>
            <w:r>
              <w:rPr>
                <w:rFonts w:hint="eastAsia" w:cs="Times New Roman"/>
                <w:b w:val="0"/>
                <w:bCs w:val="0"/>
                <w:color w:val="000000" w:themeColor="text1"/>
                <w:sz w:val="24"/>
                <w:szCs w:val="24"/>
                <w:highlight w:val="none"/>
                <w:lang w:val="en-US" w:eastAsia="zh-CN"/>
                <w14:textFill>
                  <w14:solidFill>
                    <w14:schemeClr w14:val="tx1"/>
                  </w14:solidFill>
                </w14:textFill>
              </w:rPr>
              <w:t>临界冷却速度</w:t>
            </w:r>
            <w:r>
              <w:rPr>
                <w:rFonts w:hint="eastAsia" w:cs="Times New Roman"/>
                <w:b w:val="0"/>
                <w:bCs w:val="0"/>
                <w:color w:val="000000" w:themeColor="text1"/>
                <w:sz w:val="24"/>
                <w:szCs w:val="24"/>
                <w:highlight w:val="none"/>
                <w:lang w:val="en-US" w:eastAsia="zh-CN"/>
                <w14:textFill>
                  <w14:solidFill>
                    <w14:schemeClr w14:val="tx1"/>
                  </w14:solidFill>
                </w14:textFill>
              </w:rPr>
              <w:fldChar w:fldCharType="end"/>
            </w:r>
            <w:r>
              <w:rPr>
                <w:rFonts w:hint="eastAsia" w:cs="Times New Roman"/>
                <w:b w:val="0"/>
                <w:bCs w:val="0"/>
                <w:color w:val="000000" w:themeColor="text1"/>
                <w:sz w:val="24"/>
                <w:szCs w:val="24"/>
                <w:highlight w:val="none"/>
                <w:lang w:val="en-US" w:eastAsia="zh-CN"/>
                <w14:textFill>
                  <w14:solidFill>
                    <w14:schemeClr w14:val="tx1"/>
                  </w14:solidFill>
                </w14:textFill>
              </w:rPr>
              <w:t>的冷速快冷到Ms以下进行</w:t>
            </w:r>
            <w:r>
              <w:rPr>
                <w:rFonts w:hint="eastAsia" w:cs="Times New Roman"/>
                <w:b w:val="0"/>
                <w:bCs w:val="0"/>
                <w:color w:val="000000" w:themeColor="text1"/>
                <w:sz w:val="24"/>
                <w:szCs w:val="24"/>
                <w:highlight w:val="none"/>
                <w:lang w:val="en-US" w:eastAsia="zh-CN"/>
                <w14:textFill>
                  <w14:solidFill>
                    <w14:schemeClr w14:val="tx1"/>
                  </w14:solidFill>
                </w14:textFill>
              </w:rPr>
              <w:fldChar w:fldCharType="begin"/>
            </w:r>
            <w:r>
              <w:rPr>
                <w:rFonts w:hint="eastAsia" w:cs="Times New Roman"/>
                <w:b w:val="0"/>
                <w:bCs w:val="0"/>
                <w:color w:val="000000" w:themeColor="text1"/>
                <w:sz w:val="24"/>
                <w:szCs w:val="24"/>
                <w:highlight w:val="none"/>
                <w:lang w:val="en-US" w:eastAsia="zh-CN"/>
                <w14:textFill>
                  <w14:solidFill>
                    <w14:schemeClr w14:val="tx1"/>
                  </w14:solidFill>
                </w14:textFill>
              </w:rPr>
              <w:instrText xml:space="preserve"> HYPERLINK "https://baike.so.com/doc/2295054-2427897.html" \t "https://baike.so.com/doc/_blank" </w:instrText>
            </w:r>
            <w:r>
              <w:rPr>
                <w:rFonts w:hint="eastAsia" w:cs="Times New Roman"/>
                <w:b w:val="0"/>
                <w:bCs w:val="0"/>
                <w:color w:val="000000" w:themeColor="text1"/>
                <w:sz w:val="24"/>
                <w:szCs w:val="24"/>
                <w:highlight w:val="none"/>
                <w:lang w:val="en-US" w:eastAsia="zh-CN"/>
                <w14:textFill>
                  <w14:solidFill>
                    <w14:schemeClr w14:val="tx1"/>
                  </w14:solidFill>
                </w14:textFill>
              </w:rPr>
              <w:fldChar w:fldCharType="separate"/>
            </w:r>
            <w:r>
              <w:rPr>
                <w:rFonts w:hint="eastAsia" w:cs="Times New Roman"/>
                <w:b w:val="0"/>
                <w:bCs w:val="0"/>
                <w:color w:val="000000" w:themeColor="text1"/>
                <w:sz w:val="24"/>
                <w:szCs w:val="24"/>
                <w:highlight w:val="none"/>
                <w:lang w:val="en-US" w:eastAsia="zh-CN"/>
                <w14:textFill>
                  <w14:solidFill>
                    <w14:schemeClr w14:val="tx1"/>
                  </w14:solidFill>
                </w14:textFill>
              </w:rPr>
              <w:t>马氏体</w:t>
            </w:r>
            <w:r>
              <w:rPr>
                <w:rFonts w:hint="eastAsia" w:cs="Times New Roman"/>
                <w:b w:val="0"/>
                <w:bCs w:val="0"/>
                <w:color w:val="000000" w:themeColor="text1"/>
                <w:sz w:val="24"/>
                <w:szCs w:val="24"/>
                <w:highlight w:val="none"/>
                <w:lang w:val="en-US" w:eastAsia="zh-CN"/>
                <w14:textFill>
                  <w14:solidFill>
                    <w14:schemeClr w14:val="tx1"/>
                  </w14:solidFill>
                </w14:textFill>
              </w:rPr>
              <w:fldChar w:fldCharType="end"/>
            </w:r>
            <w:r>
              <w:rPr>
                <w:rFonts w:hint="eastAsia" w:cs="Times New Roman"/>
                <w:b w:val="0"/>
                <w:bCs w:val="0"/>
                <w:color w:val="000000" w:themeColor="text1"/>
                <w:sz w:val="24"/>
                <w:szCs w:val="24"/>
                <w:highlight w:val="none"/>
                <w:lang w:val="en-US" w:eastAsia="zh-CN"/>
                <w14:textFill>
                  <w14:solidFill>
                    <w14:schemeClr w14:val="tx1"/>
                  </w14:solidFill>
                </w14:textFill>
              </w:rPr>
              <w:t>（或</w:t>
            </w:r>
            <w:r>
              <w:rPr>
                <w:rFonts w:hint="eastAsia" w:cs="Times New Roman"/>
                <w:b w:val="0"/>
                <w:bCs w:val="0"/>
                <w:color w:val="000000" w:themeColor="text1"/>
                <w:sz w:val="24"/>
                <w:szCs w:val="24"/>
                <w:highlight w:val="none"/>
                <w:lang w:val="en-US" w:eastAsia="zh-CN"/>
                <w14:textFill>
                  <w14:solidFill>
                    <w14:schemeClr w14:val="tx1"/>
                  </w14:solidFill>
                </w14:textFill>
              </w:rPr>
              <w:fldChar w:fldCharType="begin"/>
            </w:r>
            <w:r>
              <w:rPr>
                <w:rFonts w:hint="eastAsia" w:cs="Times New Roman"/>
                <w:b w:val="0"/>
                <w:bCs w:val="0"/>
                <w:color w:val="000000" w:themeColor="text1"/>
                <w:sz w:val="24"/>
                <w:szCs w:val="24"/>
                <w:highlight w:val="none"/>
                <w:lang w:val="en-US" w:eastAsia="zh-CN"/>
                <w14:textFill>
                  <w14:solidFill>
                    <w14:schemeClr w14:val="tx1"/>
                  </w14:solidFill>
                </w14:textFill>
              </w:rPr>
              <w:instrText xml:space="preserve"> HYPERLINK "https://baike.so.com/doc/5710440-5923161.html" \t "https://baike.so.com/doc/_blank" </w:instrText>
            </w:r>
            <w:r>
              <w:rPr>
                <w:rFonts w:hint="eastAsia" w:cs="Times New Roman"/>
                <w:b w:val="0"/>
                <w:bCs w:val="0"/>
                <w:color w:val="000000" w:themeColor="text1"/>
                <w:sz w:val="24"/>
                <w:szCs w:val="24"/>
                <w:highlight w:val="none"/>
                <w:lang w:val="en-US" w:eastAsia="zh-CN"/>
                <w14:textFill>
                  <w14:solidFill>
                    <w14:schemeClr w14:val="tx1"/>
                  </w14:solidFill>
                </w14:textFill>
              </w:rPr>
              <w:fldChar w:fldCharType="separate"/>
            </w:r>
            <w:r>
              <w:rPr>
                <w:rFonts w:hint="eastAsia" w:cs="Times New Roman"/>
                <w:b w:val="0"/>
                <w:bCs w:val="0"/>
                <w:color w:val="000000" w:themeColor="text1"/>
                <w:sz w:val="24"/>
                <w:szCs w:val="24"/>
                <w:highlight w:val="none"/>
                <w:lang w:val="en-US" w:eastAsia="zh-CN"/>
                <w14:textFill>
                  <w14:solidFill>
                    <w14:schemeClr w14:val="tx1"/>
                  </w14:solidFill>
                </w14:textFill>
              </w:rPr>
              <w:t>贝氏体</w:t>
            </w:r>
            <w:r>
              <w:rPr>
                <w:rFonts w:hint="eastAsia" w:cs="Times New Roman"/>
                <w:b w:val="0"/>
                <w:bCs w:val="0"/>
                <w:color w:val="000000" w:themeColor="text1"/>
                <w:sz w:val="24"/>
                <w:szCs w:val="24"/>
                <w:highlight w:val="none"/>
                <w:lang w:val="en-US" w:eastAsia="zh-CN"/>
                <w14:textFill>
                  <w14:solidFill>
                    <w14:schemeClr w14:val="tx1"/>
                  </w14:solidFill>
                </w14:textFill>
              </w:rPr>
              <w:fldChar w:fldCharType="end"/>
            </w:r>
            <w:r>
              <w:rPr>
                <w:rFonts w:hint="eastAsia" w:cs="Times New Roman"/>
                <w:b w:val="0"/>
                <w:bCs w:val="0"/>
                <w:color w:val="000000" w:themeColor="text1"/>
                <w:sz w:val="24"/>
                <w:szCs w:val="24"/>
                <w:highlight w:val="none"/>
                <w:lang w:val="en-US" w:eastAsia="zh-CN"/>
                <w14:textFill>
                  <w14:solidFill>
                    <w14:schemeClr w14:val="tx1"/>
                  </w14:solidFill>
                </w14:textFill>
              </w:rPr>
              <w:t>）转变的热处理工艺。淬火的目的是使过冷奥氏体进行</w:t>
            </w:r>
            <w:r>
              <w:rPr>
                <w:rFonts w:hint="eastAsia" w:cs="Times New Roman"/>
                <w:b w:val="0"/>
                <w:bCs w:val="0"/>
                <w:color w:val="000000" w:themeColor="text1"/>
                <w:sz w:val="24"/>
                <w:szCs w:val="24"/>
                <w:highlight w:val="none"/>
                <w:lang w:val="en-US" w:eastAsia="zh-CN"/>
                <w14:textFill>
                  <w14:solidFill>
                    <w14:schemeClr w14:val="tx1"/>
                  </w14:solidFill>
                </w14:textFill>
              </w:rPr>
              <w:fldChar w:fldCharType="begin"/>
            </w:r>
            <w:r>
              <w:rPr>
                <w:rFonts w:hint="eastAsia" w:cs="Times New Roman"/>
                <w:b w:val="0"/>
                <w:bCs w:val="0"/>
                <w:color w:val="000000" w:themeColor="text1"/>
                <w:sz w:val="24"/>
                <w:szCs w:val="24"/>
                <w:highlight w:val="none"/>
                <w:lang w:val="en-US" w:eastAsia="zh-CN"/>
                <w14:textFill>
                  <w14:solidFill>
                    <w14:schemeClr w14:val="tx1"/>
                  </w14:solidFill>
                </w14:textFill>
              </w:rPr>
              <w:instrText xml:space="preserve"> HYPERLINK "https://baike.so.com/doc/2295054-2427897.html" \t "https://baike.so.com/doc/_blank" </w:instrText>
            </w:r>
            <w:r>
              <w:rPr>
                <w:rFonts w:hint="eastAsia" w:cs="Times New Roman"/>
                <w:b w:val="0"/>
                <w:bCs w:val="0"/>
                <w:color w:val="000000" w:themeColor="text1"/>
                <w:sz w:val="24"/>
                <w:szCs w:val="24"/>
                <w:highlight w:val="none"/>
                <w:lang w:val="en-US" w:eastAsia="zh-CN"/>
                <w14:textFill>
                  <w14:solidFill>
                    <w14:schemeClr w14:val="tx1"/>
                  </w14:solidFill>
                </w14:textFill>
              </w:rPr>
              <w:fldChar w:fldCharType="separate"/>
            </w:r>
            <w:r>
              <w:rPr>
                <w:rFonts w:hint="eastAsia" w:cs="Times New Roman"/>
                <w:b w:val="0"/>
                <w:bCs w:val="0"/>
                <w:color w:val="000000" w:themeColor="text1"/>
                <w:sz w:val="24"/>
                <w:szCs w:val="24"/>
                <w:highlight w:val="none"/>
                <w:lang w:val="en-US" w:eastAsia="zh-CN"/>
                <w14:textFill>
                  <w14:solidFill>
                    <w14:schemeClr w14:val="tx1"/>
                  </w14:solidFill>
                </w14:textFill>
              </w:rPr>
              <w:t>马氏体</w:t>
            </w:r>
            <w:r>
              <w:rPr>
                <w:rFonts w:hint="eastAsia" w:cs="Times New Roman"/>
                <w:b w:val="0"/>
                <w:bCs w:val="0"/>
                <w:color w:val="000000" w:themeColor="text1"/>
                <w:sz w:val="24"/>
                <w:szCs w:val="24"/>
                <w:highlight w:val="none"/>
                <w:lang w:val="en-US" w:eastAsia="zh-CN"/>
                <w14:textFill>
                  <w14:solidFill>
                    <w14:schemeClr w14:val="tx1"/>
                  </w14:solidFill>
                </w14:textFill>
              </w:rPr>
              <w:fldChar w:fldCharType="end"/>
            </w:r>
            <w:r>
              <w:rPr>
                <w:rFonts w:hint="eastAsia" w:cs="Times New Roman"/>
                <w:b w:val="0"/>
                <w:bCs w:val="0"/>
                <w:color w:val="000000" w:themeColor="text1"/>
                <w:sz w:val="24"/>
                <w:szCs w:val="24"/>
                <w:highlight w:val="none"/>
                <w:lang w:val="en-US" w:eastAsia="zh-CN"/>
                <w14:textFill>
                  <w14:solidFill>
                    <w14:schemeClr w14:val="tx1"/>
                  </w14:solidFill>
                </w14:textFill>
              </w:rPr>
              <w:t>或</w:t>
            </w:r>
            <w:r>
              <w:rPr>
                <w:rFonts w:hint="eastAsia" w:cs="Times New Roman"/>
                <w:b w:val="0"/>
                <w:bCs w:val="0"/>
                <w:color w:val="000000" w:themeColor="text1"/>
                <w:sz w:val="24"/>
                <w:szCs w:val="24"/>
                <w:highlight w:val="none"/>
                <w:lang w:val="en-US" w:eastAsia="zh-CN"/>
                <w14:textFill>
                  <w14:solidFill>
                    <w14:schemeClr w14:val="tx1"/>
                  </w14:solidFill>
                </w14:textFill>
              </w:rPr>
              <w:fldChar w:fldCharType="begin"/>
            </w:r>
            <w:r>
              <w:rPr>
                <w:rFonts w:hint="eastAsia" w:cs="Times New Roman"/>
                <w:b w:val="0"/>
                <w:bCs w:val="0"/>
                <w:color w:val="000000" w:themeColor="text1"/>
                <w:sz w:val="24"/>
                <w:szCs w:val="24"/>
                <w:highlight w:val="none"/>
                <w:lang w:val="en-US" w:eastAsia="zh-CN"/>
                <w14:textFill>
                  <w14:solidFill>
                    <w14:schemeClr w14:val="tx1"/>
                  </w14:solidFill>
                </w14:textFill>
              </w:rPr>
              <w:instrText xml:space="preserve"> HYPERLINK "https://baike.so.com/doc/5710440-5923161.html" \t "https://baike.so.com/doc/_blank" </w:instrText>
            </w:r>
            <w:r>
              <w:rPr>
                <w:rFonts w:hint="eastAsia" w:cs="Times New Roman"/>
                <w:b w:val="0"/>
                <w:bCs w:val="0"/>
                <w:color w:val="000000" w:themeColor="text1"/>
                <w:sz w:val="24"/>
                <w:szCs w:val="24"/>
                <w:highlight w:val="none"/>
                <w:lang w:val="en-US" w:eastAsia="zh-CN"/>
                <w14:textFill>
                  <w14:solidFill>
                    <w14:schemeClr w14:val="tx1"/>
                  </w14:solidFill>
                </w14:textFill>
              </w:rPr>
              <w:fldChar w:fldCharType="separate"/>
            </w:r>
            <w:r>
              <w:rPr>
                <w:rFonts w:hint="eastAsia" w:cs="Times New Roman"/>
                <w:b w:val="0"/>
                <w:bCs w:val="0"/>
                <w:color w:val="000000" w:themeColor="text1"/>
                <w:sz w:val="24"/>
                <w:szCs w:val="24"/>
                <w:highlight w:val="none"/>
                <w:lang w:val="en-US" w:eastAsia="zh-CN"/>
                <w14:textFill>
                  <w14:solidFill>
                    <w14:schemeClr w14:val="tx1"/>
                  </w14:solidFill>
                </w14:textFill>
              </w:rPr>
              <w:t>贝氏体</w:t>
            </w:r>
            <w:r>
              <w:rPr>
                <w:rFonts w:hint="eastAsia" w:cs="Times New Roman"/>
                <w:b w:val="0"/>
                <w:bCs w:val="0"/>
                <w:color w:val="000000" w:themeColor="text1"/>
                <w:sz w:val="24"/>
                <w:szCs w:val="24"/>
                <w:highlight w:val="none"/>
                <w:lang w:val="en-US" w:eastAsia="zh-CN"/>
                <w14:textFill>
                  <w14:solidFill>
                    <w14:schemeClr w14:val="tx1"/>
                  </w14:solidFill>
                </w14:textFill>
              </w:rPr>
              <w:fldChar w:fldCharType="end"/>
            </w:r>
            <w:r>
              <w:rPr>
                <w:rFonts w:hint="eastAsia" w:cs="Times New Roman"/>
                <w:b w:val="0"/>
                <w:bCs w:val="0"/>
                <w:color w:val="000000" w:themeColor="text1"/>
                <w:sz w:val="24"/>
                <w:szCs w:val="24"/>
                <w:highlight w:val="none"/>
                <w:lang w:val="en-US" w:eastAsia="zh-CN"/>
                <w14:textFill>
                  <w14:solidFill>
                    <w14:schemeClr w14:val="tx1"/>
                  </w14:solidFill>
                </w14:textFill>
              </w:rPr>
              <w:t>转变，得到马氏体或贝氏体组织，然后配合以不同温度的回火，以大幅提高钢</w:t>
            </w:r>
            <w:r>
              <w:rPr>
                <w:rFonts w:hint="eastAsia" w:cs="Times New Roman"/>
                <w:color w:val="000000" w:themeColor="text1"/>
                <w:sz w:val="24"/>
                <w:szCs w:val="24"/>
                <w:highlight w:val="none"/>
                <w:lang w:val="en-US" w:eastAsia="zh-CN"/>
                <w14:textFill>
                  <w14:solidFill>
                    <w14:schemeClr w14:val="tx1"/>
                  </w14:solidFill>
                </w14:textFill>
              </w:rPr>
              <w:t>球</w:t>
            </w:r>
            <w:r>
              <w:rPr>
                <w:rFonts w:hint="eastAsia" w:cs="Times New Roman"/>
                <w:b w:val="0"/>
                <w:bCs w:val="0"/>
                <w:color w:val="000000" w:themeColor="text1"/>
                <w:sz w:val="24"/>
                <w:szCs w:val="24"/>
                <w:highlight w:val="none"/>
                <w:lang w:val="en-US" w:eastAsia="zh-CN"/>
                <w14:textFill>
                  <w14:solidFill>
                    <w14:schemeClr w14:val="tx1"/>
                  </w14:solidFill>
                </w14:textFill>
              </w:rPr>
              <w:t>的刚性、硬度、耐磨性、疲劳强度以及韧性等，从而满足各种机械零件和工具的不同使用要求。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②</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回火：</w:t>
            </w:r>
            <w:r>
              <w:rPr>
                <w:rFonts w:hint="eastAsia" w:cs="Times New Roman"/>
                <w:b w:val="0"/>
                <w:bCs w:val="0"/>
                <w:color w:val="000000" w:themeColor="text1"/>
                <w:sz w:val="24"/>
                <w:szCs w:val="24"/>
                <w:highlight w:val="none"/>
                <w:lang w:val="en-US" w:eastAsia="zh-CN"/>
                <w14:textFill>
                  <w14:solidFill>
                    <w14:schemeClr w14:val="tx1"/>
                  </w14:solidFill>
                </w14:textFill>
              </w:rPr>
              <w:t>由于在淬火过程中，钢球由奥氏体转变成马氏体时发生体积膨胀，内应力较大导致马氏体组织不稳定，因此钢球需要回火。将淬火后的钢球自然冷却清除残余奥氏体后送入回火炉进行回火，回火温度为160-180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恒温保持1h，以消除或减少钢球的内应力。回火时由于工件上粘的淬火油在回火炉内加热会产生油雾</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此工序会产生</w:t>
            </w:r>
            <w:r>
              <w:rPr>
                <w:rFonts w:hint="eastAsia" w:cs="Times New Roman"/>
                <w:color w:val="000000" w:themeColor="text1"/>
                <w:sz w:val="24"/>
                <w:szCs w:val="24"/>
                <w:highlight w:val="none"/>
                <w:lang w:val="en-US" w:eastAsia="zh-CN"/>
                <w14:textFill>
                  <w14:solidFill>
                    <w14:schemeClr w14:val="tx1"/>
                  </w14:solidFill>
                </w14:textFill>
              </w:rPr>
              <w:t>回火</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废气G</w:t>
            </w:r>
            <w:r>
              <w:rPr>
                <w:rFonts w:hint="eastAsia"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及</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噪声</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N</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③</w:t>
            </w:r>
            <w:r>
              <w:rPr>
                <w:rFonts w:hint="eastAsia" w:cs="Times New Roman"/>
                <w:color w:val="000000" w:themeColor="text1"/>
                <w:sz w:val="24"/>
                <w:szCs w:val="24"/>
                <w:highlight w:val="none"/>
                <w:lang w:val="en-US" w:eastAsia="zh-CN"/>
                <w14:textFill>
                  <w14:solidFill>
                    <w14:schemeClr w14:val="tx1"/>
                  </w14:solidFill>
                </w14:textFill>
              </w:rPr>
              <w:t xml:space="preserve"> 去油：经热处理后的钢球表面含有淬火油，采用去</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油机</w:t>
            </w:r>
            <w:r>
              <w:rPr>
                <w:rFonts w:hint="eastAsia" w:cs="Times New Roman"/>
                <w:color w:val="000000" w:themeColor="text1"/>
                <w:sz w:val="24"/>
                <w:szCs w:val="24"/>
                <w:highlight w:val="none"/>
                <w:lang w:val="en-US" w:eastAsia="zh-CN"/>
                <w14:textFill>
                  <w14:solidFill>
                    <w14:schemeClr w14:val="tx1"/>
                  </w14:solidFill>
                </w14:textFill>
              </w:rPr>
              <w:t>气压方式</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去除</w:t>
            </w:r>
            <w:r>
              <w:rPr>
                <w:rFonts w:hint="eastAsia" w:cs="Times New Roman"/>
                <w:color w:val="000000" w:themeColor="text1"/>
                <w:sz w:val="24"/>
                <w:szCs w:val="24"/>
                <w:highlight w:val="none"/>
                <w:lang w:val="en-US" w:eastAsia="zh-CN"/>
                <w14:textFill>
                  <w14:solidFill>
                    <w14:schemeClr w14:val="tx1"/>
                  </w14:solidFill>
                </w14:textFill>
              </w:rPr>
              <w:t>淬</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火油，去除</w:t>
            </w:r>
            <w:r>
              <w:rPr>
                <w:rFonts w:hint="eastAsia" w:cs="Times New Roman"/>
                <w:color w:val="000000" w:themeColor="text1"/>
                <w:sz w:val="24"/>
                <w:szCs w:val="24"/>
                <w:highlight w:val="none"/>
                <w:lang w:val="en-US" w:eastAsia="zh-CN"/>
                <w14:textFill>
                  <w14:solidFill>
                    <w14:schemeClr w14:val="tx1"/>
                  </w14:solidFill>
                </w14:textFill>
              </w:rPr>
              <w:t>的淬</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火油回用于</w:t>
            </w:r>
            <w:r>
              <w:rPr>
                <w:rFonts w:hint="eastAsia" w:cs="Times New Roman"/>
                <w:color w:val="000000" w:themeColor="text1"/>
                <w:sz w:val="24"/>
                <w:szCs w:val="24"/>
                <w:highlight w:val="none"/>
                <w:lang w:val="en-US" w:eastAsia="zh-CN"/>
                <w14:textFill>
                  <w14:solidFill>
                    <w14:schemeClr w14:val="tx1"/>
                  </w14:solidFill>
                </w14:textFill>
              </w:rPr>
              <w:t>淬</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火油池</w:t>
            </w:r>
            <w:r>
              <w:rPr>
                <w:rFonts w:hint="eastAsia"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此工序会产生</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噪声</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N</w:t>
            </w:r>
            <w:r>
              <w:rPr>
                <w:rFonts w:hint="eastAsia" w:cs="Times New Roman"/>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（4）硬磨：</w:t>
            </w:r>
            <w:r>
              <w:rPr>
                <w:rFonts w:hint="eastAsia" w:cs="Times New Roman"/>
                <w:color w:val="auto"/>
                <w:sz w:val="24"/>
                <w:szCs w:val="24"/>
                <w:highlight w:val="none"/>
                <w:lang w:val="en-US" w:eastAsia="zh-CN"/>
              </w:rPr>
              <w:t>将特磨液：水按1：9比例调制成混合液使用，利用磨球机、特磨液混合液对钢球进行施压、研磨，进一步保证钢球尺寸精度和表面粗糙度。该工序会产生</w:t>
            </w:r>
            <w:r>
              <w:rPr>
                <w:rFonts w:hint="eastAsia" w:ascii="Times New Roman" w:hAnsi="Times New Roman" w:cs="Times New Roman"/>
                <w:color w:val="auto"/>
                <w:sz w:val="24"/>
                <w:szCs w:val="24"/>
                <w:highlight w:val="none"/>
                <w:lang w:eastAsia="zh-CN"/>
              </w:rPr>
              <w:t>废</w:t>
            </w:r>
            <w:r>
              <w:rPr>
                <w:rFonts w:hint="eastAsia" w:cs="Times New Roman"/>
                <w:color w:val="auto"/>
                <w:sz w:val="24"/>
                <w:szCs w:val="24"/>
                <w:highlight w:val="none"/>
                <w:lang w:eastAsia="zh-CN"/>
              </w:rPr>
              <w:t>钢屑</w:t>
            </w:r>
            <w:r>
              <w:rPr>
                <w:rFonts w:hint="default" w:ascii="Times New Roman" w:hAnsi="Times New Roman" w:cs="Times New Roman"/>
                <w:color w:val="auto"/>
                <w:sz w:val="24"/>
                <w:szCs w:val="24"/>
                <w:highlight w:val="none"/>
                <w:lang w:val="en-US" w:eastAsia="zh-CN"/>
              </w:rPr>
              <w:t>S</w:t>
            </w:r>
            <w:r>
              <w:rPr>
                <w:rFonts w:hint="eastAsia" w:cs="Times New Roman"/>
                <w:color w:val="auto"/>
                <w:sz w:val="24"/>
                <w:szCs w:val="24"/>
                <w:highlight w:val="none"/>
                <w:lang w:val="en-US" w:eastAsia="zh-CN"/>
              </w:rPr>
              <w:t>5</w:t>
            </w:r>
            <w:r>
              <w:rPr>
                <w:rFonts w:hint="default" w:ascii="Times New Roman" w:hAnsi="Times New Roman" w:cs="Times New Roman"/>
                <w:color w:val="auto"/>
                <w:sz w:val="24"/>
                <w:szCs w:val="24"/>
                <w:highlight w:val="none"/>
                <w:lang w:val="en-US" w:eastAsia="zh-CN"/>
              </w:rPr>
              <w:t>及</w:t>
            </w:r>
            <w:r>
              <w:rPr>
                <w:rFonts w:hint="eastAsia" w:cs="Times New Roman"/>
                <w:color w:val="auto"/>
                <w:sz w:val="24"/>
                <w:szCs w:val="24"/>
                <w:highlight w:val="none"/>
                <w:lang w:val="en-US" w:eastAsia="zh-CN"/>
              </w:rPr>
              <w:t>噪声N。</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5）强化：为加强钢球表面硬化层处理的功能，使钢球表面形成合理的应压力，提高钢球抗疲劳强度和提高钢球使用寿命，通过将钢球在强化机内抛转，自由落下，互相撞击使表面形成抗、耐压层，强化后钢球进入滚杠机将废钢球拣出。此工序会产生废钢球S6和噪声N。</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（6）二次回火：将回火炉温度控制在180℃，然后将强化后的钢球直接放入炉内保温2h，为了释放钢球内部的硬力。此工序不涉及淬火油使用。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（7）初研：初研是钢球精加工的入门工艺。将循环液：水按照1：9比例</w:t>
            </w:r>
            <w:r>
              <w:rPr>
                <w:rFonts w:hint="eastAsia" w:cs="Times New Roman"/>
                <w:color w:val="auto"/>
                <w:sz w:val="24"/>
                <w:szCs w:val="24"/>
                <w:highlight w:val="none"/>
                <w:lang w:val="en-US" w:eastAsia="zh-CN"/>
              </w:rPr>
              <w:t>调制成混合液使用，</w:t>
            </w:r>
            <w:r>
              <w:rPr>
                <w:rFonts w:hint="eastAsia" w:cs="Times New Roman"/>
                <w:b w:val="0"/>
                <w:bCs w:val="0"/>
                <w:color w:val="auto"/>
                <w:sz w:val="24"/>
                <w:szCs w:val="24"/>
                <w:highlight w:val="none"/>
                <w:lang w:val="en-US" w:eastAsia="zh-CN"/>
              </w:rPr>
              <w:t>利用初研机、循环液</w:t>
            </w:r>
            <w:r>
              <w:rPr>
                <w:rFonts w:hint="eastAsia" w:cs="Times New Roman"/>
                <w:color w:val="auto"/>
                <w:sz w:val="24"/>
                <w:szCs w:val="24"/>
                <w:highlight w:val="none"/>
                <w:lang w:val="en-US" w:eastAsia="zh-CN"/>
              </w:rPr>
              <w:t>混合液与钢球在一点压力下的相对运动对钢球表面进行初步软硬研磨</w:t>
            </w:r>
            <w:r>
              <w:rPr>
                <w:rFonts w:hint="eastAsia" w:cs="Times New Roman"/>
                <w:b w:val="0"/>
                <w:bCs w:val="0"/>
                <w:color w:val="auto"/>
                <w:sz w:val="24"/>
                <w:szCs w:val="24"/>
                <w:highlight w:val="none"/>
                <w:lang w:val="en-US" w:eastAsia="zh-CN"/>
              </w:rPr>
              <w:t>，研磨液</w:t>
            </w:r>
            <w:r>
              <w:rPr>
                <w:rFonts w:hint="eastAsia" w:cs="Times New Roman"/>
                <w:color w:val="auto"/>
                <w:sz w:val="24"/>
                <w:szCs w:val="24"/>
                <w:highlight w:val="none"/>
                <w:lang w:val="en-US" w:eastAsia="zh-CN"/>
              </w:rPr>
              <w:t>混合液</w:t>
            </w:r>
            <w:r>
              <w:rPr>
                <w:rFonts w:hint="eastAsia" w:cs="Times New Roman"/>
                <w:b w:val="0"/>
                <w:bCs w:val="0"/>
                <w:color w:val="auto"/>
                <w:sz w:val="24"/>
                <w:szCs w:val="24"/>
                <w:highlight w:val="none"/>
                <w:lang w:val="en-US" w:eastAsia="zh-CN"/>
              </w:rPr>
              <w:t>定期添加。此工序会产生</w:t>
            </w:r>
            <w:r>
              <w:rPr>
                <w:rFonts w:hint="eastAsia" w:ascii="Times New Roman" w:hAnsi="Times New Roman" w:cs="Times New Roman"/>
                <w:color w:val="auto"/>
                <w:sz w:val="24"/>
                <w:szCs w:val="24"/>
                <w:highlight w:val="none"/>
                <w:lang w:eastAsia="zh-CN"/>
              </w:rPr>
              <w:t>废</w:t>
            </w:r>
            <w:r>
              <w:rPr>
                <w:rFonts w:hint="eastAsia" w:cs="Times New Roman"/>
                <w:color w:val="auto"/>
                <w:sz w:val="24"/>
                <w:szCs w:val="24"/>
                <w:highlight w:val="none"/>
                <w:lang w:eastAsia="zh-CN"/>
              </w:rPr>
              <w:t>钢屑</w:t>
            </w:r>
            <w:r>
              <w:rPr>
                <w:rFonts w:hint="default" w:ascii="Times New Roman" w:hAnsi="Times New Roman" w:cs="Times New Roman"/>
                <w:color w:val="auto"/>
                <w:sz w:val="24"/>
                <w:szCs w:val="24"/>
                <w:highlight w:val="none"/>
                <w:lang w:val="en-US" w:eastAsia="zh-CN"/>
              </w:rPr>
              <w:t>S</w:t>
            </w:r>
            <w:r>
              <w:rPr>
                <w:rFonts w:hint="eastAsia" w:cs="Times New Roman"/>
                <w:color w:val="auto"/>
                <w:sz w:val="24"/>
                <w:szCs w:val="24"/>
                <w:highlight w:val="none"/>
                <w:lang w:val="en-US" w:eastAsia="zh-CN"/>
              </w:rPr>
              <w:t>7</w:t>
            </w:r>
            <w:r>
              <w:rPr>
                <w:rFonts w:hint="default" w:ascii="Times New Roman" w:hAnsi="Times New Roman" w:cs="Times New Roman"/>
                <w:color w:val="auto"/>
                <w:sz w:val="24"/>
                <w:szCs w:val="24"/>
                <w:highlight w:val="none"/>
                <w:lang w:val="en-US" w:eastAsia="zh-CN"/>
              </w:rPr>
              <w:t>及</w:t>
            </w:r>
            <w:r>
              <w:rPr>
                <w:rFonts w:hint="eastAsia" w:cs="Times New Roman"/>
                <w:b w:val="0"/>
                <w:bCs w:val="0"/>
                <w:color w:val="auto"/>
                <w:sz w:val="24"/>
                <w:szCs w:val="24"/>
                <w:highlight w:val="none"/>
                <w:lang w:val="en-US" w:eastAsia="zh-CN"/>
              </w:rPr>
              <w:t>噪声N。</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（8）精研：将循环液/精研液：水按照1：9比例</w:t>
            </w:r>
            <w:r>
              <w:rPr>
                <w:rFonts w:hint="eastAsia" w:cs="Times New Roman"/>
                <w:color w:val="auto"/>
                <w:sz w:val="24"/>
                <w:szCs w:val="24"/>
                <w:highlight w:val="none"/>
                <w:lang w:val="en-US" w:eastAsia="zh-CN"/>
              </w:rPr>
              <w:t>调制成混合液使用，利用精研机、</w:t>
            </w:r>
            <w:r>
              <w:rPr>
                <w:rFonts w:hint="eastAsia" w:cs="Times New Roman"/>
                <w:b w:val="0"/>
                <w:bCs w:val="0"/>
                <w:color w:val="auto"/>
                <w:sz w:val="24"/>
                <w:szCs w:val="24"/>
                <w:highlight w:val="none"/>
                <w:lang w:val="en-US" w:eastAsia="zh-CN"/>
              </w:rPr>
              <w:t>循环液</w:t>
            </w:r>
            <w:r>
              <w:rPr>
                <w:rFonts w:hint="eastAsia" w:cs="Times New Roman"/>
                <w:color w:val="auto"/>
                <w:sz w:val="24"/>
                <w:szCs w:val="24"/>
                <w:highlight w:val="none"/>
                <w:lang w:val="en-US" w:eastAsia="zh-CN"/>
              </w:rPr>
              <w:t>混合液/精研液混合液与钢球在一点压力下的相对运动对钢球表面进行精整加工</w:t>
            </w:r>
            <w:r>
              <w:rPr>
                <w:rFonts w:hint="eastAsia" w:cs="Times New Roman"/>
                <w:b w:val="0"/>
                <w:bCs w:val="0"/>
                <w:color w:val="auto"/>
                <w:sz w:val="24"/>
                <w:szCs w:val="24"/>
                <w:highlight w:val="none"/>
                <w:lang w:val="en-US" w:eastAsia="zh-CN"/>
              </w:rPr>
              <w:t>。</w:t>
            </w:r>
            <w:r>
              <w:rPr>
                <w:rFonts w:hint="eastAsia" w:cs="Times New Roman"/>
                <w:color w:val="auto"/>
                <w:sz w:val="24"/>
                <w:szCs w:val="24"/>
                <w:highlight w:val="none"/>
                <w:lang w:val="en-US" w:eastAsia="zh-CN"/>
              </w:rPr>
              <w:t>混合液</w:t>
            </w:r>
            <w:r>
              <w:rPr>
                <w:rFonts w:hint="eastAsia" w:cs="Times New Roman"/>
                <w:b w:val="0"/>
                <w:bCs w:val="0"/>
                <w:color w:val="auto"/>
                <w:sz w:val="24"/>
                <w:szCs w:val="24"/>
                <w:highlight w:val="none"/>
                <w:lang w:val="en-US" w:eastAsia="zh-CN"/>
              </w:rPr>
              <w:t>定期添加。此工序会产生</w:t>
            </w:r>
            <w:r>
              <w:rPr>
                <w:rFonts w:hint="eastAsia" w:ascii="Times New Roman" w:hAnsi="Times New Roman" w:cs="Times New Roman"/>
                <w:color w:val="auto"/>
                <w:sz w:val="24"/>
                <w:szCs w:val="24"/>
                <w:highlight w:val="none"/>
                <w:lang w:eastAsia="zh-CN"/>
              </w:rPr>
              <w:t>废</w:t>
            </w:r>
            <w:r>
              <w:rPr>
                <w:rFonts w:hint="eastAsia" w:cs="Times New Roman"/>
                <w:color w:val="auto"/>
                <w:sz w:val="24"/>
                <w:szCs w:val="24"/>
                <w:highlight w:val="none"/>
                <w:lang w:eastAsia="zh-CN"/>
              </w:rPr>
              <w:t>钢屑</w:t>
            </w:r>
            <w:r>
              <w:rPr>
                <w:rFonts w:hint="default" w:ascii="Times New Roman" w:hAnsi="Times New Roman" w:cs="Times New Roman"/>
                <w:color w:val="auto"/>
                <w:sz w:val="24"/>
                <w:szCs w:val="24"/>
                <w:highlight w:val="none"/>
                <w:lang w:val="en-US" w:eastAsia="zh-CN"/>
              </w:rPr>
              <w:t>S</w:t>
            </w:r>
            <w:r>
              <w:rPr>
                <w:rFonts w:hint="eastAsia" w:cs="Times New Roman"/>
                <w:color w:val="auto"/>
                <w:sz w:val="24"/>
                <w:szCs w:val="24"/>
                <w:highlight w:val="none"/>
                <w:lang w:val="en-US" w:eastAsia="zh-CN"/>
              </w:rPr>
              <w:t>8</w:t>
            </w:r>
            <w:r>
              <w:rPr>
                <w:rFonts w:hint="default" w:ascii="Times New Roman" w:hAnsi="Times New Roman" w:cs="Times New Roman"/>
                <w:color w:val="auto"/>
                <w:sz w:val="24"/>
                <w:szCs w:val="24"/>
                <w:highlight w:val="none"/>
                <w:lang w:val="en-US" w:eastAsia="zh-CN"/>
              </w:rPr>
              <w:t>及</w:t>
            </w:r>
            <w:r>
              <w:rPr>
                <w:rFonts w:hint="eastAsia" w:cs="Times New Roman"/>
                <w:b w:val="0"/>
                <w:bCs w:val="0"/>
                <w:color w:val="auto"/>
                <w:sz w:val="24"/>
                <w:szCs w:val="24"/>
                <w:highlight w:val="none"/>
                <w:lang w:val="en-US" w:eastAsia="zh-CN"/>
              </w:rPr>
              <w:t>及噪声N。</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（9）清洗：将研磨后的钢球送入清洗机进行清洗，以去除表面附着的杂质</w:t>
            </w:r>
            <w:r>
              <w:rPr>
                <w:rFonts w:hint="default" w:ascii="Times New Roman" w:hAnsi="Times New Roman" w:eastAsia="宋体" w:cs="Times New Roman"/>
                <w:b w:val="0"/>
                <w:bCs w:val="0"/>
                <w:color w:val="auto"/>
                <w:sz w:val="24"/>
                <w:szCs w:val="24"/>
                <w:highlight w:val="none"/>
                <w:lang w:val="en-US" w:eastAsia="zh-CN"/>
              </w:rPr>
              <w:t>，清洗油为</w:t>
            </w:r>
            <w:r>
              <w:rPr>
                <w:rFonts w:hint="eastAsia" w:cs="Times New Roman"/>
                <w:b w:val="0"/>
                <w:bCs w:val="0"/>
                <w:color w:val="auto"/>
                <w:sz w:val="24"/>
                <w:szCs w:val="24"/>
                <w:highlight w:val="none"/>
                <w:lang w:val="en-US" w:eastAsia="zh-CN"/>
              </w:rPr>
              <w:t>工业白油</w:t>
            </w:r>
            <w:r>
              <w:rPr>
                <w:rFonts w:hint="default" w:ascii="Times New Roman" w:hAnsi="Times New Roman" w:eastAsia="宋体" w:cs="Times New Roman"/>
                <w:b w:val="0"/>
                <w:bCs w:val="0"/>
                <w:color w:val="auto"/>
                <w:sz w:val="24"/>
                <w:szCs w:val="24"/>
                <w:highlight w:val="none"/>
                <w:lang w:val="en-US" w:eastAsia="zh-CN"/>
              </w:rPr>
              <w:t>，定期</w:t>
            </w:r>
            <w:r>
              <w:rPr>
                <w:rFonts w:hint="eastAsia" w:cs="Times New Roman"/>
                <w:b w:val="0"/>
                <w:bCs w:val="0"/>
                <w:color w:val="auto"/>
                <w:sz w:val="24"/>
                <w:szCs w:val="24"/>
                <w:highlight w:val="none"/>
                <w:lang w:val="en-US" w:eastAsia="zh-CN"/>
              </w:rPr>
              <w:t>添加</w:t>
            </w:r>
            <w:r>
              <w:rPr>
                <w:rFonts w:hint="default" w:ascii="Times New Roman" w:hAnsi="Times New Roman" w:eastAsia="宋体" w:cs="Times New Roman"/>
                <w:b w:val="0"/>
                <w:bCs w:val="0"/>
                <w:color w:val="auto"/>
                <w:sz w:val="24"/>
                <w:szCs w:val="24"/>
                <w:highlight w:val="none"/>
                <w:lang w:val="en-US" w:eastAsia="zh-CN"/>
              </w:rPr>
              <w:t>。清洗机为密闭作业，仅在开合过程中溢出少量有机废气。此工序会产生清洗废气G</w:t>
            </w:r>
            <w:r>
              <w:rPr>
                <w:rFonts w:hint="eastAsia" w:cs="Times New Roman"/>
                <w:b w:val="0"/>
                <w:bCs w:val="0"/>
                <w:color w:val="auto"/>
                <w:sz w:val="24"/>
                <w:szCs w:val="24"/>
                <w:highlight w:val="none"/>
                <w:lang w:val="en-US" w:eastAsia="zh-CN"/>
              </w:rPr>
              <w:t>4、废工业白油S9</w:t>
            </w:r>
            <w:r>
              <w:rPr>
                <w:rFonts w:hint="eastAsia" w:cs="Times New Roman"/>
                <w:color w:val="auto"/>
                <w:sz w:val="24"/>
                <w:szCs w:val="24"/>
                <w:highlight w:val="none"/>
                <w:lang w:val="en-US" w:eastAsia="zh-CN"/>
              </w:rPr>
              <w:t>及</w:t>
            </w:r>
            <w:r>
              <w:rPr>
                <w:rFonts w:hint="eastAsia" w:cs="Times New Roman"/>
                <w:b w:val="0"/>
                <w:bCs w:val="0"/>
                <w:color w:val="auto"/>
                <w:sz w:val="24"/>
                <w:szCs w:val="24"/>
                <w:highlight w:val="none"/>
                <w:lang w:val="en-US" w:eastAsia="zh-CN"/>
              </w:rPr>
              <w:t>噪声N。</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10）成品检验：清洗后的钢球先经光电外观自动检测仪进行目检和挑选，再于检验室经检验设备对产品粗糙度、圆度、压碎、硬度、金相组织、振动值、表面完好度等技术指标进行抽检。此工序会产生不合格品S10。</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s="Times New Roman"/>
                <w:color w:val="auto"/>
                <w:sz w:val="24"/>
                <w:szCs w:val="24"/>
                <w:highlight w:val="none"/>
                <w:lang w:val="en-US" w:eastAsia="zh-CN"/>
              </w:rPr>
            </w:pPr>
            <w:r>
              <w:rPr>
                <w:rFonts w:hint="eastAsia" w:cs="Times New Roman"/>
                <w:b w:val="0"/>
                <w:bCs w:val="0"/>
                <w:color w:val="auto"/>
                <w:sz w:val="24"/>
                <w:szCs w:val="24"/>
                <w:highlight w:val="none"/>
                <w:lang w:val="en-US" w:eastAsia="zh-CN"/>
              </w:rPr>
              <w:t>（11）</w:t>
            </w:r>
            <w:r>
              <w:rPr>
                <w:rFonts w:hint="default" w:ascii="Times New Roman" w:hAnsi="Times New Roman" w:eastAsia="宋体" w:cs="Times New Roman"/>
                <w:b w:val="0"/>
                <w:bCs w:val="0"/>
                <w:color w:val="auto"/>
                <w:sz w:val="24"/>
                <w:szCs w:val="24"/>
                <w:highlight w:val="none"/>
                <w:lang w:val="en-US" w:eastAsia="zh-CN"/>
              </w:rPr>
              <w:t>防锈包装：对通过各项抽检的批量产品进行防锈油浸泡，使钢球表面形成油膜保护，达到防锈效果。</w:t>
            </w:r>
            <w:r>
              <w:rPr>
                <w:rFonts w:hint="eastAsia" w:cs="Times New Roman"/>
                <w:b w:val="0"/>
                <w:bCs w:val="0"/>
                <w:color w:val="auto"/>
                <w:sz w:val="24"/>
                <w:szCs w:val="24"/>
                <w:highlight w:val="none"/>
                <w:lang w:val="en-US" w:eastAsia="zh-CN"/>
              </w:rPr>
              <w:t>因防锈油挥发温度在130</w:t>
            </w:r>
            <w:r>
              <w:rPr>
                <w:rFonts w:hint="default" w:ascii="Times New Roman" w:hAnsi="Times New Roman" w:eastAsia="宋体" w:cs="Times New Roman"/>
                <w:color w:val="auto"/>
                <w:sz w:val="24"/>
                <w:szCs w:val="24"/>
                <w:highlight w:val="none"/>
                <w:lang w:val="en-US" w:eastAsia="zh-CN"/>
              </w:rPr>
              <w:t>℃</w:t>
            </w:r>
            <w:r>
              <w:rPr>
                <w:rFonts w:hint="eastAsia" w:cs="Times New Roman"/>
                <w:b w:val="0"/>
                <w:bCs w:val="0"/>
                <w:color w:val="auto"/>
                <w:sz w:val="24"/>
                <w:szCs w:val="24"/>
                <w:highlight w:val="none"/>
                <w:lang w:val="en-US" w:eastAsia="zh-CN"/>
              </w:rPr>
              <w:t>，本工艺在常温下进行，因此</w:t>
            </w:r>
            <w:r>
              <w:rPr>
                <w:rFonts w:hint="default" w:ascii="Times New Roman" w:hAnsi="Times New Roman" w:eastAsia="宋体" w:cs="Times New Roman"/>
                <w:b w:val="0"/>
                <w:bCs w:val="0"/>
                <w:color w:val="auto"/>
                <w:sz w:val="24"/>
                <w:szCs w:val="24"/>
                <w:highlight w:val="none"/>
                <w:lang w:val="en-US" w:eastAsia="zh-CN"/>
              </w:rPr>
              <w:t>此工序没有污染物产生。</w:t>
            </w: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default" w:ascii="Times New Roman" w:hAnsi="Times New Roman" w:eastAsia="宋体" w:cs="Times New Roman"/>
                <w:b/>
                <w:bCs/>
                <w:color w:val="0000FF"/>
                <w:sz w:val="21"/>
                <w:szCs w:val="21"/>
                <w:lang w:val="en-US" w:eastAsia="zh-CN"/>
              </w:rPr>
            </w:pPr>
            <w:r>
              <w:rPr>
                <w:rFonts w:hint="default" w:ascii="Times New Roman" w:hAnsi="Times New Roman" w:eastAsia="宋体" w:cs="Times New Roman"/>
                <w:b/>
                <w:bCs/>
                <w:color w:val="auto"/>
                <w:sz w:val="21"/>
                <w:szCs w:val="21"/>
                <w:lang w:val="en-US" w:eastAsia="zh-CN"/>
              </w:rPr>
              <w:t>备注：本项目在使用过程中产生的废冷镦机油、废工业白油、废淬火油不作为危废处理，而是经过2台溶剂回收机在220℃~230℃加热下，进行萃取回收回用于生产，此工序会产生</w:t>
            </w:r>
            <w:r>
              <w:rPr>
                <w:rFonts w:hint="eastAsia" w:ascii="Times New Roman" w:hAnsi="Times New Roman" w:eastAsia="宋体" w:cs="Times New Roman"/>
                <w:b/>
                <w:bCs/>
                <w:color w:val="auto"/>
                <w:sz w:val="21"/>
                <w:szCs w:val="21"/>
                <w:lang w:val="en-US" w:eastAsia="zh-CN"/>
              </w:rPr>
              <w:t>危废</w:t>
            </w:r>
            <w:r>
              <w:rPr>
                <w:rFonts w:hint="default" w:ascii="Times New Roman" w:hAnsi="Times New Roman" w:eastAsia="宋体" w:cs="Times New Roman"/>
                <w:b/>
                <w:bCs/>
                <w:color w:val="auto"/>
                <w:sz w:val="21"/>
                <w:szCs w:val="21"/>
                <w:lang w:val="en-US" w:eastAsia="zh-CN"/>
              </w:rPr>
              <w:t>油渣。</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b/>
                <w:bCs/>
                <w:color w:val="auto"/>
                <w:sz w:val="24"/>
                <w:szCs w:val="28"/>
                <w:lang w:val="en-US" w:eastAsia="zh-CN"/>
              </w:rPr>
            </w:pPr>
            <w:r>
              <w:rPr>
                <w:rFonts w:hint="default" w:ascii="Times New Roman" w:hAnsi="Times New Roman" w:eastAsia="宋体" w:cs="Times New Roman"/>
                <w:b/>
                <w:bCs/>
                <w:color w:val="auto"/>
                <w:sz w:val="24"/>
                <w:szCs w:val="24"/>
                <w:lang w:val="en-US" w:eastAsia="zh-CN"/>
              </w:rPr>
              <w:t>项目运营期生产工艺流程及产污节点</w:t>
            </w:r>
            <w:r>
              <w:rPr>
                <w:rFonts w:hint="eastAsia" w:ascii="Times New Roman" w:hAnsi="Times New Roman" w:eastAsia="宋体" w:cs="Times New Roman"/>
                <w:b/>
                <w:bCs/>
                <w:color w:val="auto"/>
                <w:sz w:val="24"/>
                <w:szCs w:val="28"/>
                <w:lang w:val="en-US" w:eastAsia="zh-CN"/>
              </w:rPr>
              <w:t>图见下图：</w:t>
            </w:r>
          </w:p>
          <w:p>
            <w:pPr>
              <w:adjustRightInd w:val="0"/>
              <w:snapToGrid w:val="0"/>
              <w:jc w:val="center"/>
              <w:rPr>
                <w:rFonts w:hint="eastAsia" w:ascii="宋体" w:hAnsi="宋体" w:eastAsia="宋体" w:cs="宋体"/>
                <w:color w:val="0000FF"/>
                <w:sz w:val="24"/>
                <w:szCs w:val="24"/>
              </w:rPr>
            </w:pPr>
            <w:r>
              <w:rPr>
                <w:color w:val="0000FF"/>
              </w:rPr>
              <w:object>
                <v:shape id="_x0000_i1026" o:spt="75" type="#_x0000_t75" style="height:613.55pt;width:321pt;" o:ole="t" filled="f" o:preferrelative="t" stroked="f" coordsize="21600,21600">
                  <v:path/>
                  <v:fill on="f" focussize="0,0"/>
                  <v:stroke on="f"/>
                  <v:imagedata r:id="rId9" o:title=""/>
                  <o:lock v:ext="edit" aspectratio="t"/>
                  <w10:wrap type="none"/>
                  <w10:anchorlock/>
                </v:shape>
                <o:OLEObject Type="Embed" ProgID="RFFlow4" ShapeID="_x0000_i1026" DrawAspect="Content" ObjectID="_1468075726" r:id="rId8">
                  <o:LockedField>false</o:LockedField>
                </o:OLEObject>
              </w:object>
            </w:r>
          </w:p>
          <w:p>
            <w:pPr>
              <w:bidi w:val="0"/>
              <w:spacing w:line="240" w:lineRule="auto"/>
              <w:jc w:val="center"/>
              <w:rPr>
                <w:rFonts w:hint="default" w:ascii="Times New Roman" w:hAnsi="Times New Roman" w:eastAsia="宋体" w:cs="Times New Roman"/>
                <w:b/>
                <w:bCs/>
                <w:color w:val="auto"/>
                <w:sz w:val="24"/>
                <w:szCs w:val="24"/>
                <w:lang w:eastAsia="zh-CN"/>
              </w:rPr>
            </w:pPr>
          </w:p>
          <w:p>
            <w:pPr>
              <w:bidi w:val="0"/>
              <w:spacing w:line="240" w:lineRule="auto"/>
              <w:jc w:val="center"/>
              <w:rPr>
                <w:rFonts w:hint="default" w:ascii="宋体" w:hAnsi="宋体" w:eastAsia="宋体" w:cs="宋体"/>
                <w:color w:val="0000FF"/>
                <w:sz w:val="24"/>
                <w:szCs w:val="24"/>
                <w:lang w:val="en-US" w:eastAsia="zh-CN"/>
              </w:rPr>
            </w:pPr>
            <w:r>
              <w:rPr>
                <w:rFonts w:hint="default" w:ascii="Times New Roman" w:hAnsi="Times New Roman" w:eastAsia="宋体" w:cs="Times New Roman"/>
                <w:b/>
                <w:bCs/>
                <w:color w:val="auto"/>
                <w:sz w:val="24"/>
                <w:szCs w:val="24"/>
                <w:lang w:eastAsia="zh-CN"/>
              </w:rPr>
              <w:t>图</w:t>
            </w:r>
            <w:r>
              <w:rPr>
                <w:rFonts w:hint="default" w:ascii="Times New Roman" w:hAnsi="Times New Roman" w:cs="Times New Roman"/>
                <w:b/>
                <w:bCs/>
                <w:color w:val="auto"/>
                <w:sz w:val="24"/>
                <w:szCs w:val="24"/>
                <w:lang w:val="en-US" w:eastAsia="zh-CN"/>
              </w:rPr>
              <w:t>2.1</w:t>
            </w:r>
            <w:r>
              <w:rPr>
                <w:rFonts w:hint="default" w:ascii="Times New Roman" w:hAnsi="Times New Roman" w:eastAsia="宋体" w:cs="Times New Roman"/>
                <w:b/>
                <w:bCs/>
                <w:color w:val="auto"/>
                <w:sz w:val="24"/>
                <w:szCs w:val="24"/>
                <w:lang w:val="en-US" w:eastAsia="zh-CN"/>
              </w:rPr>
              <w:t xml:space="preserve">  生产工艺流程及产污节点</w:t>
            </w:r>
            <w:r>
              <w:rPr>
                <w:rFonts w:hint="eastAsia" w:ascii="Times New Roman" w:hAnsi="Times New Roman" w:eastAsia="宋体" w:cs="Times New Roman"/>
                <w:b/>
                <w:bCs/>
                <w:color w:val="auto"/>
                <w:sz w:val="24"/>
                <w:szCs w:val="28"/>
                <w:lang w:val="en-US" w:eastAsia="zh-CN"/>
              </w:rPr>
              <w:t>图</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3813" w:hRule="atLeast"/>
          <w:jc w:val="center"/>
        </w:trPr>
        <w:tc>
          <w:tcPr>
            <w:tcW w:w="460" w:type="dxa"/>
            <w:tcBorders>
              <w:tl2br w:val="nil"/>
              <w:tr2bl w:val="nil"/>
            </w:tcBorders>
            <w:noWrap w:val="0"/>
            <w:vAlign w:val="center"/>
          </w:tcPr>
          <w:p>
            <w:pPr>
              <w:pStyle w:val="23"/>
              <w:adjustRightInd w:val="0"/>
              <w:snapToGrid w:val="0"/>
              <w:spacing w:before="0" w:beforeAutospacing="0" w:after="0" w:afterAutospacing="0"/>
              <w:jc w:val="center"/>
              <w:rPr>
                <w:rFonts w:hint="eastAsia" w:ascii="宋体" w:hAnsi="宋体" w:eastAsia="宋体" w:cs="宋体"/>
                <w:b w:val="0"/>
                <w:bCs w:val="0"/>
                <w:color w:val="0000FF"/>
                <w:sz w:val="24"/>
                <w:szCs w:val="24"/>
              </w:rPr>
            </w:pPr>
            <w:r>
              <w:rPr>
                <w:rFonts w:hint="eastAsia" w:ascii="宋体" w:hAnsi="宋体" w:eastAsia="宋体" w:cs="宋体"/>
                <w:b w:val="0"/>
                <w:bCs w:val="0"/>
                <w:color w:val="auto"/>
                <w:kern w:val="2"/>
                <w:sz w:val="24"/>
                <w:szCs w:val="24"/>
              </w:rPr>
              <w:t>与项目有关的原有环境污染问题</w:t>
            </w:r>
          </w:p>
        </w:tc>
        <w:tc>
          <w:tcPr>
            <w:tcW w:w="85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宋体" w:hAnsi="宋体" w:eastAsia="宋体" w:cs="宋体"/>
                <w:color w:val="0000FF"/>
                <w:sz w:val="24"/>
                <w:szCs w:val="24"/>
                <w:lang w:val="en-US" w:eastAsia="zh-CN"/>
              </w:rPr>
            </w:pPr>
            <w:r>
              <w:rPr>
                <w:rFonts w:hint="default" w:ascii="Times New Roman" w:hAnsi="Times New Roman" w:cs="Times New Roman"/>
                <w:color w:val="auto"/>
                <w:sz w:val="24"/>
                <w:szCs w:val="24"/>
                <w:lang w:val="en-US" w:eastAsia="zh-CN"/>
              </w:rPr>
              <w:t>项目为新建项目，</w:t>
            </w:r>
            <w:r>
              <w:rPr>
                <w:rFonts w:hint="default" w:ascii="Times New Roman" w:hAnsi="Times New Roman" w:eastAsia="宋体" w:cs="Times New Roman"/>
                <w:b w:val="0"/>
                <w:bCs/>
                <w:color w:val="auto"/>
                <w:sz w:val="24"/>
                <w:szCs w:val="24"/>
                <w:lang w:val="en-US" w:eastAsia="zh-CN"/>
              </w:rPr>
              <w:t>位于</w:t>
            </w:r>
            <w:r>
              <w:rPr>
                <w:rFonts w:hint="eastAsia" w:cs="Times New Roman"/>
                <w:b w:val="0"/>
                <w:bCs/>
                <w:color w:val="auto"/>
                <w:sz w:val="24"/>
                <w:szCs w:val="24"/>
                <w:lang w:val="en-US" w:eastAsia="zh-CN"/>
              </w:rPr>
              <w:t>安徽省宿州市灵璧县经济</w:t>
            </w:r>
            <w:r>
              <w:rPr>
                <w:rFonts w:hint="default" w:ascii="Times New Roman" w:hAnsi="Times New Roman" w:eastAsia="宋体" w:cs="Times New Roman"/>
                <w:b w:val="0"/>
                <w:bCs/>
                <w:color w:val="auto"/>
                <w:sz w:val="24"/>
                <w:szCs w:val="24"/>
                <w:lang w:val="en-US" w:eastAsia="zh-CN"/>
              </w:rPr>
              <w:t>开发区轴承产业园</w:t>
            </w:r>
            <w:r>
              <w:rPr>
                <w:rFonts w:hint="eastAsia" w:cs="Times New Roman"/>
                <w:b w:val="0"/>
                <w:bCs/>
                <w:color w:val="auto"/>
                <w:sz w:val="24"/>
                <w:szCs w:val="24"/>
                <w:lang w:val="en-US" w:eastAsia="zh-CN"/>
              </w:rPr>
              <w:t>5</w:t>
            </w:r>
            <w:r>
              <w:rPr>
                <w:rFonts w:hint="default" w:ascii="Times New Roman" w:hAnsi="Times New Roman" w:eastAsia="宋体" w:cs="Times New Roman"/>
                <w:b w:val="0"/>
                <w:bCs/>
                <w:color w:val="auto"/>
                <w:sz w:val="24"/>
                <w:szCs w:val="24"/>
                <w:lang w:val="en-US" w:eastAsia="zh-CN"/>
              </w:rPr>
              <w:t>期</w:t>
            </w:r>
            <w:r>
              <w:rPr>
                <w:rFonts w:hint="eastAsia" w:cs="Times New Roman"/>
                <w:b w:val="0"/>
                <w:bCs/>
                <w:color w:val="auto"/>
                <w:sz w:val="24"/>
                <w:szCs w:val="24"/>
                <w:lang w:val="en-US" w:eastAsia="zh-CN"/>
              </w:rPr>
              <w:t>10</w:t>
            </w:r>
            <w:r>
              <w:rPr>
                <w:rFonts w:hint="default" w:ascii="Times New Roman" w:hAnsi="Times New Roman" w:eastAsia="宋体" w:cs="Times New Roman"/>
                <w:b w:val="0"/>
                <w:bCs/>
                <w:color w:val="auto"/>
                <w:sz w:val="24"/>
                <w:szCs w:val="24"/>
                <w:lang w:val="en-US" w:eastAsia="zh-CN"/>
              </w:rPr>
              <w:t>号厂房</w:t>
            </w:r>
            <w:r>
              <w:rPr>
                <w:rFonts w:hint="eastAsia" w:cs="Times New Roman"/>
                <w:b w:val="0"/>
                <w:bCs/>
                <w:color w:val="auto"/>
                <w:sz w:val="24"/>
                <w:szCs w:val="24"/>
                <w:lang w:val="en-US" w:eastAsia="zh-CN"/>
              </w:rPr>
              <w:t>，此厂房主要用作</w:t>
            </w:r>
            <w:r>
              <w:rPr>
                <w:rFonts w:hint="default" w:ascii="Times New Roman" w:hAnsi="Times New Roman" w:eastAsia="宋体" w:cs="Times New Roman"/>
                <w:b w:val="0"/>
                <w:bCs/>
                <w:color w:val="auto"/>
                <w:sz w:val="24"/>
                <w:szCs w:val="24"/>
                <w:lang w:val="en-US" w:eastAsia="zh-CN"/>
              </w:rPr>
              <w:t>轴承</w:t>
            </w:r>
            <w:r>
              <w:rPr>
                <w:rFonts w:hint="eastAsia" w:ascii="Times New Roman" w:hAnsi="Times New Roman" w:eastAsia="宋体" w:cs="Times New Roman"/>
                <w:b w:val="0"/>
                <w:bCs/>
                <w:color w:val="auto"/>
                <w:sz w:val="24"/>
                <w:szCs w:val="24"/>
                <w:lang w:val="en-US" w:eastAsia="zh-CN"/>
              </w:rPr>
              <w:t>相关产业生产</w:t>
            </w:r>
            <w:r>
              <w:rPr>
                <w:rFonts w:hint="eastAsia" w:cs="Times New Roman"/>
                <w:b w:val="0"/>
                <w:bCs/>
                <w:color w:val="auto"/>
                <w:sz w:val="24"/>
                <w:szCs w:val="24"/>
                <w:lang w:val="en-US" w:eastAsia="zh-CN"/>
              </w:rPr>
              <w:t>，由政府投资建设，自建成后一直</w:t>
            </w:r>
            <w:r>
              <w:rPr>
                <w:rFonts w:hint="default" w:ascii="Times New Roman" w:hAnsi="Times New Roman" w:cs="Times New Roman"/>
                <w:color w:val="auto"/>
                <w:sz w:val="24"/>
                <w:szCs w:val="24"/>
                <w:lang w:val="en-US" w:eastAsia="zh-CN"/>
              </w:rPr>
              <w:t>空置</w:t>
            </w:r>
            <w:r>
              <w:rPr>
                <w:rFonts w:hint="eastAsia" w:cs="Times New Roman"/>
                <w:color w:val="auto"/>
                <w:sz w:val="24"/>
                <w:szCs w:val="24"/>
                <w:lang w:val="en-US" w:eastAsia="zh-CN"/>
              </w:rPr>
              <w:t>，无生产迹象</w:t>
            </w:r>
            <w:r>
              <w:rPr>
                <w:rFonts w:hint="default" w:ascii="Times New Roman" w:hAnsi="Times New Roman" w:cs="Times New Roman"/>
                <w:color w:val="auto"/>
                <w:sz w:val="24"/>
                <w:szCs w:val="24"/>
                <w:lang w:val="en-US" w:eastAsia="zh-CN"/>
              </w:rPr>
              <w:t>，</w:t>
            </w:r>
            <w:r>
              <w:rPr>
                <w:rFonts w:hint="eastAsia" w:cs="Times New Roman"/>
                <w:color w:val="auto"/>
                <w:sz w:val="24"/>
                <w:szCs w:val="24"/>
                <w:lang w:val="en-US" w:eastAsia="zh-CN"/>
              </w:rPr>
              <w:t>故</w:t>
            </w:r>
            <w:r>
              <w:rPr>
                <w:rFonts w:hint="default" w:ascii="Times New Roman" w:hAnsi="Times New Roman" w:cs="Times New Roman"/>
                <w:color w:val="auto"/>
                <w:sz w:val="24"/>
                <w:szCs w:val="24"/>
                <w:lang w:val="en-US" w:eastAsia="zh-CN"/>
              </w:rPr>
              <w:t>不存在与本项目相关的原有污染情况及主要环境问题。</w:t>
            </w:r>
          </w:p>
        </w:tc>
      </w:tr>
    </w:tbl>
    <w:p>
      <w:pPr>
        <w:pStyle w:val="23"/>
        <w:jc w:val="center"/>
        <w:rPr>
          <w:rFonts w:ascii="黑体" w:hAnsi="黑体" w:eastAsia="黑体"/>
          <w:snapToGrid w:val="0"/>
          <w:color w:val="0000FF"/>
          <w:sz w:val="36"/>
          <w:szCs w:val="36"/>
        </w:rPr>
        <w:sectPr>
          <w:pgSz w:w="11906" w:h="16838"/>
          <w:pgMar w:top="1440" w:right="1803" w:bottom="1440" w:left="1803"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3"/>
        <w:adjustRightInd w:val="0"/>
        <w:snapToGrid w:val="0"/>
        <w:spacing w:before="0" w:beforeAutospacing="0" w:after="0" w:afterAutospacing="0" w:line="14" w:lineRule="auto"/>
        <w:jc w:val="center"/>
        <w:outlineLvl w:val="0"/>
        <w:rPr>
          <w:rFonts w:hint="eastAsia" w:ascii="黑体" w:hAnsi="黑体" w:eastAsia="黑体"/>
          <w:snapToGrid w:val="0"/>
          <w:color w:val="0000FF"/>
          <w:sz w:val="30"/>
          <w:szCs w:val="30"/>
        </w:rPr>
      </w:pPr>
    </w:p>
    <w:p>
      <w:pPr>
        <w:pStyle w:val="23"/>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auto"/>
        <w:jc w:val="center"/>
        <w:textAlignment w:val="auto"/>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三、区域环境质量现状、环境保护目标及评价标准</w:t>
      </w:r>
    </w:p>
    <w:tbl>
      <w:tblPr>
        <w:tblStyle w:val="25"/>
        <w:tblW w:w="899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51"/>
        <w:gridCol w:w="85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451" w:type="dxa"/>
            <w:tcBorders>
              <w:tl2br w:val="nil"/>
              <w:tr2bl w:val="nil"/>
            </w:tcBorders>
            <w:noWrap w:val="0"/>
            <w:vAlign w:val="center"/>
          </w:tcPr>
          <w:p>
            <w:pPr>
              <w:adjustRightInd w:val="0"/>
              <w:snapToGrid w:val="0"/>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区域</w:t>
            </w:r>
          </w:p>
          <w:p>
            <w:pPr>
              <w:adjustRightInd w:val="0"/>
              <w:snapToGrid w:val="0"/>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环境</w:t>
            </w:r>
          </w:p>
          <w:p>
            <w:pPr>
              <w:adjustRightInd w:val="0"/>
              <w:snapToGrid w:val="0"/>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质量</w:t>
            </w:r>
          </w:p>
          <w:p>
            <w:pPr>
              <w:adjustRightInd w:val="0"/>
              <w:snapToGrid w:val="0"/>
              <w:jc w:val="center"/>
              <w:rPr>
                <w:rFonts w:hint="eastAsia" w:ascii="宋体" w:hAnsi="宋体" w:eastAsia="宋体" w:cs="宋体"/>
                <w:color w:val="0000FF"/>
                <w:kern w:val="0"/>
                <w:szCs w:val="21"/>
              </w:rPr>
            </w:pPr>
            <w:r>
              <w:rPr>
                <w:rFonts w:hint="eastAsia" w:ascii="宋体" w:hAnsi="宋体" w:eastAsia="宋体" w:cs="宋体"/>
                <w:b w:val="0"/>
                <w:bCs w:val="0"/>
                <w:color w:val="auto"/>
                <w:kern w:val="0"/>
                <w:sz w:val="24"/>
                <w:szCs w:val="24"/>
              </w:rPr>
              <w:t>现状</w:t>
            </w:r>
          </w:p>
        </w:tc>
        <w:tc>
          <w:tcPr>
            <w:tcW w:w="8539" w:type="dxa"/>
            <w:tcBorders>
              <w:tl2br w:val="nil"/>
              <w:tr2bl w:val="nil"/>
            </w:tcBorders>
            <w:noWrap w:val="0"/>
            <w:vAlign w:val="center"/>
          </w:tcPr>
          <w:p>
            <w:pPr>
              <w:adjustRightInd w:val="0"/>
              <w:snapToGrid w:val="0"/>
              <w:spacing w:line="360" w:lineRule="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1、</w:t>
            </w:r>
            <w:r>
              <w:rPr>
                <w:rFonts w:hint="eastAsia" w:ascii="Times New Roman" w:hAnsi="Times New Roman" w:eastAsia="宋体" w:cs="Times New Roman"/>
                <w:b/>
                <w:bCs/>
                <w:sz w:val="24"/>
                <w:szCs w:val="24"/>
                <w:lang w:val="en-US" w:eastAsia="zh-CN"/>
              </w:rPr>
              <w:t>环境空气质量现状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snapToGrid/>
                <w:color w:val="auto"/>
                <w:spacing w:val="0"/>
                <w:kern w:val="0"/>
                <w:position w:val="0"/>
                <w:sz w:val="24"/>
                <w:szCs w:val="24"/>
                <w:lang w:val="en-US" w:eastAsia="zh-CN"/>
              </w:rPr>
            </w:pPr>
            <w:r>
              <w:rPr>
                <w:rFonts w:hint="default" w:ascii="Times New Roman" w:hAnsi="Times New Roman" w:eastAsia="宋体" w:cs="Times New Roman"/>
                <w:snapToGrid/>
                <w:color w:val="auto"/>
                <w:spacing w:val="0"/>
                <w:kern w:val="0"/>
                <w:position w:val="0"/>
                <w:sz w:val="24"/>
                <w:szCs w:val="24"/>
                <w:lang w:val="en-US" w:eastAsia="zh-CN"/>
              </w:rPr>
              <w:t>根据《环境影响评价技术导则</w:t>
            </w:r>
            <w:r>
              <w:rPr>
                <w:rFonts w:hint="eastAsia" w:ascii="Times New Roman" w:hAnsi="Times New Roman" w:eastAsia="宋体" w:cs="Times New Roman"/>
                <w:snapToGrid/>
                <w:color w:val="auto"/>
                <w:spacing w:val="0"/>
                <w:kern w:val="0"/>
                <w:position w:val="0"/>
                <w:sz w:val="24"/>
                <w:szCs w:val="24"/>
                <w:lang w:val="en-US" w:eastAsia="zh-CN"/>
              </w:rPr>
              <w:t xml:space="preserve">  </w:t>
            </w:r>
            <w:r>
              <w:rPr>
                <w:rFonts w:hint="default" w:ascii="Times New Roman" w:hAnsi="Times New Roman" w:eastAsia="宋体" w:cs="Times New Roman"/>
                <w:snapToGrid/>
                <w:color w:val="auto"/>
                <w:spacing w:val="0"/>
                <w:kern w:val="0"/>
                <w:position w:val="0"/>
                <w:sz w:val="24"/>
                <w:szCs w:val="24"/>
                <w:lang w:val="en-US" w:eastAsia="zh-CN"/>
              </w:rPr>
              <w:t>大气环境》（HJ2.2-2018），项目所在区域达标情况判定优先采用国家或地方生态环境主管部门公开发布的环境质量公告或环境质量报告中的数据或结论。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snapToGrid/>
                <w:color w:val="auto"/>
                <w:spacing w:val="0"/>
                <w:kern w:val="0"/>
                <w:position w:val="0"/>
                <w:sz w:val="24"/>
                <w:szCs w:val="24"/>
                <w:lang w:val="en-US" w:eastAsia="zh-CN"/>
              </w:rPr>
            </w:pPr>
            <w:r>
              <w:rPr>
                <w:rFonts w:hint="default" w:ascii="Times New Roman" w:hAnsi="Times New Roman" w:eastAsia="宋体" w:cs="Times New Roman"/>
                <w:snapToGrid/>
                <w:color w:val="auto"/>
                <w:spacing w:val="0"/>
                <w:kern w:val="0"/>
                <w:position w:val="0"/>
                <w:sz w:val="24"/>
                <w:szCs w:val="24"/>
                <w:lang w:val="en-US" w:eastAsia="zh-CN"/>
              </w:rPr>
              <w:t>本次评价选取2022年作为评价基准年。根据</w:t>
            </w:r>
            <w:r>
              <w:rPr>
                <w:rFonts w:hint="default" w:ascii="Times New Roman" w:hAnsi="Times New Roman" w:eastAsia="宋体" w:cs="Times New Roman"/>
                <w:color w:val="000000" w:themeColor="text1"/>
                <w:sz w:val="24"/>
                <w:szCs w:val="24"/>
                <w:highlight w:val="none"/>
                <w:shd w:val="clear" w:color="auto" w:fill="auto"/>
                <w:lang w:val="en-US" w:eastAsia="zh-CN"/>
                <w14:textFill>
                  <w14:solidFill>
                    <w14:schemeClr w14:val="tx1"/>
                  </w14:solidFill>
                </w14:textFill>
              </w:rPr>
              <w:t>《宿州市</w:t>
            </w:r>
            <w:r>
              <w:rPr>
                <w:rFonts w:hint="eastAsia" w:cs="Times New Roman"/>
                <w:color w:val="000000" w:themeColor="text1"/>
                <w:sz w:val="24"/>
                <w:szCs w:val="24"/>
                <w:highlight w:val="none"/>
                <w:shd w:val="clear" w:color="auto" w:fill="auto"/>
                <w:lang w:val="en-US" w:eastAsia="zh-CN"/>
                <w14:textFill>
                  <w14:solidFill>
                    <w14:schemeClr w14:val="tx1"/>
                  </w14:solidFill>
                </w14:textFill>
              </w:rPr>
              <w:t>2022</w:t>
            </w:r>
            <w:r>
              <w:rPr>
                <w:rFonts w:hint="default" w:ascii="Times New Roman" w:hAnsi="Times New Roman" w:eastAsia="宋体" w:cs="Times New Roman"/>
                <w:color w:val="000000" w:themeColor="text1"/>
                <w:sz w:val="24"/>
                <w:szCs w:val="24"/>
                <w:highlight w:val="none"/>
                <w:shd w:val="clear" w:color="auto" w:fill="auto"/>
                <w:lang w:val="en-US" w:eastAsia="zh-CN"/>
                <w14:textFill>
                  <w14:solidFill>
                    <w14:schemeClr w14:val="tx1"/>
                  </w14:solidFill>
                </w14:textFill>
              </w:rPr>
              <w:t>年环境质量公报》</w:t>
            </w:r>
            <w:r>
              <w:rPr>
                <w:rFonts w:hint="default" w:ascii="Times New Roman" w:hAnsi="Times New Roman" w:eastAsia="宋体" w:cs="Times New Roman"/>
                <w:snapToGrid/>
                <w:color w:val="auto"/>
                <w:spacing w:val="0"/>
                <w:kern w:val="0"/>
                <w:position w:val="0"/>
                <w:sz w:val="24"/>
                <w:szCs w:val="24"/>
                <w:lang w:val="en-US" w:eastAsia="zh-CN"/>
              </w:rPr>
              <w:t>，宿州市2022年环境空气质量基础污染物监测浓度项目区域空气质量达标判定见表3.1。</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snapToGrid/>
                <w:color w:val="auto"/>
                <w:spacing w:val="0"/>
                <w:kern w:val="0"/>
                <w:position w:val="0"/>
                <w:sz w:val="24"/>
                <w:szCs w:val="24"/>
                <w:lang w:val="en-US" w:eastAsia="zh-CN"/>
              </w:rPr>
            </w:pPr>
            <w:r>
              <w:rPr>
                <w:rFonts w:hint="default" w:ascii="Times New Roman" w:hAnsi="Times New Roman" w:eastAsia="宋体" w:cs="Times New Roman"/>
                <w:b/>
                <w:bCs/>
                <w:snapToGrid/>
                <w:color w:val="auto"/>
                <w:spacing w:val="0"/>
                <w:kern w:val="0"/>
                <w:position w:val="0"/>
                <w:sz w:val="24"/>
                <w:szCs w:val="24"/>
                <w:lang w:val="en-US" w:eastAsia="zh-CN"/>
              </w:rPr>
              <w:t>表3.1  区域空气质量现状评价表</w:t>
            </w:r>
          </w:p>
          <w:tbl>
            <w:tblPr>
              <w:tblStyle w:val="26"/>
              <w:tblW w:w="83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2019"/>
              <w:gridCol w:w="1301"/>
              <w:gridCol w:w="1322"/>
              <w:gridCol w:w="1296"/>
              <w:gridCol w:w="13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88" w:type="dxa"/>
                  <w:noWrap w:val="0"/>
                  <w:vAlign w:val="center"/>
                </w:tcPr>
                <w:p>
                  <w:pPr>
                    <w:adjustRightInd w:val="0"/>
                    <w:snapToGrid w:val="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污染物</w:t>
                  </w:r>
                </w:p>
              </w:tc>
              <w:tc>
                <w:tcPr>
                  <w:tcW w:w="2019" w:type="dxa"/>
                  <w:noWrap w:val="0"/>
                  <w:vAlign w:val="center"/>
                </w:tcPr>
                <w:p>
                  <w:pPr>
                    <w:adjustRightInd w:val="0"/>
                    <w:snapToGrid w:val="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评价标准</w:t>
                  </w:r>
                </w:p>
              </w:tc>
              <w:tc>
                <w:tcPr>
                  <w:tcW w:w="1301" w:type="dxa"/>
                  <w:noWrap w:val="0"/>
                  <w:vAlign w:val="center"/>
                </w:tcPr>
                <w:p>
                  <w:pPr>
                    <w:adjustRightInd w:val="0"/>
                    <w:snapToGrid w:val="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年均浓度（μg/m</w:t>
                  </w:r>
                  <w:r>
                    <w:rPr>
                      <w:rFonts w:ascii="Times New Roman" w:hAnsi="Times New Roman" w:eastAsia="宋体" w:cs="Times New Roman"/>
                      <w:color w:val="auto"/>
                      <w:kern w:val="0"/>
                      <w:szCs w:val="21"/>
                      <w:vertAlign w:val="superscript"/>
                    </w:rPr>
                    <w:t>3</w:t>
                  </w:r>
                  <w:r>
                    <w:rPr>
                      <w:rFonts w:ascii="Times New Roman" w:hAnsi="Times New Roman" w:eastAsia="宋体" w:cs="Times New Roman"/>
                      <w:color w:val="auto"/>
                      <w:kern w:val="0"/>
                      <w:szCs w:val="21"/>
                    </w:rPr>
                    <w:t>）</w:t>
                  </w:r>
                </w:p>
              </w:tc>
              <w:tc>
                <w:tcPr>
                  <w:tcW w:w="1322" w:type="dxa"/>
                  <w:noWrap w:val="0"/>
                  <w:vAlign w:val="center"/>
                </w:tcPr>
                <w:p>
                  <w:pPr>
                    <w:adjustRightInd w:val="0"/>
                    <w:snapToGrid w:val="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标准值（μg/m</w:t>
                  </w:r>
                  <w:r>
                    <w:rPr>
                      <w:rFonts w:ascii="Times New Roman" w:hAnsi="Times New Roman" w:eastAsia="宋体" w:cs="Times New Roman"/>
                      <w:color w:val="auto"/>
                      <w:kern w:val="0"/>
                      <w:szCs w:val="21"/>
                      <w:vertAlign w:val="superscript"/>
                    </w:rPr>
                    <w:t>3</w:t>
                  </w:r>
                  <w:r>
                    <w:rPr>
                      <w:rFonts w:ascii="Times New Roman" w:hAnsi="Times New Roman" w:eastAsia="宋体" w:cs="Times New Roman"/>
                      <w:color w:val="auto"/>
                      <w:kern w:val="0"/>
                      <w:szCs w:val="21"/>
                    </w:rPr>
                    <w:t>）</w:t>
                  </w:r>
                </w:p>
              </w:tc>
              <w:tc>
                <w:tcPr>
                  <w:tcW w:w="1296" w:type="dxa"/>
                  <w:noWrap w:val="0"/>
                  <w:vAlign w:val="center"/>
                </w:tcPr>
                <w:p>
                  <w:pPr>
                    <w:adjustRightInd w:val="0"/>
                    <w:snapToGrid w:val="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占标率%</w:t>
                  </w:r>
                </w:p>
              </w:tc>
              <w:tc>
                <w:tcPr>
                  <w:tcW w:w="1387" w:type="dxa"/>
                  <w:noWrap w:val="0"/>
                  <w:vAlign w:val="center"/>
                </w:tcPr>
                <w:p>
                  <w:pPr>
                    <w:adjustRightInd w:val="0"/>
                    <w:snapToGrid w:val="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rPr>
                    <w:t>PM</w:t>
                  </w:r>
                  <w:r>
                    <w:rPr>
                      <w:rFonts w:ascii="Times New Roman" w:hAnsi="Times New Roman" w:eastAsia="宋体" w:cs="Times New Roman"/>
                      <w:color w:val="auto"/>
                      <w:kern w:val="0"/>
                      <w:sz w:val="21"/>
                      <w:szCs w:val="21"/>
                      <w:vertAlign w:val="subscript"/>
                    </w:rPr>
                    <w:t>10</w:t>
                  </w:r>
                </w:p>
              </w:tc>
              <w:tc>
                <w:tcPr>
                  <w:tcW w:w="201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rPr>
                    <w:t>年平均浓度</w:t>
                  </w:r>
                </w:p>
              </w:tc>
              <w:tc>
                <w:tcPr>
                  <w:tcW w:w="13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70</w:t>
                  </w:r>
                </w:p>
              </w:tc>
              <w:tc>
                <w:tcPr>
                  <w:tcW w:w="132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rPr>
                    <w:t>70</w:t>
                  </w:r>
                </w:p>
              </w:tc>
              <w:tc>
                <w:tcPr>
                  <w:tcW w:w="12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rPr>
                    <w:t>1</w:t>
                  </w:r>
                  <w:r>
                    <w:rPr>
                      <w:rFonts w:hint="eastAsia" w:ascii="Times New Roman" w:hAnsi="Times New Roman" w:eastAsia="宋体" w:cs="Times New Roman"/>
                      <w:color w:val="auto"/>
                      <w:kern w:val="0"/>
                      <w:sz w:val="21"/>
                      <w:szCs w:val="21"/>
                      <w:lang w:val="en-US" w:eastAsia="zh-CN"/>
                    </w:rPr>
                    <w:t>00.00</w:t>
                  </w:r>
                  <w:r>
                    <w:rPr>
                      <w:rFonts w:hint="eastAsia" w:ascii="Times New Roman" w:hAnsi="Times New Roman" w:eastAsia="宋体" w:cs="Times New Roman"/>
                      <w:color w:val="auto"/>
                      <w:kern w:val="0"/>
                      <w:sz w:val="21"/>
                      <w:szCs w:val="21"/>
                    </w:rPr>
                    <w:t>%</w:t>
                  </w:r>
                </w:p>
              </w:tc>
              <w:tc>
                <w:tcPr>
                  <w:tcW w:w="138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rPr>
                    <w:t>PM</w:t>
                  </w:r>
                  <w:r>
                    <w:rPr>
                      <w:rFonts w:ascii="Times New Roman" w:hAnsi="Times New Roman" w:eastAsia="宋体" w:cs="Times New Roman"/>
                      <w:color w:val="auto"/>
                      <w:kern w:val="0"/>
                      <w:sz w:val="21"/>
                      <w:szCs w:val="21"/>
                      <w:vertAlign w:val="subscript"/>
                    </w:rPr>
                    <w:t>2.5</w:t>
                  </w:r>
                </w:p>
              </w:tc>
              <w:tc>
                <w:tcPr>
                  <w:tcW w:w="201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rPr>
                    <w:t>年平均浓度</w:t>
                  </w:r>
                </w:p>
              </w:tc>
              <w:tc>
                <w:tcPr>
                  <w:tcW w:w="13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rPr>
                    <w:t>4</w:t>
                  </w:r>
                  <w:r>
                    <w:rPr>
                      <w:rFonts w:hint="eastAsia" w:ascii="Times New Roman" w:hAnsi="Times New Roman" w:eastAsia="宋体" w:cs="Times New Roman"/>
                      <w:color w:val="auto"/>
                      <w:kern w:val="0"/>
                      <w:sz w:val="21"/>
                      <w:szCs w:val="21"/>
                      <w:lang w:val="en-US" w:eastAsia="zh-CN"/>
                    </w:rPr>
                    <w:t>0</w:t>
                  </w:r>
                </w:p>
              </w:tc>
              <w:tc>
                <w:tcPr>
                  <w:tcW w:w="132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rPr>
                    <w:t>35</w:t>
                  </w:r>
                </w:p>
              </w:tc>
              <w:tc>
                <w:tcPr>
                  <w:tcW w:w="12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rPr>
                    <w:t>11</w:t>
                  </w:r>
                  <w:r>
                    <w:rPr>
                      <w:rFonts w:hint="eastAsia" w:ascii="Times New Roman" w:hAnsi="Times New Roman" w:eastAsia="宋体" w:cs="Times New Roman"/>
                      <w:color w:val="auto"/>
                      <w:kern w:val="0"/>
                      <w:sz w:val="21"/>
                      <w:szCs w:val="21"/>
                      <w:lang w:val="en-US" w:eastAsia="zh-CN"/>
                    </w:rPr>
                    <w:t>4.29</w:t>
                  </w:r>
                  <w:r>
                    <w:rPr>
                      <w:rFonts w:hint="eastAsia" w:ascii="Times New Roman" w:hAnsi="Times New Roman" w:eastAsia="宋体" w:cs="Times New Roman"/>
                      <w:color w:val="auto"/>
                      <w:kern w:val="0"/>
                      <w:sz w:val="21"/>
                      <w:szCs w:val="21"/>
                    </w:rPr>
                    <w:t>%</w:t>
                  </w:r>
                </w:p>
              </w:tc>
              <w:tc>
                <w:tcPr>
                  <w:tcW w:w="138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rPr>
                    <w:t>SO</w:t>
                  </w:r>
                  <w:r>
                    <w:rPr>
                      <w:rFonts w:ascii="Times New Roman" w:hAnsi="Times New Roman" w:eastAsia="宋体" w:cs="Times New Roman"/>
                      <w:color w:val="auto"/>
                      <w:kern w:val="0"/>
                      <w:sz w:val="21"/>
                      <w:szCs w:val="21"/>
                      <w:vertAlign w:val="subscript"/>
                    </w:rPr>
                    <w:t>2</w:t>
                  </w:r>
                </w:p>
              </w:tc>
              <w:tc>
                <w:tcPr>
                  <w:tcW w:w="201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rPr>
                    <w:t>年平均浓度</w:t>
                  </w:r>
                </w:p>
              </w:tc>
              <w:tc>
                <w:tcPr>
                  <w:tcW w:w="13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4</w:t>
                  </w:r>
                </w:p>
              </w:tc>
              <w:tc>
                <w:tcPr>
                  <w:tcW w:w="132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rPr>
                    <w:t>60</w:t>
                  </w:r>
                </w:p>
              </w:tc>
              <w:tc>
                <w:tcPr>
                  <w:tcW w:w="12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6.67</w:t>
                  </w:r>
                  <w:r>
                    <w:rPr>
                      <w:rFonts w:hint="eastAsia" w:ascii="Times New Roman" w:hAnsi="Times New Roman" w:eastAsia="宋体" w:cs="Times New Roman"/>
                      <w:color w:val="auto"/>
                      <w:kern w:val="0"/>
                      <w:sz w:val="21"/>
                      <w:szCs w:val="21"/>
                    </w:rPr>
                    <w:t>%</w:t>
                  </w:r>
                </w:p>
              </w:tc>
              <w:tc>
                <w:tcPr>
                  <w:tcW w:w="138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rPr>
                    <w:t>NO</w:t>
                  </w:r>
                  <w:r>
                    <w:rPr>
                      <w:rFonts w:ascii="Times New Roman" w:hAnsi="Times New Roman" w:eastAsia="宋体" w:cs="Times New Roman"/>
                      <w:color w:val="auto"/>
                      <w:kern w:val="0"/>
                      <w:sz w:val="21"/>
                      <w:szCs w:val="21"/>
                      <w:vertAlign w:val="subscript"/>
                    </w:rPr>
                    <w:t>2</w:t>
                  </w:r>
                </w:p>
              </w:tc>
              <w:tc>
                <w:tcPr>
                  <w:tcW w:w="201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rPr>
                    <w:t>年平均浓度</w:t>
                  </w:r>
                </w:p>
              </w:tc>
              <w:tc>
                <w:tcPr>
                  <w:tcW w:w="13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rPr>
                    <w:t>20</w:t>
                  </w:r>
                </w:p>
              </w:tc>
              <w:tc>
                <w:tcPr>
                  <w:tcW w:w="132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rPr>
                    <w:t>40</w:t>
                  </w:r>
                </w:p>
              </w:tc>
              <w:tc>
                <w:tcPr>
                  <w:tcW w:w="12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rPr>
                    <w:t>5</w:t>
                  </w:r>
                  <w:r>
                    <w:rPr>
                      <w:rFonts w:hint="eastAsia" w:ascii="Times New Roman" w:hAnsi="Times New Roman" w:eastAsia="宋体" w:cs="Times New Roman"/>
                      <w:color w:val="auto"/>
                      <w:kern w:val="0"/>
                      <w:sz w:val="21"/>
                      <w:szCs w:val="21"/>
                      <w:lang w:val="en-US" w:eastAsia="zh-CN"/>
                    </w:rPr>
                    <w:t>0.00</w:t>
                  </w:r>
                  <w:r>
                    <w:rPr>
                      <w:rFonts w:hint="eastAsia" w:ascii="Times New Roman" w:hAnsi="Times New Roman" w:eastAsia="宋体" w:cs="Times New Roman"/>
                      <w:color w:val="auto"/>
                      <w:kern w:val="0"/>
                      <w:sz w:val="21"/>
                      <w:szCs w:val="21"/>
                    </w:rPr>
                    <w:t>%</w:t>
                  </w:r>
                </w:p>
              </w:tc>
              <w:tc>
                <w:tcPr>
                  <w:tcW w:w="138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rPr>
                    <w:t>CO</w:t>
                  </w:r>
                </w:p>
              </w:tc>
              <w:tc>
                <w:tcPr>
                  <w:tcW w:w="201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rPr>
                    <w:t>日平均第95百分位质量浓度</w:t>
                  </w:r>
                </w:p>
              </w:tc>
              <w:tc>
                <w:tcPr>
                  <w:tcW w:w="13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rPr>
                    <w:t>0.</w:t>
                  </w:r>
                  <w:r>
                    <w:rPr>
                      <w:rFonts w:hint="eastAsia" w:ascii="Times New Roman" w:hAnsi="Times New Roman" w:eastAsia="宋体" w:cs="Times New Roman"/>
                      <w:color w:val="auto"/>
                      <w:kern w:val="0"/>
                      <w:sz w:val="21"/>
                      <w:szCs w:val="21"/>
                      <w:lang w:val="en-US" w:eastAsia="zh-CN"/>
                    </w:rPr>
                    <w:t>9</w:t>
                  </w:r>
                  <w:r>
                    <w:rPr>
                      <w:rFonts w:ascii="Times New Roman" w:hAnsi="Times New Roman" w:eastAsia="宋体" w:cs="Times New Roman"/>
                      <w:color w:val="auto"/>
                      <w:kern w:val="0"/>
                      <w:sz w:val="21"/>
                      <w:szCs w:val="21"/>
                    </w:rPr>
                    <w:t>mg/m</w:t>
                  </w:r>
                  <w:r>
                    <w:rPr>
                      <w:rFonts w:ascii="Times New Roman" w:hAnsi="Times New Roman" w:eastAsia="宋体" w:cs="Times New Roman"/>
                      <w:color w:val="auto"/>
                      <w:kern w:val="0"/>
                      <w:sz w:val="21"/>
                      <w:szCs w:val="21"/>
                      <w:vertAlign w:val="superscript"/>
                    </w:rPr>
                    <w:t>3</w:t>
                  </w:r>
                </w:p>
              </w:tc>
              <w:tc>
                <w:tcPr>
                  <w:tcW w:w="132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rPr>
                    <w:t>4</w:t>
                  </w:r>
                  <w:r>
                    <w:rPr>
                      <w:rFonts w:ascii="Times New Roman" w:hAnsi="Times New Roman" w:eastAsia="宋体" w:cs="Times New Roman"/>
                      <w:color w:val="auto"/>
                      <w:kern w:val="0"/>
                      <w:sz w:val="21"/>
                      <w:szCs w:val="21"/>
                    </w:rPr>
                    <w:t>mg/m</w:t>
                  </w:r>
                  <w:r>
                    <w:rPr>
                      <w:rFonts w:ascii="Times New Roman" w:hAnsi="Times New Roman" w:eastAsia="宋体" w:cs="Times New Roman"/>
                      <w:color w:val="auto"/>
                      <w:kern w:val="0"/>
                      <w:sz w:val="21"/>
                      <w:szCs w:val="21"/>
                      <w:vertAlign w:val="superscript"/>
                    </w:rPr>
                    <w:t>3</w:t>
                  </w:r>
                </w:p>
              </w:tc>
              <w:tc>
                <w:tcPr>
                  <w:tcW w:w="12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rPr>
                    <w:t>2</w:t>
                  </w:r>
                  <w:r>
                    <w:rPr>
                      <w:rFonts w:hint="eastAsia" w:ascii="Times New Roman" w:hAnsi="Times New Roman" w:eastAsia="宋体" w:cs="Times New Roman"/>
                      <w:color w:val="auto"/>
                      <w:kern w:val="0"/>
                      <w:sz w:val="21"/>
                      <w:szCs w:val="21"/>
                      <w:lang w:val="en-US" w:eastAsia="zh-CN"/>
                    </w:rPr>
                    <w:t>2.5</w:t>
                  </w:r>
                  <w:r>
                    <w:rPr>
                      <w:rFonts w:hint="eastAsia" w:ascii="Times New Roman" w:hAnsi="Times New Roman" w:eastAsia="宋体" w:cs="Times New Roman"/>
                      <w:color w:val="auto"/>
                      <w:kern w:val="0"/>
                      <w:sz w:val="21"/>
                      <w:szCs w:val="21"/>
                    </w:rPr>
                    <w:t>0%</w:t>
                  </w:r>
                </w:p>
              </w:tc>
              <w:tc>
                <w:tcPr>
                  <w:tcW w:w="138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rPr>
                    <w:t>O</w:t>
                  </w:r>
                  <w:r>
                    <w:rPr>
                      <w:rFonts w:ascii="Times New Roman" w:hAnsi="Times New Roman" w:eastAsia="宋体" w:cs="Times New Roman"/>
                      <w:color w:val="auto"/>
                      <w:kern w:val="0"/>
                      <w:sz w:val="21"/>
                      <w:szCs w:val="21"/>
                      <w:vertAlign w:val="subscript"/>
                    </w:rPr>
                    <w:t>3</w:t>
                  </w:r>
                </w:p>
              </w:tc>
              <w:tc>
                <w:tcPr>
                  <w:tcW w:w="201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rPr>
                    <w:t>日最大8小时平均第90百分位质量浓度</w:t>
                  </w:r>
                </w:p>
              </w:tc>
              <w:tc>
                <w:tcPr>
                  <w:tcW w:w="13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163</w:t>
                  </w:r>
                </w:p>
              </w:tc>
              <w:tc>
                <w:tcPr>
                  <w:tcW w:w="132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rPr>
                    <w:t>160</w:t>
                  </w:r>
                </w:p>
              </w:tc>
              <w:tc>
                <w:tcPr>
                  <w:tcW w:w="12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101.88</w:t>
                  </w:r>
                  <w:r>
                    <w:rPr>
                      <w:rFonts w:hint="eastAsia" w:ascii="Times New Roman" w:hAnsi="Times New Roman" w:eastAsia="宋体" w:cs="Times New Roman"/>
                      <w:color w:val="auto"/>
                      <w:kern w:val="0"/>
                      <w:sz w:val="21"/>
                      <w:szCs w:val="21"/>
                    </w:rPr>
                    <w:t>%</w:t>
                  </w:r>
                </w:p>
              </w:tc>
              <w:tc>
                <w:tcPr>
                  <w:tcW w:w="138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rPr>
                    <w:t>不达标</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lang w:val="en-US" w:eastAsia="zh-CN"/>
              </w:rPr>
              <w:t>宿州市2022年PM</w:t>
            </w:r>
            <w:r>
              <w:rPr>
                <w:rFonts w:hint="default" w:ascii="Times New Roman" w:hAnsi="Times New Roman" w:eastAsia="宋体" w:cs="Times New Roman"/>
                <w:color w:val="auto"/>
                <w:kern w:val="0"/>
                <w:sz w:val="24"/>
                <w:szCs w:val="24"/>
                <w:vertAlign w:val="subscript"/>
                <w:lang w:val="en-US" w:eastAsia="zh-CN"/>
              </w:rPr>
              <w:t>10</w:t>
            </w:r>
            <w:r>
              <w:rPr>
                <w:rFonts w:hint="default" w:ascii="Times New Roman" w:hAnsi="Times New Roman" w:eastAsia="宋体" w:cs="Times New Roman"/>
                <w:color w:val="auto"/>
                <w:kern w:val="0"/>
                <w:sz w:val="24"/>
                <w:szCs w:val="24"/>
                <w:lang w:val="en-US" w:eastAsia="zh-CN"/>
              </w:rPr>
              <w:t>、PM</w:t>
            </w:r>
            <w:r>
              <w:rPr>
                <w:rFonts w:hint="default" w:ascii="Times New Roman" w:hAnsi="Times New Roman" w:eastAsia="宋体" w:cs="Times New Roman"/>
                <w:color w:val="auto"/>
                <w:kern w:val="0"/>
                <w:sz w:val="24"/>
                <w:szCs w:val="24"/>
                <w:vertAlign w:val="subscript"/>
                <w:lang w:val="en-US" w:eastAsia="zh-CN"/>
              </w:rPr>
              <w:t>2.5</w:t>
            </w:r>
            <w:r>
              <w:rPr>
                <w:rFonts w:hint="eastAsia" w:cs="Times New Roman"/>
                <w:color w:val="auto"/>
                <w:kern w:val="0"/>
                <w:sz w:val="24"/>
                <w:szCs w:val="24"/>
                <w:vertAlign w:val="baseline"/>
                <w:lang w:val="en-US" w:eastAsia="zh-CN"/>
              </w:rPr>
              <w:t>、</w:t>
            </w:r>
            <w:r>
              <w:rPr>
                <w:rFonts w:hint="default" w:ascii="Times New Roman" w:hAnsi="Times New Roman" w:eastAsia="宋体" w:cs="Times New Roman"/>
                <w:color w:val="auto"/>
                <w:kern w:val="0"/>
                <w:sz w:val="24"/>
                <w:szCs w:val="24"/>
                <w:lang w:val="en-US" w:eastAsia="zh-CN"/>
              </w:rPr>
              <w:t>SO</w:t>
            </w:r>
            <w:r>
              <w:rPr>
                <w:rFonts w:hint="default" w:ascii="Times New Roman" w:hAnsi="Times New Roman" w:eastAsia="宋体" w:cs="Times New Roman"/>
                <w:color w:val="auto"/>
                <w:kern w:val="0"/>
                <w:sz w:val="24"/>
                <w:szCs w:val="24"/>
                <w:vertAlign w:val="subscript"/>
                <w:lang w:val="en-US" w:eastAsia="zh-CN"/>
              </w:rPr>
              <w:t>2</w:t>
            </w:r>
            <w:r>
              <w:rPr>
                <w:rFonts w:hint="default" w:ascii="Times New Roman" w:hAnsi="Times New Roman" w:eastAsia="宋体" w:cs="Times New Roman"/>
                <w:color w:val="auto"/>
                <w:kern w:val="0"/>
                <w:sz w:val="24"/>
                <w:szCs w:val="24"/>
                <w:lang w:val="en-US" w:eastAsia="zh-CN"/>
              </w:rPr>
              <w:t>、NO</w:t>
            </w:r>
            <w:r>
              <w:rPr>
                <w:rFonts w:hint="default" w:ascii="Times New Roman" w:hAnsi="Times New Roman" w:eastAsia="宋体" w:cs="Times New Roman"/>
                <w:color w:val="auto"/>
                <w:kern w:val="0"/>
                <w:sz w:val="24"/>
                <w:szCs w:val="24"/>
                <w:vertAlign w:val="subscript"/>
                <w:lang w:val="en-US" w:eastAsia="zh-CN"/>
              </w:rPr>
              <w:t>2</w:t>
            </w:r>
            <w:r>
              <w:rPr>
                <w:rFonts w:hint="default" w:ascii="Times New Roman" w:hAnsi="Times New Roman" w:eastAsia="宋体" w:cs="Times New Roman"/>
                <w:color w:val="auto"/>
                <w:kern w:val="0"/>
                <w:sz w:val="24"/>
                <w:szCs w:val="24"/>
                <w:lang w:val="en-US" w:eastAsia="zh-CN"/>
              </w:rPr>
              <w:t>年均浓度分别为</w:t>
            </w:r>
            <w:r>
              <w:rPr>
                <w:rFonts w:hint="eastAsia" w:ascii="Times New Roman" w:hAnsi="Times New Roman" w:eastAsia="宋体" w:cs="Times New Roman"/>
                <w:color w:val="auto"/>
                <w:kern w:val="0"/>
                <w:sz w:val="24"/>
                <w:szCs w:val="24"/>
                <w:lang w:val="en-US" w:eastAsia="zh-CN"/>
              </w:rPr>
              <w:t>70</w:t>
            </w:r>
            <w:r>
              <w:rPr>
                <w:rFonts w:hint="default" w:ascii="Times New Roman" w:hAnsi="Times New Roman" w:eastAsia="宋体" w:cs="Times New Roman"/>
                <w:color w:val="auto"/>
                <w:kern w:val="0"/>
                <w:sz w:val="24"/>
                <w:szCs w:val="24"/>
                <w:lang w:val="en-US" w:eastAsia="zh-CN"/>
              </w:rPr>
              <w:t>μg/m</w:t>
            </w:r>
            <w:r>
              <w:rPr>
                <w:rFonts w:hint="default" w:ascii="Times New Roman" w:hAnsi="Times New Roman" w:eastAsia="宋体" w:cs="Times New Roman"/>
                <w:color w:val="auto"/>
                <w:kern w:val="0"/>
                <w:sz w:val="24"/>
                <w:szCs w:val="24"/>
                <w:vertAlign w:val="superscript"/>
                <w:lang w:val="en-US" w:eastAsia="zh-CN"/>
              </w:rPr>
              <w:t>3</w:t>
            </w:r>
            <w:r>
              <w:rPr>
                <w:rFonts w:hint="default" w:ascii="Times New Roman" w:hAnsi="Times New Roman" w:eastAsia="宋体" w:cs="Times New Roman"/>
                <w:color w:val="auto"/>
                <w:kern w:val="0"/>
                <w:sz w:val="24"/>
                <w:szCs w:val="24"/>
                <w:lang w:val="en-US" w:eastAsia="zh-CN"/>
              </w:rPr>
              <w:t>、</w:t>
            </w:r>
            <w:r>
              <w:rPr>
                <w:rFonts w:hint="eastAsia" w:ascii="Times New Roman" w:hAnsi="Times New Roman" w:eastAsia="宋体" w:cs="Times New Roman"/>
                <w:color w:val="auto"/>
                <w:kern w:val="0"/>
                <w:sz w:val="24"/>
                <w:szCs w:val="24"/>
                <w:lang w:val="en-US" w:eastAsia="zh-CN"/>
              </w:rPr>
              <w:t>40</w:t>
            </w:r>
            <w:r>
              <w:rPr>
                <w:rFonts w:hint="default" w:ascii="Times New Roman" w:hAnsi="Times New Roman" w:eastAsia="宋体" w:cs="Times New Roman"/>
                <w:color w:val="auto"/>
                <w:kern w:val="0"/>
                <w:sz w:val="24"/>
                <w:szCs w:val="24"/>
                <w:lang w:val="en-US" w:eastAsia="zh-CN"/>
              </w:rPr>
              <w:t>μg/m</w:t>
            </w:r>
            <w:r>
              <w:rPr>
                <w:rFonts w:hint="default" w:ascii="Times New Roman" w:hAnsi="Times New Roman" w:eastAsia="宋体" w:cs="Times New Roman"/>
                <w:color w:val="auto"/>
                <w:kern w:val="0"/>
                <w:sz w:val="24"/>
                <w:szCs w:val="24"/>
                <w:vertAlign w:val="superscript"/>
                <w:lang w:val="en-US" w:eastAsia="zh-CN"/>
              </w:rPr>
              <w:t>3</w:t>
            </w:r>
            <w:r>
              <w:rPr>
                <w:rFonts w:hint="default" w:ascii="Times New Roman" w:hAnsi="Times New Roman" w:eastAsia="宋体" w:cs="Times New Roman"/>
                <w:color w:val="auto"/>
                <w:kern w:val="0"/>
                <w:sz w:val="24"/>
                <w:szCs w:val="24"/>
                <w:lang w:val="en-US" w:eastAsia="zh-CN"/>
              </w:rPr>
              <w:t>、</w:t>
            </w:r>
            <w:r>
              <w:rPr>
                <w:rFonts w:hint="eastAsia" w:ascii="Times New Roman" w:hAnsi="Times New Roman" w:eastAsia="宋体" w:cs="Times New Roman"/>
                <w:color w:val="auto"/>
                <w:kern w:val="0"/>
                <w:sz w:val="24"/>
                <w:szCs w:val="24"/>
                <w:lang w:val="en-US" w:eastAsia="zh-CN"/>
              </w:rPr>
              <w:t>4</w:t>
            </w:r>
            <w:r>
              <w:rPr>
                <w:rFonts w:hint="default" w:ascii="Times New Roman" w:hAnsi="Times New Roman" w:eastAsia="宋体" w:cs="Times New Roman"/>
                <w:color w:val="auto"/>
                <w:kern w:val="0"/>
                <w:sz w:val="24"/>
                <w:szCs w:val="24"/>
                <w:lang w:val="en-US" w:eastAsia="zh-CN"/>
              </w:rPr>
              <w:t>μg/m</w:t>
            </w:r>
            <w:r>
              <w:rPr>
                <w:rFonts w:hint="default" w:ascii="Times New Roman" w:hAnsi="Times New Roman" w:eastAsia="宋体" w:cs="Times New Roman"/>
                <w:color w:val="auto"/>
                <w:kern w:val="0"/>
                <w:sz w:val="24"/>
                <w:szCs w:val="24"/>
                <w:vertAlign w:val="superscript"/>
                <w:lang w:val="en-US" w:eastAsia="zh-CN"/>
              </w:rPr>
              <w:t>3</w:t>
            </w:r>
            <w:r>
              <w:rPr>
                <w:rFonts w:hint="default" w:ascii="Times New Roman" w:hAnsi="Times New Roman" w:eastAsia="宋体" w:cs="Times New Roman"/>
                <w:color w:val="auto"/>
                <w:kern w:val="0"/>
                <w:sz w:val="24"/>
                <w:szCs w:val="24"/>
                <w:lang w:val="en-US" w:eastAsia="zh-CN"/>
              </w:rPr>
              <w:t>、</w:t>
            </w:r>
            <w:r>
              <w:rPr>
                <w:rFonts w:hint="eastAsia" w:ascii="Times New Roman" w:hAnsi="Times New Roman" w:eastAsia="宋体" w:cs="Times New Roman"/>
                <w:color w:val="auto"/>
                <w:kern w:val="0"/>
                <w:sz w:val="24"/>
                <w:szCs w:val="24"/>
                <w:lang w:val="en-US" w:eastAsia="zh-CN"/>
              </w:rPr>
              <w:t>2</w:t>
            </w:r>
            <w:r>
              <w:rPr>
                <w:rFonts w:hint="default" w:ascii="Times New Roman" w:hAnsi="Times New Roman" w:eastAsia="宋体" w:cs="Times New Roman"/>
                <w:color w:val="auto"/>
                <w:kern w:val="0"/>
                <w:sz w:val="24"/>
                <w:szCs w:val="24"/>
                <w:lang w:val="en-US" w:eastAsia="zh-CN"/>
              </w:rPr>
              <w:t>0μg/m</w:t>
            </w:r>
            <w:r>
              <w:rPr>
                <w:rFonts w:hint="default" w:ascii="Times New Roman" w:hAnsi="Times New Roman" w:eastAsia="宋体" w:cs="Times New Roman"/>
                <w:color w:val="auto"/>
                <w:kern w:val="0"/>
                <w:sz w:val="24"/>
                <w:szCs w:val="24"/>
                <w:vertAlign w:val="superscript"/>
                <w:lang w:val="en-US" w:eastAsia="zh-CN"/>
              </w:rPr>
              <w:t>3</w:t>
            </w:r>
            <w:r>
              <w:rPr>
                <w:rFonts w:hint="default" w:ascii="Times New Roman" w:hAnsi="Times New Roman" w:eastAsia="宋体" w:cs="Times New Roman"/>
                <w:color w:val="auto"/>
                <w:kern w:val="0"/>
                <w:sz w:val="24"/>
                <w:szCs w:val="24"/>
                <w:lang w:val="en-US" w:eastAsia="zh-CN"/>
              </w:rPr>
              <w:t>；CO24小时平均第95百分位数为0.9mg/m</w:t>
            </w:r>
            <w:r>
              <w:rPr>
                <w:rFonts w:hint="default" w:ascii="Times New Roman" w:hAnsi="Times New Roman" w:eastAsia="宋体" w:cs="Times New Roman"/>
                <w:color w:val="auto"/>
                <w:kern w:val="0"/>
                <w:sz w:val="24"/>
                <w:szCs w:val="24"/>
                <w:vertAlign w:val="superscript"/>
                <w:lang w:val="en-US" w:eastAsia="zh-CN"/>
              </w:rPr>
              <w:t>3</w:t>
            </w:r>
            <w:r>
              <w:rPr>
                <w:rFonts w:hint="default" w:ascii="Times New Roman" w:hAnsi="Times New Roman" w:eastAsia="宋体" w:cs="Times New Roman"/>
                <w:color w:val="auto"/>
                <w:kern w:val="0"/>
                <w:sz w:val="24"/>
                <w:szCs w:val="24"/>
                <w:lang w:val="en-US" w:eastAsia="zh-CN"/>
              </w:rPr>
              <w:t>，O</w:t>
            </w:r>
            <w:r>
              <w:rPr>
                <w:rFonts w:hint="default" w:ascii="Times New Roman" w:hAnsi="Times New Roman" w:eastAsia="宋体" w:cs="Times New Roman"/>
                <w:color w:val="auto"/>
                <w:kern w:val="0"/>
                <w:sz w:val="24"/>
                <w:szCs w:val="24"/>
                <w:vertAlign w:val="subscript"/>
                <w:lang w:val="en-US" w:eastAsia="zh-CN"/>
              </w:rPr>
              <w:t>3</w:t>
            </w:r>
            <w:r>
              <w:rPr>
                <w:rFonts w:hint="default" w:ascii="Times New Roman" w:hAnsi="Times New Roman" w:eastAsia="宋体" w:cs="Times New Roman"/>
                <w:color w:val="auto"/>
                <w:kern w:val="0"/>
                <w:sz w:val="24"/>
                <w:szCs w:val="24"/>
                <w:lang w:val="en-US" w:eastAsia="zh-CN"/>
              </w:rPr>
              <w:t>日最大8小时平均第90百分位数为163μg/m</w:t>
            </w:r>
            <w:r>
              <w:rPr>
                <w:rFonts w:hint="default" w:ascii="Times New Roman" w:hAnsi="Times New Roman" w:eastAsia="宋体" w:cs="Times New Roman"/>
                <w:color w:val="auto"/>
                <w:kern w:val="0"/>
                <w:sz w:val="24"/>
                <w:szCs w:val="24"/>
                <w:vertAlign w:val="superscript"/>
                <w:lang w:val="en-US" w:eastAsia="zh-CN"/>
              </w:rPr>
              <w:t>3</w:t>
            </w:r>
            <w:r>
              <w:rPr>
                <w:rFonts w:hint="default" w:ascii="Times New Roman" w:hAnsi="Times New Roman" w:eastAsia="宋体" w:cs="Times New Roman"/>
                <w:color w:val="auto"/>
                <w:kern w:val="0"/>
                <w:sz w:val="24"/>
                <w:szCs w:val="24"/>
                <w:lang w:val="en-US" w:eastAsia="zh-CN"/>
              </w:rPr>
              <w:t>；超过《环境空气质量标准》（GB3095-2012）中二级标准限值的污染物为O</w:t>
            </w:r>
            <w:r>
              <w:rPr>
                <w:rFonts w:hint="default" w:ascii="Times New Roman" w:hAnsi="Times New Roman" w:eastAsia="宋体" w:cs="Times New Roman"/>
                <w:color w:val="auto"/>
                <w:kern w:val="0"/>
                <w:sz w:val="24"/>
                <w:szCs w:val="24"/>
                <w:vertAlign w:val="subscript"/>
                <w:lang w:val="en-US" w:eastAsia="zh-CN"/>
              </w:rPr>
              <w:t>3</w:t>
            </w:r>
            <w:r>
              <w:rPr>
                <w:rFonts w:hint="default" w:ascii="Times New Roman" w:hAnsi="Times New Roman" w:eastAsia="宋体" w:cs="Times New Roman"/>
                <w:color w:val="auto"/>
                <w:kern w:val="0"/>
                <w:sz w:val="24"/>
                <w:szCs w:val="24"/>
                <w:lang w:val="en-US" w:eastAsia="zh-CN"/>
              </w:rPr>
              <w:t>、PM</w:t>
            </w:r>
            <w:r>
              <w:rPr>
                <w:rFonts w:hint="default" w:ascii="Times New Roman" w:hAnsi="Times New Roman" w:eastAsia="宋体" w:cs="Times New Roman"/>
                <w:color w:val="auto"/>
                <w:kern w:val="0"/>
                <w:sz w:val="24"/>
                <w:szCs w:val="24"/>
                <w:vertAlign w:val="subscript"/>
                <w:lang w:val="en-US" w:eastAsia="zh-CN"/>
              </w:rPr>
              <w:t>2.5</w:t>
            </w:r>
            <w:r>
              <w:rPr>
                <w:rFonts w:hint="eastAsia" w:ascii="Times New Roman" w:hAnsi="Times New Roman" w:eastAsia="宋体" w:cs="Times New Roman"/>
                <w:color w:val="auto"/>
                <w:kern w:val="0"/>
                <w:sz w:val="24"/>
                <w:szCs w:val="24"/>
                <w:vertAlign w:val="baseline"/>
                <w:lang w:val="en-US" w:eastAsia="zh-CN"/>
              </w:rPr>
              <w:t>。</w:t>
            </w:r>
            <w:r>
              <w:rPr>
                <w:rFonts w:hint="default" w:ascii="Times New Roman" w:hAnsi="Times New Roman" w:eastAsia="宋体" w:cs="Times New Roman"/>
                <w:color w:val="auto"/>
                <w:kern w:val="0"/>
                <w:sz w:val="24"/>
                <w:szCs w:val="24"/>
                <w:lang w:val="en-US" w:eastAsia="zh-CN"/>
              </w:rPr>
              <w:t>所以项目所在地为大气环境空气质量不</w:t>
            </w:r>
            <w:r>
              <w:rPr>
                <w:rFonts w:hint="default" w:ascii="Times New Roman" w:hAnsi="Times New Roman" w:eastAsia="宋体" w:cs="Times New Roman"/>
                <w:color w:val="000000"/>
                <w:kern w:val="0"/>
                <w:sz w:val="24"/>
                <w:szCs w:val="24"/>
                <w:lang w:val="en-US" w:eastAsia="zh-CN"/>
              </w:rPr>
              <w:t>达标</w:t>
            </w:r>
            <w:r>
              <w:rPr>
                <w:rFonts w:hint="default" w:ascii="Times New Roman" w:hAnsi="Times New Roman" w:eastAsia="宋体" w:cs="Times New Roman"/>
                <w:color w:val="auto"/>
                <w:kern w:val="0"/>
                <w:sz w:val="24"/>
                <w:szCs w:val="24"/>
                <w:lang w:val="en-US" w:eastAsia="zh-CN"/>
              </w:rPr>
              <w:t>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本项目位于安徽省宿州市灵璧县经</w:t>
            </w:r>
            <w:r>
              <w:rPr>
                <w:rFonts w:hint="default" w:ascii="Times New Roman" w:hAnsi="Times New Roman" w:eastAsia="宋体" w:cs="Times New Roman"/>
                <w:color w:val="auto"/>
                <w:kern w:val="0"/>
                <w:sz w:val="24"/>
                <w:szCs w:val="24"/>
                <w:highlight w:val="none"/>
                <w:lang w:val="en-US" w:eastAsia="zh-CN"/>
              </w:rPr>
              <w:t>济开发区轴承产业园5期10号厂房，项目</w:t>
            </w:r>
            <w:r>
              <w:rPr>
                <w:rFonts w:hint="eastAsia" w:cs="Times New Roman"/>
                <w:color w:val="auto"/>
                <w:kern w:val="0"/>
                <w:sz w:val="24"/>
                <w:szCs w:val="24"/>
                <w:highlight w:val="none"/>
                <w:lang w:val="en-US" w:eastAsia="zh-CN"/>
              </w:rPr>
              <w:t>挥发性有机物一次</w:t>
            </w:r>
            <w:r>
              <w:rPr>
                <w:rFonts w:hint="default" w:ascii="Times New Roman" w:hAnsi="Times New Roman" w:eastAsia="宋体" w:cs="Times New Roman"/>
                <w:color w:val="auto"/>
                <w:kern w:val="0"/>
                <w:sz w:val="24"/>
                <w:szCs w:val="24"/>
                <w:highlight w:val="none"/>
                <w:lang w:val="en-US" w:eastAsia="zh-CN"/>
              </w:rPr>
              <w:t>值大气环境现状监测</w:t>
            </w:r>
            <w:r>
              <w:rPr>
                <w:rFonts w:hint="eastAsia" w:ascii="Times New Roman" w:hAnsi="Times New Roman" w:eastAsia="宋体" w:cs="Times New Roman"/>
                <w:color w:val="auto"/>
                <w:kern w:val="0"/>
                <w:sz w:val="24"/>
                <w:szCs w:val="24"/>
                <w:highlight w:val="none"/>
                <w:lang w:val="en-US" w:eastAsia="zh-CN"/>
              </w:rPr>
              <w:t>如下</w:t>
            </w:r>
            <w:r>
              <w:rPr>
                <w:rFonts w:hint="eastAsia" w:cs="Times New Roman"/>
                <w:color w:val="auto"/>
                <w:kern w:val="0"/>
                <w:sz w:val="24"/>
                <w:szCs w:val="24"/>
                <w:highlight w:val="none"/>
                <w:lang w:val="en-US" w:eastAsia="zh-CN"/>
              </w:rPr>
              <w:t>，TSP引用</w:t>
            </w:r>
            <w:r>
              <w:rPr>
                <w:rFonts w:hint="default" w:ascii="Times New Roman" w:hAnsi="Times New Roman" w:eastAsia="宋体" w:cs="Times New Roman"/>
                <w:color w:val="auto"/>
                <w:kern w:val="0"/>
                <w:sz w:val="24"/>
                <w:szCs w:val="24"/>
                <w:lang w:val="en-US" w:eastAsia="zh-CN"/>
              </w:rPr>
              <w:t>《</w:t>
            </w:r>
            <w:r>
              <w:rPr>
                <w:rFonts w:hint="eastAsia" w:cs="Times New Roman"/>
                <w:color w:val="auto"/>
                <w:kern w:val="0"/>
                <w:sz w:val="24"/>
                <w:szCs w:val="24"/>
                <w:highlight w:val="none"/>
                <w:lang w:val="en-US" w:eastAsia="zh-CN"/>
              </w:rPr>
              <w:t>安徽灵璧经济开发区环境影响区域评估报告</w:t>
            </w:r>
            <w:r>
              <w:rPr>
                <w:rFonts w:hint="default" w:ascii="Times New Roman" w:hAnsi="Times New Roman" w:eastAsia="宋体" w:cs="Times New Roman"/>
                <w:color w:val="auto"/>
                <w:kern w:val="0"/>
                <w:sz w:val="24"/>
                <w:szCs w:val="24"/>
                <w:lang w:val="en-US" w:eastAsia="zh-CN"/>
              </w:rPr>
              <w:t>》</w:t>
            </w:r>
            <w:r>
              <w:rPr>
                <w:rFonts w:hint="eastAsia" w:cs="Times New Roman"/>
                <w:color w:val="auto"/>
                <w:kern w:val="0"/>
                <w:sz w:val="24"/>
                <w:szCs w:val="24"/>
                <w:lang w:val="en-US" w:eastAsia="zh-CN"/>
              </w:rPr>
              <w:t>中监测数据。</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（1）监测点布设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监测布点位置分别见下表。</w:t>
            </w:r>
          </w:p>
          <w:p>
            <w:pPr>
              <w:adjustRightInd w:val="0"/>
              <w:snapToGrid w:val="0"/>
              <w:spacing w:line="360" w:lineRule="auto"/>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表3.2</w:t>
            </w:r>
            <w:r>
              <w:rPr>
                <w:rFonts w:hint="eastAsia"/>
                <w:b/>
                <w:bCs/>
                <w:color w:val="000000" w:themeColor="text1"/>
                <w:sz w:val="24"/>
                <w14:textFill>
                  <w14:solidFill>
                    <w14:schemeClr w14:val="tx1"/>
                  </w14:solidFill>
                </w14:textFill>
              </w:rPr>
              <w:t xml:space="preserve">  环境空气质量现状监测布点一览表</w:t>
            </w:r>
          </w:p>
          <w:tbl>
            <w:tblPr>
              <w:tblStyle w:val="25"/>
              <w:tblW w:w="83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1"/>
              <w:gridCol w:w="2506"/>
              <w:gridCol w:w="2213"/>
              <w:gridCol w:w="2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62" w:beforeLines="20"/>
                    <w:jc w:val="center"/>
                    <w:rPr>
                      <w:color w:val="auto"/>
                      <w:sz w:val="21"/>
                      <w:szCs w:val="21"/>
                    </w:rPr>
                  </w:pPr>
                  <w:r>
                    <w:rPr>
                      <w:color w:val="auto"/>
                      <w:sz w:val="21"/>
                      <w:szCs w:val="21"/>
                    </w:rPr>
                    <w:t>编号</w:t>
                  </w:r>
                </w:p>
              </w:tc>
              <w:tc>
                <w:tcPr>
                  <w:tcW w:w="25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62" w:beforeLines="20"/>
                    <w:jc w:val="center"/>
                    <w:rPr>
                      <w:color w:val="auto"/>
                      <w:sz w:val="21"/>
                      <w:szCs w:val="21"/>
                    </w:rPr>
                  </w:pPr>
                  <w:r>
                    <w:rPr>
                      <w:color w:val="auto"/>
                      <w:sz w:val="21"/>
                      <w:szCs w:val="21"/>
                    </w:rPr>
                    <w:t>点位名称</w:t>
                  </w:r>
                </w:p>
              </w:tc>
              <w:tc>
                <w:tcPr>
                  <w:tcW w:w="221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62" w:beforeLines="20"/>
                    <w:jc w:val="center"/>
                    <w:rPr>
                      <w:color w:val="auto"/>
                      <w:sz w:val="21"/>
                      <w:szCs w:val="21"/>
                    </w:rPr>
                  </w:pPr>
                  <w:r>
                    <w:rPr>
                      <w:color w:val="auto"/>
                      <w:sz w:val="21"/>
                      <w:szCs w:val="21"/>
                    </w:rPr>
                    <w:t>相对场址位置</w:t>
                  </w:r>
                </w:p>
              </w:tc>
              <w:tc>
                <w:tcPr>
                  <w:tcW w:w="219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62" w:beforeLines="20"/>
                    <w:jc w:val="center"/>
                    <w:rPr>
                      <w:color w:val="auto"/>
                      <w:sz w:val="21"/>
                      <w:szCs w:val="21"/>
                    </w:rPr>
                  </w:pPr>
                  <w:r>
                    <w:rPr>
                      <w:color w:val="auto"/>
                      <w:sz w:val="21"/>
                      <w:szCs w:val="21"/>
                    </w:rPr>
                    <w:t>相对场址距离（m）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62" w:beforeLines="20"/>
                    <w:jc w:val="center"/>
                    <w:rPr>
                      <w:rFonts w:hint="default" w:eastAsia="宋体"/>
                      <w:color w:val="auto"/>
                      <w:sz w:val="21"/>
                      <w:szCs w:val="21"/>
                      <w:lang w:val="en-US" w:eastAsia="zh-CN"/>
                    </w:rPr>
                  </w:pPr>
                  <w:r>
                    <w:rPr>
                      <w:rFonts w:hint="eastAsia"/>
                      <w:color w:val="auto"/>
                      <w:sz w:val="21"/>
                      <w:szCs w:val="21"/>
                      <w:lang w:val="en-US" w:eastAsia="zh-CN"/>
                    </w:rPr>
                    <w:t>G1</w:t>
                  </w:r>
                </w:p>
              </w:tc>
              <w:tc>
                <w:tcPr>
                  <w:tcW w:w="25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62" w:beforeLines="20" w:line="240" w:lineRule="auto"/>
                    <w:jc w:val="center"/>
                    <w:rPr>
                      <w:rFonts w:hint="eastAsia" w:eastAsia="宋体"/>
                      <w:color w:val="auto"/>
                      <w:sz w:val="21"/>
                      <w:szCs w:val="21"/>
                      <w:lang w:val="en-US" w:eastAsia="zh-CN"/>
                    </w:rPr>
                  </w:pPr>
                  <w:r>
                    <w:rPr>
                      <w:rFonts w:hint="eastAsia"/>
                      <w:color w:val="auto"/>
                      <w:sz w:val="21"/>
                      <w:szCs w:val="21"/>
                      <w:lang w:val="en-US" w:eastAsia="zh-CN"/>
                    </w:rPr>
                    <w:t>项目所在地</w:t>
                  </w:r>
                </w:p>
              </w:tc>
              <w:tc>
                <w:tcPr>
                  <w:tcW w:w="221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62" w:beforeLines="20"/>
                    <w:jc w:val="center"/>
                    <w:rPr>
                      <w:rFonts w:hint="eastAsia" w:eastAsia="宋体"/>
                      <w:color w:val="auto"/>
                      <w:sz w:val="21"/>
                      <w:szCs w:val="21"/>
                      <w:lang w:val="en-US" w:eastAsia="zh-CN"/>
                    </w:rPr>
                  </w:pPr>
                  <w:r>
                    <w:rPr>
                      <w:rFonts w:hint="eastAsia"/>
                      <w:color w:val="auto"/>
                      <w:sz w:val="21"/>
                      <w:szCs w:val="21"/>
                      <w:lang w:val="en-US" w:eastAsia="zh-CN"/>
                    </w:rPr>
                    <w:t>/</w:t>
                  </w:r>
                </w:p>
              </w:tc>
              <w:tc>
                <w:tcPr>
                  <w:tcW w:w="219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62" w:beforeLines="20"/>
                    <w:jc w:val="center"/>
                    <w:rPr>
                      <w:rFonts w:hint="eastAsia" w:eastAsia="宋体"/>
                      <w:color w:val="auto"/>
                      <w:sz w:val="21"/>
                      <w:szCs w:val="21"/>
                      <w:lang w:val="en-US" w:eastAsia="zh-CN"/>
                    </w:rPr>
                  </w:pPr>
                  <w:r>
                    <w:rPr>
                      <w:rFonts w:hint="eastAsia"/>
                      <w:color w:val="auto"/>
                      <w:sz w:val="21"/>
                      <w:szCs w:val="21"/>
                      <w:lang w:val="en-US" w:eastAsia="zh-CN"/>
                    </w:rPr>
                    <w:t>/</w:t>
                  </w:r>
                </w:p>
              </w:tc>
            </w:tr>
          </w:tbl>
          <w:p>
            <w:pPr>
              <w:adjustRightInd w:val="0"/>
              <w:snapToGrid w:val="0"/>
              <w:spacing w:before="156" w:beforeLines="50" w:line="360" w:lineRule="auto"/>
              <w:jc w:val="center"/>
              <w:rPr>
                <w:b/>
                <w:bCs/>
                <w:color w:val="000000" w:themeColor="text1"/>
                <w:sz w:val="24"/>
                <w14:textFill>
                  <w14:solidFill>
                    <w14:schemeClr w14:val="tx1"/>
                  </w14:solidFill>
                </w14:textFill>
              </w:rPr>
            </w:pPr>
            <w:r>
              <w:drawing>
                <wp:inline distT="0" distB="0" distL="114300" distR="114300">
                  <wp:extent cx="5261610" cy="2997835"/>
                  <wp:effectExtent l="0" t="0" r="15240" b="12065"/>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10"/>
                          <a:stretch>
                            <a:fillRect/>
                          </a:stretch>
                        </pic:blipFill>
                        <pic:spPr>
                          <a:xfrm>
                            <a:off x="0" y="0"/>
                            <a:ext cx="5261610" cy="2997835"/>
                          </a:xfrm>
                          <a:prstGeom prst="rect">
                            <a:avLst/>
                          </a:prstGeom>
                          <a:noFill/>
                          <a:ln>
                            <a:noFill/>
                          </a:ln>
                        </pic:spPr>
                      </pic:pic>
                    </a:graphicData>
                  </a:graphic>
                </wp:inline>
              </w:drawing>
            </w:r>
          </w:p>
          <w:p>
            <w:pPr>
              <w:pStyle w:val="60"/>
              <w:keepNext w:val="0"/>
              <w:keepLines w:val="0"/>
              <w:pageBreakBefore w:val="0"/>
              <w:widowControl w:val="0"/>
              <w:kinsoku/>
              <w:wordWrap/>
              <w:overflowPunct/>
              <w:topLinePunct w:val="0"/>
              <w:autoSpaceDE/>
              <w:autoSpaceDN/>
              <w:bidi w:val="0"/>
              <w:adjustRightInd w:val="0"/>
              <w:snapToGrid w:val="0"/>
              <w:spacing w:line="360" w:lineRule="auto"/>
              <w:ind w:right="0" w:rightChars="0" w:firstLine="0"/>
              <w:jc w:val="center"/>
              <w:textAlignment w:val="auto"/>
              <w:rPr>
                <w:rFonts w:cs="Times New Roman"/>
                <w:b/>
                <w:bCs/>
                <w:color w:val="000000"/>
                <w:sz w:val="24"/>
                <w:szCs w:val="24"/>
                <w:highlight w:val="none"/>
              </w:rPr>
            </w:pPr>
            <w:r>
              <w:rPr>
                <w:rFonts w:cs="Times New Roman"/>
                <w:b/>
                <w:bCs/>
                <w:color w:val="000000"/>
                <w:sz w:val="24"/>
                <w:szCs w:val="24"/>
                <w:highlight w:val="none"/>
              </w:rPr>
              <w:t>图3</w:t>
            </w:r>
            <w:r>
              <w:rPr>
                <w:rFonts w:hint="eastAsia" w:cs="Times New Roman"/>
                <w:b/>
                <w:bCs/>
                <w:color w:val="000000"/>
                <w:sz w:val="24"/>
                <w:szCs w:val="24"/>
                <w:highlight w:val="none"/>
                <w:lang w:val="en-US" w:eastAsia="zh-CN"/>
              </w:rPr>
              <w:t>.</w:t>
            </w:r>
            <w:r>
              <w:rPr>
                <w:rFonts w:cs="Times New Roman"/>
                <w:b/>
                <w:bCs/>
                <w:color w:val="000000"/>
                <w:sz w:val="24"/>
                <w:szCs w:val="24"/>
                <w:highlight w:val="none"/>
              </w:rPr>
              <w:t xml:space="preserve">1 </w:t>
            </w:r>
            <w:r>
              <w:rPr>
                <w:rFonts w:hint="eastAsia" w:cs="Times New Roman"/>
                <w:b/>
                <w:bCs/>
                <w:color w:val="000000"/>
                <w:sz w:val="24"/>
                <w:szCs w:val="24"/>
                <w:highlight w:val="none"/>
                <w:lang w:val="en-US" w:eastAsia="zh-CN"/>
              </w:rPr>
              <w:t xml:space="preserve"> </w:t>
            </w:r>
            <w:r>
              <w:rPr>
                <w:rFonts w:hint="eastAsia" w:cs="Times New Roman"/>
                <w:b/>
                <w:bCs/>
                <w:color w:val="000000"/>
                <w:sz w:val="24"/>
                <w:szCs w:val="24"/>
                <w:highlight w:val="none"/>
                <w:lang w:eastAsia="zh-CN"/>
              </w:rPr>
              <w:t>大气环境及噪声</w:t>
            </w:r>
            <w:r>
              <w:rPr>
                <w:rFonts w:cs="Times New Roman"/>
                <w:b/>
                <w:bCs/>
                <w:color w:val="000000"/>
                <w:sz w:val="24"/>
                <w:szCs w:val="24"/>
                <w:highlight w:val="none"/>
              </w:rPr>
              <w:t>监测点位图</w:t>
            </w:r>
          </w:p>
          <w:p>
            <w:pPr>
              <w:pStyle w:val="60"/>
              <w:keepNext w:val="0"/>
              <w:keepLines w:val="0"/>
              <w:pageBreakBefore w:val="0"/>
              <w:widowControl w:val="0"/>
              <w:kinsoku/>
              <w:wordWrap/>
              <w:overflowPunct/>
              <w:topLinePunct w:val="0"/>
              <w:autoSpaceDE/>
              <w:autoSpaceDN/>
              <w:bidi w:val="0"/>
              <w:adjustRightInd w:val="0"/>
              <w:snapToGrid w:val="0"/>
              <w:spacing w:line="360" w:lineRule="auto"/>
              <w:ind w:right="0" w:rightChars="0" w:firstLine="482"/>
              <w:textAlignment w:val="auto"/>
              <w:rPr>
                <w:rFonts w:cs="Times New Roman"/>
                <w:color w:val="000000"/>
                <w:sz w:val="24"/>
                <w:szCs w:val="24"/>
                <w:highlight w:val="none"/>
              </w:rPr>
            </w:pPr>
            <w:r>
              <w:rPr>
                <w:rFonts w:cs="Times New Roman"/>
                <w:color w:val="000000"/>
                <w:sz w:val="24"/>
                <w:szCs w:val="24"/>
                <w:highlight w:val="none"/>
              </w:rPr>
              <w:t>（2）监测项目</w:t>
            </w:r>
          </w:p>
          <w:p>
            <w:pPr>
              <w:pStyle w:val="60"/>
              <w:keepNext w:val="0"/>
              <w:keepLines w:val="0"/>
              <w:pageBreakBefore w:val="0"/>
              <w:widowControl w:val="0"/>
              <w:kinsoku/>
              <w:wordWrap/>
              <w:overflowPunct/>
              <w:topLinePunct w:val="0"/>
              <w:autoSpaceDE/>
              <w:autoSpaceDN/>
              <w:bidi w:val="0"/>
              <w:adjustRightInd w:val="0"/>
              <w:snapToGrid w:val="0"/>
              <w:spacing w:line="360" w:lineRule="auto"/>
              <w:ind w:right="0" w:rightChars="0" w:firstLine="482"/>
              <w:textAlignment w:val="auto"/>
              <w:rPr>
                <w:rFonts w:cs="Times New Roman"/>
                <w:color w:val="000000"/>
                <w:sz w:val="24"/>
                <w:szCs w:val="24"/>
                <w:highlight w:val="none"/>
              </w:rPr>
            </w:pPr>
            <w:r>
              <w:rPr>
                <w:rFonts w:cs="Times New Roman"/>
                <w:color w:val="000000"/>
                <w:sz w:val="24"/>
                <w:szCs w:val="24"/>
                <w:highlight w:val="none"/>
              </w:rPr>
              <w:t>监测项目为</w:t>
            </w:r>
            <w:r>
              <w:rPr>
                <w:rFonts w:hint="eastAsia"/>
                <w:color w:val="000000"/>
                <w:sz w:val="24"/>
                <w:szCs w:val="24"/>
                <w:highlight w:val="none"/>
                <w:lang w:eastAsia="zh-CN"/>
              </w:rPr>
              <w:t>挥发性有机物</w:t>
            </w:r>
            <w:r>
              <w:rPr>
                <w:rFonts w:cs="Times New Roman"/>
                <w:color w:val="000000"/>
                <w:sz w:val="24"/>
                <w:szCs w:val="24"/>
                <w:highlight w:val="none"/>
              </w:rPr>
              <w:t>。</w:t>
            </w:r>
          </w:p>
          <w:p>
            <w:pPr>
              <w:pStyle w:val="60"/>
              <w:keepNext w:val="0"/>
              <w:keepLines w:val="0"/>
              <w:pageBreakBefore w:val="0"/>
              <w:widowControl w:val="0"/>
              <w:kinsoku/>
              <w:wordWrap/>
              <w:overflowPunct/>
              <w:topLinePunct w:val="0"/>
              <w:autoSpaceDE/>
              <w:autoSpaceDN/>
              <w:bidi w:val="0"/>
              <w:adjustRightInd w:val="0"/>
              <w:snapToGrid w:val="0"/>
              <w:spacing w:line="360" w:lineRule="auto"/>
              <w:ind w:right="0" w:rightChars="0" w:firstLine="482"/>
              <w:textAlignment w:val="auto"/>
              <w:rPr>
                <w:rFonts w:cs="Times New Roman"/>
                <w:color w:val="000000"/>
                <w:sz w:val="24"/>
                <w:szCs w:val="24"/>
                <w:highlight w:val="none"/>
              </w:rPr>
            </w:pPr>
            <w:r>
              <w:rPr>
                <w:rFonts w:cs="Times New Roman"/>
                <w:color w:val="000000"/>
                <w:sz w:val="24"/>
                <w:szCs w:val="24"/>
                <w:highlight w:val="none"/>
              </w:rPr>
              <w:t>（3）监测结果</w:t>
            </w:r>
          </w:p>
          <w:p>
            <w:pPr>
              <w:pStyle w:val="60"/>
              <w:keepNext w:val="0"/>
              <w:keepLines w:val="0"/>
              <w:pageBreakBefore w:val="0"/>
              <w:widowControl w:val="0"/>
              <w:kinsoku/>
              <w:wordWrap/>
              <w:overflowPunct/>
              <w:topLinePunct w:val="0"/>
              <w:autoSpaceDE/>
              <w:autoSpaceDN/>
              <w:bidi w:val="0"/>
              <w:adjustRightInd w:val="0"/>
              <w:snapToGrid w:val="0"/>
              <w:spacing w:line="360" w:lineRule="auto"/>
              <w:ind w:right="0" w:rightChars="0" w:firstLine="482"/>
              <w:textAlignment w:val="auto"/>
              <w:rPr>
                <w:rFonts w:cs="Times New Roman"/>
                <w:b/>
                <w:bCs/>
                <w:color w:val="000000"/>
                <w:sz w:val="24"/>
                <w:szCs w:val="24"/>
                <w:highlight w:val="none"/>
              </w:rPr>
            </w:pPr>
            <w:r>
              <w:rPr>
                <w:rFonts w:cs="Times New Roman"/>
                <w:color w:val="000000"/>
                <w:sz w:val="24"/>
                <w:szCs w:val="24"/>
                <w:highlight w:val="none"/>
              </w:rPr>
              <w:t>大气污染物监测结果见</w:t>
            </w:r>
            <w:r>
              <w:rPr>
                <w:rFonts w:hint="eastAsia" w:cs="Times New Roman"/>
                <w:color w:val="000000"/>
                <w:sz w:val="24"/>
                <w:szCs w:val="24"/>
                <w:highlight w:val="none"/>
              </w:rPr>
              <w:t>下</w:t>
            </w:r>
            <w:r>
              <w:rPr>
                <w:rFonts w:cs="Times New Roman"/>
                <w:color w:val="000000"/>
                <w:sz w:val="24"/>
                <w:szCs w:val="24"/>
                <w:highlight w:val="none"/>
              </w:rPr>
              <w:t>表。</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 xml:space="preserve">表3.3 </w:t>
            </w:r>
            <w:r>
              <w:rPr>
                <w:rFonts w:hint="eastAsia"/>
                <w:b/>
                <w:bCs/>
                <w:color w:val="000000" w:themeColor="text1"/>
                <w:sz w:val="24"/>
                <w:highlight w:val="none"/>
                <w14:textFill>
                  <w14:solidFill>
                    <w14:schemeClr w14:val="tx1"/>
                  </w14:solidFill>
                </w14:textFill>
              </w:rPr>
              <w:t xml:space="preserve"> </w:t>
            </w:r>
            <w:r>
              <w:rPr>
                <w:b/>
                <w:bCs/>
                <w:color w:val="000000" w:themeColor="text1"/>
                <w:sz w:val="24"/>
                <w:highlight w:val="none"/>
                <w14:textFill>
                  <w14:solidFill>
                    <w14:schemeClr w14:val="tx1"/>
                  </w14:solidFill>
                </w14:textFill>
              </w:rPr>
              <w:t>大气环境质量监测结果一览表</w:t>
            </w:r>
          </w:p>
          <w:tbl>
            <w:tblPr>
              <w:tblStyle w:val="25"/>
              <w:tblW w:w="83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3"/>
              <w:gridCol w:w="1245"/>
              <w:gridCol w:w="1612"/>
              <w:gridCol w:w="1329"/>
              <w:gridCol w:w="1329"/>
              <w:gridCol w:w="13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00" w:type="dxa"/>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大气检测气象参数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3" w:type="dxa"/>
                  <w:tcBorders>
                    <w:tl2br w:val="nil"/>
                    <w:tr2bl w:val="nil"/>
                  </w:tcBorders>
                  <w:noWrap w:val="0"/>
                  <w:vAlign w:val="center"/>
                </w:tcPr>
                <w:p>
                  <w:pPr>
                    <w:spacing w:line="240" w:lineRule="atLeas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采样日期</w:t>
                  </w:r>
                </w:p>
              </w:tc>
              <w:tc>
                <w:tcPr>
                  <w:tcW w:w="1245" w:type="dxa"/>
                  <w:tcBorders>
                    <w:tl2br w:val="nil"/>
                    <w:tr2bl w:val="nil"/>
                  </w:tcBorders>
                  <w:noWrap w:val="0"/>
                  <w:vAlign w:val="center"/>
                </w:tcPr>
                <w:p>
                  <w:pPr>
                    <w:spacing w:line="240" w:lineRule="atLeas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风速（m/s）</w:t>
                  </w:r>
                </w:p>
              </w:tc>
              <w:tc>
                <w:tcPr>
                  <w:tcW w:w="1612" w:type="dxa"/>
                  <w:tcBorders>
                    <w:tl2br w:val="nil"/>
                    <w:tr2bl w:val="nil"/>
                  </w:tcBorders>
                  <w:noWrap w:val="0"/>
                  <w:vAlign w:val="center"/>
                </w:tcPr>
                <w:p>
                  <w:pPr>
                    <w:spacing w:line="240" w:lineRule="atLeas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风向</w:t>
                  </w:r>
                </w:p>
              </w:tc>
              <w:tc>
                <w:tcPr>
                  <w:tcW w:w="1329" w:type="dxa"/>
                  <w:tcBorders>
                    <w:tl2br w:val="nil"/>
                    <w:tr2bl w:val="nil"/>
                  </w:tcBorders>
                  <w:noWrap w:val="0"/>
                  <w:vAlign w:val="center"/>
                </w:tcPr>
                <w:p>
                  <w:pPr>
                    <w:spacing w:line="240" w:lineRule="atLeas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气温（℃）</w:t>
                  </w:r>
                </w:p>
              </w:tc>
              <w:tc>
                <w:tcPr>
                  <w:tcW w:w="1329" w:type="dxa"/>
                  <w:tcBorders>
                    <w:tl2br w:val="nil"/>
                    <w:tr2bl w:val="nil"/>
                  </w:tcBorders>
                  <w:noWrap w:val="0"/>
                  <w:vAlign w:val="center"/>
                </w:tcPr>
                <w:p>
                  <w:pPr>
                    <w:spacing w:line="240" w:lineRule="atLeas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eastAsia="zh-CN"/>
                    </w:rPr>
                    <w:t>气压（</w:t>
                  </w:r>
                  <w:r>
                    <w:rPr>
                      <w:rFonts w:hint="default" w:ascii="Times New Roman" w:hAnsi="Times New Roman" w:eastAsia="宋体" w:cs="Times New Roman"/>
                      <w:b w:val="0"/>
                      <w:bCs/>
                      <w:color w:val="auto"/>
                      <w:sz w:val="21"/>
                      <w:szCs w:val="21"/>
                      <w:lang w:val="en-US" w:eastAsia="zh-CN"/>
                    </w:rPr>
                    <w:t>Kpa</w:t>
                  </w:r>
                  <w:r>
                    <w:rPr>
                      <w:rFonts w:hint="default" w:ascii="Times New Roman" w:hAnsi="Times New Roman" w:eastAsia="宋体" w:cs="Times New Roman"/>
                      <w:b w:val="0"/>
                      <w:bCs/>
                      <w:color w:val="auto"/>
                      <w:sz w:val="21"/>
                      <w:szCs w:val="21"/>
                      <w:lang w:eastAsia="zh-CN"/>
                    </w:rPr>
                    <w:t>）</w:t>
                  </w:r>
                </w:p>
              </w:tc>
              <w:tc>
                <w:tcPr>
                  <w:tcW w:w="1342" w:type="dxa"/>
                  <w:tcBorders>
                    <w:tl2br w:val="nil"/>
                    <w:tr2bl w:val="nil"/>
                  </w:tcBorders>
                  <w:noWrap w:val="0"/>
                  <w:vAlign w:val="center"/>
                </w:tcPr>
                <w:p>
                  <w:pPr>
                    <w:spacing w:line="240" w:lineRule="atLeas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天气状况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2023-09-22</w:t>
                  </w:r>
                </w:p>
              </w:tc>
              <w:tc>
                <w:tcPr>
                  <w:tcW w:w="12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2</w:t>
                  </w:r>
                </w:p>
              </w:tc>
              <w:tc>
                <w:tcPr>
                  <w:tcW w:w="161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东</w:t>
                  </w:r>
                </w:p>
              </w:tc>
              <w:tc>
                <w:tcPr>
                  <w:tcW w:w="13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14.1</w:t>
                  </w:r>
                </w:p>
              </w:tc>
              <w:tc>
                <w:tcPr>
                  <w:tcW w:w="13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102.01</w:t>
                  </w:r>
                </w:p>
              </w:tc>
              <w:tc>
                <w:tcPr>
                  <w:tcW w:w="134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多云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p>
              </w:tc>
              <w:tc>
                <w:tcPr>
                  <w:tcW w:w="12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2</w:t>
                  </w:r>
                </w:p>
              </w:tc>
              <w:tc>
                <w:tcPr>
                  <w:tcW w:w="161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p>
              </w:tc>
              <w:tc>
                <w:tcPr>
                  <w:tcW w:w="13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14.1</w:t>
                  </w:r>
                </w:p>
              </w:tc>
              <w:tc>
                <w:tcPr>
                  <w:tcW w:w="13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102.01</w:t>
                  </w:r>
                </w:p>
              </w:tc>
              <w:tc>
                <w:tcPr>
                  <w:tcW w:w="134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p>
              </w:tc>
              <w:tc>
                <w:tcPr>
                  <w:tcW w:w="12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w:t>
                  </w:r>
                </w:p>
              </w:tc>
              <w:tc>
                <w:tcPr>
                  <w:tcW w:w="161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p>
              </w:tc>
              <w:tc>
                <w:tcPr>
                  <w:tcW w:w="13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30.4</w:t>
                  </w:r>
                </w:p>
              </w:tc>
              <w:tc>
                <w:tcPr>
                  <w:tcW w:w="13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101.48</w:t>
                  </w:r>
                </w:p>
              </w:tc>
              <w:tc>
                <w:tcPr>
                  <w:tcW w:w="134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p>
              </w:tc>
              <w:tc>
                <w:tcPr>
                  <w:tcW w:w="12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2</w:t>
                  </w:r>
                </w:p>
              </w:tc>
              <w:tc>
                <w:tcPr>
                  <w:tcW w:w="161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p>
              </w:tc>
              <w:tc>
                <w:tcPr>
                  <w:tcW w:w="13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31.4</w:t>
                  </w:r>
                </w:p>
              </w:tc>
              <w:tc>
                <w:tcPr>
                  <w:tcW w:w="13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101.47</w:t>
                  </w:r>
                </w:p>
              </w:tc>
              <w:tc>
                <w:tcPr>
                  <w:tcW w:w="134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p>
              </w:tc>
              <w:tc>
                <w:tcPr>
                  <w:tcW w:w="12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2</w:t>
                  </w:r>
                </w:p>
              </w:tc>
              <w:tc>
                <w:tcPr>
                  <w:tcW w:w="161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p>
              </w:tc>
              <w:tc>
                <w:tcPr>
                  <w:tcW w:w="13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31.1</w:t>
                  </w:r>
                </w:p>
              </w:tc>
              <w:tc>
                <w:tcPr>
                  <w:tcW w:w="13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101.46</w:t>
                  </w:r>
                </w:p>
              </w:tc>
              <w:tc>
                <w:tcPr>
                  <w:tcW w:w="134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p>
              </w:tc>
              <w:tc>
                <w:tcPr>
                  <w:tcW w:w="12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w:t>
                  </w:r>
                </w:p>
              </w:tc>
              <w:tc>
                <w:tcPr>
                  <w:tcW w:w="161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p>
              </w:tc>
              <w:tc>
                <w:tcPr>
                  <w:tcW w:w="13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31.2</w:t>
                  </w:r>
                </w:p>
              </w:tc>
              <w:tc>
                <w:tcPr>
                  <w:tcW w:w="13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101.47</w:t>
                  </w:r>
                </w:p>
              </w:tc>
              <w:tc>
                <w:tcPr>
                  <w:tcW w:w="134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p>
              </w:tc>
              <w:tc>
                <w:tcPr>
                  <w:tcW w:w="12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2</w:t>
                  </w:r>
                </w:p>
              </w:tc>
              <w:tc>
                <w:tcPr>
                  <w:tcW w:w="161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p>
              </w:tc>
              <w:tc>
                <w:tcPr>
                  <w:tcW w:w="13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30.3</w:t>
                  </w:r>
                </w:p>
              </w:tc>
              <w:tc>
                <w:tcPr>
                  <w:tcW w:w="13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101.48</w:t>
                  </w:r>
                </w:p>
              </w:tc>
              <w:tc>
                <w:tcPr>
                  <w:tcW w:w="134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5B9BD5" w:themeColor="accent1"/>
                      <w:kern w:val="2"/>
                      <w:sz w:val="21"/>
                      <w:szCs w:val="21"/>
                      <w:lang w:val="en-US" w:eastAsia="zh-CN" w:bidi="ar-SA"/>
                      <w14:textFill>
                        <w14:solidFill>
                          <w14:schemeClr w14:val="accent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p>
              </w:tc>
              <w:tc>
                <w:tcPr>
                  <w:tcW w:w="12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2</w:t>
                  </w:r>
                </w:p>
              </w:tc>
              <w:tc>
                <w:tcPr>
                  <w:tcW w:w="161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p>
              </w:tc>
              <w:tc>
                <w:tcPr>
                  <w:tcW w:w="13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30.0</w:t>
                  </w:r>
                </w:p>
              </w:tc>
              <w:tc>
                <w:tcPr>
                  <w:tcW w:w="13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101.49</w:t>
                  </w:r>
                </w:p>
              </w:tc>
              <w:tc>
                <w:tcPr>
                  <w:tcW w:w="134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5B9BD5" w:themeColor="accent1"/>
                      <w:kern w:val="2"/>
                      <w:sz w:val="21"/>
                      <w:szCs w:val="21"/>
                      <w:lang w:val="en-US" w:eastAsia="zh-CN" w:bidi="ar-SA"/>
                      <w14:textFill>
                        <w14:solidFill>
                          <w14:schemeClr w14:val="accent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2023-09-23</w:t>
                  </w:r>
                </w:p>
              </w:tc>
              <w:tc>
                <w:tcPr>
                  <w:tcW w:w="12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2</w:t>
                  </w:r>
                </w:p>
              </w:tc>
              <w:tc>
                <w:tcPr>
                  <w:tcW w:w="161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东</w:t>
                  </w:r>
                </w:p>
              </w:tc>
              <w:tc>
                <w:tcPr>
                  <w:tcW w:w="13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23.8</w:t>
                  </w:r>
                </w:p>
              </w:tc>
              <w:tc>
                <w:tcPr>
                  <w:tcW w:w="13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101.26</w:t>
                  </w:r>
                </w:p>
              </w:tc>
              <w:tc>
                <w:tcPr>
                  <w:tcW w:w="134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Times New Roman" w:hAnsi="Times New Roman" w:cs="Times New Roman"/>
                      <w:b w:val="0"/>
                      <w:bCs w:val="0"/>
                      <w:color w:val="auto"/>
                      <w:sz w:val="21"/>
                      <w:szCs w:val="21"/>
                      <w:lang w:val="en-US" w:eastAsia="zh-CN"/>
                    </w:rPr>
                  </w:pPr>
                </w:p>
              </w:tc>
              <w:tc>
                <w:tcPr>
                  <w:tcW w:w="12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w:t>
                  </w:r>
                </w:p>
              </w:tc>
              <w:tc>
                <w:tcPr>
                  <w:tcW w:w="161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Times New Roman" w:hAnsi="Times New Roman" w:cs="Times New Roman"/>
                      <w:b w:val="0"/>
                      <w:bCs w:val="0"/>
                      <w:color w:val="auto"/>
                      <w:sz w:val="21"/>
                      <w:szCs w:val="21"/>
                      <w:lang w:val="en-US" w:eastAsia="zh-CN"/>
                    </w:rPr>
                  </w:pPr>
                </w:p>
              </w:tc>
              <w:tc>
                <w:tcPr>
                  <w:tcW w:w="13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24.9</w:t>
                  </w:r>
                </w:p>
              </w:tc>
              <w:tc>
                <w:tcPr>
                  <w:tcW w:w="13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101.23</w:t>
                  </w:r>
                </w:p>
              </w:tc>
              <w:tc>
                <w:tcPr>
                  <w:tcW w:w="134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Times New Roman" w:hAnsi="Times New Roman" w:cs="Times New Roman"/>
                      <w:b w:val="0"/>
                      <w:bCs w:val="0"/>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Times New Roman" w:hAnsi="Times New Roman" w:cs="Times New Roman"/>
                      <w:b w:val="0"/>
                      <w:bCs w:val="0"/>
                      <w:color w:val="auto"/>
                      <w:sz w:val="21"/>
                      <w:szCs w:val="21"/>
                      <w:lang w:val="en-US" w:eastAsia="zh-CN"/>
                    </w:rPr>
                  </w:pPr>
                </w:p>
              </w:tc>
              <w:tc>
                <w:tcPr>
                  <w:tcW w:w="12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w:t>
                  </w:r>
                </w:p>
              </w:tc>
              <w:tc>
                <w:tcPr>
                  <w:tcW w:w="161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Times New Roman" w:hAnsi="Times New Roman" w:cs="Times New Roman"/>
                      <w:b w:val="0"/>
                      <w:bCs w:val="0"/>
                      <w:color w:val="auto"/>
                      <w:sz w:val="21"/>
                      <w:szCs w:val="21"/>
                      <w:lang w:val="en-US" w:eastAsia="zh-CN"/>
                    </w:rPr>
                  </w:pPr>
                </w:p>
              </w:tc>
              <w:tc>
                <w:tcPr>
                  <w:tcW w:w="13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25.4</w:t>
                  </w:r>
                </w:p>
              </w:tc>
              <w:tc>
                <w:tcPr>
                  <w:tcW w:w="13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101.26</w:t>
                  </w:r>
                </w:p>
              </w:tc>
              <w:tc>
                <w:tcPr>
                  <w:tcW w:w="134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Times New Roman" w:hAnsi="Times New Roman" w:cs="Times New Roman"/>
                      <w:b w:val="0"/>
                      <w:bCs w:val="0"/>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Times New Roman" w:hAnsi="Times New Roman" w:cs="Times New Roman"/>
                      <w:b w:val="0"/>
                      <w:bCs w:val="0"/>
                      <w:color w:val="auto"/>
                      <w:sz w:val="21"/>
                      <w:szCs w:val="21"/>
                      <w:lang w:val="en-US" w:eastAsia="zh-CN"/>
                    </w:rPr>
                  </w:pPr>
                </w:p>
              </w:tc>
              <w:tc>
                <w:tcPr>
                  <w:tcW w:w="12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w:t>
                  </w:r>
                </w:p>
              </w:tc>
              <w:tc>
                <w:tcPr>
                  <w:tcW w:w="161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Times New Roman" w:hAnsi="Times New Roman" w:cs="Times New Roman"/>
                      <w:b w:val="0"/>
                      <w:bCs w:val="0"/>
                      <w:color w:val="auto"/>
                      <w:sz w:val="21"/>
                      <w:szCs w:val="21"/>
                      <w:lang w:val="en-US" w:eastAsia="zh-CN"/>
                    </w:rPr>
                  </w:pPr>
                </w:p>
              </w:tc>
              <w:tc>
                <w:tcPr>
                  <w:tcW w:w="13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25.8</w:t>
                  </w:r>
                </w:p>
              </w:tc>
              <w:tc>
                <w:tcPr>
                  <w:tcW w:w="13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101.25</w:t>
                  </w:r>
                </w:p>
              </w:tc>
              <w:tc>
                <w:tcPr>
                  <w:tcW w:w="134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Times New Roman" w:hAnsi="Times New Roman" w:cs="Times New Roman"/>
                      <w:b w:val="0"/>
                      <w:bCs w:val="0"/>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Times New Roman" w:hAnsi="Times New Roman" w:cs="Times New Roman"/>
                      <w:b w:val="0"/>
                      <w:bCs w:val="0"/>
                      <w:color w:val="auto"/>
                      <w:sz w:val="21"/>
                      <w:szCs w:val="21"/>
                      <w:lang w:val="en-US" w:eastAsia="zh-CN"/>
                    </w:rPr>
                  </w:pPr>
                </w:p>
              </w:tc>
              <w:tc>
                <w:tcPr>
                  <w:tcW w:w="12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2</w:t>
                  </w:r>
                </w:p>
              </w:tc>
              <w:tc>
                <w:tcPr>
                  <w:tcW w:w="161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Times New Roman" w:hAnsi="Times New Roman" w:cs="Times New Roman"/>
                      <w:b w:val="0"/>
                      <w:bCs w:val="0"/>
                      <w:color w:val="auto"/>
                      <w:sz w:val="21"/>
                      <w:szCs w:val="21"/>
                      <w:lang w:val="en-US" w:eastAsia="zh-CN"/>
                    </w:rPr>
                  </w:pPr>
                </w:p>
              </w:tc>
              <w:tc>
                <w:tcPr>
                  <w:tcW w:w="13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25.8</w:t>
                  </w:r>
                </w:p>
              </w:tc>
              <w:tc>
                <w:tcPr>
                  <w:tcW w:w="13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101.24</w:t>
                  </w:r>
                </w:p>
              </w:tc>
              <w:tc>
                <w:tcPr>
                  <w:tcW w:w="134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Times New Roman" w:hAnsi="Times New Roman" w:cs="Times New Roman"/>
                      <w:b w:val="0"/>
                      <w:bCs w:val="0"/>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Times New Roman" w:hAnsi="Times New Roman" w:cs="Times New Roman"/>
                      <w:b w:val="0"/>
                      <w:bCs w:val="0"/>
                      <w:color w:val="auto"/>
                      <w:sz w:val="21"/>
                      <w:szCs w:val="21"/>
                      <w:lang w:val="en-US" w:eastAsia="zh-CN"/>
                    </w:rPr>
                  </w:pPr>
                </w:p>
              </w:tc>
              <w:tc>
                <w:tcPr>
                  <w:tcW w:w="12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2</w:t>
                  </w:r>
                </w:p>
              </w:tc>
              <w:tc>
                <w:tcPr>
                  <w:tcW w:w="161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Times New Roman" w:hAnsi="Times New Roman" w:cs="Times New Roman"/>
                      <w:b w:val="0"/>
                      <w:bCs w:val="0"/>
                      <w:color w:val="auto"/>
                      <w:sz w:val="21"/>
                      <w:szCs w:val="21"/>
                      <w:lang w:val="en-US" w:eastAsia="zh-CN"/>
                    </w:rPr>
                  </w:pPr>
                </w:p>
              </w:tc>
              <w:tc>
                <w:tcPr>
                  <w:tcW w:w="13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26.0</w:t>
                  </w:r>
                </w:p>
              </w:tc>
              <w:tc>
                <w:tcPr>
                  <w:tcW w:w="13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101.25</w:t>
                  </w:r>
                </w:p>
              </w:tc>
              <w:tc>
                <w:tcPr>
                  <w:tcW w:w="134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Times New Roman" w:hAnsi="Times New Roman" w:cs="Times New Roman"/>
                      <w:b w:val="0"/>
                      <w:bCs w:val="0"/>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Times New Roman" w:hAnsi="Times New Roman" w:cs="Times New Roman"/>
                      <w:b w:val="0"/>
                      <w:bCs w:val="0"/>
                      <w:color w:val="auto"/>
                      <w:sz w:val="21"/>
                      <w:szCs w:val="21"/>
                      <w:lang w:val="en-US" w:eastAsia="zh-CN"/>
                    </w:rPr>
                  </w:pPr>
                </w:p>
              </w:tc>
              <w:tc>
                <w:tcPr>
                  <w:tcW w:w="12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w:t>
                  </w:r>
                </w:p>
              </w:tc>
              <w:tc>
                <w:tcPr>
                  <w:tcW w:w="161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Times New Roman" w:hAnsi="Times New Roman" w:cs="Times New Roman"/>
                      <w:b w:val="0"/>
                      <w:bCs w:val="0"/>
                      <w:color w:val="auto"/>
                      <w:sz w:val="21"/>
                      <w:szCs w:val="21"/>
                      <w:lang w:val="en-US" w:eastAsia="zh-CN"/>
                    </w:rPr>
                  </w:pPr>
                </w:p>
              </w:tc>
              <w:tc>
                <w:tcPr>
                  <w:tcW w:w="13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26.2</w:t>
                  </w:r>
                </w:p>
              </w:tc>
              <w:tc>
                <w:tcPr>
                  <w:tcW w:w="13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101.22</w:t>
                  </w:r>
                </w:p>
              </w:tc>
              <w:tc>
                <w:tcPr>
                  <w:tcW w:w="134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Times New Roman" w:hAnsi="Times New Roman" w:cs="Times New Roman"/>
                      <w:b w:val="0"/>
                      <w:bCs w:val="0"/>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Times New Roman" w:hAnsi="Times New Roman" w:cs="Times New Roman"/>
                      <w:b w:val="0"/>
                      <w:bCs w:val="0"/>
                      <w:color w:val="auto"/>
                      <w:sz w:val="21"/>
                      <w:szCs w:val="21"/>
                      <w:lang w:val="en-US" w:eastAsia="zh-CN"/>
                    </w:rPr>
                  </w:pPr>
                </w:p>
              </w:tc>
              <w:tc>
                <w:tcPr>
                  <w:tcW w:w="12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w:t>
                  </w:r>
                </w:p>
              </w:tc>
              <w:tc>
                <w:tcPr>
                  <w:tcW w:w="161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Times New Roman" w:hAnsi="Times New Roman" w:cs="Times New Roman"/>
                      <w:b w:val="0"/>
                      <w:bCs w:val="0"/>
                      <w:color w:val="auto"/>
                      <w:sz w:val="21"/>
                      <w:szCs w:val="21"/>
                      <w:lang w:val="en-US" w:eastAsia="zh-CN"/>
                    </w:rPr>
                  </w:pPr>
                </w:p>
              </w:tc>
              <w:tc>
                <w:tcPr>
                  <w:tcW w:w="13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26.2</w:t>
                  </w:r>
                </w:p>
              </w:tc>
              <w:tc>
                <w:tcPr>
                  <w:tcW w:w="13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101.22</w:t>
                  </w:r>
                </w:p>
              </w:tc>
              <w:tc>
                <w:tcPr>
                  <w:tcW w:w="134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Times New Roman" w:hAnsi="Times New Roman" w:cs="Times New Roman"/>
                      <w:b w:val="0"/>
                      <w:bCs w:val="0"/>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2023-09-24</w:t>
                  </w:r>
                </w:p>
              </w:tc>
              <w:tc>
                <w:tcPr>
                  <w:tcW w:w="12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2</w:t>
                  </w:r>
                </w:p>
              </w:tc>
              <w:tc>
                <w:tcPr>
                  <w:tcW w:w="161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东</w:t>
                  </w:r>
                </w:p>
              </w:tc>
              <w:tc>
                <w:tcPr>
                  <w:tcW w:w="13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26.0</w:t>
                  </w:r>
                </w:p>
              </w:tc>
              <w:tc>
                <w:tcPr>
                  <w:tcW w:w="13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101.13</w:t>
                  </w:r>
                </w:p>
              </w:tc>
              <w:tc>
                <w:tcPr>
                  <w:tcW w:w="134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多云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Times New Roman" w:hAnsi="Times New Roman" w:cs="Times New Roman"/>
                      <w:b w:val="0"/>
                      <w:bCs w:val="0"/>
                      <w:color w:val="auto"/>
                      <w:sz w:val="21"/>
                      <w:szCs w:val="21"/>
                      <w:lang w:val="en-US" w:eastAsia="zh-CN"/>
                    </w:rPr>
                  </w:pPr>
                </w:p>
              </w:tc>
              <w:tc>
                <w:tcPr>
                  <w:tcW w:w="12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2</w:t>
                  </w:r>
                </w:p>
              </w:tc>
              <w:tc>
                <w:tcPr>
                  <w:tcW w:w="161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Times New Roman" w:hAnsi="Times New Roman" w:cs="Times New Roman"/>
                      <w:b w:val="0"/>
                      <w:bCs w:val="0"/>
                      <w:color w:val="auto"/>
                      <w:sz w:val="21"/>
                      <w:szCs w:val="21"/>
                      <w:lang w:val="en-US" w:eastAsia="zh-CN"/>
                    </w:rPr>
                  </w:pPr>
                </w:p>
              </w:tc>
              <w:tc>
                <w:tcPr>
                  <w:tcW w:w="13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26.2</w:t>
                  </w:r>
                </w:p>
              </w:tc>
              <w:tc>
                <w:tcPr>
                  <w:tcW w:w="13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101.12</w:t>
                  </w:r>
                </w:p>
              </w:tc>
              <w:tc>
                <w:tcPr>
                  <w:tcW w:w="134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Times New Roman" w:hAnsi="Times New Roman" w:cs="Times New Roman"/>
                      <w:b w:val="0"/>
                      <w:bCs w:val="0"/>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Times New Roman" w:hAnsi="Times New Roman" w:cs="Times New Roman"/>
                      <w:b w:val="0"/>
                      <w:bCs w:val="0"/>
                      <w:color w:val="auto"/>
                      <w:sz w:val="21"/>
                      <w:szCs w:val="21"/>
                      <w:lang w:val="en-US" w:eastAsia="zh-CN"/>
                    </w:rPr>
                  </w:pPr>
                </w:p>
              </w:tc>
              <w:tc>
                <w:tcPr>
                  <w:tcW w:w="12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2</w:t>
                  </w:r>
                </w:p>
              </w:tc>
              <w:tc>
                <w:tcPr>
                  <w:tcW w:w="161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Times New Roman" w:hAnsi="Times New Roman" w:cs="Times New Roman"/>
                      <w:b w:val="0"/>
                      <w:bCs w:val="0"/>
                      <w:color w:val="auto"/>
                      <w:sz w:val="21"/>
                      <w:szCs w:val="21"/>
                      <w:lang w:val="en-US" w:eastAsia="zh-CN"/>
                    </w:rPr>
                  </w:pPr>
                </w:p>
              </w:tc>
              <w:tc>
                <w:tcPr>
                  <w:tcW w:w="13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26.3</w:t>
                  </w:r>
                </w:p>
              </w:tc>
              <w:tc>
                <w:tcPr>
                  <w:tcW w:w="13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101.09</w:t>
                  </w:r>
                </w:p>
              </w:tc>
              <w:tc>
                <w:tcPr>
                  <w:tcW w:w="134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Times New Roman" w:hAnsi="Times New Roman" w:cs="Times New Roman"/>
                      <w:b w:val="0"/>
                      <w:bCs w:val="0"/>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Times New Roman" w:hAnsi="Times New Roman" w:cs="Times New Roman"/>
                      <w:b w:val="0"/>
                      <w:bCs w:val="0"/>
                      <w:color w:val="auto"/>
                      <w:sz w:val="21"/>
                      <w:szCs w:val="21"/>
                      <w:lang w:val="en-US" w:eastAsia="zh-CN"/>
                    </w:rPr>
                  </w:pPr>
                </w:p>
              </w:tc>
              <w:tc>
                <w:tcPr>
                  <w:tcW w:w="12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2</w:t>
                  </w:r>
                </w:p>
              </w:tc>
              <w:tc>
                <w:tcPr>
                  <w:tcW w:w="161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Times New Roman" w:hAnsi="Times New Roman" w:cs="Times New Roman"/>
                      <w:b w:val="0"/>
                      <w:bCs w:val="0"/>
                      <w:color w:val="auto"/>
                      <w:sz w:val="21"/>
                      <w:szCs w:val="21"/>
                      <w:lang w:val="en-US" w:eastAsia="zh-CN"/>
                    </w:rPr>
                  </w:pPr>
                </w:p>
              </w:tc>
              <w:tc>
                <w:tcPr>
                  <w:tcW w:w="13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27.2</w:t>
                  </w:r>
                </w:p>
              </w:tc>
              <w:tc>
                <w:tcPr>
                  <w:tcW w:w="13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101.10</w:t>
                  </w:r>
                </w:p>
              </w:tc>
              <w:tc>
                <w:tcPr>
                  <w:tcW w:w="134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Times New Roman" w:hAnsi="Times New Roman" w:cs="Times New Roman"/>
                      <w:b w:val="0"/>
                      <w:bCs w:val="0"/>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Times New Roman" w:hAnsi="Times New Roman" w:cs="Times New Roman"/>
                      <w:b w:val="0"/>
                      <w:bCs w:val="0"/>
                      <w:color w:val="auto"/>
                      <w:sz w:val="21"/>
                      <w:szCs w:val="21"/>
                      <w:lang w:val="en-US" w:eastAsia="zh-CN"/>
                    </w:rPr>
                  </w:pPr>
                </w:p>
              </w:tc>
              <w:tc>
                <w:tcPr>
                  <w:tcW w:w="12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2</w:t>
                  </w:r>
                </w:p>
              </w:tc>
              <w:tc>
                <w:tcPr>
                  <w:tcW w:w="161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Times New Roman" w:hAnsi="Times New Roman" w:cs="Times New Roman"/>
                      <w:b w:val="0"/>
                      <w:bCs w:val="0"/>
                      <w:color w:val="auto"/>
                      <w:sz w:val="21"/>
                      <w:szCs w:val="21"/>
                      <w:lang w:val="en-US" w:eastAsia="zh-CN"/>
                    </w:rPr>
                  </w:pPr>
                </w:p>
              </w:tc>
              <w:tc>
                <w:tcPr>
                  <w:tcW w:w="13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27.5</w:t>
                  </w:r>
                </w:p>
              </w:tc>
              <w:tc>
                <w:tcPr>
                  <w:tcW w:w="13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101.10</w:t>
                  </w:r>
                </w:p>
              </w:tc>
              <w:tc>
                <w:tcPr>
                  <w:tcW w:w="134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Times New Roman" w:hAnsi="Times New Roman" w:cs="Times New Roman"/>
                      <w:b w:val="0"/>
                      <w:bCs w:val="0"/>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Times New Roman" w:hAnsi="Times New Roman" w:cs="Times New Roman"/>
                      <w:b w:val="0"/>
                      <w:bCs w:val="0"/>
                      <w:color w:val="auto"/>
                      <w:sz w:val="21"/>
                      <w:szCs w:val="21"/>
                      <w:lang w:val="en-US" w:eastAsia="zh-CN"/>
                    </w:rPr>
                  </w:pPr>
                </w:p>
              </w:tc>
              <w:tc>
                <w:tcPr>
                  <w:tcW w:w="12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w:t>
                  </w:r>
                </w:p>
              </w:tc>
              <w:tc>
                <w:tcPr>
                  <w:tcW w:w="161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Times New Roman" w:hAnsi="Times New Roman" w:cs="Times New Roman"/>
                      <w:b w:val="0"/>
                      <w:bCs w:val="0"/>
                      <w:color w:val="auto"/>
                      <w:sz w:val="21"/>
                      <w:szCs w:val="21"/>
                      <w:lang w:val="en-US" w:eastAsia="zh-CN"/>
                    </w:rPr>
                  </w:pPr>
                </w:p>
              </w:tc>
              <w:tc>
                <w:tcPr>
                  <w:tcW w:w="13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27.1</w:t>
                  </w:r>
                </w:p>
              </w:tc>
              <w:tc>
                <w:tcPr>
                  <w:tcW w:w="13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101.11</w:t>
                  </w:r>
                </w:p>
              </w:tc>
              <w:tc>
                <w:tcPr>
                  <w:tcW w:w="134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Times New Roman" w:hAnsi="Times New Roman" w:cs="Times New Roman"/>
                      <w:b w:val="0"/>
                      <w:bCs w:val="0"/>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Times New Roman" w:hAnsi="Times New Roman" w:cs="Times New Roman"/>
                      <w:b w:val="0"/>
                      <w:bCs w:val="0"/>
                      <w:color w:val="auto"/>
                      <w:sz w:val="21"/>
                      <w:szCs w:val="21"/>
                      <w:lang w:val="en-US" w:eastAsia="zh-CN"/>
                    </w:rPr>
                  </w:pPr>
                </w:p>
              </w:tc>
              <w:tc>
                <w:tcPr>
                  <w:tcW w:w="12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w:t>
                  </w:r>
                </w:p>
              </w:tc>
              <w:tc>
                <w:tcPr>
                  <w:tcW w:w="161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Times New Roman" w:hAnsi="Times New Roman" w:cs="Times New Roman"/>
                      <w:b w:val="0"/>
                      <w:bCs w:val="0"/>
                      <w:color w:val="auto"/>
                      <w:sz w:val="21"/>
                      <w:szCs w:val="21"/>
                      <w:lang w:val="en-US" w:eastAsia="zh-CN"/>
                    </w:rPr>
                  </w:pPr>
                </w:p>
              </w:tc>
              <w:tc>
                <w:tcPr>
                  <w:tcW w:w="13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26.8</w:t>
                  </w:r>
                </w:p>
              </w:tc>
              <w:tc>
                <w:tcPr>
                  <w:tcW w:w="13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101.13</w:t>
                  </w:r>
                </w:p>
              </w:tc>
              <w:tc>
                <w:tcPr>
                  <w:tcW w:w="134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Times New Roman" w:hAnsi="Times New Roman" w:cs="Times New Roman"/>
                      <w:b w:val="0"/>
                      <w:bCs w:val="0"/>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Times New Roman" w:hAnsi="Times New Roman" w:cs="Times New Roman"/>
                      <w:b w:val="0"/>
                      <w:bCs w:val="0"/>
                      <w:color w:val="auto"/>
                      <w:sz w:val="21"/>
                      <w:szCs w:val="21"/>
                      <w:lang w:val="en-US" w:eastAsia="zh-CN"/>
                    </w:rPr>
                  </w:pPr>
                </w:p>
              </w:tc>
              <w:tc>
                <w:tcPr>
                  <w:tcW w:w="12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2</w:t>
                  </w:r>
                </w:p>
              </w:tc>
              <w:tc>
                <w:tcPr>
                  <w:tcW w:w="161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Times New Roman" w:hAnsi="Times New Roman" w:cs="Times New Roman"/>
                      <w:b w:val="0"/>
                      <w:bCs w:val="0"/>
                      <w:color w:val="auto"/>
                      <w:sz w:val="21"/>
                      <w:szCs w:val="21"/>
                      <w:lang w:val="en-US" w:eastAsia="zh-CN"/>
                    </w:rPr>
                  </w:pPr>
                </w:p>
              </w:tc>
              <w:tc>
                <w:tcPr>
                  <w:tcW w:w="13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27.1</w:t>
                  </w:r>
                </w:p>
              </w:tc>
              <w:tc>
                <w:tcPr>
                  <w:tcW w:w="13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101.11</w:t>
                  </w:r>
                </w:p>
              </w:tc>
              <w:tc>
                <w:tcPr>
                  <w:tcW w:w="134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Times New Roman" w:hAnsi="Times New Roman" w:cs="Times New Roman"/>
                      <w:b w:val="0"/>
                      <w:bCs w:val="0"/>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00" w:type="dxa"/>
                  <w:gridSpan w:val="6"/>
                  <w:tcBorders>
                    <w:tl2br w:val="nil"/>
                    <w:tr2bl w:val="nil"/>
                  </w:tcBorders>
                  <w:noWrap w:val="0"/>
                  <w:vAlign w:val="center"/>
                </w:tcPr>
                <w:p>
                  <w:pPr>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bCs/>
                      <w:color w:val="auto"/>
                      <w:kern w:val="0"/>
                      <w:sz w:val="21"/>
                      <w:szCs w:val="21"/>
                      <w:lang w:val="en-US" w:eastAsia="zh-CN" w:bidi="ar-SA"/>
                    </w:rPr>
                    <w:t>挥发性有机物</w:t>
                  </w:r>
                  <w:r>
                    <w:rPr>
                      <w:rFonts w:hint="eastAsia" w:ascii="Times New Roman" w:hAnsi="Times New Roman" w:eastAsia="宋体" w:cs="Times New Roman"/>
                      <w:b/>
                      <w:bCs/>
                      <w:color w:val="auto"/>
                      <w:kern w:val="0"/>
                      <w:sz w:val="21"/>
                      <w:szCs w:val="21"/>
                      <w:lang w:val="en-US" w:eastAsia="zh-CN" w:bidi="ar-SA"/>
                    </w:rPr>
                    <w:t>检测结果</w:t>
                  </w:r>
                  <w:r>
                    <w:rPr>
                      <w:rFonts w:hint="default" w:ascii="Times New Roman" w:hAnsi="Times New Roman" w:eastAsia="宋体" w:cs="Times New Roman"/>
                      <w:b/>
                      <w:bCs/>
                      <w:color w:val="auto"/>
                      <w:kern w:val="0"/>
                      <w:sz w:val="21"/>
                      <w:szCs w:val="21"/>
                      <w:lang w:val="en-US" w:eastAsia="zh-CN" w:bidi="ar-SA"/>
                    </w:rPr>
                    <w:t>（</w:t>
                  </w:r>
                  <w:r>
                    <w:rPr>
                      <w:rFonts w:hint="default" w:ascii="Times New Roman" w:hAnsi="Times New Roman" w:cs="Times New Roman"/>
                      <w:b/>
                      <w:bCs/>
                      <w:color w:val="auto"/>
                      <w:kern w:val="0"/>
                      <w:sz w:val="21"/>
                      <w:szCs w:val="21"/>
                      <w:lang w:val="en-US" w:eastAsia="zh-CN" w:bidi="ar-SA"/>
                    </w:rPr>
                    <w:t>μ</w:t>
                  </w:r>
                  <w:r>
                    <w:rPr>
                      <w:rFonts w:hint="default" w:ascii="Times New Roman" w:hAnsi="Times New Roman" w:eastAsia="宋体" w:cs="Times New Roman"/>
                      <w:b/>
                      <w:bCs/>
                      <w:color w:val="auto"/>
                      <w:kern w:val="0"/>
                      <w:sz w:val="21"/>
                      <w:szCs w:val="21"/>
                      <w:lang w:val="en-US" w:eastAsia="zh-CN" w:bidi="ar-SA"/>
                    </w:rPr>
                    <w:t>g/m</w:t>
                  </w:r>
                  <w:r>
                    <w:rPr>
                      <w:rFonts w:hint="default" w:ascii="Times New Roman" w:hAnsi="Times New Roman" w:eastAsia="宋体" w:cs="Times New Roman"/>
                      <w:b/>
                      <w:bCs/>
                      <w:color w:val="auto"/>
                      <w:kern w:val="0"/>
                      <w:sz w:val="21"/>
                      <w:szCs w:val="21"/>
                      <w:vertAlign w:val="superscript"/>
                      <w:lang w:val="en-US" w:eastAsia="zh-CN" w:bidi="ar-SA"/>
                    </w:rPr>
                    <w:t>3</w:t>
                  </w:r>
                  <w:r>
                    <w:rPr>
                      <w:rFonts w:hint="default" w:ascii="Times New Roman" w:hAnsi="Times New Roman" w:eastAsia="宋体" w:cs="Times New Roman"/>
                      <w:b/>
                      <w:bCs/>
                      <w:color w:val="auto"/>
                      <w:kern w:val="0"/>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采样日期</w:t>
                  </w:r>
                </w:p>
              </w:tc>
              <w:tc>
                <w:tcPr>
                  <w:tcW w:w="294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采样时间</w:t>
                  </w:r>
                </w:p>
              </w:tc>
              <w:tc>
                <w:tcPr>
                  <w:tcW w:w="267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项目所在地G1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gridSpan w:val="2"/>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Times New Roman" w:hAnsi="Times New Roman" w:eastAsia="宋体" w:cs="Times New Roman"/>
                      <w:b w:val="0"/>
                      <w:bCs w:val="0"/>
                      <w:color w:val="auto"/>
                      <w:kern w:val="0"/>
                      <w:sz w:val="21"/>
                      <w:szCs w:val="21"/>
                      <w:lang w:val="en-US" w:eastAsia="zh-CN" w:bidi="ar-SA"/>
                    </w:rPr>
                  </w:pPr>
                  <w:r>
                    <w:rPr>
                      <w:rFonts w:hint="eastAsia" w:ascii="Times New Roman" w:hAnsi="Times New Roman" w:cs="Times New Roman"/>
                      <w:b w:val="0"/>
                      <w:bCs w:val="0"/>
                      <w:color w:val="auto"/>
                      <w:sz w:val="21"/>
                      <w:szCs w:val="21"/>
                      <w:lang w:val="en-US" w:eastAsia="zh-CN"/>
                    </w:rPr>
                    <w:t>2023-09-22</w:t>
                  </w:r>
                </w:p>
              </w:tc>
              <w:tc>
                <w:tcPr>
                  <w:tcW w:w="294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14:23-14:43</w:t>
                  </w:r>
                </w:p>
              </w:tc>
              <w:tc>
                <w:tcPr>
                  <w:tcW w:w="2671" w:type="dxa"/>
                  <w:gridSpan w:val="2"/>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Times New Roman" w:hAnsi="Times New Roman" w:cs="Times New Roman"/>
                      <w:b w:val="0"/>
                      <w:bCs w:val="0"/>
                      <w:color w:val="auto"/>
                      <w:sz w:val="21"/>
                      <w:szCs w:val="21"/>
                      <w:lang w:val="en-US" w:eastAsia="zh-CN"/>
                    </w:rPr>
                  </w:pPr>
                </w:p>
              </w:tc>
              <w:tc>
                <w:tcPr>
                  <w:tcW w:w="294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15:24-15:44</w:t>
                  </w:r>
                </w:p>
              </w:tc>
              <w:tc>
                <w:tcPr>
                  <w:tcW w:w="2671" w:type="dxa"/>
                  <w:gridSpan w:val="2"/>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93.1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Times New Roman" w:hAnsi="Times New Roman" w:cs="Times New Roman"/>
                      <w:b w:val="0"/>
                      <w:bCs w:val="0"/>
                      <w:color w:val="auto"/>
                      <w:sz w:val="21"/>
                      <w:szCs w:val="21"/>
                      <w:lang w:val="en-US" w:eastAsia="zh-CN"/>
                    </w:rPr>
                  </w:pPr>
                </w:p>
              </w:tc>
              <w:tc>
                <w:tcPr>
                  <w:tcW w:w="294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16:25-16:45</w:t>
                  </w:r>
                </w:p>
              </w:tc>
              <w:tc>
                <w:tcPr>
                  <w:tcW w:w="2671" w:type="dxa"/>
                  <w:gridSpan w:val="2"/>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Times New Roman" w:hAnsi="Times New Roman" w:cs="Times New Roman"/>
                      <w:b w:val="0"/>
                      <w:bCs w:val="0"/>
                      <w:color w:val="auto"/>
                      <w:sz w:val="21"/>
                      <w:szCs w:val="21"/>
                      <w:lang w:val="en-US" w:eastAsia="zh-CN"/>
                    </w:rPr>
                  </w:pPr>
                </w:p>
              </w:tc>
              <w:tc>
                <w:tcPr>
                  <w:tcW w:w="294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17:25-17:45</w:t>
                  </w:r>
                </w:p>
              </w:tc>
              <w:tc>
                <w:tcPr>
                  <w:tcW w:w="2671" w:type="dxa"/>
                  <w:gridSpan w:val="2"/>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92.4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Times New Roman" w:hAnsi="Times New Roman" w:cs="Times New Roman"/>
                      <w:b w:val="0"/>
                      <w:bCs w:val="0"/>
                      <w:color w:val="auto"/>
                      <w:sz w:val="21"/>
                      <w:szCs w:val="21"/>
                      <w:lang w:val="en-US" w:eastAsia="zh-CN"/>
                    </w:rPr>
                  </w:pPr>
                </w:p>
              </w:tc>
              <w:tc>
                <w:tcPr>
                  <w:tcW w:w="294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18:25-18:45</w:t>
                  </w:r>
                </w:p>
              </w:tc>
              <w:tc>
                <w:tcPr>
                  <w:tcW w:w="2671" w:type="dxa"/>
                  <w:gridSpan w:val="2"/>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Times New Roman" w:hAnsi="Times New Roman" w:cs="Times New Roman"/>
                      <w:b w:val="0"/>
                      <w:bCs w:val="0"/>
                      <w:color w:val="auto"/>
                      <w:sz w:val="21"/>
                      <w:szCs w:val="21"/>
                      <w:lang w:val="en-US" w:eastAsia="zh-CN"/>
                    </w:rPr>
                  </w:pPr>
                </w:p>
              </w:tc>
              <w:tc>
                <w:tcPr>
                  <w:tcW w:w="294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19:25-19:45</w:t>
                  </w:r>
                </w:p>
              </w:tc>
              <w:tc>
                <w:tcPr>
                  <w:tcW w:w="2671" w:type="dxa"/>
                  <w:gridSpan w:val="2"/>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86.8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Times New Roman" w:hAnsi="Times New Roman" w:cs="Times New Roman"/>
                      <w:b w:val="0"/>
                      <w:bCs w:val="0"/>
                      <w:color w:val="auto"/>
                      <w:sz w:val="21"/>
                      <w:szCs w:val="21"/>
                      <w:lang w:val="en-US" w:eastAsia="zh-CN"/>
                    </w:rPr>
                  </w:pPr>
                </w:p>
              </w:tc>
              <w:tc>
                <w:tcPr>
                  <w:tcW w:w="2941"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20:25-20:45</w:t>
                  </w:r>
                </w:p>
              </w:tc>
              <w:tc>
                <w:tcPr>
                  <w:tcW w:w="0" w:type="auto"/>
                  <w:gridSpan w:val="2"/>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Times New Roman" w:hAnsi="Times New Roman" w:cs="Times New Roman"/>
                      <w:b w:val="0"/>
                      <w:bCs w:val="0"/>
                      <w:color w:val="auto"/>
                      <w:sz w:val="21"/>
                      <w:szCs w:val="21"/>
                      <w:lang w:val="en-US" w:eastAsia="zh-CN"/>
                    </w:rPr>
                  </w:pPr>
                </w:p>
              </w:tc>
              <w:tc>
                <w:tcPr>
                  <w:tcW w:w="2941"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21:25-21:45</w:t>
                  </w:r>
                </w:p>
              </w:tc>
              <w:tc>
                <w:tcPr>
                  <w:tcW w:w="0" w:type="auto"/>
                  <w:gridSpan w:val="2"/>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2023-09-23</w:t>
                  </w:r>
                </w:p>
              </w:tc>
              <w:tc>
                <w:tcPr>
                  <w:tcW w:w="2941"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10:00-10:20</w:t>
                  </w:r>
                </w:p>
              </w:tc>
              <w:tc>
                <w:tcPr>
                  <w:tcW w:w="0" w:type="auto"/>
                  <w:gridSpan w:val="2"/>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Times New Roman" w:hAnsi="Times New Roman" w:cs="Times New Roman"/>
                      <w:b w:val="0"/>
                      <w:bCs w:val="0"/>
                      <w:color w:val="auto"/>
                      <w:sz w:val="21"/>
                      <w:szCs w:val="21"/>
                      <w:lang w:val="en-US" w:eastAsia="zh-CN"/>
                    </w:rPr>
                  </w:pPr>
                </w:p>
              </w:tc>
              <w:tc>
                <w:tcPr>
                  <w:tcW w:w="2941"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11:00-11:20</w:t>
                  </w:r>
                </w:p>
              </w:tc>
              <w:tc>
                <w:tcPr>
                  <w:tcW w:w="0" w:type="auto"/>
                  <w:gridSpan w:val="2"/>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94.0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Times New Roman" w:hAnsi="Times New Roman" w:cs="Times New Roman"/>
                      <w:b w:val="0"/>
                      <w:bCs w:val="0"/>
                      <w:color w:val="auto"/>
                      <w:sz w:val="21"/>
                      <w:szCs w:val="21"/>
                      <w:lang w:val="en-US" w:eastAsia="zh-CN"/>
                    </w:rPr>
                  </w:pPr>
                </w:p>
              </w:tc>
              <w:tc>
                <w:tcPr>
                  <w:tcW w:w="2941"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12:00-12:20</w:t>
                  </w:r>
                </w:p>
              </w:tc>
              <w:tc>
                <w:tcPr>
                  <w:tcW w:w="0" w:type="auto"/>
                  <w:gridSpan w:val="2"/>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64.4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Times New Roman" w:hAnsi="Times New Roman" w:cs="Times New Roman"/>
                      <w:b w:val="0"/>
                      <w:bCs w:val="0"/>
                      <w:color w:val="auto"/>
                      <w:sz w:val="21"/>
                      <w:szCs w:val="21"/>
                      <w:lang w:val="en-US" w:eastAsia="zh-CN"/>
                    </w:rPr>
                  </w:pPr>
                </w:p>
              </w:tc>
              <w:tc>
                <w:tcPr>
                  <w:tcW w:w="2941"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13:00-13:20</w:t>
                  </w:r>
                </w:p>
              </w:tc>
              <w:tc>
                <w:tcPr>
                  <w:tcW w:w="0" w:type="auto"/>
                  <w:gridSpan w:val="2"/>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Times New Roman" w:hAnsi="Times New Roman" w:cs="Times New Roman"/>
                      <w:b w:val="0"/>
                      <w:bCs w:val="0"/>
                      <w:color w:val="auto"/>
                      <w:sz w:val="21"/>
                      <w:szCs w:val="21"/>
                      <w:lang w:val="en-US" w:eastAsia="zh-CN"/>
                    </w:rPr>
                  </w:pPr>
                </w:p>
              </w:tc>
              <w:tc>
                <w:tcPr>
                  <w:tcW w:w="2941"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14:00-14:20</w:t>
                  </w:r>
                </w:p>
              </w:tc>
              <w:tc>
                <w:tcPr>
                  <w:tcW w:w="0" w:type="auto"/>
                  <w:gridSpan w:val="2"/>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68.2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Times New Roman" w:hAnsi="Times New Roman" w:cs="Times New Roman"/>
                      <w:b w:val="0"/>
                      <w:bCs w:val="0"/>
                      <w:color w:val="auto"/>
                      <w:sz w:val="21"/>
                      <w:szCs w:val="21"/>
                      <w:lang w:val="en-US" w:eastAsia="zh-CN"/>
                    </w:rPr>
                  </w:pPr>
                </w:p>
              </w:tc>
              <w:tc>
                <w:tcPr>
                  <w:tcW w:w="2941"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15:00-15:20</w:t>
                  </w:r>
                </w:p>
              </w:tc>
              <w:tc>
                <w:tcPr>
                  <w:tcW w:w="0" w:type="auto"/>
                  <w:gridSpan w:val="2"/>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69.5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Times New Roman" w:hAnsi="Times New Roman" w:cs="Times New Roman"/>
                      <w:b w:val="0"/>
                      <w:bCs w:val="0"/>
                      <w:color w:val="auto"/>
                      <w:sz w:val="21"/>
                      <w:szCs w:val="21"/>
                      <w:lang w:val="en-US" w:eastAsia="zh-CN"/>
                    </w:rPr>
                  </w:pPr>
                </w:p>
              </w:tc>
              <w:tc>
                <w:tcPr>
                  <w:tcW w:w="2941"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16:00-16:20</w:t>
                  </w:r>
                </w:p>
              </w:tc>
              <w:tc>
                <w:tcPr>
                  <w:tcW w:w="0" w:type="auto"/>
                  <w:gridSpan w:val="2"/>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59.1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Times New Roman" w:hAnsi="Times New Roman" w:cs="Times New Roman"/>
                      <w:b w:val="0"/>
                      <w:bCs w:val="0"/>
                      <w:color w:val="auto"/>
                      <w:sz w:val="21"/>
                      <w:szCs w:val="21"/>
                      <w:lang w:val="en-US" w:eastAsia="zh-CN"/>
                    </w:rPr>
                  </w:pPr>
                </w:p>
              </w:tc>
              <w:tc>
                <w:tcPr>
                  <w:tcW w:w="2941"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17:00-17:20</w:t>
                  </w:r>
                </w:p>
              </w:tc>
              <w:tc>
                <w:tcPr>
                  <w:tcW w:w="0" w:type="auto"/>
                  <w:gridSpan w:val="2"/>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2023-09-24</w:t>
                  </w:r>
                </w:p>
              </w:tc>
              <w:tc>
                <w:tcPr>
                  <w:tcW w:w="2941"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10:00-10:20</w:t>
                  </w:r>
                </w:p>
              </w:tc>
              <w:tc>
                <w:tcPr>
                  <w:tcW w:w="0" w:type="auto"/>
                  <w:gridSpan w:val="2"/>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70.7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Times New Roman" w:hAnsi="Times New Roman" w:cs="Times New Roman"/>
                      <w:b w:val="0"/>
                      <w:bCs w:val="0"/>
                      <w:color w:val="auto"/>
                      <w:sz w:val="21"/>
                      <w:szCs w:val="21"/>
                      <w:lang w:val="en-US" w:eastAsia="zh-CN"/>
                    </w:rPr>
                  </w:pPr>
                </w:p>
              </w:tc>
              <w:tc>
                <w:tcPr>
                  <w:tcW w:w="2941"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11:00-11:20</w:t>
                  </w:r>
                </w:p>
              </w:tc>
              <w:tc>
                <w:tcPr>
                  <w:tcW w:w="0" w:type="auto"/>
                  <w:gridSpan w:val="2"/>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78.4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Times New Roman" w:hAnsi="Times New Roman" w:cs="Times New Roman"/>
                      <w:b w:val="0"/>
                      <w:bCs w:val="0"/>
                      <w:color w:val="auto"/>
                      <w:sz w:val="21"/>
                      <w:szCs w:val="21"/>
                      <w:lang w:val="en-US" w:eastAsia="zh-CN"/>
                    </w:rPr>
                  </w:pPr>
                </w:p>
              </w:tc>
              <w:tc>
                <w:tcPr>
                  <w:tcW w:w="2941"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12:00-12:20</w:t>
                  </w:r>
                </w:p>
              </w:tc>
              <w:tc>
                <w:tcPr>
                  <w:tcW w:w="0" w:type="auto"/>
                  <w:gridSpan w:val="2"/>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44.5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Times New Roman" w:hAnsi="Times New Roman" w:cs="Times New Roman"/>
                      <w:b w:val="0"/>
                      <w:bCs w:val="0"/>
                      <w:color w:val="auto"/>
                      <w:sz w:val="21"/>
                      <w:szCs w:val="21"/>
                      <w:lang w:val="en-US" w:eastAsia="zh-CN"/>
                    </w:rPr>
                  </w:pPr>
                </w:p>
              </w:tc>
              <w:tc>
                <w:tcPr>
                  <w:tcW w:w="2941"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13:00-13:20</w:t>
                  </w:r>
                </w:p>
              </w:tc>
              <w:tc>
                <w:tcPr>
                  <w:tcW w:w="0" w:type="auto"/>
                  <w:gridSpan w:val="2"/>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47.9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Times New Roman" w:hAnsi="Times New Roman" w:cs="Times New Roman"/>
                      <w:b w:val="0"/>
                      <w:bCs w:val="0"/>
                      <w:color w:val="auto"/>
                      <w:sz w:val="21"/>
                      <w:szCs w:val="21"/>
                      <w:lang w:val="en-US" w:eastAsia="zh-CN"/>
                    </w:rPr>
                  </w:pPr>
                </w:p>
              </w:tc>
              <w:tc>
                <w:tcPr>
                  <w:tcW w:w="2941"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14:00-14:20</w:t>
                  </w:r>
                </w:p>
              </w:tc>
              <w:tc>
                <w:tcPr>
                  <w:tcW w:w="0" w:type="auto"/>
                  <w:gridSpan w:val="2"/>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Times New Roman" w:hAnsi="Times New Roman" w:cs="Times New Roman"/>
                      <w:b w:val="0"/>
                      <w:bCs w:val="0"/>
                      <w:color w:val="auto"/>
                      <w:sz w:val="21"/>
                      <w:szCs w:val="21"/>
                      <w:lang w:val="en-US" w:eastAsia="zh-CN"/>
                    </w:rPr>
                  </w:pPr>
                </w:p>
              </w:tc>
              <w:tc>
                <w:tcPr>
                  <w:tcW w:w="2941"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15:00-15:20</w:t>
                  </w:r>
                </w:p>
              </w:tc>
              <w:tc>
                <w:tcPr>
                  <w:tcW w:w="0" w:type="auto"/>
                  <w:gridSpan w:val="2"/>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89.7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Times New Roman" w:hAnsi="Times New Roman" w:cs="Times New Roman"/>
                      <w:b w:val="0"/>
                      <w:bCs w:val="0"/>
                      <w:color w:val="auto"/>
                      <w:sz w:val="21"/>
                      <w:szCs w:val="21"/>
                      <w:lang w:val="en-US" w:eastAsia="zh-CN"/>
                    </w:rPr>
                  </w:pPr>
                </w:p>
              </w:tc>
              <w:tc>
                <w:tcPr>
                  <w:tcW w:w="2941"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16:00-16:20</w:t>
                  </w:r>
                </w:p>
              </w:tc>
              <w:tc>
                <w:tcPr>
                  <w:tcW w:w="0" w:type="auto"/>
                  <w:gridSpan w:val="2"/>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76.1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Times New Roman" w:hAnsi="Times New Roman" w:cs="Times New Roman"/>
                      <w:b w:val="0"/>
                      <w:bCs w:val="0"/>
                      <w:color w:val="auto"/>
                      <w:sz w:val="21"/>
                      <w:szCs w:val="21"/>
                      <w:lang w:val="en-US" w:eastAsia="zh-CN"/>
                    </w:rPr>
                  </w:pPr>
                </w:p>
              </w:tc>
              <w:tc>
                <w:tcPr>
                  <w:tcW w:w="2941"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17:00-17:20</w:t>
                  </w:r>
                </w:p>
              </w:tc>
              <w:tc>
                <w:tcPr>
                  <w:tcW w:w="0" w:type="auto"/>
                  <w:gridSpan w:val="2"/>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63.6</w:t>
                  </w:r>
                </w:p>
              </w:tc>
            </w:tr>
          </w:tbl>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表3.</w:t>
            </w:r>
            <w:r>
              <w:rPr>
                <w:rFonts w:hint="eastAsia"/>
                <w:b/>
                <w:bCs/>
                <w:color w:val="000000" w:themeColor="text1"/>
                <w:sz w:val="24"/>
                <w:highlight w:val="none"/>
                <w:lang w:val="en-US" w:eastAsia="zh-CN"/>
                <w14:textFill>
                  <w14:solidFill>
                    <w14:schemeClr w14:val="tx1"/>
                  </w14:solidFill>
                </w14:textFill>
              </w:rPr>
              <w:t>4</w:t>
            </w:r>
            <w:r>
              <w:rPr>
                <w:b/>
                <w:bCs/>
                <w:color w:val="000000" w:themeColor="text1"/>
                <w:sz w:val="24"/>
                <w:highlight w:val="none"/>
                <w14:textFill>
                  <w14:solidFill>
                    <w14:schemeClr w14:val="tx1"/>
                  </w14:solidFill>
                </w14:textFill>
              </w:rPr>
              <w:t xml:space="preserve"> </w:t>
            </w:r>
            <w:r>
              <w:rPr>
                <w:rFonts w:hint="eastAsia"/>
                <w:b/>
                <w:bCs/>
                <w:color w:val="000000" w:themeColor="text1"/>
                <w:sz w:val="24"/>
                <w:highlight w:val="none"/>
                <w14:textFill>
                  <w14:solidFill>
                    <w14:schemeClr w14:val="tx1"/>
                  </w14:solidFill>
                </w14:textFill>
              </w:rPr>
              <w:t xml:space="preserve"> </w:t>
            </w:r>
            <w:r>
              <w:rPr>
                <w:rFonts w:hint="eastAsia"/>
                <w:b/>
                <w:bCs/>
                <w:color w:val="000000" w:themeColor="text1"/>
                <w:sz w:val="24"/>
                <w:highlight w:val="none"/>
                <w:lang w:eastAsia="zh-CN"/>
                <w14:textFill>
                  <w14:solidFill>
                    <w14:schemeClr w14:val="tx1"/>
                  </w14:solidFill>
                </w14:textFill>
              </w:rPr>
              <w:t>空气</w:t>
            </w:r>
            <w:r>
              <w:rPr>
                <w:b/>
                <w:bCs/>
                <w:color w:val="000000" w:themeColor="text1"/>
                <w:sz w:val="24"/>
                <w:highlight w:val="none"/>
                <w14:textFill>
                  <w14:solidFill>
                    <w14:schemeClr w14:val="tx1"/>
                  </w14:solidFill>
                </w14:textFill>
              </w:rPr>
              <w:t>环境质量监测</w:t>
            </w:r>
            <w:r>
              <w:rPr>
                <w:rFonts w:hint="eastAsia"/>
                <w:b/>
                <w:bCs/>
                <w:color w:val="000000" w:themeColor="text1"/>
                <w:sz w:val="24"/>
                <w:highlight w:val="none"/>
                <w:lang w:eastAsia="zh-CN"/>
                <w14:textFill>
                  <w14:solidFill>
                    <w14:schemeClr w14:val="tx1"/>
                  </w14:solidFill>
                </w14:textFill>
              </w:rPr>
              <w:t>点位</w:t>
            </w:r>
            <w:r>
              <w:rPr>
                <w:b/>
                <w:bCs/>
                <w:color w:val="000000" w:themeColor="text1"/>
                <w:sz w:val="24"/>
                <w:highlight w:val="none"/>
                <w14:textFill>
                  <w14:solidFill>
                    <w14:schemeClr w14:val="tx1"/>
                  </w14:solidFill>
                </w14:textFill>
              </w:rPr>
              <w:t>一览表</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4"/>
              <w:gridCol w:w="1664"/>
              <w:gridCol w:w="1665"/>
              <w:gridCol w:w="1665"/>
              <w:gridCol w:w="1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4"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color w:val="auto"/>
                      <w:sz w:val="21"/>
                      <w:szCs w:val="21"/>
                      <w:highlight w:val="none"/>
                      <w:vertAlign w:val="baseline"/>
                      <w:lang w:eastAsia="zh-CN"/>
                    </w:rPr>
                  </w:pPr>
                  <w:r>
                    <w:rPr>
                      <w:rFonts w:hint="eastAsia"/>
                      <w:color w:val="auto"/>
                      <w:sz w:val="21"/>
                      <w:szCs w:val="21"/>
                      <w:highlight w:val="none"/>
                      <w:vertAlign w:val="baseline"/>
                      <w:lang w:eastAsia="zh-CN"/>
                    </w:rPr>
                    <w:t>点位编号</w:t>
                  </w:r>
                </w:p>
              </w:tc>
              <w:tc>
                <w:tcPr>
                  <w:tcW w:w="1664"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color w:val="auto"/>
                      <w:sz w:val="21"/>
                      <w:szCs w:val="21"/>
                      <w:highlight w:val="none"/>
                      <w:vertAlign w:val="baseline"/>
                      <w:lang w:eastAsia="zh-CN"/>
                    </w:rPr>
                  </w:pPr>
                  <w:r>
                    <w:rPr>
                      <w:rFonts w:hint="eastAsia"/>
                      <w:color w:val="auto"/>
                      <w:sz w:val="21"/>
                      <w:szCs w:val="21"/>
                      <w:highlight w:val="none"/>
                      <w:vertAlign w:val="baseline"/>
                      <w:lang w:eastAsia="zh-CN"/>
                    </w:rPr>
                    <w:t>测点名称</w:t>
                  </w:r>
                </w:p>
              </w:tc>
              <w:tc>
                <w:tcPr>
                  <w:tcW w:w="1665"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color w:val="auto"/>
                      <w:sz w:val="21"/>
                      <w:szCs w:val="21"/>
                      <w:highlight w:val="none"/>
                      <w:vertAlign w:val="baseline"/>
                      <w:lang w:eastAsia="zh-CN"/>
                    </w:rPr>
                  </w:pPr>
                  <w:r>
                    <w:rPr>
                      <w:rFonts w:hint="eastAsia"/>
                      <w:color w:val="auto"/>
                      <w:sz w:val="21"/>
                      <w:szCs w:val="21"/>
                      <w:highlight w:val="none"/>
                      <w:vertAlign w:val="baseline"/>
                      <w:lang w:eastAsia="zh-CN"/>
                    </w:rPr>
                    <w:t>功能</w:t>
                  </w:r>
                </w:p>
              </w:tc>
              <w:tc>
                <w:tcPr>
                  <w:tcW w:w="1665"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color w:val="auto"/>
                      <w:sz w:val="21"/>
                      <w:szCs w:val="21"/>
                      <w:highlight w:val="none"/>
                      <w:vertAlign w:val="baseline"/>
                      <w:lang w:eastAsia="zh-CN"/>
                    </w:rPr>
                  </w:pPr>
                  <w:r>
                    <w:rPr>
                      <w:rFonts w:hint="eastAsia"/>
                      <w:color w:val="auto"/>
                      <w:sz w:val="21"/>
                      <w:szCs w:val="21"/>
                      <w:highlight w:val="none"/>
                      <w:vertAlign w:val="baseline"/>
                      <w:lang w:eastAsia="zh-CN"/>
                    </w:rPr>
                    <w:t>方向</w:t>
                  </w:r>
                </w:p>
              </w:tc>
              <w:tc>
                <w:tcPr>
                  <w:tcW w:w="1665"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color w:val="auto"/>
                      <w:sz w:val="21"/>
                      <w:szCs w:val="21"/>
                      <w:highlight w:val="none"/>
                      <w:vertAlign w:val="baseline"/>
                      <w:lang w:eastAsia="zh-CN"/>
                    </w:rPr>
                  </w:pPr>
                  <w:r>
                    <w:rPr>
                      <w:rFonts w:hint="eastAsia"/>
                      <w:color w:val="auto"/>
                      <w:sz w:val="21"/>
                      <w:szCs w:val="21"/>
                      <w:highlight w:val="none"/>
                      <w:vertAlign w:val="baseline"/>
                      <w:lang w:eastAsia="zh-CN"/>
                    </w:rPr>
                    <w:t>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4"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G9</w:t>
                  </w:r>
                </w:p>
              </w:tc>
              <w:tc>
                <w:tcPr>
                  <w:tcW w:w="1664"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color w:val="auto"/>
                      <w:sz w:val="21"/>
                      <w:szCs w:val="21"/>
                      <w:highlight w:val="none"/>
                      <w:vertAlign w:val="baseline"/>
                      <w:lang w:eastAsia="zh-CN"/>
                    </w:rPr>
                  </w:pPr>
                  <w:r>
                    <w:rPr>
                      <w:rFonts w:hint="eastAsia"/>
                      <w:color w:val="auto"/>
                      <w:sz w:val="21"/>
                      <w:szCs w:val="21"/>
                      <w:highlight w:val="none"/>
                      <w:vertAlign w:val="baseline"/>
                      <w:lang w:eastAsia="zh-CN"/>
                    </w:rPr>
                    <w:t>西张庄</w:t>
                  </w:r>
                </w:p>
              </w:tc>
              <w:tc>
                <w:tcPr>
                  <w:tcW w:w="1665"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color w:val="auto"/>
                      <w:sz w:val="21"/>
                      <w:szCs w:val="21"/>
                      <w:highlight w:val="none"/>
                      <w:vertAlign w:val="baseline"/>
                      <w:lang w:eastAsia="zh-CN"/>
                    </w:rPr>
                  </w:pPr>
                  <w:r>
                    <w:rPr>
                      <w:rFonts w:hint="eastAsia"/>
                      <w:color w:val="auto"/>
                      <w:sz w:val="21"/>
                      <w:szCs w:val="21"/>
                      <w:highlight w:val="none"/>
                      <w:vertAlign w:val="baseline"/>
                      <w:lang w:eastAsia="zh-CN"/>
                    </w:rPr>
                    <w:t>居民点</w:t>
                  </w:r>
                </w:p>
              </w:tc>
              <w:tc>
                <w:tcPr>
                  <w:tcW w:w="1665"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color w:val="auto"/>
                      <w:sz w:val="21"/>
                      <w:szCs w:val="21"/>
                      <w:highlight w:val="none"/>
                      <w:vertAlign w:val="baseline"/>
                      <w:lang w:eastAsia="zh-CN"/>
                    </w:rPr>
                  </w:pPr>
                  <w:r>
                    <w:rPr>
                      <w:rFonts w:hint="eastAsia"/>
                      <w:color w:val="auto"/>
                      <w:sz w:val="21"/>
                      <w:szCs w:val="21"/>
                      <w:highlight w:val="none"/>
                      <w:vertAlign w:val="baseline"/>
                      <w:lang w:eastAsia="zh-CN"/>
                    </w:rPr>
                    <w:t>侧风向</w:t>
                  </w:r>
                </w:p>
              </w:tc>
              <w:tc>
                <w:tcPr>
                  <w:tcW w:w="1665"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color w:val="auto"/>
                      <w:sz w:val="21"/>
                      <w:szCs w:val="21"/>
                      <w:highlight w:val="none"/>
                      <w:vertAlign w:val="baseline"/>
                      <w:lang w:eastAsia="zh-CN"/>
                    </w:rPr>
                  </w:pPr>
                  <w:r>
                    <w:rPr>
                      <w:rFonts w:hint="eastAsia"/>
                      <w:color w:val="auto"/>
                      <w:sz w:val="21"/>
                      <w:szCs w:val="21"/>
                      <w:highlight w:val="none"/>
                      <w:vertAlign w:val="baseline"/>
                      <w:lang w:eastAsia="zh-CN"/>
                    </w:rPr>
                    <w:t>北部组团内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4"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G15</w:t>
                  </w:r>
                </w:p>
              </w:tc>
              <w:tc>
                <w:tcPr>
                  <w:tcW w:w="1664"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color w:val="auto"/>
                      <w:sz w:val="21"/>
                      <w:szCs w:val="21"/>
                      <w:highlight w:val="none"/>
                      <w:vertAlign w:val="baseline"/>
                      <w:lang w:eastAsia="zh-CN"/>
                    </w:rPr>
                  </w:pPr>
                  <w:r>
                    <w:rPr>
                      <w:rFonts w:hint="eastAsia"/>
                      <w:color w:val="auto"/>
                      <w:sz w:val="21"/>
                      <w:szCs w:val="21"/>
                      <w:highlight w:val="none"/>
                      <w:vertAlign w:val="baseline"/>
                      <w:lang w:eastAsia="zh-CN"/>
                    </w:rPr>
                    <w:t>轴承产业园</w:t>
                  </w:r>
                </w:p>
              </w:tc>
              <w:tc>
                <w:tcPr>
                  <w:tcW w:w="1665"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color w:val="auto"/>
                      <w:sz w:val="21"/>
                      <w:szCs w:val="21"/>
                      <w:highlight w:val="none"/>
                      <w:vertAlign w:val="baseline"/>
                      <w:lang w:eastAsia="zh-CN"/>
                    </w:rPr>
                  </w:pPr>
                  <w:r>
                    <w:rPr>
                      <w:rFonts w:hint="eastAsia"/>
                      <w:color w:val="auto"/>
                      <w:sz w:val="21"/>
                      <w:szCs w:val="21"/>
                      <w:highlight w:val="none"/>
                      <w:vertAlign w:val="baseline"/>
                      <w:lang w:eastAsia="zh-CN"/>
                    </w:rPr>
                    <w:t>工业点</w:t>
                  </w:r>
                </w:p>
              </w:tc>
              <w:tc>
                <w:tcPr>
                  <w:tcW w:w="1665"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color w:val="auto"/>
                      <w:sz w:val="21"/>
                      <w:szCs w:val="21"/>
                      <w:highlight w:val="none"/>
                      <w:vertAlign w:val="baseline"/>
                      <w:lang w:eastAsia="zh-CN"/>
                    </w:rPr>
                  </w:pPr>
                  <w:r>
                    <w:rPr>
                      <w:rFonts w:hint="eastAsia"/>
                      <w:color w:val="auto"/>
                      <w:sz w:val="21"/>
                      <w:szCs w:val="21"/>
                      <w:highlight w:val="none"/>
                      <w:vertAlign w:val="baseline"/>
                      <w:lang w:eastAsia="zh-CN"/>
                    </w:rPr>
                    <w:t>下风向</w:t>
                  </w:r>
                </w:p>
              </w:tc>
              <w:tc>
                <w:tcPr>
                  <w:tcW w:w="1665"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olor w:val="auto"/>
                      <w:sz w:val="21"/>
                      <w:szCs w:val="21"/>
                      <w:highlight w:val="none"/>
                      <w:vertAlign w:val="baseline"/>
                    </w:rPr>
                  </w:pPr>
                  <w:r>
                    <w:rPr>
                      <w:rFonts w:hint="eastAsia"/>
                      <w:color w:val="auto"/>
                      <w:sz w:val="21"/>
                      <w:szCs w:val="21"/>
                      <w:highlight w:val="none"/>
                      <w:vertAlign w:val="baseline"/>
                      <w:lang w:eastAsia="zh-CN"/>
                    </w:rPr>
                    <w:t>北部组团内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4"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G16</w:t>
                  </w:r>
                </w:p>
              </w:tc>
              <w:tc>
                <w:tcPr>
                  <w:tcW w:w="1664"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color w:val="auto"/>
                      <w:sz w:val="21"/>
                      <w:szCs w:val="21"/>
                      <w:highlight w:val="none"/>
                      <w:vertAlign w:val="baseline"/>
                      <w:lang w:eastAsia="zh-CN"/>
                    </w:rPr>
                  </w:pPr>
                  <w:r>
                    <w:rPr>
                      <w:rFonts w:hint="eastAsia"/>
                      <w:color w:val="auto"/>
                      <w:sz w:val="21"/>
                      <w:szCs w:val="21"/>
                      <w:highlight w:val="none"/>
                      <w:vertAlign w:val="baseline"/>
                      <w:lang w:eastAsia="zh-CN"/>
                    </w:rPr>
                    <w:t>雨鑫</w:t>
                  </w:r>
                </w:p>
              </w:tc>
              <w:tc>
                <w:tcPr>
                  <w:tcW w:w="1665"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olor w:val="auto"/>
                      <w:sz w:val="21"/>
                      <w:szCs w:val="21"/>
                      <w:highlight w:val="none"/>
                      <w:vertAlign w:val="baseline"/>
                    </w:rPr>
                  </w:pPr>
                  <w:r>
                    <w:rPr>
                      <w:rFonts w:hint="eastAsia"/>
                      <w:color w:val="auto"/>
                      <w:sz w:val="21"/>
                      <w:szCs w:val="21"/>
                      <w:highlight w:val="none"/>
                      <w:vertAlign w:val="baseline"/>
                      <w:lang w:eastAsia="zh-CN"/>
                    </w:rPr>
                    <w:t>工业点</w:t>
                  </w:r>
                </w:p>
              </w:tc>
              <w:tc>
                <w:tcPr>
                  <w:tcW w:w="1665"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olor w:val="auto"/>
                      <w:sz w:val="21"/>
                      <w:szCs w:val="21"/>
                      <w:highlight w:val="none"/>
                      <w:vertAlign w:val="baseline"/>
                    </w:rPr>
                  </w:pPr>
                  <w:r>
                    <w:rPr>
                      <w:rFonts w:hint="eastAsia"/>
                      <w:color w:val="auto"/>
                      <w:sz w:val="21"/>
                      <w:szCs w:val="21"/>
                      <w:highlight w:val="none"/>
                      <w:vertAlign w:val="baseline"/>
                      <w:lang w:eastAsia="zh-CN"/>
                    </w:rPr>
                    <w:t>下风向</w:t>
                  </w:r>
                </w:p>
              </w:tc>
              <w:tc>
                <w:tcPr>
                  <w:tcW w:w="1665"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olor w:val="auto"/>
                      <w:sz w:val="21"/>
                      <w:szCs w:val="21"/>
                      <w:highlight w:val="none"/>
                      <w:vertAlign w:val="baseline"/>
                    </w:rPr>
                  </w:pPr>
                  <w:r>
                    <w:rPr>
                      <w:rFonts w:hint="eastAsia"/>
                      <w:color w:val="auto"/>
                      <w:sz w:val="21"/>
                      <w:szCs w:val="21"/>
                      <w:highlight w:val="none"/>
                      <w:vertAlign w:val="baseline"/>
                      <w:lang w:eastAsia="zh-CN"/>
                    </w:rPr>
                    <w:t>北部组团内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4"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G17</w:t>
                  </w:r>
                </w:p>
              </w:tc>
              <w:tc>
                <w:tcPr>
                  <w:tcW w:w="1664"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color w:val="auto"/>
                      <w:sz w:val="21"/>
                      <w:szCs w:val="21"/>
                      <w:highlight w:val="none"/>
                      <w:vertAlign w:val="baseline"/>
                      <w:lang w:eastAsia="zh-CN"/>
                    </w:rPr>
                  </w:pPr>
                  <w:r>
                    <w:rPr>
                      <w:rFonts w:hint="eastAsia"/>
                      <w:color w:val="auto"/>
                      <w:sz w:val="21"/>
                      <w:szCs w:val="21"/>
                      <w:highlight w:val="none"/>
                      <w:vertAlign w:val="baseline"/>
                      <w:lang w:eastAsia="zh-CN"/>
                    </w:rPr>
                    <w:t>国祯附近</w:t>
                  </w:r>
                </w:p>
              </w:tc>
              <w:tc>
                <w:tcPr>
                  <w:tcW w:w="1665"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olor w:val="auto"/>
                      <w:sz w:val="21"/>
                      <w:szCs w:val="21"/>
                      <w:highlight w:val="none"/>
                      <w:vertAlign w:val="baseline"/>
                    </w:rPr>
                  </w:pPr>
                  <w:r>
                    <w:rPr>
                      <w:rFonts w:hint="eastAsia"/>
                      <w:color w:val="auto"/>
                      <w:sz w:val="21"/>
                      <w:szCs w:val="21"/>
                      <w:highlight w:val="none"/>
                      <w:vertAlign w:val="baseline"/>
                      <w:lang w:eastAsia="zh-CN"/>
                    </w:rPr>
                    <w:t>工业点</w:t>
                  </w:r>
                </w:p>
              </w:tc>
              <w:tc>
                <w:tcPr>
                  <w:tcW w:w="1665"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olor w:val="auto"/>
                      <w:sz w:val="21"/>
                      <w:szCs w:val="21"/>
                      <w:highlight w:val="none"/>
                      <w:vertAlign w:val="baseline"/>
                    </w:rPr>
                  </w:pPr>
                  <w:r>
                    <w:rPr>
                      <w:rFonts w:hint="eastAsia"/>
                      <w:color w:val="auto"/>
                      <w:sz w:val="21"/>
                      <w:szCs w:val="21"/>
                      <w:highlight w:val="none"/>
                      <w:vertAlign w:val="baseline"/>
                      <w:lang w:eastAsia="zh-CN"/>
                    </w:rPr>
                    <w:t>下风向</w:t>
                  </w:r>
                </w:p>
              </w:tc>
              <w:tc>
                <w:tcPr>
                  <w:tcW w:w="1665"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olor w:val="auto"/>
                      <w:sz w:val="21"/>
                      <w:szCs w:val="21"/>
                      <w:highlight w:val="none"/>
                      <w:vertAlign w:val="baseline"/>
                    </w:rPr>
                  </w:pPr>
                  <w:r>
                    <w:rPr>
                      <w:rFonts w:hint="eastAsia"/>
                      <w:color w:val="auto"/>
                      <w:sz w:val="21"/>
                      <w:szCs w:val="21"/>
                      <w:highlight w:val="none"/>
                      <w:vertAlign w:val="baseline"/>
                      <w:lang w:eastAsia="zh-CN"/>
                    </w:rPr>
                    <w:t>北部组团内</w:t>
                  </w:r>
                </w:p>
              </w:tc>
            </w:tr>
          </w:tbl>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rPr>
                <w:rFonts w:hint="default" w:eastAsia="宋体"/>
                <w:b/>
                <w:bCs/>
                <w:color w:val="000000" w:themeColor="text1"/>
                <w:sz w:val="24"/>
                <w:highlight w:val="none"/>
                <w:lang w:val="en-US" w:eastAsia="zh-CN"/>
                <w14:textFill>
                  <w14:solidFill>
                    <w14:schemeClr w14:val="tx1"/>
                  </w14:solidFill>
                </w14:textFill>
              </w:rPr>
            </w:pPr>
            <w:r>
              <w:rPr>
                <w:b/>
                <w:bCs/>
                <w:color w:val="000000" w:themeColor="text1"/>
                <w:sz w:val="24"/>
                <w:highlight w:val="none"/>
                <w14:textFill>
                  <w14:solidFill>
                    <w14:schemeClr w14:val="tx1"/>
                  </w14:solidFill>
                </w14:textFill>
              </w:rPr>
              <w:t>表3.</w:t>
            </w:r>
            <w:r>
              <w:rPr>
                <w:rFonts w:hint="eastAsia"/>
                <w:b/>
                <w:bCs/>
                <w:color w:val="000000" w:themeColor="text1"/>
                <w:sz w:val="24"/>
                <w:highlight w:val="none"/>
                <w:lang w:val="en-US" w:eastAsia="zh-CN"/>
                <w14:textFill>
                  <w14:solidFill>
                    <w14:schemeClr w14:val="tx1"/>
                  </w14:solidFill>
                </w14:textFill>
              </w:rPr>
              <w:t>5</w:t>
            </w:r>
            <w:r>
              <w:rPr>
                <w:b/>
                <w:bCs/>
                <w:color w:val="000000" w:themeColor="text1"/>
                <w:sz w:val="24"/>
                <w:highlight w:val="none"/>
                <w14:textFill>
                  <w14:solidFill>
                    <w14:schemeClr w14:val="tx1"/>
                  </w14:solidFill>
                </w14:textFill>
              </w:rPr>
              <w:t xml:space="preserve"> </w:t>
            </w:r>
            <w:r>
              <w:rPr>
                <w:rFonts w:hint="eastAsia"/>
                <w:b/>
                <w:bCs/>
                <w:color w:val="000000" w:themeColor="text1"/>
                <w:sz w:val="24"/>
                <w:highlight w:val="none"/>
                <w14:textFill>
                  <w14:solidFill>
                    <w14:schemeClr w14:val="tx1"/>
                  </w14:solidFill>
                </w14:textFill>
              </w:rPr>
              <w:t xml:space="preserve"> </w:t>
            </w:r>
            <w:r>
              <w:rPr>
                <w:b/>
                <w:bCs/>
                <w:color w:val="000000" w:themeColor="text1"/>
                <w:sz w:val="24"/>
                <w:highlight w:val="none"/>
                <w14:textFill>
                  <w14:solidFill>
                    <w14:schemeClr w14:val="tx1"/>
                  </w14:solidFill>
                </w14:textFill>
              </w:rPr>
              <w:t>环境</w:t>
            </w:r>
            <w:r>
              <w:rPr>
                <w:rFonts w:hint="eastAsia"/>
                <w:b/>
                <w:bCs/>
                <w:color w:val="000000" w:themeColor="text1"/>
                <w:sz w:val="24"/>
                <w:highlight w:val="none"/>
                <w:lang w:eastAsia="zh-CN"/>
                <w14:textFill>
                  <w14:solidFill>
                    <w14:schemeClr w14:val="tx1"/>
                  </w14:solidFill>
                </w14:textFill>
              </w:rPr>
              <w:t>空气</w:t>
            </w:r>
            <w:r>
              <w:rPr>
                <w:b/>
                <w:bCs/>
                <w:color w:val="000000" w:themeColor="text1"/>
                <w:sz w:val="24"/>
                <w:highlight w:val="none"/>
                <w14:textFill>
                  <w14:solidFill>
                    <w14:schemeClr w14:val="tx1"/>
                  </w14:solidFill>
                </w14:textFill>
              </w:rPr>
              <w:t>质量</w:t>
            </w:r>
            <w:r>
              <w:rPr>
                <w:rFonts w:hint="eastAsia"/>
                <w:b/>
                <w:bCs/>
                <w:color w:val="000000" w:themeColor="text1"/>
                <w:sz w:val="24"/>
                <w:highlight w:val="none"/>
                <w:lang w:eastAsia="zh-CN"/>
                <w14:textFill>
                  <w14:solidFill>
                    <w14:schemeClr w14:val="tx1"/>
                  </w14:solidFill>
                </w14:textFill>
              </w:rPr>
              <w:t>评价结果表</w:t>
            </w:r>
            <w:r>
              <w:rPr>
                <w:rFonts w:hint="eastAsia"/>
                <w:b/>
                <w:bCs/>
                <w:color w:val="000000" w:themeColor="text1"/>
                <w:sz w:val="24"/>
                <w:highlight w:val="none"/>
                <w:lang w:val="en-US" w:eastAsia="zh-CN"/>
                <w14:textFill>
                  <w14:solidFill>
                    <w14:schemeClr w14:val="tx1"/>
                  </w14:solidFill>
                </w14:textFill>
              </w:rPr>
              <w:t xml:space="preserve"> 单位：mg/m</w:t>
            </w:r>
            <w:r>
              <w:rPr>
                <w:rFonts w:hint="eastAsia"/>
                <w:b/>
                <w:bCs/>
                <w:color w:val="000000" w:themeColor="text1"/>
                <w:sz w:val="24"/>
                <w:highlight w:val="none"/>
                <w:vertAlign w:val="superscript"/>
                <w:lang w:val="en-US" w:eastAsia="zh-CN"/>
                <w14:textFill>
                  <w14:solidFill>
                    <w14:schemeClr w14:val="tx1"/>
                  </w14:solidFill>
                </w14:textFill>
              </w:rPr>
              <w:t>3</w:t>
            </w:r>
          </w:p>
          <w:tbl>
            <w:tblPr>
              <w:tblStyle w:val="26"/>
              <w:tblW w:w="8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4"/>
              <w:gridCol w:w="826"/>
              <w:gridCol w:w="1040"/>
              <w:gridCol w:w="1040"/>
              <w:gridCol w:w="1040"/>
              <w:gridCol w:w="1041"/>
              <w:gridCol w:w="1041"/>
              <w:gridCol w:w="10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23" w:type="dxa"/>
                  <w:gridSpan w:val="8"/>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eastAsia="zh-CN"/>
                    </w:rPr>
                    <w:t>采样时间：</w:t>
                  </w:r>
                  <w:r>
                    <w:rPr>
                      <w:rFonts w:hint="default" w:ascii="Times New Roman" w:hAnsi="Times New Roman" w:eastAsia="宋体" w:cs="Times New Roman"/>
                      <w:color w:val="auto"/>
                      <w:sz w:val="21"/>
                      <w:szCs w:val="21"/>
                      <w:highlight w:val="none"/>
                      <w:vertAlign w:val="baseline"/>
                      <w:lang w:val="en-US" w:eastAsia="zh-CN"/>
                    </w:rPr>
                    <w:t>2022.9.17-2022.9-23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4"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eastAsia="zh-CN"/>
                    </w:rPr>
                    <w:t>监测点位</w:t>
                  </w:r>
                </w:p>
              </w:tc>
              <w:tc>
                <w:tcPr>
                  <w:tcW w:w="826"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eastAsia="zh-CN"/>
                    </w:rPr>
                    <w:t>监测项目</w:t>
                  </w:r>
                </w:p>
              </w:tc>
              <w:tc>
                <w:tcPr>
                  <w:tcW w:w="3120" w:type="dxa"/>
                  <w:gridSpan w:val="3"/>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1小时均值（或一次监测值）</w:t>
                  </w:r>
                </w:p>
              </w:tc>
              <w:tc>
                <w:tcPr>
                  <w:tcW w:w="3123" w:type="dxa"/>
                  <w:gridSpan w:val="3"/>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eastAsia="zh-CN"/>
                    </w:rPr>
                    <w:t>日平均浓度值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4"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rPr>
                  </w:pPr>
                </w:p>
              </w:tc>
              <w:tc>
                <w:tcPr>
                  <w:tcW w:w="826"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rPr>
                  </w:pPr>
                </w:p>
              </w:tc>
              <w:tc>
                <w:tcPr>
                  <w:tcW w:w="2080"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eastAsia="zh-CN"/>
                    </w:rPr>
                    <w:t>浓度范围</w:t>
                  </w:r>
                </w:p>
              </w:tc>
              <w:tc>
                <w:tcPr>
                  <w:tcW w:w="1040"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eastAsia="zh-CN"/>
                    </w:rPr>
                    <w:t>最大占标率（</w:t>
                  </w:r>
                  <w:r>
                    <w:rPr>
                      <w:rFonts w:hint="default" w:ascii="Times New Roman" w:hAnsi="Times New Roman" w:eastAsia="宋体" w:cs="Times New Roman"/>
                      <w:color w:val="auto"/>
                      <w:sz w:val="21"/>
                      <w:szCs w:val="21"/>
                      <w:highlight w:val="none"/>
                      <w:vertAlign w:val="baseline"/>
                      <w:lang w:val="en-US" w:eastAsia="zh-CN"/>
                    </w:rPr>
                    <w:t>%）</w:t>
                  </w:r>
                </w:p>
              </w:tc>
              <w:tc>
                <w:tcPr>
                  <w:tcW w:w="2082"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eastAsia="zh-CN"/>
                    </w:rPr>
                    <w:t>浓度范围</w:t>
                  </w:r>
                </w:p>
              </w:tc>
              <w:tc>
                <w:tcPr>
                  <w:tcW w:w="1041"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eastAsia="zh-CN"/>
                    </w:rPr>
                    <w:t>最大占标率（</w:t>
                  </w:r>
                  <w:r>
                    <w:rPr>
                      <w:rFonts w:hint="default" w:ascii="Times New Roman" w:hAnsi="Times New Roman" w:eastAsia="宋体" w:cs="Times New Roman"/>
                      <w:color w:val="auto"/>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4"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rPr>
                  </w:pPr>
                </w:p>
              </w:tc>
              <w:tc>
                <w:tcPr>
                  <w:tcW w:w="826"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rPr>
                  </w:pPr>
                </w:p>
              </w:tc>
              <w:tc>
                <w:tcPr>
                  <w:tcW w:w="104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eastAsia="zh-CN"/>
                    </w:rPr>
                    <w:t>最小值</w:t>
                  </w:r>
                </w:p>
              </w:tc>
              <w:tc>
                <w:tcPr>
                  <w:tcW w:w="104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eastAsia="zh-CN"/>
                    </w:rPr>
                    <w:t>最大值</w:t>
                  </w:r>
                </w:p>
              </w:tc>
              <w:tc>
                <w:tcPr>
                  <w:tcW w:w="1040"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rPr>
                  </w:pPr>
                </w:p>
              </w:tc>
              <w:tc>
                <w:tcPr>
                  <w:tcW w:w="1041"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eastAsia="zh-CN"/>
                    </w:rPr>
                    <w:t>最小值</w:t>
                  </w:r>
                </w:p>
              </w:tc>
              <w:tc>
                <w:tcPr>
                  <w:tcW w:w="1041"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eastAsia="zh-CN"/>
                    </w:rPr>
                    <w:t>最大值</w:t>
                  </w:r>
                </w:p>
              </w:tc>
              <w:tc>
                <w:tcPr>
                  <w:tcW w:w="104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4"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eastAsia="zh-CN"/>
                    </w:rPr>
                    <w:t>西张庄</w:t>
                  </w:r>
                </w:p>
              </w:tc>
              <w:tc>
                <w:tcPr>
                  <w:tcW w:w="826"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TSP</w:t>
                  </w:r>
                </w:p>
              </w:tc>
              <w:tc>
                <w:tcPr>
                  <w:tcW w:w="104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w:t>
                  </w:r>
                </w:p>
              </w:tc>
              <w:tc>
                <w:tcPr>
                  <w:tcW w:w="104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w:t>
                  </w:r>
                </w:p>
              </w:tc>
              <w:tc>
                <w:tcPr>
                  <w:tcW w:w="104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w:t>
                  </w:r>
                </w:p>
              </w:tc>
              <w:tc>
                <w:tcPr>
                  <w:tcW w:w="1041"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0.115</w:t>
                  </w:r>
                </w:p>
              </w:tc>
              <w:tc>
                <w:tcPr>
                  <w:tcW w:w="1041"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0.134</w:t>
                  </w:r>
                </w:p>
              </w:tc>
              <w:tc>
                <w:tcPr>
                  <w:tcW w:w="1041"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44.67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4"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eastAsia="zh-CN"/>
                    </w:rPr>
                    <w:t>轴承产业园</w:t>
                  </w:r>
                </w:p>
              </w:tc>
              <w:tc>
                <w:tcPr>
                  <w:tcW w:w="826"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rPr>
                  </w:pPr>
                </w:p>
              </w:tc>
              <w:tc>
                <w:tcPr>
                  <w:tcW w:w="104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w:t>
                  </w:r>
                </w:p>
              </w:tc>
              <w:tc>
                <w:tcPr>
                  <w:tcW w:w="104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w:t>
                  </w:r>
                </w:p>
              </w:tc>
              <w:tc>
                <w:tcPr>
                  <w:tcW w:w="104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w:t>
                  </w:r>
                </w:p>
              </w:tc>
              <w:tc>
                <w:tcPr>
                  <w:tcW w:w="1041"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0.118</w:t>
                  </w:r>
                </w:p>
              </w:tc>
              <w:tc>
                <w:tcPr>
                  <w:tcW w:w="1041"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0.129</w:t>
                  </w:r>
                </w:p>
              </w:tc>
              <w:tc>
                <w:tcPr>
                  <w:tcW w:w="1041"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4"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eastAsia="zh-CN"/>
                    </w:rPr>
                    <w:t>雨鑫</w:t>
                  </w:r>
                </w:p>
              </w:tc>
              <w:tc>
                <w:tcPr>
                  <w:tcW w:w="826"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rPr>
                  </w:pPr>
                </w:p>
              </w:tc>
              <w:tc>
                <w:tcPr>
                  <w:tcW w:w="104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w:t>
                  </w:r>
                </w:p>
              </w:tc>
              <w:tc>
                <w:tcPr>
                  <w:tcW w:w="104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w:t>
                  </w:r>
                </w:p>
              </w:tc>
              <w:tc>
                <w:tcPr>
                  <w:tcW w:w="104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w:t>
                  </w:r>
                </w:p>
              </w:tc>
              <w:tc>
                <w:tcPr>
                  <w:tcW w:w="1041"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0.125</w:t>
                  </w:r>
                </w:p>
              </w:tc>
              <w:tc>
                <w:tcPr>
                  <w:tcW w:w="1041"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0.133</w:t>
                  </w:r>
                </w:p>
              </w:tc>
              <w:tc>
                <w:tcPr>
                  <w:tcW w:w="1041"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44.33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4"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eastAsia="zh-CN"/>
                    </w:rPr>
                    <w:t>国祯附近</w:t>
                  </w:r>
                </w:p>
              </w:tc>
              <w:tc>
                <w:tcPr>
                  <w:tcW w:w="826"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rPr>
                  </w:pPr>
                </w:p>
              </w:tc>
              <w:tc>
                <w:tcPr>
                  <w:tcW w:w="104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w:t>
                  </w:r>
                </w:p>
              </w:tc>
              <w:tc>
                <w:tcPr>
                  <w:tcW w:w="104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w:t>
                  </w:r>
                </w:p>
              </w:tc>
              <w:tc>
                <w:tcPr>
                  <w:tcW w:w="104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w:t>
                  </w:r>
                </w:p>
              </w:tc>
              <w:tc>
                <w:tcPr>
                  <w:tcW w:w="1041"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0.117</w:t>
                  </w:r>
                </w:p>
              </w:tc>
              <w:tc>
                <w:tcPr>
                  <w:tcW w:w="1041"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0.132</w:t>
                  </w:r>
                </w:p>
              </w:tc>
              <w:tc>
                <w:tcPr>
                  <w:tcW w:w="1041"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44</w:t>
                  </w:r>
                </w:p>
              </w:tc>
            </w:tr>
          </w:tbl>
          <w:p>
            <w:pPr>
              <w:widowControl/>
              <w:spacing w:line="360" w:lineRule="auto"/>
              <w:ind w:firstLine="480" w:firstLineChars="200"/>
              <w:jc w:val="left"/>
              <w:rPr>
                <w:color w:val="auto"/>
                <w:sz w:val="24"/>
                <w:szCs w:val="24"/>
                <w:highlight w:val="none"/>
              </w:rPr>
            </w:pPr>
            <w:r>
              <w:rPr>
                <w:rFonts w:hint="eastAsia"/>
                <w:color w:val="auto"/>
                <w:sz w:val="24"/>
                <w:szCs w:val="24"/>
                <w:highlight w:val="none"/>
              </w:rPr>
              <w:t>由表3.3</w:t>
            </w:r>
            <w:r>
              <w:rPr>
                <w:rFonts w:hint="eastAsia"/>
                <w:color w:val="auto"/>
                <w:sz w:val="24"/>
                <w:szCs w:val="24"/>
                <w:highlight w:val="none"/>
                <w:lang w:val="en-US" w:eastAsia="zh-CN"/>
              </w:rPr>
              <w:t>-3.5</w:t>
            </w:r>
            <w:r>
              <w:rPr>
                <w:rFonts w:hint="eastAsia"/>
                <w:color w:val="auto"/>
                <w:sz w:val="24"/>
                <w:szCs w:val="24"/>
                <w:highlight w:val="none"/>
              </w:rPr>
              <w:t>可知，</w:t>
            </w:r>
            <w:r>
              <w:rPr>
                <w:rFonts w:hint="eastAsia"/>
                <w:color w:val="auto"/>
                <w:sz w:val="24"/>
                <w:szCs w:val="24"/>
                <w:highlight w:val="none"/>
                <w:lang w:val="en-US" w:eastAsia="zh-CN"/>
              </w:rPr>
              <w:t>TSP日均值能够满足《环境空气质量标准》（GB3095-2012）二级标准要求；</w:t>
            </w:r>
            <w:r>
              <w:rPr>
                <w:rFonts w:hint="eastAsia"/>
                <w:color w:val="auto"/>
                <w:sz w:val="24"/>
                <w:szCs w:val="24"/>
                <w:highlight w:val="none"/>
                <w:lang w:eastAsia="zh-CN"/>
              </w:rPr>
              <w:t>挥发性有机物</w:t>
            </w:r>
            <w:r>
              <w:rPr>
                <w:rFonts w:hint="eastAsia"/>
                <w:color w:val="auto"/>
                <w:sz w:val="24"/>
                <w:szCs w:val="24"/>
                <w:highlight w:val="none"/>
                <w:lang w:val="en-US" w:eastAsia="zh-CN"/>
              </w:rPr>
              <w:t>满足《大气污染物综合排放标准详解》的数值规定（</w:t>
            </w:r>
            <w:r>
              <w:rPr>
                <w:rFonts w:hint="eastAsia"/>
                <w:color w:val="auto"/>
                <w:sz w:val="24"/>
                <w:szCs w:val="24"/>
                <w:highlight w:val="none"/>
              </w:rPr>
              <w:t>一次值：2.0</w:t>
            </w:r>
            <w:r>
              <w:rPr>
                <w:rFonts w:hint="eastAsia"/>
                <w:color w:val="auto"/>
                <w:sz w:val="24"/>
                <w:szCs w:val="24"/>
                <w:highlight w:val="none"/>
                <w:lang w:val="en-US" w:eastAsia="zh-CN"/>
              </w:rPr>
              <w:t xml:space="preserve"> </w:t>
            </w:r>
            <w:r>
              <w:rPr>
                <w:rFonts w:hint="eastAsia"/>
                <w:color w:val="auto"/>
                <w:sz w:val="24"/>
                <w:szCs w:val="24"/>
                <w:highlight w:val="none"/>
              </w:rPr>
              <w:t>mg/m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w:t>
            </w:r>
          </w:p>
          <w:p>
            <w:pPr>
              <w:keepNext w:val="0"/>
              <w:keepLines w:val="0"/>
              <w:pageBreakBefore w:val="0"/>
              <w:widowControl w:val="0"/>
              <w:kinsoku/>
              <w:wordWrap/>
              <w:overflowPunct/>
              <w:topLinePunct w:val="0"/>
              <w:bidi w:val="0"/>
              <w:adjustRightInd w:val="0"/>
              <w:snapToGrid w:val="0"/>
              <w:spacing w:line="360" w:lineRule="auto"/>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2、地表水环境</w:t>
            </w:r>
            <w:r>
              <w:rPr>
                <w:rFonts w:hint="eastAsia" w:ascii="Times New Roman" w:hAnsi="Times New Roman" w:eastAsia="宋体" w:cs="Times New Roman"/>
                <w:b/>
                <w:bCs/>
                <w:color w:val="auto"/>
                <w:sz w:val="24"/>
                <w:szCs w:val="24"/>
                <w:lang w:val="en-US" w:eastAsia="zh-CN"/>
              </w:rPr>
              <w:t>质量现状</w:t>
            </w:r>
          </w:p>
          <w:p>
            <w:pPr>
              <w:pStyle w:val="37"/>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本</w:t>
            </w:r>
            <w:r>
              <w:rPr>
                <w:rFonts w:hint="default" w:ascii="Times New Roman" w:hAnsi="Times New Roman" w:eastAsia="宋体" w:cs="Times New Roman"/>
                <w:sz w:val="24"/>
                <w:szCs w:val="24"/>
              </w:rPr>
              <w:t>2022年宿州市国考断面优良水体比例为53.8%，同比提升15.3个百分点，达到有监测记录以来最好水平；汇入洪泽湖跨省界河流和汇入沱湖跨市界河流水质全部达到Ⅲ类，跨省界、市界重点河流出境水质比入境水质提升一个类别；水环境质量改善率位列全省第3位。市县集中式饮用水水源地水质达标率100%。</w:t>
            </w:r>
            <w:r>
              <w:rPr>
                <w:rFonts w:hint="eastAsia" w:ascii="Times New Roman" w:hAnsi="Times New Roman" w:eastAsia="宋体" w:cs="Times New Roman"/>
                <w:sz w:val="24"/>
                <w:szCs w:val="24"/>
                <w:lang w:eastAsia="zh-CN"/>
              </w:rPr>
              <w:t>阎河水质</w:t>
            </w:r>
            <w:r>
              <w:rPr>
                <w:rFonts w:hint="default" w:ascii="Times New Roman" w:hAnsi="Times New Roman" w:eastAsia="宋体" w:cs="Times New Roman"/>
                <w:sz w:val="24"/>
                <w:szCs w:val="24"/>
              </w:rPr>
              <w:t>满足《地表水环境质量标准》（GB3838-2002）中Ⅳ类标准要求。</w:t>
            </w:r>
          </w:p>
          <w:p>
            <w:pPr>
              <w:keepNext w:val="0"/>
              <w:keepLines w:val="0"/>
              <w:pageBreakBefore w:val="0"/>
              <w:widowControl w:val="0"/>
              <w:kinsoku/>
              <w:wordWrap/>
              <w:overflowPunct/>
              <w:topLinePunct w:val="0"/>
              <w:bidi w:val="0"/>
              <w:adjustRightInd w:val="0"/>
              <w:snapToGrid w:val="0"/>
              <w:spacing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3、声环境质量现状</w:t>
            </w:r>
          </w:p>
          <w:p>
            <w:pPr>
              <w:pStyle w:val="37"/>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本项目厂界外周边50米范围内不存在声环境保护目标，因此无需进行声环境现状监测。</w:t>
            </w:r>
          </w:p>
          <w:p>
            <w:pPr>
              <w:keepNext w:val="0"/>
              <w:keepLines w:val="0"/>
              <w:pageBreakBefore w:val="0"/>
              <w:widowControl w:val="0"/>
              <w:kinsoku/>
              <w:wordWrap/>
              <w:overflowPunct/>
              <w:topLinePunct w:val="0"/>
              <w:bidi w:val="0"/>
              <w:adjustRightInd w:val="0"/>
              <w:snapToGrid w:val="0"/>
              <w:spacing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4、生态环境质量现状</w:t>
            </w:r>
          </w:p>
          <w:p>
            <w:pPr>
              <w:pStyle w:val="37"/>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本项目属于开发区内工业用地，不新增用地，用地范围内不含生态环境保护目标，因此无需进行生态现状调查。</w:t>
            </w:r>
          </w:p>
          <w:p>
            <w:pPr>
              <w:adjustRightInd w:val="0"/>
              <w:snapToGrid w:val="0"/>
              <w:spacing w:line="360" w:lineRule="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5、电磁辐射质量现状</w:t>
            </w:r>
          </w:p>
          <w:p>
            <w:pPr>
              <w:pStyle w:val="37"/>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本项目不属于电磁辐射类项目。</w:t>
            </w:r>
          </w:p>
          <w:p>
            <w:pPr>
              <w:keepNext w:val="0"/>
              <w:keepLines w:val="0"/>
              <w:pageBreakBefore w:val="0"/>
              <w:widowControl w:val="0"/>
              <w:kinsoku/>
              <w:wordWrap/>
              <w:overflowPunct/>
              <w:topLinePunct w:val="0"/>
              <w:bidi w:val="0"/>
              <w:adjustRightInd w:val="0"/>
              <w:snapToGrid w:val="0"/>
              <w:spacing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6、地下水、土壤环境质量现状</w:t>
            </w:r>
          </w:p>
          <w:p>
            <w:pPr>
              <w:pStyle w:val="37"/>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lang w:val="en-US" w:eastAsia="zh-CN"/>
              </w:rPr>
            </w:pPr>
            <w:r>
              <w:rPr>
                <w:rFonts w:hint="default" w:ascii="Times New Roman" w:hAnsi="Times New Roman" w:eastAsia="宋体" w:cs="Times New Roman"/>
                <w:sz w:val="24"/>
                <w:szCs w:val="24"/>
                <w:lang w:eastAsia="zh-CN"/>
              </w:rPr>
              <w:t>本项目厂界外500米范围内无地下水集中式饮用水水源和热水、矿泉水、温泉等特殊地下水资源，并且本项目严格按照导则要求对厂区进行分区防控，因此无需开展地下水、土壤环境质量现状调查。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1"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color w:val="auto"/>
                <w:kern w:val="0"/>
                <w:sz w:val="24"/>
                <w:szCs w:val="24"/>
              </w:rPr>
            </w:pPr>
            <w:r>
              <w:rPr>
                <w:rFonts w:hint="default" w:ascii="Times New Roman" w:hAnsi="Times New Roman" w:eastAsia="宋体" w:cs="Times New Roman"/>
                <w:b w:val="0"/>
                <w:bCs w:val="0"/>
                <w:color w:val="auto"/>
                <w:kern w:val="0"/>
                <w:sz w:val="24"/>
                <w:szCs w:val="24"/>
              </w:rPr>
              <w:t>环境</w:t>
            </w:r>
          </w:p>
          <w:p>
            <w:pPr>
              <w:adjustRightInd w:val="0"/>
              <w:snapToGrid w:val="0"/>
              <w:jc w:val="center"/>
              <w:rPr>
                <w:rFonts w:hint="default" w:ascii="Times New Roman" w:hAnsi="Times New Roman" w:eastAsia="宋体" w:cs="Times New Roman"/>
                <w:b w:val="0"/>
                <w:bCs w:val="0"/>
                <w:color w:val="auto"/>
                <w:kern w:val="0"/>
                <w:sz w:val="24"/>
                <w:szCs w:val="24"/>
              </w:rPr>
            </w:pPr>
            <w:r>
              <w:rPr>
                <w:rFonts w:hint="default" w:ascii="Times New Roman" w:hAnsi="Times New Roman" w:eastAsia="宋体" w:cs="Times New Roman"/>
                <w:b w:val="0"/>
                <w:bCs w:val="0"/>
                <w:color w:val="auto"/>
                <w:kern w:val="0"/>
                <w:sz w:val="24"/>
                <w:szCs w:val="24"/>
              </w:rPr>
              <w:t>保护</w:t>
            </w:r>
          </w:p>
          <w:p>
            <w:pPr>
              <w:adjustRightInd w:val="0"/>
              <w:snapToGrid w:val="0"/>
              <w:jc w:val="center"/>
              <w:rPr>
                <w:rFonts w:hint="default" w:ascii="Times New Roman" w:hAnsi="Times New Roman" w:eastAsia="宋体" w:cs="Times New Roman"/>
                <w:color w:val="0000FF"/>
                <w:kern w:val="0"/>
                <w:szCs w:val="21"/>
              </w:rPr>
            </w:pPr>
            <w:r>
              <w:rPr>
                <w:rFonts w:hint="default" w:ascii="Times New Roman" w:hAnsi="Times New Roman" w:eastAsia="宋体" w:cs="Times New Roman"/>
                <w:b w:val="0"/>
                <w:bCs w:val="0"/>
                <w:color w:val="auto"/>
                <w:kern w:val="0"/>
                <w:sz w:val="24"/>
                <w:szCs w:val="24"/>
              </w:rPr>
              <w:t>目标</w:t>
            </w:r>
          </w:p>
        </w:tc>
        <w:tc>
          <w:tcPr>
            <w:tcW w:w="85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both"/>
              <w:textAlignment w:val="auto"/>
              <w:rPr>
                <w:rFonts w:hint="default" w:ascii="Times New Roman" w:hAnsi="Times New Roman" w:eastAsia="宋体" w:cs="Times New Roman"/>
                <w:b/>
                <w:bCs/>
                <w:color w:val="auto"/>
                <w:kern w:val="0"/>
                <w:sz w:val="24"/>
                <w:szCs w:val="24"/>
                <w:lang w:val="en-US" w:eastAsia="zh-CN"/>
              </w:rPr>
            </w:pPr>
            <w:r>
              <w:rPr>
                <w:rFonts w:hint="default" w:ascii="Times New Roman" w:hAnsi="Times New Roman" w:eastAsia="宋体" w:cs="Times New Roman"/>
                <w:b/>
                <w:bCs/>
                <w:color w:val="auto"/>
                <w:kern w:val="0"/>
                <w:sz w:val="24"/>
                <w:szCs w:val="24"/>
                <w:lang w:val="en-US" w:eastAsia="zh-CN"/>
              </w:rPr>
              <w:t>1、大气环境</w:t>
            </w:r>
          </w:p>
          <w:p>
            <w:pPr>
              <w:snapToGrid w:val="0"/>
              <w:spacing w:line="360" w:lineRule="auto"/>
              <w:ind w:firstLine="482"/>
              <w:rPr>
                <w:rFonts w:hint="eastAsia" w:ascii="Times New Roman" w:hAnsi="Times New Roman" w:eastAsia="Calibri" w:cs="Times New Roman"/>
                <w:color w:val="000000"/>
                <w:spacing w:val="0"/>
                <w:sz w:val="21"/>
                <w:szCs w:val="21"/>
                <w:lang w:val="en-US" w:eastAsia="zh-CN"/>
              </w:rPr>
            </w:pPr>
            <w:r>
              <w:rPr>
                <w:rFonts w:ascii="Times New Roman" w:hAnsi="Times New Roman"/>
                <w:color w:val="000000"/>
                <w:sz w:val="24"/>
              </w:rPr>
              <w:t>厂界500m范围内无自然保护区、风景名胜区、文化区、生态环境敏感区等需要特殊保护的环境敏感点</w:t>
            </w:r>
            <w:r>
              <w:rPr>
                <w:rFonts w:hint="eastAsia" w:ascii="Times New Roman" w:hAnsi="Times New Roman"/>
                <w:color w:val="000000"/>
                <w:sz w:val="24"/>
                <w:lang w:eastAsia="zh-CN"/>
              </w:rPr>
              <w:t>。</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both"/>
              <w:textAlignment w:val="auto"/>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lang w:val="en-US" w:eastAsia="zh-CN"/>
              </w:rPr>
              <w:t>2、声环境</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lang w:val="en-US" w:eastAsia="zh-CN"/>
              </w:rPr>
            </w:pPr>
            <w:r>
              <w:rPr>
                <w:rFonts w:hint="eastAsia" w:ascii="Times New Roman" w:hAnsi="Times New Roman" w:eastAsia="宋体" w:cs="Times New Roman"/>
                <w:b w:val="0"/>
                <w:bCs w:val="0"/>
                <w:color w:val="auto"/>
                <w:kern w:val="0"/>
                <w:sz w:val="24"/>
                <w:szCs w:val="24"/>
                <w:lang w:eastAsia="zh-CN"/>
              </w:rPr>
              <w:t>厂界外</w:t>
            </w:r>
            <w:r>
              <w:rPr>
                <w:rFonts w:hint="eastAsia" w:ascii="Times New Roman" w:hAnsi="Times New Roman" w:eastAsia="宋体" w:cs="Times New Roman"/>
                <w:b w:val="0"/>
                <w:bCs w:val="0"/>
                <w:color w:val="auto"/>
                <w:kern w:val="0"/>
                <w:sz w:val="24"/>
                <w:szCs w:val="24"/>
                <w:lang w:val="en-US" w:eastAsia="zh-CN"/>
              </w:rPr>
              <w:t>50m范围内没有声环境保护目标</w:t>
            </w:r>
            <w:r>
              <w:rPr>
                <w:rFonts w:hint="eastAsia" w:cs="Times New Roman"/>
                <w:b w:val="0"/>
                <w:bCs w:val="0"/>
                <w:color w:val="auto"/>
                <w:kern w:val="0"/>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sz w:val="24"/>
                <w:szCs w:val="24"/>
              </w:rPr>
            </w:pPr>
            <w:r>
              <w:rPr>
                <w:rFonts w:hint="eastAsia"/>
                <w:b/>
                <w:bCs/>
                <w:sz w:val="24"/>
                <w:szCs w:val="24"/>
              </w:rPr>
              <w:t>3</w:t>
            </w:r>
            <w:r>
              <w:rPr>
                <w:rFonts w:hint="eastAsia"/>
                <w:sz w:val="24"/>
                <w:szCs w:val="24"/>
              </w:rPr>
              <w:t>、</w:t>
            </w:r>
            <w:r>
              <w:rPr>
                <w:rFonts w:hint="eastAsia"/>
                <w:b/>
                <w:bCs/>
                <w:sz w:val="24"/>
                <w:szCs w:val="24"/>
              </w:rPr>
              <w:t>地表</w:t>
            </w:r>
            <w:r>
              <w:rPr>
                <w:b/>
                <w:bCs/>
                <w:sz w:val="24"/>
                <w:szCs w:val="24"/>
              </w:rPr>
              <w:t>水环境</w:t>
            </w:r>
          </w:p>
          <w:p>
            <w:pPr>
              <w:snapToGrid w:val="0"/>
              <w:spacing w:line="360" w:lineRule="auto"/>
              <w:jc w:val="center"/>
              <w:rPr>
                <w:sz w:val="24"/>
                <w:szCs w:val="24"/>
              </w:rPr>
            </w:pPr>
            <w:r>
              <w:rPr>
                <w:b/>
                <w:bCs/>
                <w:sz w:val="24"/>
                <w:szCs w:val="24"/>
              </w:rPr>
              <w:t>表3.</w:t>
            </w:r>
            <w:r>
              <w:rPr>
                <w:rFonts w:hint="eastAsia"/>
                <w:b/>
                <w:bCs/>
                <w:sz w:val="24"/>
                <w:szCs w:val="24"/>
                <w:lang w:val="en-US" w:eastAsia="zh-CN"/>
              </w:rPr>
              <w:t>6</w:t>
            </w:r>
            <w:r>
              <w:rPr>
                <w:b/>
                <w:bCs/>
                <w:sz w:val="24"/>
                <w:szCs w:val="24"/>
              </w:rPr>
              <w:t xml:space="preserve"> </w:t>
            </w:r>
            <w:r>
              <w:rPr>
                <w:rFonts w:hint="eastAsia"/>
                <w:b/>
                <w:bCs/>
                <w:sz w:val="24"/>
                <w:szCs w:val="24"/>
              </w:rPr>
              <w:t xml:space="preserve"> 地表</w:t>
            </w:r>
            <w:r>
              <w:rPr>
                <w:b/>
                <w:bCs/>
                <w:sz w:val="24"/>
                <w:szCs w:val="24"/>
              </w:rPr>
              <w:t>水环境保护目标一览表</w:t>
            </w:r>
          </w:p>
          <w:tbl>
            <w:tblPr>
              <w:tblStyle w:val="26"/>
              <w:tblW w:w="83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73"/>
              <w:gridCol w:w="1100"/>
              <w:gridCol w:w="1060"/>
              <w:gridCol w:w="1307"/>
              <w:gridCol w:w="1485"/>
              <w:gridCol w:w="14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95" w:type="dxa"/>
                  <w:vAlign w:val="center"/>
                </w:tcPr>
                <w:p>
                  <w:pPr>
                    <w:snapToGrid w:val="0"/>
                    <w:spacing w:before="62" w:beforeLines="20"/>
                    <w:jc w:val="center"/>
                    <w:rPr>
                      <w:color w:val="auto"/>
                      <w:sz w:val="21"/>
                      <w:szCs w:val="21"/>
                    </w:rPr>
                  </w:pPr>
                  <w:r>
                    <w:rPr>
                      <w:color w:val="auto"/>
                      <w:sz w:val="21"/>
                      <w:szCs w:val="21"/>
                    </w:rPr>
                    <w:t>序号</w:t>
                  </w:r>
                </w:p>
              </w:tc>
              <w:tc>
                <w:tcPr>
                  <w:tcW w:w="1073" w:type="dxa"/>
                  <w:vAlign w:val="center"/>
                </w:tcPr>
                <w:p>
                  <w:pPr>
                    <w:snapToGrid w:val="0"/>
                    <w:spacing w:before="62" w:beforeLines="20"/>
                    <w:jc w:val="center"/>
                    <w:rPr>
                      <w:color w:val="auto"/>
                      <w:sz w:val="21"/>
                      <w:szCs w:val="21"/>
                    </w:rPr>
                  </w:pPr>
                  <w:r>
                    <w:rPr>
                      <w:color w:val="auto"/>
                      <w:sz w:val="21"/>
                      <w:szCs w:val="21"/>
                    </w:rPr>
                    <w:t>环境要素</w:t>
                  </w:r>
                </w:p>
              </w:tc>
              <w:tc>
                <w:tcPr>
                  <w:tcW w:w="1100" w:type="dxa"/>
                  <w:vAlign w:val="center"/>
                </w:tcPr>
                <w:p>
                  <w:pPr>
                    <w:snapToGrid w:val="0"/>
                    <w:spacing w:before="62" w:beforeLines="20"/>
                    <w:jc w:val="center"/>
                    <w:rPr>
                      <w:color w:val="auto"/>
                      <w:sz w:val="21"/>
                      <w:szCs w:val="21"/>
                    </w:rPr>
                  </w:pPr>
                  <w:r>
                    <w:rPr>
                      <w:color w:val="auto"/>
                      <w:sz w:val="21"/>
                      <w:szCs w:val="21"/>
                    </w:rPr>
                    <w:t>环境敏感目标</w:t>
                  </w:r>
                </w:p>
              </w:tc>
              <w:tc>
                <w:tcPr>
                  <w:tcW w:w="1060" w:type="dxa"/>
                  <w:vAlign w:val="center"/>
                </w:tcPr>
                <w:p>
                  <w:pPr>
                    <w:snapToGrid w:val="0"/>
                    <w:spacing w:before="62" w:beforeLines="20"/>
                    <w:jc w:val="center"/>
                    <w:rPr>
                      <w:color w:val="auto"/>
                      <w:sz w:val="21"/>
                      <w:szCs w:val="21"/>
                    </w:rPr>
                  </w:pPr>
                  <w:r>
                    <w:rPr>
                      <w:color w:val="auto"/>
                      <w:sz w:val="21"/>
                      <w:szCs w:val="21"/>
                    </w:rPr>
                    <w:t>方位</w:t>
                  </w:r>
                </w:p>
              </w:tc>
              <w:tc>
                <w:tcPr>
                  <w:tcW w:w="1307" w:type="dxa"/>
                  <w:vAlign w:val="center"/>
                </w:tcPr>
                <w:p>
                  <w:pPr>
                    <w:snapToGrid w:val="0"/>
                    <w:spacing w:before="62" w:beforeLines="20"/>
                    <w:jc w:val="center"/>
                    <w:rPr>
                      <w:color w:val="auto"/>
                      <w:sz w:val="21"/>
                      <w:szCs w:val="21"/>
                    </w:rPr>
                  </w:pPr>
                  <w:r>
                    <w:rPr>
                      <w:color w:val="auto"/>
                      <w:sz w:val="21"/>
                      <w:szCs w:val="21"/>
                    </w:rPr>
                    <w:t>距厂界</w:t>
                  </w:r>
                  <w:r>
                    <w:rPr>
                      <w:rFonts w:hint="eastAsia"/>
                      <w:color w:val="auto"/>
                      <w:sz w:val="21"/>
                      <w:szCs w:val="21"/>
                    </w:rPr>
                    <w:t>/m</w:t>
                  </w:r>
                </w:p>
              </w:tc>
              <w:tc>
                <w:tcPr>
                  <w:tcW w:w="1485" w:type="dxa"/>
                  <w:vAlign w:val="center"/>
                </w:tcPr>
                <w:p>
                  <w:pPr>
                    <w:snapToGrid w:val="0"/>
                    <w:spacing w:before="62" w:beforeLines="20"/>
                    <w:jc w:val="center"/>
                    <w:rPr>
                      <w:color w:val="auto"/>
                      <w:sz w:val="21"/>
                      <w:szCs w:val="21"/>
                    </w:rPr>
                  </w:pPr>
                  <w:r>
                    <w:rPr>
                      <w:color w:val="auto"/>
                      <w:sz w:val="21"/>
                      <w:szCs w:val="21"/>
                    </w:rPr>
                    <w:t>规模</w:t>
                  </w:r>
                </w:p>
              </w:tc>
              <w:tc>
                <w:tcPr>
                  <w:tcW w:w="1493" w:type="dxa"/>
                  <w:vAlign w:val="center"/>
                </w:tcPr>
                <w:p>
                  <w:pPr>
                    <w:snapToGrid w:val="0"/>
                    <w:spacing w:before="62" w:beforeLines="20"/>
                    <w:jc w:val="center"/>
                    <w:rPr>
                      <w:color w:val="auto"/>
                      <w:sz w:val="21"/>
                      <w:szCs w:val="21"/>
                    </w:rPr>
                  </w:pPr>
                  <w:r>
                    <w:rPr>
                      <w:color w:val="auto"/>
                      <w:sz w:val="21"/>
                      <w:szCs w:val="21"/>
                    </w:rPr>
                    <w:t>环境要求及保护级别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95" w:type="dxa"/>
                  <w:vAlign w:val="center"/>
                </w:tcPr>
                <w:p>
                  <w:pPr>
                    <w:snapToGrid w:val="0"/>
                    <w:spacing w:before="62" w:beforeLines="20"/>
                    <w:jc w:val="center"/>
                    <w:rPr>
                      <w:color w:val="auto"/>
                      <w:sz w:val="21"/>
                      <w:szCs w:val="21"/>
                    </w:rPr>
                  </w:pPr>
                  <w:r>
                    <w:rPr>
                      <w:rFonts w:hint="eastAsia"/>
                      <w:color w:val="auto"/>
                      <w:sz w:val="21"/>
                      <w:szCs w:val="21"/>
                    </w:rPr>
                    <w:t>1</w:t>
                  </w:r>
                </w:p>
              </w:tc>
              <w:tc>
                <w:tcPr>
                  <w:tcW w:w="1073" w:type="dxa"/>
                  <w:vAlign w:val="center"/>
                </w:tcPr>
                <w:p>
                  <w:pPr>
                    <w:snapToGrid w:val="0"/>
                    <w:spacing w:before="62" w:beforeLines="20"/>
                    <w:jc w:val="center"/>
                    <w:rPr>
                      <w:color w:val="auto"/>
                      <w:sz w:val="21"/>
                      <w:szCs w:val="21"/>
                    </w:rPr>
                  </w:pPr>
                  <w:r>
                    <w:rPr>
                      <w:color w:val="auto"/>
                      <w:sz w:val="21"/>
                      <w:szCs w:val="21"/>
                    </w:rPr>
                    <w:t>水环境</w:t>
                  </w:r>
                </w:p>
              </w:tc>
              <w:tc>
                <w:tcPr>
                  <w:tcW w:w="1100" w:type="dxa"/>
                  <w:vAlign w:val="center"/>
                </w:tcPr>
                <w:p>
                  <w:pPr>
                    <w:snapToGrid w:val="0"/>
                    <w:spacing w:before="62" w:beforeLines="20"/>
                    <w:jc w:val="center"/>
                    <w:rPr>
                      <w:rFonts w:hint="eastAsia" w:eastAsia="宋体"/>
                      <w:color w:val="auto"/>
                      <w:sz w:val="21"/>
                      <w:szCs w:val="21"/>
                      <w:lang w:eastAsia="zh-CN"/>
                    </w:rPr>
                  </w:pPr>
                  <w:r>
                    <w:rPr>
                      <w:rFonts w:hint="eastAsia"/>
                      <w:color w:val="auto"/>
                      <w:sz w:val="21"/>
                      <w:szCs w:val="21"/>
                      <w:lang w:eastAsia="zh-CN"/>
                    </w:rPr>
                    <w:t>阎河</w:t>
                  </w:r>
                </w:p>
              </w:tc>
              <w:tc>
                <w:tcPr>
                  <w:tcW w:w="1060" w:type="dxa"/>
                  <w:vAlign w:val="center"/>
                </w:tcPr>
                <w:p>
                  <w:pPr>
                    <w:snapToGrid w:val="0"/>
                    <w:spacing w:before="62" w:beforeLines="20"/>
                    <w:jc w:val="center"/>
                    <w:rPr>
                      <w:color w:val="auto"/>
                      <w:sz w:val="21"/>
                      <w:szCs w:val="21"/>
                    </w:rPr>
                  </w:pPr>
                  <w:r>
                    <w:rPr>
                      <w:rFonts w:hint="eastAsia"/>
                      <w:color w:val="auto"/>
                      <w:sz w:val="21"/>
                      <w:szCs w:val="21"/>
                      <w:lang w:val="en-US" w:eastAsia="zh-CN"/>
                    </w:rPr>
                    <w:t>S</w:t>
                  </w:r>
                </w:p>
              </w:tc>
              <w:tc>
                <w:tcPr>
                  <w:tcW w:w="1307" w:type="dxa"/>
                  <w:vAlign w:val="center"/>
                </w:tcPr>
                <w:p>
                  <w:pPr>
                    <w:snapToGrid w:val="0"/>
                    <w:spacing w:before="62" w:beforeLines="20"/>
                    <w:jc w:val="center"/>
                    <w:rPr>
                      <w:rFonts w:hint="default" w:eastAsia="宋体"/>
                      <w:color w:val="auto"/>
                      <w:sz w:val="21"/>
                      <w:szCs w:val="21"/>
                      <w:lang w:val="en-US" w:eastAsia="zh-CN"/>
                    </w:rPr>
                  </w:pPr>
                  <w:r>
                    <w:rPr>
                      <w:rFonts w:hint="eastAsia"/>
                      <w:color w:val="auto"/>
                      <w:sz w:val="21"/>
                      <w:szCs w:val="21"/>
                      <w:lang w:val="en-US" w:eastAsia="zh-CN"/>
                    </w:rPr>
                    <w:t>1645</w:t>
                  </w:r>
                </w:p>
              </w:tc>
              <w:tc>
                <w:tcPr>
                  <w:tcW w:w="1485" w:type="dxa"/>
                  <w:vAlign w:val="center"/>
                </w:tcPr>
                <w:p>
                  <w:pPr>
                    <w:snapToGrid w:val="0"/>
                    <w:spacing w:before="62" w:beforeLines="20"/>
                    <w:jc w:val="center"/>
                    <w:rPr>
                      <w:color w:val="auto"/>
                      <w:sz w:val="21"/>
                      <w:szCs w:val="21"/>
                    </w:rPr>
                  </w:pPr>
                  <w:r>
                    <w:rPr>
                      <w:color w:val="auto"/>
                      <w:sz w:val="21"/>
                      <w:szCs w:val="21"/>
                    </w:rPr>
                    <w:t>小河</w:t>
                  </w:r>
                </w:p>
              </w:tc>
              <w:tc>
                <w:tcPr>
                  <w:tcW w:w="1493" w:type="dxa"/>
                  <w:vAlign w:val="center"/>
                </w:tcPr>
                <w:p>
                  <w:pPr>
                    <w:snapToGrid w:val="0"/>
                    <w:spacing w:before="62" w:beforeLines="20"/>
                    <w:jc w:val="center"/>
                    <w:rPr>
                      <w:color w:val="auto"/>
                      <w:sz w:val="21"/>
                      <w:szCs w:val="21"/>
                    </w:rPr>
                  </w:pPr>
                  <w:r>
                    <w:rPr>
                      <w:color w:val="auto"/>
                      <w:sz w:val="21"/>
                      <w:szCs w:val="21"/>
                    </w:rPr>
                    <w:t>GB3838-2002</w:t>
                  </w:r>
                </w:p>
                <w:p>
                  <w:pPr>
                    <w:jc w:val="center"/>
                    <w:rPr>
                      <w:color w:val="auto"/>
                      <w:sz w:val="21"/>
                      <w:szCs w:val="21"/>
                    </w:rPr>
                  </w:pPr>
                  <w:r>
                    <w:rPr>
                      <w:color w:val="auto"/>
                      <w:sz w:val="21"/>
                      <w:szCs w:val="21"/>
                    </w:rPr>
                    <w:t>Ⅳ类标准</w:t>
                  </w:r>
                </w:p>
              </w:tc>
            </w:tr>
          </w:tbl>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color w:val="auto"/>
                <w:kern w:val="0"/>
                <w:sz w:val="24"/>
                <w:szCs w:val="24"/>
                <w:lang w:val="en-US" w:eastAsia="zh-CN"/>
              </w:rPr>
            </w:pPr>
            <w:r>
              <w:rPr>
                <w:rFonts w:hint="eastAsia" w:cs="Times New Roman"/>
                <w:b/>
                <w:bCs/>
                <w:color w:val="auto"/>
                <w:kern w:val="0"/>
                <w:sz w:val="24"/>
                <w:szCs w:val="24"/>
                <w:lang w:val="en-US" w:eastAsia="zh-CN"/>
              </w:rPr>
              <w:t>4</w:t>
            </w:r>
            <w:r>
              <w:rPr>
                <w:rFonts w:hint="default" w:ascii="Times New Roman" w:hAnsi="Times New Roman" w:eastAsia="宋体" w:cs="Times New Roman"/>
                <w:b/>
                <w:bCs/>
                <w:color w:val="auto"/>
                <w:kern w:val="0"/>
                <w:sz w:val="24"/>
                <w:szCs w:val="24"/>
                <w:lang w:val="en-US" w:eastAsia="zh-CN"/>
              </w:rPr>
              <w:t>、地下水环境</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eastAsia="zh-CN"/>
              </w:rPr>
              <w:t>厂界外</w:t>
            </w:r>
            <w:r>
              <w:rPr>
                <w:rFonts w:hint="eastAsia" w:ascii="Times New Roman" w:hAnsi="Times New Roman" w:eastAsia="宋体" w:cs="Times New Roman"/>
                <w:color w:val="auto"/>
                <w:kern w:val="0"/>
                <w:sz w:val="24"/>
                <w:szCs w:val="24"/>
                <w:lang w:val="en-US" w:eastAsia="zh-CN"/>
              </w:rPr>
              <w:t>500m范围内无地下水集中式引用水水源和热水、矿泉水、温泉等特殊地下水资源。</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bCs/>
                <w:color w:val="auto"/>
                <w:kern w:val="0"/>
                <w:sz w:val="24"/>
                <w:szCs w:val="24"/>
                <w:lang w:val="en-US" w:eastAsia="zh-CN"/>
              </w:rPr>
            </w:pPr>
            <w:r>
              <w:rPr>
                <w:rFonts w:hint="eastAsia" w:cs="Times New Roman"/>
                <w:b/>
                <w:bCs/>
                <w:color w:val="auto"/>
                <w:kern w:val="0"/>
                <w:sz w:val="24"/>
                <w:szCs w:val="24"/>
                <w:lang w:val="en-US" w:eastAsia="zh-CN"/>
              </w:rPr>
              <w:t>5</w:t>
            </w:r>
            <w:r>
              <w:rPr>
                <w:rFonts w:hint="eastAsia" w:ascii="Times New Roman" w:hAnsi="Times New Roman" w:eastAsia="宋体" w:cs="Times New Roman"/>
                <w:b/>
                <w:bCs/>
                <w:color w:val="auto"/>
                <w:kern w:val="0"/>
                <w:sz w:val="24"/>
                <w:szCs w:val="24"/>
                <w:lang w:val="en-US" w:eastAsia="zh-CN"/>
              </w:rPr>
              <w:t>、生态环境</w:t>
            </w:r>
            <w:r>
              <w:rPr>
                <w:rFonts w:hint="eastAsia" w:cs="Times New Roman"/>
                <w:b/>
                <w:bCs/>
                <w:color w:val="auto"/>
                <w:kern w:val="0"/>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FF"/>
                <w:kern w:val="0"/>
                <w:sz w:val="24"/>
                <w:szCs w:val="24"/>
                <w:lang w:val="en-US" w:eastAsia="zh-CN"/>
              </w:rPr>
            </w:pPr>
            <w:r>
              <w:rPr>
                <w:rFonts w:hint="eastAsia" w:ascii="Times New Roman" w:hAnsi="Times New Roman" w:eastAsia="宋体" w:cs="Times New Roman"/>
                <w:color w:val="auto"/>
                <w:kern w:val="0"/>
                <w:sz w:val="24"/>
                <w:szCs w:val="24"/>
                <w:lang w:val="en-US" w:eastAsia="zh-CN"/>
              </w:rPr>
              <w:t>本项目位于</w:t>
            </w:r>
            <w:r>
              <w:rPr>
                <w:rFonts w:hint="eastAsia" w:cs="Times New Roman"/>
                <w:color w:val="auto"/>
                <w:sz w:val="24"/>
                <w:szCs w:val="24"/>
                <w:lang w:eastAsia="zh-CN"/>
              </w:rPr>
              <w:t>安徽省宿州市灵璧县经济开发区轴承产业园内</w:t>
            </w:r>
            <w:r>
              <w:rPr>
                <w:rFonts w:hint="eastAsia" w:ascii="Times New Roman" w:hAnsi="Times New Roman" w:eastAsia="宋体" w:cs="Times New Roman"/>
                <w:color w:val="auto"/>
                <w:kern w:val="0"/>
                <w:sz w:val="24"/>
                <w:szCs w:val="24"/>
                <w:lang w:val="en-US" w:eastAsia="zh-CN"/>
              </w:rPr>
              <w:t>，不涉及新增用地。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94" w:hRule="atLeast"/>
          <w:jc w:val="center"/>
        </w:trPr>
        <w:tc>
          <w:tcPr>
            <w:tcW w:w="451" w:type="dxa"/>
            <w:tcBorders>
              <w:tl2br w:val="nil"/>
              <w:tr2bl w:val="nil"/>
            </w:tcBorders>
            <w:noWrap w:val="0"/>
            <w:tcMar>
              <w:left w:w="28" w:type="dxa"/>
              <w:right w:w="28" w:type="dxa"/>
            </w:tcMar>
            <w:vAlign w:val="center"/>
          </w:tcPr>
          <w:p>
            <w:pPr>
              <w:adjustRightInd w:val="0"/>
              <w:snapToGrid w:val="0"/>
              <w:jc w:val="center"/>
              <w:rPr>
                <w:rFonts w:hint="default" w:ascii="Times New Roman" w:hAnsi="Times New Roman" w:eastAsia="宋体" w:cs="Times New Roman"/>
                <w:b w:val="0"/>
                <w:bCs w:val="0"/>
                <w:color w:val="auto"/>
                <w:kern w:val="0"/>
                <w:sz w:val="24"/>
                <w:szCs w:val="24"/>
              </w:rPr>
            </w:pPr>
            <w:r>
              <w:rPr>
                <w:rFonts w:hint="default" w:ascii="Times New Roman" w:hAnsi="Times New Roman" w:eastAsia="宋体" w:cs="Times New Roman"/>
                <w:b w:val="0"/>
                <w:bCs w:val="0"/>
                <w:color w:val="auto"/>
                <w:kern w:val="0"/>
                <w:sz w:val="24"/>
                <w:szCs w:val="24"/>
              </w:rPr>
              <w:t>污染</w:t>
            </w:r>
          </w:p>
          <w:p>
            <w:pPr>
              <w:adjustRightInd w:val="0"/>
              <w:snapToGrid w:val="0"/>
              <w:jc w:val="center"/>
              <w:rPr>
                <w:rFonts w:hint="default" w:ascii="Times New Roman" w:hAnsi="Times New Roman" w:eastAsia="宋体" w:cs="Times New Roman"/>
                <w:b w:val="0"/>
                <w:bCs w:val="0"/>
                <w:color w:val="auto"/>
                <w:kern w:val="0"/>
                <w:sz w:val="24"/>
                <w:szCs w:val="24"/>
              </w:rPr>
            </w:pPr>
            <w:r>
              <w:rPr>
                <w:rFonts w:hint="default" w:ascii="Times New Roman" w:hAnsi="Times New Roman" w:eastAsia="宋体" w:cs="Times New Roman"/>
                <w:b w:val="0"/>
                <w:bCs w:val="0"/>
                <w:color w:val="auto"/>
                <w:kern w:val="0"/>
                <w:sz w:val="24"/>
                <w:szCs w:val="24"/>
              </w:rPr>
              <w:t>物排</w:t>
            </w:r>
          </w:p>
          <w:p>
            <w:pPr>
              <w:adjustRightInd w:val="0"/>
              <w:snapToGrid w:val="0"/>
              <w:jc w:val="center"/>
              <w:rPr>
                <w:rFonts w:hint="default" w:ascii="Times New Roman" w:hAnsi="Times New Roman" w:eastAsia="宋体" w:cs="Times New Roman"/>
                <w:b w:val="0"/>
                <w:bCs w:val="0"/>
                <w:color w:val="auto"/>
                <w:kern w:val="0"/>
                <w:sz w:val="24"/>
                <w:szCs w:val="24"/>
              </w:rPr>
            </w:pPr>
            <w:r>
              <w:rPr>
                <w:rFonts w:hint="default" w:ascii="Times New Roman" w:hAnsi="Times New Roman" w:eastAsia="宋体" w:cs="Times New Roman"/>
                <w:b w:val="0"/>
                <w:bCs w:val="0"/>
                <w:color w:val="auto"/>
                <w:kern w:val="0"/>
                <w:sz w:val="24"/>
                <w:szCs w:val="24"/>
              </w:rPr>
              <w:t>放控</w:t>
            </w:r>
          </w:p>
          <w:p>
            <w:pPr>
              <w:adjustRightInd w:val="0"/>
              <w:snapToGrid w:val="0"/>
              <w:jc w:val="center"/>
              <w:rPr>
                <w:rFonts w:hint="default" w:ascii="Times New Roman" w:hAnsi="Times New Roman" w:eastAsia="宋体" w:cs="Times New Roman"/>
                <w:b w:val="0"/>
                <w:bCs w:val="0"/>
                <w:color w:val="auto"/>
                <w:kern w:val="0"/>
                <w:sz w:val="24"/>
                <w:szCs w:val="24"/>
              </w:rPr>
            </w:pPr>
            <w:r>
              <w:rPr>
                <w:rFonts w:hint="default" w:ascii="Times New Roman" w:hAnsi="Times New Roman" w:eastAsia="宋体" w:cs="Times New Roman"/>
                <w:b w:val="0"/>
                <w:bCs w:val="0"/>
                <w:color w:val="auto"/>
                <w:kern w:val="0"/>
                <w:sz w:val="24"/>
                <w:szCs w:val="24"/>
              </w:rPr>
              <w:t>制标</w:t>
            </w:r>
          </w:p>
          <w:p>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b w:val="0"/>
                <w:bCs w:val="0"/>
                <w:color w:val="auto"/>
                <w:kern w:val="0"/>
                <w:sz w:val="24"/>
                <w:szCs w:val="24"/>
              </w:rPr>
              <w:t>准</w:t>
            </w:r>
          </w:p>
        </w:tc>
        <w:tc>
          <w:tcPr>
            <w:tcW w:w="85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rPr>
              <w:t>1、废水排放标准</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生活污水依托标准化厂房已建化粪池预处理后经市政污水管网排入灵璧经济开发区北部新区污水处理厂处理，排水满足《污水综合排放标准》（GB8978-1996）中三级排放标准及灵璧经济开发区新北污水处理厂的接管限值。其接管限值见表3.7。</w:t>
            </w: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w:t>
            </w:r>
            <w:r>
              <w:rPr>
                <w:rFonts w:hint="eastAsia" w:ascii="Times New Roman" w:hAnsi="Times New Roman" w:eastAsia="宋体" w:cs="Times New Roman"/>
                <w:b/>
                <w:bCs/>
                <w:color w:val="auto"/>
                <w:sz w:val="24"/>
                <w:szCs w:val="24"/>
                <w:lang w:val="en-US" w:eastAsia="zh-CN"/>
              </w:rPr>
              <w:t>3.</w:t>
            </w:r>
            <w:r>
              <w:rPr>
                <w:rFonts w:hint="eastAsia" w:cs="Times New Roman"/>
                <w:b/>
                <w:bCs/>
                <w:color w:val="auto"/>
                <w:sz w:val="24"/>
                <w:szCs w:val="24"/>
                <w:lang w:val="en-US" w:eastAsia="zh-CN"/>
              </w:rPr>
              <w:t>7</w:t>
            </w:r>
            <w:r>
              <w:rPr>
                <w:rFonts w:hint="eastAsia"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lang w:val="en-US" w:eastAsia="zh-CN"/>
              </w:rPr>
              <w:t xml:space="preserve"> </w:t>
            </w:r>
            <w:r>
              <w:rPr>
                <w:rFonts w:hint="eastAsia" w:ascii="Times New Roman" w:hAnsi="Times New Roman" w:eastAsia="宋体" w:cs="Times New Roman"/>
                <w:b/>
                <w:bCs/>
                <w:color w:val="auto"/>
                <w:sz w:val="24"/>
                <w:szCs w:val="24"/>
                <w:lang w:val="en-US" w:eastAsia="zh-CN"/>
              </w:rPr>
              <w:t>项目废水排放标准</w:t>
            </w:r>
            <w:r>
              <w:rPr>
                <w:rFonts w:hint="default" w:ascii="Times New Roman" w:hAnsi="Times New Roman" w:eastAsia="宋体" w:cs="Times New Roman"/>
                <w:b/>
                <w:bCs/>
                <w:color w:val="auto"/>
                <w:sz w:val="24"/>
                <w:szCs w:val="24"/>
                <w:lang w:val="en-US" w:eastAsia="zh-CN"/>
              </w:rPr>
              <w:t xml:space="preserve"> 单位：mg/L（</w:t>
            </w:r>
            <w:r>
              <w:rPr>
                <w:rFonts w:hint="default" w:ascii="Times New Roman" w:hAnsi="Times New Roman" w:eastAsia="宋体" w:cs="Times New Roman"/>
                <w:b/>
                <w:color w:val="auto"/>
                <w:sz w:val="24"/>
                <w:szCs w:val="24"/>
              </w:rPr>
              <w:t>pH无量纲</w:t>
            </w:r>
            <w:r>
              <w:rPr>
                <w:rFonts w:hint="default" w:ascii="Times New Roman" w:hAnsi="Times New Roman" w:eastAsia="宋体" w:cs="Times New Roman"/>
                <w:b/>
                <w:bCs/>
                <w:color w:val="auto"/>
                <w:sz w:val="24"/>
                <w:szCs w:val="24"/>
                <w:lang w:val="en-US" w:eastAsia="zh-CN"/>
              </w:rPr>
              <w:t>）</w:t>
            </w:r>
          </w:p>
          <w:tbl>
            <w:tblPr>
              <w:tblStyle w:val="26"/>
              <w:tblW w:w="83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2"/>
              <w:gridCol w:w="1361"/>
              <w:gridCol w:w="1037"/>
              <w:gridCol w:w="1067"/>
              <w:gridCol w:w="1079"/>
              <w:gridCol w:w="1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9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标准名称</w:t>
                  </w:r>
                </w:p>
              </w:tc>
              <w:tc>
                <w:tcPr>
                  <w:tcW w:w="13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pH</w:t>
                  </w:r>
                </w:p>
              </w:tc>
              <w:tc>
                <w:tcPr>
                  <w:tcW w:w="10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COD</w:t>
                  </w:r>
                </w:p>
              </w:tc>
              <w:tc>
                <w:tcPr>
                  <w:tcW w:w="106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BOD</w:t>
                  </w:r>
                  <w:r>
                    <w:rPr>
                      <w:rFonts w:hint="default" w:ascii="Times New Roman" w:hAnsi="Times New Roman" w:cs="Times New Roman"/>
                      <w:b w:val="0"/>
                      <w:bCs w:val="0"/>
                      <w:color w:val="auto"/>
                      <w:sz w:val="21"/>
                      <w:szCs w:val="21"/>
                      <w:vertAlign w:val="subscript"/>
                      <w:lang w:val="en-US" w:eastAsia="zh-CN"/>
                    </w:rPr>
                    <w:t>5</w:t>
                  </w:r>
                </w:p>
              </w:tc>
              <w:tc>
                <w:tcPr>
                  <w:tcW w:w="107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SS</w:t>
                  </w:r>
                </w:p>
              </w:tc>
              <w:tc>
                <w:tcPr>
                  <w:tcW w:w="117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NH</w:t>
                  </w:r>
                  <w:r>
                    <w:rPr>
                      <w:rFonts w:hint="default" w:ascii="Times New Roman" w:hAnsi="Times New Roman" w:cs="Times New Roman"/>
                      <w:b w:val="0"/>
                      <w:bCs w:val="0"/>
                      <w:color w:val="auto"/>
                      <w:sz w:val="21"/>
                      <w:szCs w:val="21"/>
                      <w:vertAlign w:val="subscript"/>
                      <w:lang w:val="en-US" w:eastAsia="zh-CN"/>
                    </w:rPr>
                    <w:t>3</w:t>
                  </w:r>
                  <w:r>
                    <w:rPr>
                      <w:rFonts w:hint="default" w:ascii="Times New Roman" w:hAnsi="Times New Roman" w:cs="Times New Roman"/>
                      <w:b w:val="0"/>
                      <w:bCs w:val="0"/>
                      <w:color w:val="auto"/>
                      <w:sz w:val="21"/>
                      <w:szCs w:val="21"/>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9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（GB8978-1996）三级标准</w:t>
                  </w:r>
                </w:p>
              </w:tc>
              <w:tc>
                <w:tcPr>
                  <w:tcW w:w="13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6～9</w:t>
                  </w:r>
                </w:p>
              </w:tc>
              <w:tc>
                <w:tcPr>
                  <w:tcW w:w="10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500</w:t>
                  </w:r>
                </w:p>
              </w:tc>
              <w:tc>
                <w:tcPr>
                  <w:tcW w:w="106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300</w:t>
                  </w:r>
                </w:p>
              </w:tc>
              <w:tc>
                <w:tcPr>
                  <w:tcW w:w="107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400</w:t>
                  </w:r>
                </w:p>
              </w:tc>
              <w:tc>
                <w:tcPr>
                  <w:tcW w:w="117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9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bCs/>
                      <w:color w:val="auto"/>
                      <w:sz w:val="21"/>
                      <w:szCs w:val="21"/>
                    </w:rPr>
                    <w:t>北部新区污水</w:t>
                  </w:r>
                  <w:r>
                    <w:rPr>
                      <w:rFonts w:hint="default" w:ascii="Times New Roman" w:hAnsi="Times New Roman" w:cs="Times New Roman"/>
                      <w:bCs/>
                      <w:color w:val="auto"/>
                      <w:sz w:val="21"/>
                      <w:szCs w:val="21"/>
                      <w:lang w:val="en-US" w:eastAsia="zh-CN"/>
                    </w:rPr>
                    <w:t>处理</w:t>
                  </w:r>
                  <w:r>
                    <w:rPr>
                      <w:rFonts w:hint="default" w:ascii="Times New Roman" w:hAnsi="Times New Roman" w:cs="Times New Roman"/>
                      <w:bCs/>
                      <w:color w:val="auto"/>
                      <w:sz w:val="21"/>
                      <w:szCs w:val="21"/>
                    </w:rPr>
                    <w:t>厂</w:t>
                  </w:r>
                  <w:r>
                    <w:rPr>
                      <w:rFonts w:hint="default" w:ascii="Times New Roman" w:hAnsi="Times New Roman" w:eastAsia="宋体" w:cs="Times New Roman"/>
                      <w:color w:val="auto"/>
                      <w:sz w:val="21"/>
                      <w:szCs w:val="21"/>
                    </w:rPr>
                    <w:t>接管标准</w:t>
                  </w:r>
                </w:p>
              </w:tc>
              <w:tc>
                <w:tcPr>
                  <w:tcW w:w="13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6～9</w:t>
                  </w:r>
                </w:p>
              </w:tc>
              <w:tc>
                <w:tcPr>
                  <w:tcW w:w="10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eastAsia="宋体" w:cs="Times New Roman"/>
                      <w:bCs/>
                      <w:color w:val="auto"/>
                      <w:sz w:val="21"/>
                      <w:szCs w:val="21"/>
                      <w:lang w:val="en-US" w:eastAsia="zh-CN"/>
                    </w:rPr>
                    <w:t>500</w:t>
                  </w:r>
                </w:p>
              </w:tc>
              <w:tc>
                <w:tcPr>
                  <w:tcW w:w="106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eastAsia="宋体" w:cs="Times New Roman"/>
                      <w:bCs/>
                      <w:color w:val="auto"/>
                      <w:sz w:val="21"/>
                      <w:szCs w:val="21"/>
                      <w:lang w:val="en-US" w:eastAsia="zh-CN"/>
                    </w:rPr>
                    <w:t>200</w:t>
                  </w:r>
                </w:p>
              </w:tc>
              <w:tc>
                <w:tcPr>
                  <w:tcW w:w="107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bCs/>
                      <w:color w:val="auto"/>
                      <w:sz w:val="21"/>
                      <w:szCs w:val="21"/>
                    </w:rPr>
                    <w:t>200</w:t>
                  </w:r>
                </w:p>
              </w:tc>
              <w:tc>
                <w:tcPr>
                  <w:tcW w:w="117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bCs/>
                      <w:color w:val="auto"/>
                      <w:sz w:val="21"/>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9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本项目执行</w:t>
                  </w:r>
                </w:p>
              </w:tc>
              <w:tc>
                <w:tcPr>
                  <w:tcW w:w="13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6～9</w:t>
                  </w:r>
                </w:p>
              </w:tc>
              <w:tc>
                <w:tcPr>
                  <w:tcW w:w="10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eastAsia="宋体" w:cs="Times New Roman"/>
                      <w:bCs/>
                      <w:color w:val="auto"/>
                      <w:sz w:val="21"/>
                      <w:szCs w:val="21"/>
                      <w:lang w:val="en-US" w:eastAsia="zh-CN"/>
                    </w:rPr>
                    <w:t>500</w:t>
                  </w:r>
                </w:p>
              </w:tc>
              <w:tc>
                <w:tcPr>
                  <w:tcW w:w="106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eastAsia="宋体" w:cs="Times New Roman"/>
                      <w:bCs/>
                      <w:color w:val="auto"/>
                      <w:sz w:val="21"/>
                      <w:szCs w:val="21"/>
                      <w:lang w:val="en-US" w:eastAsia="zh-CN"/>
                    </w:rPr>
                    <w:t>200</w:t>
                  </w:r>
                </w:p>
              </w:tc>
              <w:tc>
                <w:tcPr>
                  <w:tcW w:w="107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bCs/>
                      <w:color w:val="auto"/>
                      <w:sz w:val="21"/>
                      <w:szCs w:val="21"/>
                    </w:rPr>
                    <w:t>200</w:t>
                  </w:r>
                </w:p>
              </w:tc>
              <w:tc>
                <w:tcPr>
                  <w:tcW w:w="117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bCs/>
                      <w:color w:val="auto"/>
                      <w:sz w:val="21"/>
                      <w:szCs w:val="21"/>
                    </w:rPr>
                    <w:t>25</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left"/>
              <w:textAlignment w:val="auto"/>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rPr>
              <w:t>2、大气污染物排放标准</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eastAsia"/>
                <w:color w:val="auto"/>
                <w:sz w:val="24"/>
                <w:szCs w:val="24"/>
                <w:lang w:eastAsia="zh-CN"/>
              </w:rPr>
              <w:t>本</w:t>
            </w:r>
            <w:r>
              <w:rPr>
                <w:rFonts w:hint="eastAsia" w:ascii="Times New Roman" w:hAnsi="Times New Roman"/>
                <w:color w:val="auto"/>
                <w:sz w:val="24"/>
                <w:szCs w:val="24"/>
              </w:rPr>
              <w:t>项目</w:t>
            </w:r>
            <w:r>
              <w:rPr>
                <w:rFonts w:hint="eastAsia" w:ascii="Times New Roman" w:hAnsi="Times New Roman"/>
                <w:color w:val="auto"/>
                <w:sz w:val="24"/>
                <w:szCs w:val="24"/>
                <w:lang w:eastAsia="zh-CN"/>
              </w:rPr>
              <w:t>有组织废气</w:t>
            </w:r>
            <w:r>
              <w:rPr>
                <w:rFonts w:hint="eastAsia"/>
                <w:color w:val="auto"/>
                <w:sz w:val="24"/>
                <w:szCs w:val="24"/>
                <w:lang w:val="en-US" w:eastAsia="zh-CN"/>
              </w:rPr>
              <w:t>污染物及厂界大气污染物参照执行</w:t>
            </w:r>
            <w:r>
              <w:rPr>
                <w:rFonts w:hint="default" w:ascii="Times New Roman" w:hAnsi="Times New Roman" w:cs="Times New Roman"/>
                <w:b w:val="0"/>
                <w:bCs/>
                <w:color w:val="auto"/>
                <w:sz w:val="24"/>
                <w:lang w:val="en-US" w:eastAsia="zh-CN"/>
              </w:rPr>
              <w:t>《</w:t>
            </w:r>
            <w:r>
              <w:rPr>
                <w:rFonts w:hint="default" w:ascii="Times New Roman" w:hAnsi="Times New Roman" w:cs="Times New Roman"/>
                <w:b w:val="0"/>
                <w:bCs/>
                <w:color w:val="auto"/>
                <w:sz w:val="24"/>
                <w:lang w:eastAsia="zh-CN"/>
              </w:rPr>
              <w:t>大气污染物综合排放标准</w:t>
            </w:r>
            <w:r>
              <w:rPr>
                <w:rFonts w:hint="default" w:ascii="Times New Roman" w:hAnsi="Times New Roman" w:cs="Times New Roman"/>
                <w:b w:val="0"/>
                <w:bCs/>
                <w:color w:val="auto"/>
                <w:sz w:val="24"/>
                <w:lang w:val="en-US" w:eastAsia="zh-CN"/>
              </w:rPr>
              <w:t>》（</w:t>
            </w:r>
            <w:r>
              <w:rPr>
                <w:rFonts w:hint="eastAsia" w:cs="Times New Roman"/>
                <w:b w:val="0"/>
                <w:bCs/>
                <w:color w:val="auto"/>
                <w:sz w:val="24"/>
                <w:lang w:val="en-US" w:eastAsia="zh-CN"/>
              </w:rPr>
              <w:t>GB16297-1996</w:t>
            </w:r>
            <w:r>
              <w:rPr>
                <w:rFonts w:hint="default" w:ascii="Times New Roman" w:hAnsi="Times New Roman" w:cs="Times New Roman"/>
                <w:b w:val="0"/>
                <w:bCs/>
                <w:color w:val="auto"/>
                <w:sz w:val="24"/>
                <w:lang w:val="en-US" w:eastAsia="zh-CN"/>
              </w:rPr>
              <w:t>）</w:t>
            </w:r>
            <w:r>
              <w:rPr>
                <w:rFonts w:hint="eastAsia" w:ascii="Times New Roman" w:hAnsi="Times New Roman" w:cs="Times New Roman"/>
                <w:b w:val="0"/>
                <w:bCs/>
                <w:color w:val="auto"/>
                <w:sz w:val="24"/>
                <w:lang w:val="en-US" w:eastAsia="zh-CN"/>
              </w:rPr>
              <w:t>表</w:t>
            </w:r>
            <w:r>
              <w:rPr>
                <w:rFonts w:hint="eastAsia" w:cs="Times New Roman"/>
                <w:b w:val="0"/>
                <w:bCs/>
                <w:color w:val="auto"/>
                <w:sz w:val="24"/>
                <w:lang w:val="en-US" w:eastAsia="zh-CN"/>
              </w:rPr>
              <w:t>2新污染源大气污染物排放限值，</w:t>
            </w:r>
            <w:r>
              <w:rPr>
                <w:rFonts w:hint="eastAsia" w:ascii="Times New Roman" w:hAnsi="Times New Roman"/>
                <w:color w:val="auto"/>
                <w:sz w:val="24"/>
                <w:szCs w:val="24"/>
              </w:rPr>
              <w:t>具体</w:t>
            </w:r>
            <w:r>
              <w:rPr>
                <w:rFonts w:ascii="Times New Roman" w:hAnsi="Times New Roman"/>
                <w:color w:val="auto"/>
                <w:kern w:val="0"/>
                <w:sz w:val="24"/>
                <w:szCs w:val="24"/>
              </w:rPr>
              <w:t>见表</w:t>
            </w:r>
            <w:r>
              <w:rPr>
                <w:rFonts w:hint="eastAsia"/>
                <w:color w:val="auto"/>
                <w:kern w:val="0"/>
                <w:sz w:val="24"/>
                <w:szCs w:val="24"/>
                <w:lang w:val="en-US" w:eastAsia="zh-CN"/>
              </w:rPr>
              <w:t>3.8</w:t>
            </w:r>
            <w:r>
              <w:rPr>
                <w:rFonts w:hint="eastAsia"/>
                <w:color w:val="auto"/>
                <w:lang w:val="en-US" w:eastAsia="zh-CN"/>
              </w:rPr>
              <w:t>。</w:t>
            </w:r>
            <w:r>
              <w:rPr>
                <w:rFonts w:hint="default" w:ascii="Times New Roman" w:hAnsi="Times New Roman" w:cs="Times New Roman"/>
                <w:color w:val="auto"/>
                <w:sz w:val="24"/>
                <w:szCs w:val="24"/>
                <w:lang w:val="en-US" w:eastAsia="zh-CN"/>
              </w:rPr>
              <w:t>厂区内无组织</w:t>
            </w:r>
            <w:r>
              <w:rPr>
                <w:rFonts w:hint="default" w:ascii="Times New Roman" w:hAnsi="Times New Roman" w:cs="Times New Roman"/>
                <w:color w:val="auto"/>
                <w:sz w:val="24"/>
                <w:szCs w:val="24"/>
                <w:lang w:eastAsia="zh-CN"/>
              </w:rPr>
              <w:t>挥发性有机物</w:t>
            </w:r>
            <w:r>
              <w:rPr>
                <w:rFonts w:hint="eastAsia" w:ascii="Times New Roman" w:hAnsi="Times New Roman" w:cs="Times New Roman"/>
                <w:color w:val="auto"/>
                <w:sz w:val="24"/>
                <w:szCs w:val="24"/>
                <w:lang w:val="en-US" w:eastAsia="zh-CN"/>
              </w:rPr>
              <w:t>参照执行《挥发性有机物无组织排放控制标准》（GB37822-2019）附录A中表A.1中特别排放限值，</w:t>
            </w:r>
            <w:r>
              <w:rPr>
                <w:rFonts w:hint="eastAsia" w:ascii="Times New Roman" w:hAnsi="Times New Roman"/>
                <w:color w:val="auto"/>
                <w:sz w:val="24"/>
                <w:szCs w:val="24"/>
              </w:rPr>
              <w:t>具体</w:t>
            </w:r>
            <w:r>
              <w:rPr>
                <w:rFonts w:ascii="Times New Roman" w:hAnsi="Times New Roman"/>
                <w:color w:val="auto"/>
                <w:kern w:val="0"/>
                <w:sz w:val="24"/>
                <w:szCs w:val="24"/>
              </w:rPr>
              <w:t>见表</w:t>
            </w:r>
            <w:r>
              <w:rPr>
                <w:rFonts w:hint="eastAsia"/>
                <w:color w:val="auto"/>
                <w:kern w:val="0"/>
                <w:sz w:val="24"/>
                <w:szCs w:val="24"/>
                <w:lang w:val="en-US" w:eastAsia="zh-CN"/>
              </w:rPr>
              <w:t>3.9</w:t>
            </w:r>
            <w:r>
              <w:rPr>
                <w:rFonts w:hint="eastAsia" w:ascii="Times New Roman" w:hAnsi="Times New Roman"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szCs w:val="24"/>
                <w:lang w:val="en-US" w:eastAsia="zh-CN"/>
              </w:rPr>
              <w:t>表</w:t>
            </w:r>
            <w:r>
              <w:rPr>
                <w:rFonts w:hint="eastAsia" w:cs="Times New Roman"/>
                <w:b/>
                <w:bCs/>
                <w:color w:val="auto"/>
                <w:sz w:val="24"/>
                <w:szCs w:val="24"/>
                <w:lang w:val="en-US" w:eastAsia="zh-CN"/>
              </w:rPr>
              <w:t>3.8</w:t>
            </w:r>
            <w:r>
              <w:rPr>
                <w:rFonts w:hint="eastAsia" w:ascii="Times New Roman" w:hAnsi="Times New Roman"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lang w:val="en-US" w:eastAsia="zh-CN"/>
              </w:rPr>
              <w:t>《</w:t>
            </w:r>
            <w:r>
              <w:rPr>
                <w:rFonts w:hint="eastAsia" w:ascii="Times New Roman" w:hAnsi="Times New Roman" w:eastAsia="宋体" w:cs="Times New Roman"/>
                <w:b/>
                <w:bCs/>
                <w:color w:val="auto"/>
                <w:sz w:val="24"/>
                <w:lang w:val="en-US" w:eastAsia="zh-CN"/>
              </w:rPr>
              <w:t>大气污染物综合</w:t>
            </w:r>
            <w:r>
              <w:rPr>
                <w:rFonts w:hint="default" w:ascii="Times New Roman" w:hAnsi="Times New Roman" w:eastAsia="宋体" w:cs="Times New Roman"/>
                <w:b/>
                <w:bCs/>
                <w:color w:val="auto"/>
                <w:sz w:val="24"/>
                <w:lang w:val="en-US" w:eastAsia="zh-CN"/>
              </w:rPr>
              <w:t>排放标准》（</w:t>
            </w:r>
            <w:r>
              <w:rPr>
                <w:rFonts w:hint="eastAsia" w:cs="Times New Roman"/>
                <w:b/>
                <w:bCs/>
                <w:color w:val="auto"/>
                <w:sz w:val="24"/>
                <w:lang w:val="en-US" w:eastAsia="zh-CN"/>
              </w:rPr>
              <w:t>GB16297-1996</w:t>
            </w:r>
            <w:r>
              <w:rPr>
                <w:rFonts w:hint="default" w:ascii="Times New Roman" w:hAnsi="Times New Roman" w:eastAsia="宋体" w:cs="Times New Roman"/>
                <w:b/>
                <w:bCs/>
                <w:color w:val="auto"/>
                <w:sz w:val="24"/>
                <w:lang w:val="en-US" w:eastAsia="zh-CN"/>
              </w:rPr>
              <w:t>）</w:t>
            </w:r>
          </w:p>
          <w:tbl>
            <w:tblPr>
              <w:tblStyle w:val="26"/>
              <w:tblW w:w="83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4"/>
              <w:gridCol w:w="2402"/>
              <w:gridCol w:w="1758"/>
              <w:gridCol w:w="1861"/>
              <w:gridCol w:w="18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4" w:type="dxa"/>
                  <w:noWrap w:val="0"/>
                  <w:vAlign w:val="center"/>
                </w:tcPr>
                <w:p>
                  <w:pPr>
                    <w:pStyle w:val="4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lang w:val="en-US" w:eastAsia="zh-CN"/>
                    </w:rPr>
                    <w:t>序号</w:t>
                  </w:r>
                </w:p>
              </w:tc>
              <w:tc>
                <w:tcPr>
                  <w:tcW w:w="2402" w:type="dxa"/>
                  <w:noWrap w:val="0"/>
                  <w:vAlign w:val="center"/>
                </w:tcPr>
                <w:p>
                  <w:pPr>
                    <w:pStyle w:val="4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lang w:val="en-US" w:eastAsia="zh-CN"/>
                    </w:rPr>
                    <w:t>污染物项目</w:t>
                  </w:r>
                </w:p>
              </w:tc>
              <w:tc>
                <w:tcPr>
                  <w:tcW w:w="1758" w:type="dxa"/>
                  <w:noWrap w:val="0"/>
                  <w:vAlign w:val="center"/>
                </w:tcPr>
                <w:p>
                  <w:pPr>
                    <w:pStyle w:val="4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lang w:val="en-US" w:eastAsia="zh-CN"/>
                    </w:rPr>
                    <w:t>最高允许排放浓度（mg/m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lang w:val="en-US" w:eastAsia="zh-CN"/>
                    </w:rPr>
                    <w:t>）</w:t>
                  </w:r>
                </w:p>
              </w:tc>
              <w:tc>
                <w:tcPr>
                  <w:tcW w:w="1861" w:type="dxa"/>
                  <w:noWrap w:val="0"/>
                  <w:vAlign w:val="center"/>
                </w:tcPr>
                <w:p>
                  <w:pPr>
                    <w:pStyle w:val="4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lang w:val="en-US" w:eastAsia="zh-CN"/>
                    </w:rPr>
                    <w:t>最高允许排放速率（kg/h）</w:t>
                  </w:r>
                </w:p>
              </w:tc>
              <w:tc>
                <w:tcPr>
                  <w:tcW w:w="1861" w:type="dxa"/>
                  <w:noWrap w:val="0"/>
                  <w:vAlign w:val="center"/>
                </w:tcPr>
                <w:p>
                  <w:pPr>
                    <w:pStyle w:val="4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周界外浓度最高点</w:t>
                  </w:r>
                  <w:r>
                    <w:rPr>
                      <w:rFonts w:hint="default" w:ascii="Times New Roman" w:hAnsi="Times New Roman" w:eastAsia="宋体" w:cs="Times New Roman"/>
                      <w:b w:val="0"/>
                      <w:bCs w:val="0"/>
                      <w:color w:val="auto"/>
                      <w:sz w:val="21"/>
                      <w:szCs w:val="21"/>
                      <w:lang w:val="en-US" w:eastAsia="zh-CN"/>
                    </w:rPr>
                    <w:t>（mg/m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4" w:type="dxa"/>
                  <w:noWrap w:val="0"/>
                  <w:vAlign w:val="center"/>
                </w:tcPr>
                <w:p>
                  <w:pPr>
                    <w:pStyle w:val="4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w:t>
                  </w:r>
                </w:p>
              </w:tc>
              <w:tc>
                <w:tcPr>
                  <w:tcW w:w="2402" w:type="dxa"/>
                  <w:noWrap w:val="0"/>
                  <w:vAlign w:val="center"/>
                </w:tcPr>
                <w:p>
                  <w:pPr>
                    <w:pStyle w:val="4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挥发性有机物</w:t>
                  </w:r>
                </w:p>
                <w:p>
                  <w:pPr>
                    <w:pStyle w:val="4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（NMHC，以碳计）</w:t>
                  </w:r>
                </w:p>
              </w:tc>
              <w:tc>
                <w:tcPr>
                  <w:tcW w:w="1758" w:type="dxa"/>
                  <w:noWrap w:val="0"/>
                  <w:vAlign w:val="center"/>
                </w:tcPr>
                <w:p>
                  <w:pPr>
                    <w:pStyle w:val="4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120</w:t>
                  </w:r>
                </w:p>
              </w:tc>
              <w:tc>
                <w:tcPr>
                  <w:tcW w:w="1861" w:type="dxa"/>
                  <w:noWrap w:val="0"/>
                  <w:vAlign w:val="center"/>
                </w:tcPr>
                <w:p>
                  <w:pPr>
                    <w:pStyle w:val="4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lang w:val="en-US" w:eastAsia="zh-CN"/>
                    </w:rPr>
                    <w:t>10</w:t>
                  </w:r>
                </w:p>
              </w:tc>
              <w:tc>
                <w:tcPr>
                  <w:tcW w:w="1861" w:type="dxa"/>
                  <w:noWrap w:val="0"/>
                  <w:vAlign w:val="center"/>
                </w:tcPr>
                <w:p>
                  <w:pPr>
                    <w:pStyle w:val="4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4" w:type="dxa"/>
                  <w:noWrap w:val="0"/>
                  <w:vAlign w:val="center"/>
                </w:tcPr>
                <w:p>
                  <w:pPr>
                    <w:pStyle w:val="4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2</w:t>
                  </w:r>
                </w:p>
              </w:tc>
              <w:tc>
                <w:tcPr>
                  <w:tcW w:w="2402" w:type="dxa"/>
                  <w:noWrap w:val="0"/>
                  <w:vAlign w:val="center"/>
                </w:tcPr>
                <w:p>
                  <w:pPr>
                    <w:pStyle w:val="4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颗粒物</w:t>
                  </w:r>
                </w:p>
              </w:tc>
              <w:tc>
                <w:tcPr>
                  <w:tcW w:w="1758" w:type="dxa"/>
                  <w:noWrap w:val="0"/>
                  <w:vAlign w:val="center"/>
                </w:tcPr>
                <w:p>
                  <w:pPr>
                    <w:pStyle w:val="4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120</w:t>
                  </w:r>
                </w:p>
              </w:tc>
              <w:tc>
                <w:tcPr>
                  <w:tcW w:w="1861" w:type="dxa"/>
                  <w:noWrap w:val="0"/>
                  <w:vAlign w:val="center"/>
                </w:tcPr>
                <w:p>
                  <w:pPr>
                    <w:pStyle w:val="4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cs="Times New Roman"/>
                      <w:color w:val="auto"/>
                      <w:sz w:val="21"/>
                      <w:szCs w:val="21"/>
                      <w:lang w:val="en-US" w:eastAsia="zh-CN"/>
                    </w:rPr>
                  </w:pPr>
                  <w:r>
                    <w:rPr>
                      <w:rFonts w:hint="eastAsia" w:cs="Times New Roman"/>
                      <w:color w:val="auto"/>
                      <w:sz w:val="21"/>
                      <w:szCs w:val="21"/>
                      <w:lang w:val="en-US" w:eastAsia="zh-CN"/>
                    </w:rPr>
                    <w:t>3.5</w:t>
                  </w:r>
                </w:p>
              </w:tc>
              <w:tc>
                <w:tcPr>
                  <w:tcW w:w="1861" w:type="dxa"/>
                  <w:noWrap w:val="0"/>
                  <w:vAlign w:val="center"/>
                </w:tcPr>
                <w:p>
                  <w:pPr>
                    <w:pStyle w:val="4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1.0</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0" w:firstLineChars="0"/>
              <w:jc w:val="center"/>
              <w:textAlignment w:val="auto"/>
              <w:rPr>
                <w:rFonts w:hint="default" w:ascii="Times New Roman" w:hAnsi="Times New Roman" w:eastAsia="宋体" w:cs="Times New Roman"/>
                <w:b/>
                <w:bCs/>
                <w:color w:val="auto"/>
                <w:sz w:val="24"/>
                <w:szCs w:val="28"/>
                <w:lang w:val="en-US" w:eastAsia="zh-CN"/>
              </w:rPr>
            </w:pPr>
            <w:r>
              <w:rPr>
                <w:rFonts w:hint="default" w:ascii="Times New Roman" w:hAnsi="Times New Roman" w:eastAsia="宋体" w:cs="Times New Roman"/>
                <w:b/>
                <w:bCs/>
                <w:color w:val="auto"/>
                <w:sz w:val="24"/>
                <w:szCs w:val="28"/>
              </w:rPr>
              <w:t>表</w:t>
            </w:r>
            <w:r>
              <w:rPr>
                <w:rFonts w:hint="eastAsia" w:cs="Times New Roman"/>
                <w:b/>
                <w:bCs/>
                <w:color w:val="auto"/>
                <w:sz w:val="24"/>
                <w:szCs w:val="28"/>
                <w:lang w:val="en-US" w:eastAsia="zh-CN"/>
              </w:rPr>
              <w:t>3.9</w:t>
            </w:r>
            <w:r>
              <w:rPr>
                <w:rFonts w:hint="eastAsia" w:ascii="Times New Roman" w:hAnsi="Times New Roman" w:eastAsia="宋体" w:cs="Times New Roman"/>
                <w:b/>
                <w:bCs/>
                <w:color w:val="auto"/>
                <w:sz w:val="24"/>
                <w:szCs w:val="28"/>
                <w:lang w:val="en-US" w:eastAsia="zh-CN"/>
              </w:rPr>
              <w:t xml:space="preserve"> </w:t>
            </w:r>
            <w:r>
              <w:rPr>
                <w:rFonts w:hint="default" w:ascii="Times New Roman" w:hAnsi="Times New Roman" w:eastAsia="宋体" w:cs="Times New Roman"/>
                <w:b/>
                <w:bCs/>
                <w:color w:val="auto"/>
                <w:sz w:val="24"/>
                <w:szCs w:val="28"/>
                <w:lang w:val="en-US" w:eastAsia="zh-CN"/>
              </w:rPr>
              <w:t xml:space="preserve"> </w:t>
            </w:r>
            <w:r>
              <w:rPr>
                <w:rFonts w:hint="eastAsia" w:ascii="Times New Roman" w:hAnsi="Times New Roman" w:eastAsia="宋体" w:cs="Times New Roman"/>
                <w:b/>
                <w:bCs/>
                <w:color w:val="auto"/>
                <w:sz w:val="24"/>
                <w:szCs w:val="28"/>
                <w:lang w:val="en-US" w:eastAsia="zh-CN"/>
              </w:rPr>
              <w:t>厂区内</w:t>
            </w:r>
            <w:r>
              <w:rPr>
                <w:rFonts w:hint="eastAsia" w:cs="Times New Roman"/>
                <w:b/>
                <w:bCs/>
                <w:color w:val="auto"/>
                <w:sz w:val="24"/>
                <w:szCs w:val="28"/>
                <w:lang w:val="en-US" w:eastAsia="zh-CN"/>
              </w:rPr>
              <w:t>挥发性有机物</w:t>
            </w:r>
            <w:r>
              <w:rPr>
                <w:rFonts w:hint="eastAsia" w:ascii="Times New Roman" w:hAnsi="Times New Roman" w:eastAsia="宋体" w:cs="Times New Roman"/>
                <w:b/>
                <w:bCs/>
                <w:color w:val="auto"/>
                <w:sz w:val="24"/>
                <w:szCs w:val="28"/>
                <w:lang w:val="en-US" w:eastAsia="zh-CN"/>
              </w:rPr>
              <w:t>无组织排放限值</w:t>
            </w:r>
          </w:p>
          <w:tbl>
            <w:tblPr>
              <w:tblStyle w:val="26"/>
              <w:tblW w:w="83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4"/>
              <w:gridCol w:w="2175"/>
              <w:gridCol w:w="2650"/>
              <w:gridCol w:w="2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14"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jc w:val="center"/>
                    <w:textAlignment w:val="auto"/>
                    <w:rPr>
                      <w:rFonts w:hint="eastAsia" w:ascii="Times New Roman" w:hAnsi="Times New Roman" w:eastAsia="宋体" w:cs="Times New Roman"/>
                      <w:b w:val="0"/>
                      <w:bCs w:val="0"/>
                      <w:color w:val="auto"/>
                      <w:sz w:val="21"/>
                      <w:szCs w:val="21"/>
                      <w:vertAlign w:val="baseline"/>
                      <w:lang w:eastAsia="zh-CN"/>
                    </w:rPr>
                  </w:pPr>
                  <w:r>
                    <w:rPr>
                      <w:rFonts w:hint="eastAsia" w:ascii="Times New Roman" w:hAnsi="Times New Roman" w:eastAsia="宋体" w:cs="Times New Roman"/>
                      <w:b w:val="0"/>
                      <w:bCs w:val="0"/>
                      <w:color w:val="auto"/>
                      <w:sz w:val="21"/>
                      <w:szCs w:val="21"/>
                      <w:vertAlign w:val="baseline"/>
                      <w:lang w:eastAsia="zh-CN"/>
                    </w:rPr>
                    <w:t>污染物项目</w:t>
                  </w:r>
                </w:p>
              </w:tc>
              <w:tc>
                <w:tcPr>
                  <w:tcW w:w="2175"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jc w:val="center"/>
                    <w:textAlignment w:val="auto"/>
                    <w:rPr>
                      <w:rFonts w:hint="eastAsia" w:ascii="Times New Roman" w:hAnsi="Times New Roman" w:eastAsia="宋体" w:cs="Times New Roman"/>
                      <w:b w:val="0"/>
                      <w:bCs w:val="0"/>
                      <w:color w:val="auto"/>
                      <w:sz w:val="21"/>
                      <w:szCs w:val="21"/>
                      <w:vertAlign w:val="baseline"/>
                      <w:lang w:eastAsia="zh-CN"/>
                    </w:rPr>
                  </w:pPr>
                  <w:r>
                    <w:rPr>
                      <w:rFonts w:hint="eastAsia" w:ascii="Times New Roman" w:hAnsi="Times New Roman" w:eastAsia="宋体" w:cs="Times New Roman"/>
                      <w:b w:val="0"/>
                      <w:bCs w:val="0"/>
                      <w:color w:val="auto"/>
                      <w:sz w:val="21"/>
                      <w:szCs w:val="21"/>
                      <w:vertAlign w:val="baseline"/>
                      <w:lang w:eastAsia="zh-CN"/>
                    </w:rPr>
                    <w:t>特别排放限值</w:t>
                  </w: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2650"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jc w:val="center"/>
                    <w:textAlignment w:val="auto"/>
                    <w:rPr>
                      <w:rFonts w:hint="eastAsia" w:ascii="Times New Roman" w:hAnsi="Times New Roman" w:eastAsia="宋体" w:cs="Times New Roman"/>
                      <w:b w:val="0"/>
                      <w:bCs w:val="0"/>
                      <w:color w:val="auto"/>
                      <w:sz w:val="21"/>
                      <w:szCs w:val="21"/>
                      <w:vertAlign w:val="baseline"/>
                      <w:lang w:eastAsia="zh-CN"/>
                    </w:rPr>
                  </w:pPr>
                  <w:r>
                    <w:rPr>
                      <w:rFonts w:hint="eastAsia" w:ascii="Times New Roman" w:hAnsi="Times New Roman" w:eastAsia="宋体" w:cs="Times New Roman"/>
                      <w:b w:val="0"/>
                      <w:bCs w:val="0"/>
                      <w:color w:val="auto"/>
                      <w:sz w:val="21"/>
                      <w:szCs w:val="21"/>
                      <w:vertAlign w:val="baseline"/>
                      <w:lang w:eastAsia="zh-CN"/>
                    </w:rPr>
                    <w:t>限值含义</w:t>
                  </w:r>
                </w:p>
              </w:tc>
              <w:tc>
                <w:tcPr>
                  <w:tcW w:w="2174"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jc w:val="center"/>
                    <w:textAlignment w:val="auto"/>
                    <w:rPr>
                      <w:rFonts w:hint="eastAsia" w:ascii="Times New Roman" w:hAnsi="Times New Roman" w:eastAsia="宋体" w:cs="Times New Roman"/>
                      <w:b w:val="0"/>
                      <w:bCs w:val="0"/>
                      <w:color w:val="auto"/>
                      <w:sz w:val="21"/>
                      <w:szCs w:val="21"/>
                      <w:vertAlign w:val="baseline"/>
                      <w:lang w:eastAsia="zh-CN"/>
                    </w:rPr>
                  </w:pPr>
                  <w:r>
                    <w:rPr>
                      <w:rFonts w:hint="eastAsia" w:ascii="Times New Roman" w:hAnsi="Times New Roman" w:eastAsia="宋体" w:cs="Times New Roman"/>
                      <w:b w:val="0"/>
                      <w:bCs w:val="0"/>
                      <w:color w:val="auto"/>
                      <w:sz w:val="21"/>
                      <w:szCs w:val="21"/>
                      <w:vertAlign w:val="baseline"/>
                      <w:lang w:eastAsia="zh-CN"/>
                    </w:rPr>
                    <w:t>无组织排放监控位置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14" w:type="dxa"/>
                  <w:vMerge w:val="restart"/>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NMHC</w:t>
                  </w:r>
                </w:p>
              </w:tc>
              <w:tc>
                <w:tcPr>
                  <w:tcW w:w="2175"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w:t>
                  </w:r>
                </w:p>
              </w:tc>
              <w:tc>
                <w:tcPr>
                  <w:tcW w:w="2650"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eastAsia="zh-CN"/>
                    </w:rPr>
                    <w:t>监控点处</w:t>
                  </w:r>
                  <w:r>
                    <w:rPr>
                      <w:rFonts w:hint="eastAsia" w:ascii="Times New Roman" w:hAnsi="Times New Roman" w:eastAsia="宋体" w:cs="Times New Roman"/>
                      <w:b w:val="0"/>
                      <w:bCs w:val="0"/>
                      <w:color w:val="auto"/>
                      <w:sz w:val="21"/>
                      <w:szCs w:val="21"/>
                      <w:vertAlign w:val="baseline"/>
                      <w:lang w:val="en-US" w:eastAsia="zh-CN"/>
                    </w:rPr>
                    <w:t>1h平均浓度值</w:t>
                  </w:r>
                </w:p>
              </w:tc>
              <w:tc>
                <w:tcPr>
                  <w:tcW w:w="2174" w:type="dxa"/>
                  <w:vMerge w:val="restart"/>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jc w:val="center"/>
                    <w:textAlignment w:val="auto"/>
                    <w:rPr>
                      <w:rFonts w:hint="eastAsia" w:ascii="Times New Roman" w:hAnsi="Times New Roman" w:eastAsia="宋体" w:cs="Times New Roman"/>
                      <w:b w:val="0"/>
                      <w:bCs w:val="0"/>
                      <w:color w:val="auto"/>
                      <w:sz w:val="21"/>
                      <w:szCs w:val="21"/>
                      <w:vertAlign w:val="baseline"/>
                      <w:lang w:eastAsia="zh-CN"/>
                    </w:rPr>
                  </w:pPr>
                  <w:r>
                    <w:rPr>
                      <w:rFonts w:hint="eastAsia" w:ascii="Times New Roman" w:hAnsi="Times New Roman" w:eastAsia="宋体" w:cs="Times New Roman"/>
                      <w:b w:val="0"/>
                      <w:bCs w:val="0"/>
                      <w:color w:val="auto"/>
                      <w:sz w:val="21"/>
                      <w:szCs w:val="21"/>
                      <w:vertAlign w:val="baseline"/>
                      <w:lang w:eastAsia="zh-CN"/>
                    </w:rPr>
                    <w:t>在厂房外设置监控点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14" w:type="dxa"/>
                  <w:vMerge w:val="continue"/>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jc w:val="center"/>
                    <w:textAlignment w:val="auto"/>
                    <w:rPr>
                      <w:rFonts w:hint="default" w:ascii="Times New Roman" w:hAnsi="Times New Roman" w:eastAsia="宋体" w:cs="Times New Roman"/>
                      <w:b w:val="0"/>
                      <w:bCs w:val="0"/>
                      <w:color w:val="auto"/>
                      <w:sz w:val="21"/>
                      <w:szCs w:val="21"/>
                      <w:vertAlign w:val="baseline"/>
                    </w:rPr>
                  </w:pPr>
                </w:p>
              </w:tc>
              <w:tc>
                <w:tcPr>
                  <w:tcW w:w="2175"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20</w:t>
                  </w:r>
                </w:p>
              </w:tc>
              <w:tc>
                <w:tcPr>
                  <w:tcW w:w="2650"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jc w:val="center"/>
                    <w:textAlignment w:val="auto"/>
                    <w:rPr>
                      <w:rFonts w:hint="eastAsia" w:ascii="Times New Roman" w:hAnsi="Times New Roman" w:eastAsia="宋体" w:cs="Times New Roman"/>
                      <w:b w:val="0"/>
                      <w:bCs w:val="0"/>
                      <w:color w:val="auto"/>
                      <w:sz w:val="21"/>
                      <w:szCs w:val="21"/>
                      <w:vertAlign w:val="baseline"/>
                      <w:lang w:eastAsia="zh-CN"/>
                    </w:rPr>
                  </w:pPr>
                  <w:r>
                    <w:rPr>
                      <w:rFonts w:hint="eastAsia" w:ascii="Times New Roman" w:hAnsi="Times New Roman" w:eastAsia="宋体" w:cs="Times New Roman"/>
                      <w:b w:val="0"/>
                      <w:bCs w:val="0"/>
                      <w:color w:val="auto"/>
                      <w:sz w:val="21"/>
                      <w:szCs w:val="21"/>
                      <w:vertAlign w:val="baseline"/>
                      <w:lang w:eastAsia="zh-CN"/>
                    </w:rPr>
                    <w:t>监控点处任意一次浓度值</w:t>
                  </w:r>
                </w:p>
              </w:tc>
              <w:tc>
                <w:tcPr>
                  <w:tcW w:w="2174" w:type="dxa"/>
                  <w:vMerge w:val="continue"/>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jc w:val="center"/>
                    <w:textAlignment w:val="auto"/>
                    <w:rPr>
                      <w:rFonts w:hint="default" w:ascii="Times New Roman" w:hAnsi="Times New Roman" w:eastAsia="宋体" w:cs="Times New Roman"/>
                      <w:b w:val="0"/>
                      <w:bCs w:val="0"/>
                      <w:color w:val="auto"/>
                      <w:sz w:val="21"/>
                      <w:szCs w:val="21"/>
                      <w:vertAlign w:val="baseline"/>
                    </w:rPr>
                  </w:pP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left"/>
              <w:textAlignment w:val="auto"/>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rPr>
              <w:t>3、噪声排放标准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Times New Roman" w:hAnsi="Times New Roman"/>
                <w:b/>
                <w:color w:val="auto"/>
                <w:sz w:val="24"/>
              </w:rPr>
            </w:pPr>
            <w:r>
              <w:rPr>
                <w:rFonts w:hint="default" w:ascii="Times New Roman" w:hAnsi="Times New Roman" w:eastAsia="宋体" w:cs="Times New Roman"/>
                <w:color w:val="auto"/>
                <w:sz w:val="24"/>
              </w:rPr>
              <w:t>评价区域</w:t>
            </w:r>
            <w:r>
              <w:rPr>
                <w:rFonts w:hint="eastAsia" w:ascii="Times New Roman" w:hAnsi="Times New Roman"/>
                <w:color w:val="auto"/>
                <w:sz w:val="24"/>
              </w:rPr>
              <w:t>运营</w:t>
            </w:r>
            <w:r>
              <w:rPr>
                <w:rFonts w:ascii="Times New Roman" w:hAnsi="Times New Roman"/>
                <w:color w:val="auto"/>
                <w:sz w:val="24"/>
              </w:rPr>
              <w:t>期噪声执行《工业企业厂界环境噪声排放标准》（GB12348-2008）中</w:t>
            </w:r>
            <w:r>
              <w:rPr>
                <w:rFonts w:hint="eastAsia"/>
                <w:color w:val="auto"/>
                <w:sz w:val="24"/>
                <w:lang w:val="en-US" w:eastAsia="zh-CN"/>
              </w:rPr>
              <w:t>3</w:t>
            </w:r>
            <w:r>
              <w:rPr>
                <w:rFonts w:ascii="Times New Roman" w:hAnsi="Times New Roman"/>
                <w:color w:val="auto"/>
                <w:sz w:val="24"/>
              </w:rPr>
              <w:t>类</w:t>
            </w:r>
            <w:r>
              <w:rPr>
                <w:rFonts w:hint="eastAsia"/>
                <w:color w:val="auto"/>
                <w:sz w:val="24"/>
                <w:lang w:eastAsia="zh-CN"/>
              </w:rPr>
              <w:t>及</w:t>
            </w:r>
            <w:r>
              <w:rPr>
                <w:rFonts w:hint="eastAsia"/>
                <w:color w:val="auto"/>
                <w:sz w:val="24"/>
                <w:lang w:val="en-US" w:eastAsia="zh-CN"/>
              </w:rPr>
              <w:t>4a类</w:t>
            </w:r>
            <w:r>
              <w:rPr>
                <w:rFonts w:ascii="Times New Roman" w:hAnsi="Times New Roman"/>
                <w:color w:val="auto"/>
                <w:sz w:val="24"/>
              </w:rPr>
              <w:t>标准。其标准限值见表</w:t>
            </w:r>
            <w:r>
              <w:rPr>
                <w:rFonts w:hint="eastAsia" w:ascii="Times New Roman" w:hAnsi="Times New Roman"/>
                <w:color w:val="auto"/>
                <w:sz w:val="24"/>
                <w:lang w:val="en-US" w:eastAsia="zh-CN"/>
              </w:rPr>
              <w:t>3.</w:t>
            </w:r>
            <w:r>
              <w:rPr>
                <w:rFonts w:hint="eastAsia"/>
                <w:color w:val="auto"/>
                <w:sz w:val="24"/>
                <w:lang w:val="en-US" w:eastAsia="zh-CN"/>
              </w:rPr>
              <w:t>10</w:t>
            </w:r>
            <w:r>
              <w:rPr>
                <w:rFonts w:ascii="Times New Roman" w:hAnsi="Times New Roman"/>
                <w:color w:val="auto"/>
                <w:sz w:val="24"/>
              </w:rPr>
              <w:t>。</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firstLine="0" w:firstLineChars="0"/>
              <w:jc w:val="center"/>
              <w:textAlignment w:val="auto"/>
              <w:outlineLvl w:val="9"/>
              <w:rPr>
                <w:rFonts w:hint="eastAsia" w:ascii="Times New Roman" w:hAnsi="Times New Roman"/>
                <w:b/>
                <w:color w:val="auto"/>
                <w:sz w:val="24"/>
              </w:rPr>
            </w:pPr>
            <w:r>
              <w:rPr>
                <w:rFonts w:hint="eastAsia" w:ascii="Times New Roman" w:hAnsi="Times New Roman"/>
                <w:b/>
                <w:color w:val="auto"/>
                <w:sz w:val="24"/>
              </w:rPr>
              <w:t>表</w:t>
            </w:r>
            <w:r>
              <w:rPr>
                <w:rFonts w:hint="eastAsia" w:ascii="Times New Roman" w:hAnsi="Times New Roman"/>
                <w:b/>
                <w:color w:val="auto"/>
                <w:sz w:val="24"/>
                <w:lang w:val="en-US" w:eastAsia="zh-CN"/>
              </w:rPr>
              <w:t>3.</w:t>
            </w:r>
            <w:r>
              <w:rPr>
                <w:rFonts w:hint="eastAsia"/>
                <w:b/>
                <w:color w:val="auto"/>
                <w:sz w:val="24"/>
                <w:lang w:val="en-US" w:eastAsia="zh-CN"/>
              </w:rPr>
              <w:t xml:space="preserve">10  </w:t>
            </w:r>
            <w:r>
              <w:rPr>
                <w:rFonts w:hint="eastAsia" w:ascii="Times New Roman" w:hAnsi="Times New Roman"/>
                <w:b/>
                <w:color w:val="auto"/>
                <w:sz w:val="24"/>
              </w:rPr>
              <w:t>工业企业厂界环境噪声排放标准 单位：dB（A）</w:t>
            </w:r>
          </w:p>
          <w:tbl>
            <w:tblPr>
              <w:tblStyle w:val="25"/>
              <w:tblW w:w="8323"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3784"/>
              <w:gridCol w:w="2487"/>
              <w:gridCol w:w="2052"/>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3784" w:type="dxa"/>
                  <w:tcBorders>
                    <w:top w:val="single" w:color="auto" w:sz="8" w:space="0"/>
                    <w:left w:val="single" w:color="auto" w:sz="8" w:space="0"/>
                    <w:bottom w:val="single" w:color="auto" w:sz="8"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outlineLvl w:val="9"/>
                    <w:rPr>
                      <w:rFonts w:ascii="Times New Roman" w:hAnsi="Times New Roman"/>
                      <w:bCs/>
                      <w:color w:val="auto"/>
                      <w:sz w:val="21"/>
                      <w:szCs w:val="21"/>
                      <w:lang w:val="zh-CN"/>
                    </w:rPr>
                  </w:pPr>
                  <w:r>
                    <w:rPr>
                      <w:rFonts w:ascii="Times New Roman" w:hAnsi="Times New Roman"/>
                      <w:bCs/>
                      <w:color w:val="auto"/>
                      <w:sz w:val="21"/>
                      <w:szCs w:val="21"/>
                      <w:lang w:val="zh-CN"/>
                    </w:rPr>
                    <w:t>声环境功能区类别</w:t>
                  </w:r>
                </w:p>
              </w:tc>
              <w:tc>
                <w:tcPr>
                  <w:tcW w:w="2487" w:type="dxa"/>
                  <w:tcBorders>
                    <w:top w:val="single" w:color="auto" w:sz="8" w:space="0"/>
                    <w:bottom w:val="single" w:color="auto" w:sz="8"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outlineLvl w:val="9"/>
                    <w:rPr>
                      <w:rFonts w:ascii="Times New Roman" w:hAnsi="Times New Roman"/>
                      <w:bCs/>
                      <w:color w:val="auto"/>
                      <w:sz w:val="21"/>
                      <w:szCs w:val="21"/>
                      <w:lang w:val="zh-CN"/>
                    </w:rPr>
                  </w:pPr>
                  <w:r>
                    <w:rPr>
                      <w:rFonts w:ascii="Times New Roman" w:hAnsi="Times New Roman"/>
                      <w:bCs/>
                      <w:color w:val="auto"/>
                      <w:sz w:val="21"/>
                      <w:szCs w:val="21"/>
                      <w:lang w:val="zh-CN"/>
                    </w:rPr>
                    <w:t>昼间</w:t>
                  </w:r>
                </w:p>
              </w:tc>
              <w:tc>
                <w:tcPr>
                  <w:tcW w:w="2052" w:type="dxa"/>
                  <w:tcBorders>
                    <w:top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outlineLvl w:val="9"/>
                    <w:rPr>
                      <w:rFonts w:ascii="Times New Roman" w:hAnsi="Times New Roman"/>
                      <w:bCs/>
                      <w:color w:val="auto"/>
                      <w:sz w:val="21"/>
                      <w:szCs w:val="21"/>
                      <w:lang w:val="zh-CN"/>
                    </w:rPr>
                  </w:pPr>
                  <w:r>
                    <w:rPr>
                      <w:rFonts w:ascii="Times New Roman" w:hAnsi="Times New Roman"/>
                      <w:bCs/>
                      <w:color w:val="auto"/>
                      <w:sz w:val="21"/>
                      <w:szCs w:val="21"/>
                      <w:lang w:val="zh-CN"/>
                    </w:rPr>
                    <w:t>夜间</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3784" w:type="dxa"/>
                  <w:tcBorders>
                    <w:top w:val="single" w:color="auto" w:sz="8" w:space="0"/>
                    <w:left w:val="single" w:color="auto" w:sz="8" w:space="0"/>
                    <w:bottom w:val="single" w:color="auto" w:sz="8"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outlineLvl w:val="9"/>
                    <w:rPr>
                      <w:rFonts w:ascii="Times New Roman" w:hAnsi="Times New Roman"/>
                      <w:bCs/>
                      <w:color w:val="auto"/>
                      <w:sz w:val="21"/>
                      <w:szCs w:val="21"/>
                      <w:lang w:val="zh-CN"/>
                    </w:rPr>
                  </w:pPr>
                  <w:r>
                    <w:rPr>
                      <w:rFonts w:hint="eastAsia"/>
                      <w:bCs/>
                      <w:color w:val="auto"/>
                      <w:sz w:val="21"/>
                      <w:szCs w:val="21"/>
                      <w:lang w:val="en-US" w:eastAsia="zh-CN"/>
                    </w:rPr>
                    <w:t>3</w:t>
                  </w:r>
                  <w:r>
                    <w:rPr>
                      <w:rFonts w:ascii="Times New Roman" w:hAnsi="Times New Roman"/>
                      <w:bCs/>
                      <w:color w:val="auto"/>
                      <w:sz w:val="21"/>
                      <w:szCs w:val="21"/>
                      <w:lang w:val="zh-CN"/>
                    </w:rPr>
                    <w:t>类</w:t>
                  </w:r>
                </w:p>
              </w:tc>
              <w:tc>
                <w:tcPr>
                  <w:tcW w:w="2487" w:type="dxa"/>
                  <w:tcBorders>
                    <w:top w:val="single" w:color="auto" w:sz="8" w:space="0"/>
                    <w:bottom w:val="single" w:color="auto" w:sz="8"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outlineLvl w:val="9"/>
                    <w:rPr>
                      <w:rFonts w:hint="eastAsia" w:ascii="Times New Roman" w:hAnsi="Times New Roman" w:eastAsia="宋体"/>
                      <w:bCs/>
                      <w:color w:val="auto"/>
                      <w:sz w:val="21"/>
                      <w:szCs w:val="21"/>
                      <w:lang w:val="en-US" w:eastAsia="zh-CN"/>
                    </w:rPr>
                  </w:pPr>
                  <w:r>
                    <w:rPr>
                      <w:rFonts w:hint="eastAsia" w:ascii="Times New Roman" w:hAnsi="Times New Roman"/>
                      <w:bCs/>
                      <w:color w:val="auto"/>
                      <w:sz w:val="21"/>
                      <w:szCs w:val="21"/>
                      <w:lang w:val="en-US" w:eastAsia="zh-CN"/>
                    </w:rPr>
                    <w:t>6</w:t>
                  </w:r>
                  <w:r>
                    <w:rPr>
                      <w:rFonts w:hint="eastAsia"/>
                      <w:bCs/>
                      <w:color w:val="auto"/>
                      <w:sz w:val="21"/>
                      <w:szCs w:val="21"/>
                      <w:lang w:val="en-US" w:eastAsia="zh-CN"/>
                    </w:rPr>
                    <w:t>5</w:t>
                  </w:r>
                </w:p>
              </w:tc>
              <w:tc>
                <w:tcPr>
                  <w:tcW w:w="2052" w:type="dxa"/>
                  <w:tcBorders>
                    <w:top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outlineLvl w:val="9"/>
                    <w:rPr>
                      <w:rFonts w:hint="eastAsia" w:ascii="Times New Roman" w:hAnsi="Times New Roman" w:eastAsia="宋体"/>
                      <w:bCs/>
                      <w:color w:val="auto"/>
                      <w:sz w:val="21"/>
                      <w:szCs w:val="21"/>
                      <w:lang w:val="en-US" w:eastAsia="zh-CN"/>
                    </w:rPr>
                  </w:pPr>
                  <w:r>
                    <w:rPr>
                      <w:rFonts w:hint="eastAsia" w:ascii="Times New Roman" w:hAnsi="Times New Roman"/>
                      <w:bCs/>
                      <w:color w:val="auto"/>
                      <w:sz w:val="21"/>
                      <w:szCs w:val="21"/>
                      <w:lang w:val="en-US" w:eastAsia="zh-CN"/>
                    </w:rPr>
                    <w:t>5</w:t>
                  </w:r>
                  <w:r>
                    <w:rPr>
                      <w:rFonts w:hint="eastAsia"/>
                      <w:bCs/>
                      <w:color w:val="auto"/>
                      <w:sz w:val="21"/>
                      <w:szCs w:val="21"/>
                      <w:lang w:val="en-US" w:eastAsia="zh-CN"/>
                    </w:rPr>
                    <w:t>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3784" w:type="dxa"/>
                  <w:tcBorders>
                    <w:top w:val="single" w:color="auto" w:sz="8" w:space="0"/>
                    <w:left w:val="single" w:color="auto" w:sz="8" w:space="0"/>
                    <w:bottom w:val="single" w:color="auto" w:sz="8"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outlineLvl w:val="9"/>
                    <w:rPr>
                      <w:rFonts w:hint="eastAsia" w:eastAsia="宋体"/>
                      <w:bCs/>
                      <w:color w:val="auto"/>
                      <w:sz w:val="21"/>
                      <w:szCs w:val="21"/>
                      <w:lang w:val="en-US" w:eastAsia="zh-CN"/>
                    </w:rPr>
                  </w:pPr>
                  <w:r>
                    <w:rPr>
                      <w:rFonts w:hint="eastAsia"/>
                      <w:bCs/>
                      <w:color w:val="auto"/>
                      <w:sz w:val="21"/>
                      <w:szCs w:val="21"/>
                      <w:lang w:val="en-US" w:eastAsia="zh-CN"/>
                    </w:rPr>
                    <w:t>4a</w:t>
                  </w:r>
                  <w:r>
                    <w:rPr>
                      <w:rFonts w:ascii="Times New Roman" w:hAnsi="Times New Roman"/>
                      <w:bCs/>
                      <w:color w:val="auto"/>
                      <w:sz w:val="21"/>
                      <w:szCs w:val="21"/>
                      <w:lang w:val="zh-CN"/>
                    </w:rPr>
                    <w:t>类</w:t>
                  </w:r>
                  <w:r>
                    <w:rPr>
                      <w:rFonts w:hint="eastAsia"/>
                      <w:bCs/>
                      <w:color w:val="auto"/>
                      <w:sz w:val="21"/>
                      <w:szCs w:val="21"/>
                      <w:lang w:val="zh-CN"/>
                    </w:rPr>
                    <w:t>（</w:t>
                  </w:r>
                  <w:r>
                    <w:rPr>
                      <w:rFonts w:hint="eastAsia"/>
                      <w:bCs/>
                      <w:color w:val="auto"/>
                      <w:sz w:val="21"/>
                      <w:szCs w:val="21"/>
                      <w:lang w:val="en-US" w:eastAsia="zh-CN"/>
                    </w:rPr>
                    <w:t>靠近高速路一侧）</w:t>
                  </w:r>
                </w:p>
              </w:tc>
              <w:tc>
                <w:tcPr>
                  <w:tcW w:w="2487" w:type="dxa"/>
                  <w:tcBorders>
                    <w:top w:val="single" w:color="auto" w:sz="8" w:space="0"/>
                    <w:bottom w:val="single" w:color="auto" w:sz="8"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outlineLvl w:val="9"/>
                    <w:rPr>
                      <w:rFonts w:hint="default" w:ascii="Times New Roman" w:hAnsi="Times New Roman"/>
                      <w:bCs/>
                      <w:color w:val="auto"/>
                      <w:sz w:val="21"/>
                      <w:szCs w:val="21"/>
                      <w:lang w:val="en-US" w:eastAsia="zh-CN"/>
                    </w:rPr>
                  </w:pPr>
                  <w:r>
                    <w:rPr>
                      <w:rFonts w:hint="eastAsia"/>
                      <w:bCs/>
                      <w:color w:val="auto"/>
                      <w:sz w:val="21"/>
                      <w:szCs w:val="21"/>
                      <w:lang w:val="en-US" w:eastAsia="zh-CN"/>
                    </w:rPr>
                    <w:t>70</w:t>
                  </w:r>
                </w:p>
              </w:tc>
              <w:tc>
                <w:tcPr>
                  <w:tcW w:w="2052" w:type="dxa"/>
                  <w:tcBorders>
                    <w:top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outlineLvl w:val="9"/>
                    <w:rPr>
                      <w:rFonts w:hint="default" w:ascii="Times New Roman" w:hAnsi="Times New Roman"/>
                      <w:bCs/>
                      <w:color w:val="auto"/>
                      <w:sz w:val="21"/>
                      <w:szCs w:val="21"/>
                      <w:lang w:val="en-US" w:eastAsia="zh-CN"/>
                    </w:rPr>
                  </w:pPr>
                  <w:r>
                    <w:rPr>
                      <w:rFonts w:hint="eastAsia"/>
                      <w:bCs/>
                      <w:color w:val="auto"/>
                      <w:sz w:val="21"/>
                      <w:szCs w:val="21"/>
                      <w:lang w:val="en-US" w:eastAsia="zh-CN"/>
                    </w:rPr>
                    <w:t>55</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left"/>
              <w:textAlignment w:val="auto"/>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rPr>
              <w:t>4、固废排放标准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rPr>
            </w:pPr>
            <w:r>
              <w:rPr>
                <w:kern w:val="0"/>
                <w:sz w:val="24"/>
              </w:rPr>
              <w:t>一般固废参照执行《一般工业固体废物贮存</w:t>
            </w:r>
            <w:r>
              <w:rPr>
                <w:rFonts w:hint="eastAsia"/>
                <w:kern w:val="0"/>
                <w:sz w:val="24"/>
              </w:rPr>
              <w:t>和填埋污染控制标准</w:t>
            </w:r>
            <w:r>
              <w:rPr>
                <w:kern w:val="0"/>
                <w:sz w:val="24"/>
              </w:rPr>
              <w:t>》（GB18599-20</w:t>
            </w:r>
            <w:r>
              <w:rPr>
                <w:rFonts w:hint="eastAsia"/>
                <w:kern w:val="0"/>
                <w:sz w:val="24"/>
              </w:rPr>
              <w:t>20</w:t>
            </w:r>
            <w:r>
              <w:rPr>
                <w:kern w:val="0"/>
                <w:sz w:val="24"/>
              </w:rPr>
              <w:t>）中的相关规定。危险废物执行《危险废物贮存污染控制标</w:t>
            </w:r>
            <w:r>
              <w:rPr>
                <w:rFonts w:hint="eastAsia"/>
                <w:kern w:val="0"/>
                <w:sz w:val="24"/>
              </w:rPr>
              <w:t>准》</w:t>
            </w:r>
            <w:r>
              <w:rPr>
                <w:kern w:val="0"/>
                <w:sz w:val="24"/>
              </w:rPr>
              <w:t>（GB18597-20</w:t>
            </w:r>
            <w:r>
              <w:rPr>
                <w:rFonts w:hint="eastAsia"/>
                <w:kern w:val="0"/>
                <w:sz w:val="24"/>
              </w:rPr>
              <w:t>23</w:t>
            </w:r>
            <w:r>
              <w:rPr>
                <w:kern w:val="0"/>
                <w:sz w:val="24"/>
              </w:rPr>
              <w:t>）中的相关规定</w:t>
            </w:r>
            <w:r>
              <w:rPr>
                <w:rFonts w:hint="default" w:ascii="Times New Roman" w:hAnsi="Times New Roman" w:eastAsia="宋体" w:cs="Times New Roman"/>
                <w:color w:val="auto"/>
                <w:kern w:val="0"/>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rPr>
            </w:pP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Times New Roman" w:hAnsi="Times New Roman" w:eastAsia="宋体" w:cs="Times New Roman"/>
                <w:color w:val="auto"/>
                <w:kern w:val="0"/>
                <w:sz w:val="24"/>
                <w:szCs w:val="24"/>
                <w:lang w:val="en-US" w:eastAsia="zh-CN"/>
              </w:rPr>
            </w:pPr>
          </w:p>
          <w:p>
            <w:pPr>
              <w:adjustRightInd w:val="0"/>
              <w:snapToGrid w:val="0"/>
              <w:jc w:val="center"/>
              <w:rPr>
                <w:rFonts w:hint="eastAsia" w:cs="Times New Roman"/>
                <w:color w:val="auto"/>
                <w:kern w:val="0"/>
                <w:szCs w:val="21"/>
                <w:lang w:val="en-US" w:eastAsia="zh-CN"/>
              </w:rPr>
            </w:pPr>
          </w:p>
          <w:p>
            <w:pPr>
              <w:adjustRightInd w:val="0"/>
              <w:snapToGrid w:val="0"/>
              <w:jc w:val="both"/>
              <w:rPr>
                <w:rFonts w:hint="default" w:ascii="Times New Roman" w:hAnsi="Times New Roman" w:eastAsia="宋体" w:cs="Times New Roman"/>
                <w:color w:val="auto"/>
                <w:kern w:val="0"/>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451"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color w:val="auto"/>
                <w:kern w:val="0"/>
                <w:sz w:val="24"/>
                <w:szCs w:val="24"/>
              </w:rPr>
            </w:pPr>
            <w:r>
              <w:rPr>
                <w:rFonts w:hint="default" w:ascii="Times New Roman" w:hAnsi="Times New Roman" w:eastAsia="宋体" w:cs="Times New Roman"/>
                <w:b w:val="0"/>
                <w:bCs w:val="0"/>
                <w:color w:val="auto"/>
                <w:kern w:val="0"/>
                <w:sz w:val="24"/>
                <w:szCs w:val="24"/>
              </w:rPr>
              <w:t>总量</w:t>
            </w:r>
          </w:p>
          <w:p>
            <w:pPr>
              <w:adjustRightInd w:val="0"/>
              <w:snapToGrid w:val="0"/>
              <w:jc w:val="center"/>
              <w:rPr>
                <w:rFonts w:hint="default" w:ascii="Times New Roman" w:hAnsi="Times New Roman" w:eastAsia="宋体" w:cs="Times New Roman"/>
                <w:b w:val="0"/>
                <w:bCs w:val="0"/>
                <w:color w:val="auto"/>
                <w:kern w:val="0"/>
                <w:sz w:val="24"/>
                <w:szCs w:val="24"/>
              </w:rPr>
            </w:pPr>
            <w:r>
              <w:rPr>
                <w:rFonts w:hint="default" w:ascii="Times New Roman" w:hAnsi="Times New Roman" w:eastAsia="宋体" w:cs="Times New Roman"/>
                <w:b w:val="0"/>
                <w:bCs w:val="0"/>
                <w:color w:val="auto"/>
                <w:kern w:val="0"/>
                <w:sz w:val="24"/>
                <w:szCs w:val="24"/>
              </w:rPr>
              <w:t>控制</w:t>
            </w:r>
          </w:p>
          <w:p>
            <w:pPr>
              <w:adjustRightInd w:val="0"/>
              <w:snapToGrid w:val="0"/>
              <w:jc w:val="center"/>
              <w:rPr>
                <w:rFonts w:hint="default" w:ascii="Times New Roman" w:hAnsi="Times New Roman" w:eastAsia="宋体" w:cs="Times New Roman"/>
                <w:b w:val="0"/>
                <w:bCs w:val="0"/>
                <w:color w:val="0000FF"/>
                <w:kern w:val="0"/>
                <w:sz w:val="24"/>
                <w:szCs w:val="24"/>
              </w:rPr>
            </w:pPr>
            <w:r>
              <w:rPr>
                <w:rFonts w:hint="default" w:ascii="Times New Roman" w:hAnsi="Times New Roman" w:eastAsia="宋体" w:cs="Times New Roman"/>
                <w:b w:val="0"/>
                <w:bCs w:val="0"/>
                <w:color w:val="auto"/>
                <w:kern w:val="0"/>
                <w:sz w:val="24"/>
                <w:szCs w:val="24"/>
              </w:rPr>
              <w:t>指标</w:t>
            </w:r>
          </w:p>
        </w:tc>
        <w:tc>
          <w:tcPr>
            <w:tcW w:w="8539"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firstLine="0" w:firstLineChars="0"/>
              <w:jc w:val="center"/>
              <w:textAlignment w:val="auto"/>
              <w:rPr>
                <w:rFonts w:hint="default"/>
                <w:color w:val="0000FF"/>
              </w:rPr>
            </w:pPr>
          </w:p>
          <w:p>
            <w:pPr>
              <w:pStyle w:val="37"/>
              <w:keepNext w:val="0"/>
              <w:keepLines w:val="0"/>
              <w:pageBreakBefore w:val="0"/>
              <w:widowControl w:val="0"/>
              <w:kinsoku/>
              <w:wordWrap/>
              <w:overflowPunct/>
              <w:topLinePunct w:val="0"/>
              <w:bidi w:val="0"/>
              <w:ind w:firstLine="0" w:firstLineChars="0"/>
              <w:jc w:val="center"/>
              <w:textAlignment w:val="auto"/>
              <w:rPr>
                <w:rFonts w:hint="default" w:ascii="Times New Roman" w:hAnsi="Times New Roman" w:eastAsia="宋体" w:cs="Times New Roman"/>
                <w:color w:val="0000FF"/>
                <w:kern w:val="0"/>
                <w:sz w:val="24"/>
                <w:szCs w:val="24"/>
              </w:rPr>
            </w:pPr>
          </w:p>
          <w:p>
            <w:pPr>
              <w:pStyle w:val="37"/>
              <w:keepNext w:val="0"/>
              <w:keepLines w:val="0"/>
              <w:pageBreakBefore w:val="0"/>
              <w:widowControl w:val="0"/>
              <w:kinsoku/>
              <w:wordWrap/>
              <w:overflowPunct/>
              <w:topLinePunct w:val="0"/>
              <w:bidi w:val="0"/>
              <w:ind w:firstLine="0" w:firstLineChars="0"/>
              <w:jc w:val="center"/>
              <w:textAlignment w:val="auto"/>
              <w:rPr>
                <w:rFonts w:hint="default" w:ascii="Times New Roman" w:hAnsi="Times New Roman" w:eastAsia="宋体" w:cs="Times New Roman"/>
                <w:color w:val="0000FF"/>
                <w:kern w:val="0"/>
                <w:sz w:val="24"/>
                <w:szCs w:val="24"/>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FF"/>
                <w:kern w:val="0"/>
                <w:sz w:val="24"/>
                <w:szCs w:val="24"/>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FF"/>
                <w:kern w:val="0"/>
                <w:sz w:val="24"/>
                <w:szCs w:val="24"/>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FF"/>
                <w:kern w:val="0"/>
                <w:sz w:val="24"/>
                <w:szCs w:val="24"/>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FF"/>
                <w:kern w:val="0"/>
                <w:sz w:val="24"/>
                <w:szCs w:val="24"/>
                <w:lang w:eastAsia="zh-CN"/>
              </w:rPr>
            </w:pPr>
          </w:p>
          <w:p>
            <w:pPr>
              <w:keepNext w:val="0"/>
              <w:keepLines w:val="0"/>
              <w:pageBreakBefore w:val="0"/>
              <w:widowControl w:val="0"/>
              <w:kinsoku/>
              <w:wordWrap/>
              <w:overflowPunct/>
              <w:topLinePunct w:val="0"/>
              <w:bidi w:val="0"/>
              <w:ind w:firstLine="0" w:firstLineChars="0"/>
              <w:jc w:val="both"/>
              <w:textAlignment w:val="auto"/>
              <w:rPr>
                <w:rFonts w:hint="default" w:ascii="Times New Roman" w:hAnsi="Times New Roman" w:eastAsia="宋体" w:cs="Times New Roman"/>
                <w:color w:val="0000FF"/>
                <w:kern w:val="0"/>
                <w:sz w:val="24"/>
                <w:szCs w:val="24"/>
                <w:lang w:eastAsia="zh-CN"/>
              </w:rPr>
            </w:pP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关于进一步加强建设项目新增大气主要污染物总量指标管理工作的通知》（安徽省环保厅（皖环发【2017】19号）），为进一步加强大气主要污染物源头管控，有效落实《大气污染防治行动计划》、《建设项目主要污染物排放总量指标审核及管理暂行办法》等，确保大气环境质量改善目标任务顺利完成，现就加强建设项目新增大气主要污染物总量指标管理工作通知如下：</w:t>
            </w:r>
          </w:p>
          <w:p>
            <w:pPr>
              <w:pStyle w:val="37"/>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sz w:val="24"/>
                <w:szCs w:val="24"/>
                <w:highlight w:val="none"/>
                <w:lang w:val="en-US" w:eastAsia="zh-CN"/>
              </w:rPr>
              <w:t>自2017年04月起，新增大气主要污染物排放的建设项目环境影响评价文件审批前必须取得的总量指标从两项增加为四项。在二氧化硫（SO</w:t>
            </w:r>
            <w:r>
              <w:rPr>
                <w:rFonts w:hint="default" w:ascii="Times New Roman" w:hAnsi="Times New Roman" w:eastAsia="宋体" w:cs="Times New Roman"/>
                <w:color w:val="auto"/>
                <w:sz w:val="24"/>
                <w:szCs w:val="24"/>
                <w:highlight w:val="none"/>
                <w:vertAlign w:val="subscript"/>
                <w:lang w:val="en-US" w:eastAsia="zh-CN"/>
              </w:rPr>
              <w:t>2</w:t>
            </w:r>
            <w:r>
              <w:rPr>
                <w:rFonts w:hint="default" w:ascii="Times New Roman" w:hAnsi="Times New Roman" w:eastAsia="宋体" w:cs="Times New Roman"/>
                <w:color w:val="auto"/>
                <w:sz w:val="24"/>
                <w:szCs w:val="24"/>
                <w:highlight w:val="none"/>
                <w:lang w:val="en-US" w:eastAsia="zh-CN"/>
              </w:rPr>
              <w:t>）、氮氧化物（NO</w:t>
            </w:r>
            <w:r>
              <w:rPr>
                <w:rFonts w:hint="eastAsia" w:ascii="Times New Roman" w:hAnsi="Times New Roman" w:eastAsia="宋体" w:cs="Times New Roman"/>
                <w:color w:val="auto"/>
                <w:sz w:val="24"/>
                <w:szCs w:val="24"/>
                <w:highlight w:val="none"/>
                <w:vertAlign w:val="subscript"/>
                <w:lang w:val="en-US" w:eastAsia="zh-CN"/>
              </w:rPr>
              <w:t>X</w:t>
            </w:r>
            <w:r>
              <w:rPr>
                <w:rFonts w:hint="default" w:ascii="Times New Roman" w:hAnsi="Times New Roman" w:eastAsia="宋体" w:cs="Times New Roman"/>
                <w:color w:val="auto"/>
                <w:sz w:val="24"/>
                <w:szCs w:val="24"/>
                <w:highlight w:val="none"/>
                <w:lang w:val="en-US" w:eastAsia="zh-CN"/>
              </w:rPr>
              <w:t>）的基础上增加烟（粉）尘、挥发性有机物（</w:t>
            </w:r>
            <w:r>
              <w:rPr>
                <w:rFonts w:hint="eastAsia" w:cs="Times New Roman"/>
                <w:color w:val="auto"/>
                <w:sz w:val="24"/>
                <w:szCs w:val="24"/>
                <w:highlight w:val="none"/>
                <w:lang w:val="en-US" w:eastAsia="zh-CN"/>
              </w:rPr>
              <w:t>挥发性有机物</w:t>
            </w:r>
            <w:r>
              <w:rPr>
                <w:rFonts w:hint="default" w:ascii="Times New Roman" w:hAnsi="Times New Roman" w:eastAsia="宋体" w:cs="Times New Roman"/>
                <w:color w:val="auto"/>
                <w:sz w:val="24"/>
                <w:szCs w:val="24"/>
                <w:highlight w:val="none"/>
                <w:lang w:val="en-US" w:eastAsia="zh-CN"/>
              </w:rPr>
              <w:t>）两项指标。</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lang w:val="en-US" w:eastAsia="zh-CN"/>
              </w:rPr>
              <w:t>项目运营期生活污水依托标准化厂房已建化粪池预处理后经污水管网排入灵璧</w:t>
            </w:r>
            <w:r>
              <w:rPr>
                <w:rFonts w:hint="eastAsia" w:cs="Times New Roman"/>
                <w:b w:val="0"/>
                <w:bCs/>
                <w:color w:val="auto"/>
                <w:sz w:val="24"/>
                <w:szCs w:val="24"/>
                <w:lang w:val="en-US" w:eastAsia="zh-CN"/>
              </w:rPr>
              <w:t>经济</w:t>
            </w:r>
            <w:r>
              <w:rPr>
                <w:rFonts w:hint="default" w:ascii="Times New Roman" w:hAnsi="Times New Roman" w:eastAsia="宋体" w:cs="Times New Roman"/>
                <w:b w:val="0"/>
                <w:bCs/>
                <w:color w:val="auto"/>
                <w:sz w:val="24"/>
                <w:szCs w:val="24"/>
                <w:lang w:val="en-US" w:eastAsia="zh-CN"/>
              </w:rPr>
              <w:t>开发区</w:t>
            </w:r>
            <w:r>
              <w:rPr>
                <w:rFonts w:hint="eastAsia" w:cs="Times New Roman"/>
                <w:b w:val="0"/>
                <w:bCs/>
                <w:color w:val="auto"/>
                <w:sz w:val="24"/>
                <w:szCs w:val="24"/>
                <w:lang w:val="en-US" w:eastAsia="zh-CN"/>
              </w:rPr>
              <w:t>新北</w:t>
            </w:r>
            <w:r>
              <w:rPr>
                <w:rFonts w:hint="default" w:ascii="Times New Roman" w:hAnsi="Times New Roman" w:eastAsia="宋体" w:cs="Times New Roman"/>
                <w:b w:val="0"/>
                <w:bCs/>
                <w:color w:val="auto"/>
                <w:sz w:val="24"/>
                <w:szCs w:val="24"/>
                <w:lang w:val="en-US" w:eastAsia="zh-CN"/>
              </w:rPr>
              <w:t>污水处理厂处理</w:t>
            </w:r>
            <w:r>
              <w:rPr>
                <w:rFonts w:hint="eastAsia" w:ascii="Times New Roman" w:hAnsi="Times New Roman" w:cs="Times New Roman"/>
                <w:b w:val="0"/>
                <w:bCs/>
                <w:color w:val="auto"/>
                <w:sz w:val="24"/>
                <w:szCs w:val="24"/>
                <w:lang w:val="en-US" w:eastAsia="zh-CN"/>
              </w:rPr>
              <w:t>，</w:t>
            </w:r>
            <w:r>
              <w:rPr>
                <w:rFonts w:hint="eastAsia" w:ascii="Times New Roman" w:hAnsi="Times New Roman" w:eastAsia="宋体" w:cs="Times New Roman"/>
                <w:color w:val="auto"/>
                <w:sz w:val="24"/>
                <w:szCs w:val="24"/>
                <w:highlight w:val="none"/>
                <w:lang w:val="en-US" w:eastAsia="zh-CN"/>
              </w:rPr>
              <w:t>总量指标纳入灵璧</w:t>
            </w:r>
            <w:r>
              <w:rPr>
                <w:rFonts w:hint="eastAsia" w:cs="Times New Roman"/>
                <w:color w:val="auto"/>
                <w:sz w:val="24"/>
                <w:szCs w:val="24"/>
                <w:highlight w:val="none"/>
                <w:lang w:val="en-US" w:eastAsia="zh-CN"/>
              </w:rPr>
              <w:t>经济</w:t>
            </w:r>
            <w:r>
              <w:rPr>
                <w:rFonts w:hint="eastAsia" w:ascii="Times New Roman" w:hAnsi="Times New Roman" w:eastAsia="宋体" w:cs="Times New Roman"/>
                <w:color w:val="auto"/>
                <w:sz w:val="24"/>
                <w:szCs w:val="24"/>
                <w:highlight w:val="none"/>
                <w:lang w:val="en-US" w:eastAsia="zh-CN"/>
              </w:rPr>
              <w:t>开发区</w:t>
            </w:r>
            <w:r>
              <w:rPr>
                <w:rFonts w:hint="eastAsia" w:cs="Times New Roman"/>
                <w:color w:val="auto"/>
                <w:sz w:val="24"/>
                <w:szCs w:val="24"/>
                <w:highlight w:val="none"/>
                <w:lang w:val="en-US" w:eastAsia="zh-CN"/>
              </w:rPr>
              <w:t>新北</w:t>
            </w:r>
            <w:r>
              <w:rPr>
                <w:rFonts w:hint="eastAsia" w:ascii="Times New Roman" w:hAnsi="Times New Roman" w:eastAsia="宋体" w:cs="Times New Roman"/>
                <w:color w:val="auto"/>
                <w:sz w:val="24"/>
                <w:szCs w:val="24"/>
                <w:highlight w:val="none"/>
                <w:lang w:val="en-US" w:eastAsia="zh-CN"/>
              </w:rPr>
              <w:t>污水处理厂总量指标内。</w:t>
            </w:r>
          </w:p>
          <w:p>
            <w:pPr>
              <w:pStyle w:val="15"/>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b/>
                <w:bCs w:val="0"/>
                <w:color w:val="auto"/>
                <w:sz w:val="24"/>
                <w:szCs w:val="24"/>
                <w:lang w:val="en-US" w:eastAsia="zh-CN"/>
              </w:rPr>
            </w:pPr>
            <w:r>
              <w:rPr>
                <w:rFonts w:hint="eastAsia" w:ascii="Times New Roman" w:hAnsi="Times New Roman" w:eastAsia="宋体" w:cs="Times New Roman"/>
                <w:color w:val="auto"/>
                <w:kern w:val="0"/>
                <w:sz w:val="24"/>
                <w:szCs w:val="24"/>
                <w:lang w:eastAsia="zh-CN"/>
              </w:rPr>
              <w:t>根据</w:t>
            </w:r>
            <w:r>
              <w:rPr>
                <w:rFonts w:hint="default" w:ascii="Times New Roman" w:hAnsi="Times New Roman" w:eastAsia="宋体" w:cs="Times New Roman"/>
                <w:color w:val="auto"/>
                <w:kern w:val="0"/>
                <w:sz w:val="24"/>
                <w:szCs w:val="24"/>
              </w:rPr>
              <w:t>主要环境影响和保护措施</w:t>
            </w:r>
            <w:r>
              <w:rPr>
                <w:rFonts w:hint="default" w:ascii="Times New Roman" w:hAnsi="Times New Roman" w:eastAsia="宋体" w:cs="Times New Roman"/>
                <w:b w:val="0"/>
                <w:bCs w:val="0"/>
                <w:color w:val="auto"/>
                <w:kern w:val="0"/>
                <w:sz w:val="24"/>
                <w:szCs w:val="24"/>
                <w:lang w:eastAsia="zh-CN"/>
              </w:rPr>
              <w:t>分析，</w:t>
            </w:r>
            <w:r>
              <w:rPr>
                <w:rFonts w:hint="eastAsia" w:ascii="Times New Roman" w:hAnsi="Times New Roman" w:eastAsia="宋体" w:cs="Times New Roman"/>
                <w:b/>
                <w:bCs/>
                <w:color w:val="auto"/>
                <w:sz w:val="24"/>
                <w:szCs w:val="24"/>
                <w:lang w:val="en-US" w:eastAsia="zh-CN"/>
              </w:rPr>
              <w:t>挥发性有机物排放量为</w:t>
            </w:r>
            <w:r>
              <w:rPr>
                <w:rFonts w:hint="default" w:ascii="Times New Roman" w:hAnsi="Times New Roman" w:eastAsia="宋体" w:cs="Times New Roman"/>
                <w:b/>
                <w:bCs/>
                <w:color w:val="auto"/>
                <w:sz w:val="24"/>
                <w:szCs w:val="24"/>
                <w:lang w:val="en-US" w:eastAsia="zh-CN"/>
              </w:rPr>
              <w:t>：</w:t>
            </w:r>
            <w:r>
              <w:rPr>
                <w:rFonts w:hint="eastAsia" w:cs="Times New Roman"/>
                <w:b/>
                <w:bCs/>
                <w:color w:val="auto"/>
                <w:sz w:val="24"/>
                <w:szCs w:val="24"/>
                <w:lang w:val="en-US" w:eastAsia="zh-CN"/>
              </w:rPr>
              <w:t>0.518</w:t>
            </w:r>
            <w:r>
              <w:rPr>
                <w:rFonts w:hint="default" w:ascii="Times New Roman" w:hAnsi="Times New Roman" w:eastAsia="宋体" w:cs="Times New Roman"/>
                <w:b/>
                <w:bCs/>
                <w:color w:val="auto"/>
                <w:sz w:val="24"/>
                <w:szCs w:val="24"/>
                <w:lang w:val="en-US" w:eastAsia="zh-CN"/>
              </w:rPr>
              <w:t>t/a</w:t>
            </w:r>
            <w:r>
              <w:rPr>
                <w:rFonts w:hint="eastAsia" w:cs="Times New Roman"/>
                <w:b/>
                <w:bCs/>
                <w:color w:val="auto"/>
                <w:sz w:val="24"/>
                <w:szCs w:val="24"/>
                <w:lang w:val="en-US" w:eastAsia="zh-CN"/>
              </w:rPr>
              <w:t>；颗粒物排放量为0.216</w:t>
            </w:r>
            <w:r>
              <w:rPr>
                <w:rFonts w:hint="default" w:ascii="Times New Roman" w:hAnsi="Times New Roman" w:eastAsia="宋体" w:cs="Times New Roman"/>
                <w:b/>
                <w:bCs/>
                <w:color w:val="auto"/>
                <w:sz w:val="24"/>
                <w:szCs w:val="24"/>
                <w:lang w:val="en-US" w:eastAsia="zh-CN"/>
              </w:rPr>
              <w:t>t/a</w:t>
            </w:r>
            <w:r>
              <w:rPr>
                <w:rFonts w:hint="eastAsia" w:cs="Times New Roman"/>
                <w:b/>
                <w:bCs/>
                <w:color w:val="auto"/>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eastAsia" w:cs="Times New Roman"/>
                <w:b/>
                <w:bCs w:val="0"/>
                <w:color w:val="0000FF"/>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cs="Times New Roman"/>
                <w:b/>
                <w:bCs w:val="0"/>
                <w:color w:val="0000FF"/>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eastAsia" w:cs="Times New Roman"/>
                <w:b/>
                <w:bCs w:val="0"/>
                <w:color w:val="0000FF"/>
                <w:sz w:val="24"/>
                <w:szCs w:val="24"/>
                <w:lang w:val="en-US" w:eastAsia="zh-CN"/>
              </w:rPr>
            </w:pPr>
          </w:p>
          <w:p>
            <w:pPr>
              <w:pStyle w:val="37"/>
              <w:jc w:val="both"/>
              <w:rPr>
                <w:rFonts w:hint="eastAsia" w:ascii="Times New Roman" w:hAnsi="Times New Roman" w:eastAsia="宋体" w:cs="Times New Roman"/>
                <w:color w:val="0000FF"/>
                <w:kern w:val="0"/>
                <w:sz w:val="24"/>
                <w:szCs w:val="24"/>
                <w:lang w:val="en-US" w:eastAsia="zh-CN"/>
              </w:rPr>
            </w:pPr>
          </w:p>
        </w:tc>
      </w:tr>
    </w:tbl>
    <w:p>
      <w:pPr>
        <w:pStyle w:val="23"/>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auto"/>
        <w:jc w:val="center"/>
        <w:textAlignment w:val="auto"/>
        <w:outlineLvl w:val="0"/>
        <w:rPr>
          <w:rFonts w:hint="default" w:ascii="Times New Roman" w:hAnsi="Times New Roman" w:eastAsia="宋体" w:cs="Times New Roman"/>
          <w:b/>
          <w:bCs/>
          <w:i w:val="0"/>
          <w:iCs w:val="0"/>
          <w:snapToGrid w:val="0"/>
          <w:color w:val="0000FF"/>
          <w:sz w:val="30"/>
          <w:szCs w:val="30"/>
        </w:rPr>
      </w:pPr>
      <w:r>
        <w:rPr>
          <w:rFonts w:hint="default" w:ascii="Times New Roman" w:hAnsi="Times New Roman" w:eastAsia="宋体" w:cs="Times New Roman"/>
          <w:snapToGrid w:val="0"/>
          <w:color w:val="0000FF"/>
          <w:sz w:val="36"/>
          <w:szCs w:val="36"/>
        </w:rPr>
        <w:br w:type="page"/>
      </w:r>
      <w:r>
        <w:rPr>
          <w:rFonts w:hint="default" w:ascii="Times New Roman" w:hAnsi="Times New Roman" w:eastAsia="宋体" w:cs="Times New Roman"/>
          <w:b/>
          <w:bCs/>
          <w:i w:val="0"/>
          <w:iCs w:val="0"/>
          <w:snapToGrid w:val="0"/>
          <w:color w:val="auto"/>
          <w:sz w:val="30"/>
          <w:szCs w:val="30"/>
        </w:rPr>
        <w:t>四、主要环境影响和保护措施</w:t>
      </w:r>
    </w:p>
    <w:tbl>
      <w:tblPr>
        <w:tblStyle w:val="25"/>
        <w:tblW w:w="898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93"/>
        <w:gridCol w:w="858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39" w:hRule="atLeast"/>
          <w:jc w:val="center"/>
        </w:trPr>
        <w:tc>
          <w:tcPr>
            <w:tcW w:w="393" w:type="dxa"/>
            <w:tcBorders>
              <w:tl2br w:val="nil"/>
              <w:tr2bl w:val="nil"/>
            </w:tcBorders>
            <w:noWrap w:val="0"/>
            <w:tcMar>
              <w:left w:w="28" w:type="dxa"/>
              <w:right w:w="28" w:type="dxa"/>
            </w:tcMar>
            <w:vAlign w:val="center"/>
          </w:tcPr>
          <w:p>
            <w:pPr>
              <w:pStyle w:val="23"/>
              <w:adjustRightInd w:val="0"/>
              <w:snapToGrid w:val="0"/>
              <w:spacing w:before="0" w:beforeAutospacing="0" w:after="0" w:afterAutospacing="0"/>
              <w:jc w:val="center"/>
              <w:rPr>
                <w:rFonts w:hint="default" w:ascii="Times New Roman" w:hAnsi="Times New Roman" w:eastAsia="宋体" w:cs="Times New Roman"/>
                <w:b w:val="0"/>
                <w:bCs w:val="0"/>
                <w:color w:val="auto"/>
                <w:kern w:val="2"/>
                <w:sz w:val="24"/>
                <w:szCs w:val="24"/>
              </w:rPr>
            </w:pPr>
            <w:r>
              <w:rPr>
                <w:rFonts w:hint="default" w:ascii="Times New Roman" w:hAnsi="Times New Roman" w:eastAsia="宋体" w:cs="Times New Roman"/>
                <w:b w:val="0"/>
                <w:bCs w:val="0"/>
                <w:color w:val="auto"/>
                <w:kern w:val="2"/>
                <w:sz w:val="24"/>
                <w:szCs w:val="24"/>
              </w:rPr>
              <w:t>施工</w:t>
            </w:r>
          </w:p>
          <w:p>
            <w:pPr>
              <w:pStyle w:val="23"/>
              <w:adjustRightInd w:val="0"/>
              <w:snapToGrid w:val="0"/>
              <w:spacing w:before="0" w:beforeAutospacing="0" w:after="0" w:afterAutospacing="0"/>
              <w:jc w:val="center"/>
              <w:rPr>
                <w:rFonts w:hint="default" w:ascii="Times New Roman" w:hAnsi="Times New Roman" w:eastAsia="宋体" w:cs="Times New Roman"/>
                <w:b w:val="0"/>
                <w:bCs w:val="0"/>
                <w:color w:val="auto"/>
                <w:kern w:val="2"/>
                <w:sz w:val="24"/>
                <w:szCs w:val="24"/>
              </w:rPr>
            </w:pPr>
            <w:r>
              <w:rPr>
                <w:rFonts w:hint="default" w:ascii="Times New Roman" w:hAnsi="Times New Roman" w:eastAsia="宋体" w:cs="Times New Roman"/>
                <w:b w:val="0"/>
                <w:bCs w:val="0"/>
                <w:color w:val="auto"/>
                <w:kern w:val="2"/>
                <w:sz w:val="24"/>
                <w:szCs w:val="24"/>
              </w:rPr>
              <w:t>期环</w:t>
            </w:r>
          </w:p>
          <w:p>
            <w:pPr>
              <w:pStyle w:val="23"/>
              <w:adjustRightInd w:val="0"/>
              <w:snapToGrid w:val="0"/>
              <w:spacing w:before="0" w:beforeAutospacing="0" w:after="0" w:afterAutospacing="0"/>
              <w:jc w:val="center"/>
              <w:rPr>
                <w:rFonts w:hint="default" w:ascii="Times New Roman" w:hAnsi="Times New Roman" w:eastAsia="宋体" w:cs="Times New Roman"/>
                <w:b w:val="0"/>
                <w:bCs w:val="0"/>
                <w:color w:val="auto"/>
                <w:kern w:val="2"/>
                <w:sz w:val="24"/>
                <w:szCs w:val="24"/>
              </w:rPr>
            </w:pPr>
            <w:r>
              <w:rPr>
                <w:rFonts w:hint="default" w:ascii="Times New Roman" w:hAnsi="Times New Roman" w:eastAsia="宋体" w:cs="Times New Roman"/>
                <w:b w:val="0"/>
                <w:bCs w:val="0"/>
                <w:color w:val="auto"/>
                <w:kern w:val="2"/>
                <w:sz w:val="24"/>
                <w:szCs w:val="24"/>
              </w:rPr>
              <w:t>境保</w:t>
            </w:r>
          </w:p>
          <w:p>
            <w:pPr>
              <w:pStyle w:val="23"/>
              <w:adjustRightInd w:val="0"/>
              <w:snapToGrid w:val="0"/>
              <w:spacing w:before="0" w:beforeAutospacing="0" w:after="0" w:afterAutospacing="0"/>
              <w:jc w:val="center"/>
              <w:rPr>
                <w:rFonts w:hint="default" w:ascii="Times New Roman" w:hAnsi="Times New Roman" w:eastAsia="宋体" w:cs="Times New Roman"/>
                <w:b w:val="0"/>
                <w:bCs w:val="0"/>
                <w:color w:val="auto"/>
                <w:kern w:val="2"/>
                <w:sz w:val="24"/>
                <w:szCs w:val="24"/>
              </w:rPr>
            </w:pPr>
            <w:r>
              <w:rPr>
                <w:rFonts w:hint="default" w:ascii="Times New Roman" w:hAnsi="Times New Roman" w:eastAsia="宋体" w:cs="Times New Roman"/>
                <w:b w:val="0"/>
                <w:bCs w:val="0"/>
                <w:color w:val="auto"/>
                <w:kern w:val="2"/>
                <w:sz w:val="24"/>
                <w:szCs w:val="24"/>
              </w:rPr>
              <w:t>护措</w:t>
            </w:r>
          </w:p>
          <w:p>
            <w:pPr>
              <w:pStyle w:val="23"/>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r>
              <w:rPr>
                <w:rFonts w:hint="default" w:ascii="Times New Roman" w:hAnsi="Times New Roman" w:eastAsia="宋体" w:cs="Times New Roman"/>
                <w:b w:val="0"/>
                <w:bCs w:val="0"/>
                <w:color w:val="auto"/>
                <w:kern w:val="2"/>
                <w:sz w:val="24"/>
                <w:szCs w:val="24"/>
              </w:rPr>
              <w:t>施</w:t>
            </w:r>
          </w:p>
        </w:tc>
        <w:tc>
          <w:tcPr>
            <w:tcW w:w="858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360" w:lineRule="auto"/>
              <w:ind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本项目租赁安徽</w:t>
            </w:r>
            <w:r>
              <w:rPr>
                <w:rFonts w:hint="eastAsia" w:ascii="Times New Roman" w:hAnsi="Times New Roman" w:eastAsia="宋体" w:cs="Times New Roman"/>
                <w:sz w:val="24"/>
                <w:szCs w:val="24"/>
                <w:lang w:val="en-US" w:eastAsia="zh-CN"/>
              </w:rPr>
              <w:t>灵璧经济开发区轴承产业园5期10号空置厂房</w:t>
            </w:r>
            <w:r>
              <w:rPr>
                <w:rFonts w:hint="default" w:ascii="Times New Roman" w:hAnsi="Times New Roman" w:eastAsia="宋体" w:cs="Times New Roman"/>
                <w:sz w:val="24"/>
                <w:szCs w:val="24"/>
                <w:lang w:val="en-US" w:eastAsia="zh-CN"/>
              </w:rPr>
              <w:t>进行生产，项目施工期不涉及土建施工，仅进行简单的设备安装及各功能区布局，具体施工环境保护措施分析如下：</w:t>
            </w:r>
          </w:p>
          <w:p>
            <w:pPr>
              <w:pStyle w:val="10"/>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1、废气防治措施</w:t>
            </w:r>
          </w:p>
          <w:p>
            <w:pPr>
              <w:pStyle w:val="10"/>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本项目不涉及土建工程，故施工过程中无施工扬尘，仅在施工过程中，施工机械会因为燃料的燃烧而产生一定的施工机械废气。一般施工机械燃料多为柴油，产生的废气中含有CO、NO、SO</w:t>
            </w:r>
            <w:r>
              <w:rPr>
                <w:rFonts w:hint="default" w:ascii="Times New Roman" w:hAnsi="Times New Roman" w:eastAsia="宋体" w:cs="Times New Roman"/>
                <w:sz w:val="24"/>
                <w:szCs w:val="24"/>
                <w:vertAlign w:val="subscript"/>
                <w:lang w:val="en-US" w:eastAsia="zh-CN"/>
              </w:rPr>
              <w:t>2</w:t>
            </w:r>
            <w:r>
              <w:rPr>
                <w:rFonts w:hint="default" w:ascii="Times New Roman" w:hAnsi="Times New Roman" w:eastAsia="宋体" w:cs="Times New Roman"/>
                <w:sz w:val="24"/>
                <w:szCs w:val="24"/>
                <w:lang w:val="en-US" w:eastAsia="zh-CN"/>
              </w:rPr>
              <w:t>等。该部分废气产生量极少，且产生时间有限。通过设备选型，控制燃料类型，选用清洁能源等方面，可有效减少施工机械废气产生。</w:t>
            </w:r>
          </w:p>
          <w:p>
            <w:pPr>
              <w:pStyle w:val="10"/>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2、废水防治措施</w:t>
            </w:r>
          </w:p>
          <w:p>
            <w:pPr>
              <w:pStyle w:val="10"/>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因涉及设备安装，故在施工期间，会产生施工人员生活污水。本项目施工期间，施工人数最多</w:t>
            </w:r>
            <w:r>
              <w:rPr>
                <w:rFonts w:hint="eastAsia" w:ascii="Times New Roman" w:hAnsi="Times New Roman" w:eastAsia="宋体" w:cs="Times New Roman"/>
                <w:sz w:val="24"/>
                <w:szCs w:val="24"/>
                <w:highlight w:val="none"/>
                <w:lang w:val="en-US" w:eastAsia="zh-CN"/>
              </w:rPr>
              <w:t>8</w:t>
            </w:r>
            <w:r>
              <w:rPr>
                <w:rFonts w:hint="default" w:ascii="Times New Roman" w:hAnsi="Times New Roman" w:eastAsia="宋体" w:cs="Times New Roman"/>
                <w:sz w:val="24"/>
                <w:szCs w:val="24"/>
                <w:highlight w:val="none"/>
                <w:lang w:val="en-US" w:eastAsia="zh-CN"/>
              </w:rPr>
              <w:t>人，根据《建筑施工计算手册》中施工现场生活用水定额为20~60L/人·d，本项目取生活用水定额为40L/人·d，故施工期间生活用水量为0.</w:t>
            </w:r>
            <w:r>
              <w:rPr>
                <w:rFonts w:hint="eastAsia" w:ascii="Times New Roman" w:hAnsi="Times New Roman" w:eastAsia="宋体" w:cs="Times New Roman"/>
                <w:sz w:val="24"/>
                <w:szCs w:val="24"/>
                <w:highlight w:val="none"/>
                <w:lang w:val="en-US" w:eastAsia="zh-CN"/>
              </w:rPr>
              <w:t>32</w:t>
            </w:r>
            <w:r>
              <w:rPr>
                <w:rFonts w:hint="default" w:ascii="Times New Roman" w:hAnsi="Times New Roman" w:eastAsia="宋体" w:cs="Times New Roman"/>
                <w:sz w:val="24"/>
                <w:szCs w:val="24"/>
                <w:highlight w:val="none"/>
                <w:lang w:val="en-US" w:eastAsia="zh-CN"/>
              </w:rPr>
              <w:t>m</w:t>
            </w:r>
            <w:r>
              <w:rPr>
                <w:rFonts w:hint="eastAsia" w:ascii="Times New Roman" w:hAnsi="Times New Roman" w:eastAsia="宋体" w:cs="Times New Roman"/>
                <w:sz w:val="24"/>
                <w:szCs w:val="24"/>
                <w:highlight w:val="none"/>
                <w:vertAlign w:val="superscript"/>
                <w:lang w:val="en-US" w:eastAsia="zh-CN"/>
              </w:rPr>
              <w:t>3</w:t>
            </w:r>
            <w:r>
              <w:rPr>
                <w:rFonts w:hint="default" w:ascii="Times New Roman" w:hAnsi="Times New Roman" w:eastAsia="宋体" w:cs="Times New Roman"/>
                <w:sz w:val="24"/>
                <w:szCs w:val="24"/>
                <w:highlight w:val="none"/>
                <w:lang w:val="en-US" w:eastAsia="zh-CN"/>
              </w:rPr>
              <w:t>/d，根据《给排水设计手册》，生活污水产生量按用水量的80%计，故施工过程中生活污水产生量为</w:t>
            </w:r>
            <w:r>
              <w:rPr>
                <w:rFonts w:hint="eastAsia" w:ascii="Times New Roman" w:hAnsi="Times New Roman" w:eastAsia="宋体" w:cs="Times New Roman"/>
                <w:sz w:val="24"/>
                <w:szCs w:val="24"/>
                <w:highlight w:val="none"/>
                <w:lang w:val="en-US" w:eastAsia="zh-CN"/>
              </w:rPr>
              <w:t>0.256</w:t>
            </w:r>
            <w:r>
              <w:rPr>
                <w:rFonts w:hint="default" w:ascii="Times New Roman" w:hAnsi="Times New Roman" w:eastAsia="宋体" w:cs="Times New Roman"/>
                <w:sz w:val="24"/>
                <w:szCs w:val="24"/>
                <w:highlight w:val="none"/>
                <w:lang w:val="en-US" w:eastAsia="zh-CN"/>
              </w:rPr>
              <w:t>m</w:t>
            </w:r>
            <w:r>
              <w:rPr>
                <w:rFonts w:hint="default" w:ascii="Times New Roman" w:hAnsi="Times New Roman" w:eastAsia="宋体" w:cs="Times New Roman"/>
                <w:sz w:val="24"/>
                <w:szCs w:val="24"/>
                <w:highlight w:val="none"/>
                <w:vertAlign w:val="superscript"/>
                <w:lang w:val="en-US" w:eastAsia="zh-CN"/>
              </w:rPr>
              <w:t>3</w:t>
            </w:r>
            <w:r>
              <w:rPr>
                <w:rFonts w:hint="default" w:ascii="Times New Roman" w:hAnsi="Times New Roman" w:eastAsia="宋体" w:cs="Times New Roman"/>
                <w:sz w:val="24"/>
                <w:szCs w:val="24"/>
                <w:highlight w:val="none"/>
                <w:lang w:val="en-US" w:eastAsia="zh-CN"/>
              </w:rPr>
              <w:t>/d，经化粪池处理后</w:t>
            </w:r>
            <w:r>
              <w:rPr>
                <w:rFonts w:hint="eastAsia" w:ascii="Times New Roman" w:hAnsi="Times New Roman" w:eastAsia="宋体" w:cs="Times New Roman"/>
                <w:sz w:val="24"/>
                <w:szCs w:val="24"/>
                <w:highlight w:val="none"/>
                <w:lang w:val="en-US" w:eastAsia="zh-CN"/>
              </w:rPr>
              <w:t>进入市政管网</w:t>
            </w:r>
            <w:r>
              <w:rPr>
                <w:rFonts w:hint="default" w:ascii="Times New Roman" w:hAnsi="Times New Roman" w:eastAsia="宋体" w:cs="Times New Roman"/>
                <w:sz w:val="24"/>
                <w:szCs w:val="24"/>
                <w:highlight w:val="none"/>
                <w:lang w:val="en-US" w:eastAsia="zh-CN"/>
              </w:rPr>
              <w:t>。</w:t>
            </w:r>
          </w:p>
          <w:p>
            <w:pPr>
              <w:pStyle w:val="10"/>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3、噪声防治措施</w:t>
            </w:r>
          </w:p>
          <w:p>
            <w:pPr>
              <w:pStyle w:val="10"/>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本项目施工期不涉及基建项目，仅为简单的设备安装，故施工过程中的噪声为点焊接、吊车等，设备噪声源强较小，施工期场界噪声对周边影响较小。</w:t>
            </w:r>
          </w:p>
          <w:p>
            <w:pPr>
              <w:pStyle w:val="10"/>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4、固体废物防治措施</w:t>
            </w:r>
          </w:p>
          <w:p>
            <w:pPr>
              <w:pStyle w:val="10"/>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施工期产生的固体废物主要是废弃的装修材料、设备安装边角料、材料包装箱、袋和生活垃圾等，上述垃圾由环卫统一清运处置，无随意倾倒现象，故不会对周围环境造成影响。</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default" w:ascii="Times New Roman" w:hAnsi="Times New Roman" w:eastAsia="宋体" w:cs="Times New Roman"/>
                <w:color w:val="0000FF"/>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default" w:ascii="Times New Roman" w:hAnsi="Times New Roman" w:eastAsia="宋体" w:cs="Times New Roman"/>
                <w:color w:val="auto"/>
                <w:sz w:val="24"/>
                <w:szCs w:val="24"/>
                <w:lang w:val="en-US"/>
              </w:rPr>
            </w:pPr>
          </w:p>
          <w:p>
            <w:pPr>
              <w:keepNext w:val="0"/>
              <w:keepLines w:val="0"/>
              <w:pageBreakBefore w:val="0"/>
              <w:widowControl w:val="0"/>
              <w:kinsoku/>
              <w:wordWrap/>
              <w:overflowPunct/>
              <w:topLinePunct w:val="0"/>
              <w:autoSpaceDE/>
              <w:autoSpaceDN/>
              <w:bidi w:val="0"/>
              <w:adjustRightInd w:val="0"/>
              <w:snapToGrid w:val="0"/>
              <w:ind w:firstLine="440" w:firstLineChars="200"/>
              <w:jc w:val="left"/>
              <w:textAlignment w:val="auto"/>
              <w:rPr>
                <w:rFonts w:hint="default" w:ascii="Times New Roman" w:hAnsi="Times New Roman" w:eastAsia="宋体" w:cs="Times New Roman"/>
                <w:bCs/>
                <w:color w:val="auto"/>
                <w:spacing w:val="-10"/>
                <w:sz w:val="24"/>
                <w:szCs w:val="24"/>
              </w:rPr>
            </w:pPr>
          </w:p>
          <w:p>
            <w:pPr>
              <w:keepNext w:val="0"/>
              <w:keepLines w:val="0"/>
              <w:pageBreakBefore w:val="0"/>
              <w:widowControl w:val="0"/>
              <w:kinsoku/>
              <w:wordWrap/>
              <w:overflowPunct/>
              <w:topLinePunct w:val="0"/>
              <w:autoSpaceDE/>
              <w:autoSpaceDN/>
              <w:bidi w:val="0"/>
              <w:adjustRightInd w:val="0"/>
              <w:snapToGrid w:val="0"/>
              <w:ind w:firstLine="380" w:firstLineChars="200"/>
              <w:textAlignment w:val="auto"/>
              <w:rPr>
                <w:rFonts w:hint="default" w:ascii="Times New Roman" w:hAnsi="Times New Roman" w:eastAsia="宋体" w:cs="Times New Roman"/>
                <w:bCs/>
                <w:color w:val="auto"/>
                <w:spacing w:val="-10"/>
                <w:szCs w:val="21"/>
              </w:rPr>
            </w:pPr>
          </w:p>
          <w:p>
            <w:pPr>
              <w:keepNext w:val="0"/>
              <w:keepLines w:val="0"/>
              <w:pageBreakBefore w:val="0"/>
              <w:widowControl w:val="0"/>
              <w:kinsoku/>
              <w:wordWrap/>
              <w:overflowPunct/>
              <w:topLinePunct w:val="0"/>
              <w:autoSpaceDE/>
              <w:autoSpaceDN/>
              <w:bidi w:val="0"/>
              <w:adjustRightInd w:val="0"/>
              <w:snapToGrid w:val="0"/>
              <w:ind w:firstLine="380" w:firstLineChars="200"/>
              <w:textAlignment w:val="auto"/>
              <w:rPr>
                <w:rFonts w:hint="default" w:ascii="Times New Roman" w:hAnsi="Times New Roman" w:eastAsia="宋体" w:cs="Times New Roman"/>
                <w:bCs/>
                <w:color w:val="auto"/>
                <w:spacing w:val="-10"/>
                <w:szCs w:val="21"/>
              </w:rPr>
            </w:pPr>
          </w:p>
          <w:p>
            <w:pPr>
              <w:keepNext w:val="0"/>
              <w:keepLines w:val="0"/>
              <w:pageBreakBefore w:val="0"/>
              <w:widowControl w:val="0"/>
              <w:kinsoku/>
              <w:wordWrap/>
              <w:overflowPunct/>
              <w:topLinePunct w:val="0"/>
              <w:autoSpaceDE/>
              <w:autoSpaceDN/>
              <w:bidi w:val="0"/>
              <w:adjustRightInd w:val="0"/>
              <w:snapToGrid w:val="0"/>
              <w:ind w:firstLine="380" w:firstLineChars="200"/>
              <w:textAlignment w:val="auto"/>
              <w:rPr>
                <w:rFonts w:hint="default" w:ascii="Times New Roman" w:hAnsi="Times New Roman" w:eastAsia="宋体" w:cs="Times New Roman"/>
                <w:bCs/>
                <w:color w:val="auto"/>
                <w:spacing w:val="-10"/>
                <w:szCs w:val="21"/>
              </w:rPr>
            </w:pPr>
          </w:p>
          <w:p>
            <w:pPr>
              <w:keepNext w:val="0"/>
              <w:keepLines w:val="0"/>
              <w:pageBreakBefore w:val="0"/>
              <w:widowControl w:val="0"/>
              <w:kinsoku/>
              <w:wordWrap/>
              <w:overflowPunct/>
              <w:topLinePunct w:val="0"/>
              <w:autoSpaceDE/>
              <w:autoSpaceDN/>
              <w:bidi w:val="0"/>
              <w:adjustRightInd w:val="0"/>
              <w:snapToGrid w:val="0"/>
              <w:ind w:firstLine="380" w:firstLineChars="200"/>
              <w:textAlignment w:val="auto"/>
              <w:rPr>
                <w:rFonts w:hint="default" w:ascii="Times New Roman" w:hAnsi="Times New Roman" w:eastAsia="宋体" w:cs="Times New Roman"/>
                <w:bCs/>
                <w:color w:val="auto"/>
                <w:spacing w:val="-10"/>
                <w:szCs w:val="21"/>
              </w:rPr>
            </w:pPr>
          </w:p>
          <w:p>
            <w:pPr>
              <w:keepNext w:val="0"/>
              <w:keepLines w:val="0"/>
              <w:pageBreakBefore w:val="0"/>
              <w:widowControl w:val="0"/>
              <w:kinsoku/>
              <w:wordWrap/>
              <w:overflowPunct/>
              <w:topLinePunct w:val="0"/>
              <w:autoSpaceDE/>
              <w:autoSpaceDN/>
              <w:bidi w:val="0"/>
              <w:adjustRightInd w:val="0"/>
              <w:snapToGrid w:val="0"/>
              <w:ind w:firstLine="380" w:firstLineChars="200"/>
              <w:textAlignment w:val="auto"/>
              <w:rPr>
                <w:rFonts w:hint="default" w:ascii="Times New Roman" w:hAnsi="Times New Roman" w:eastAsia="宋体" w:cs="Times New Roman"/>
                <w:bCs/>
                <w:color w:val="auto"/>
                <w:spacing w:val="-10"/>
                <w:szCs w:val="21"/>
              </w:rPr>
            </w:pPr>
          </w:p>
          <w:p>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bCs/>
                <w:color w:val="auto"/>
                <w:spacing w:val="-1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39" w:hRule="atLeast"/>
          <w:jc w:val="center"/>
        </w:trPr>
        <w:tc>
          <w:tcPr>
            <w:tcW w:w="393" w:type="dxa"/>
            <w:tcBorders>
              <w:tl2br w:val="nil"/>
              <w:tr2bl w:val="nil"/>
            </w:tcBorders>
            <w:noWrap w:val="0"/>
            <w:tcMar>
              <w:left w:w="28" w:type="dxa"/>
              <w:right w:w="28" w:type="dxa"/>
            </w:tcMar>
            <w:vAlign w:val="center"/>
          </w:tcPr>
          <w:p>
            <w:pPr>
              <w:pStyle w:val="23"/>
              <w:adjustRightInd w:val="0"/>
              <w:snapToGrid w:val="0"/>
              <w:spacing w:before="0" w:beforeAutospacing="0" w:after="0" w:afterAutospacing="0"/>
              <w:jc w:val="center"/>
              <w:rPr>
                <w:rFonts w:hint="eastAsia" w:cs="宋体"/>
                <w:bCs/>
                <w:color w:val="auto"/>
                <w:kern w:val="2"/>
                <w:sz w:val="24"/>
                <w:szCs w:val="24"/>
              </w:rPr>
            </w:pPr>
            <w:r>
              <w:rPr>
                <w:rFonts w:hint="eastAsia" w:cs="宋体"/>
                <w:bCs/>
                <w:color w:val="auto"/>
                <w:kern w:val="2"/>
                <w:sz w:val="24"/>
                <w:szCs w:val="24"/>
              </w:rPr>
              <w:t>运</w:t>
            </w:r>
          </w:p>
          <w:p>
            <w:pPr>
              <w:pStyle w:val="23"/>
              <w:adjustRightInd w:val="0"/>
              <w:snapToGrid w:val="0"/>
              <w:spacing w:before="0" w:beforeAutospacing="0" w:after="0" w:afterAutospacing="0"/>
              <w:jc w:val="center"/>
              <w:rPr>
                <w:rFonts w:hint="eastAsia" w:cs="宋体"/>
                <w:bCs/>
                <w:color w:val="auto"/>
                <w:kern w:val="2"/>
                <w:sz w:val="24"/>
                <w:szCs w:val="24"/>
              </w:rPr>
            </w:pPr>
            <w:r>
              <w:rPr>
                <w:rFonts w:hint="eastAsia" w:cs="宋体"/>
                <w:bCs/>
                <w:color w:val="auto"/>
                <w:kern w:val="2"/>
                <w:sz w:val="24"/>
                <w:szCs w:val="24"/>
              </w:rPr>
              <w:t>营</w:t>
            </w:r>
          </w:p>
          <w:p>
            <w:pPr>
              <w:pStyle w:val="23"/>
              <w:adjustRightInd w:val="0"/>
              <w:snapToGrid w:val="0"/>
              <w:spacing w:before="0" w:beforeAutospacing="0" w:after="0" w:afterAutospacing="0"/>
              <w:jc w:val="center"/>
              <w:rPr>
                <w:rFonts w:hint="eastAsia" w:cs="宋体"/>
                <w:bCs/>
                <w:color w:val="auto"/>
                <w:kern w:val="2"/>
                <w:sz w:val="24"/>
                <w:szCs w:val="24"/>
              </w:rPr>
            </w:pPr>
            <w:r>
              <w:rPr>
                <w:rFonts w:hint="eastAsia" w:cs="宋体"/>
                <w:bCs/>
                <w:color w:val="auto"/>
                <w:kern w:val="2"/>
                <w:sz w:val="24"/>
                <w:szCs w:val="24"/>
              </w:rPr>
              <w:t>期</w:t>
            </w:r>
          </w:p>
          <w:p>
            <w:pPr>
              <w:pStyle w:val="23"/>
              <w:adjustRightInd w:val="0"/>
              <w:snapToGrid w:val="0"/>
              <w:spacing w:before="0" w:beforeAutospacing="0" w:after="0" w:afterAutospacing="0"/>
              <w:jc w:val="center"/>
              <w:rPr>
                <w:rFonts w:hint="eastAsia" w:cs="宋体"/>
                <w:bCs/>
                <w:color w:val="auto"/>
                <w:kern w:val="2"/>
                <w:sz w:val="24"/>
                <w:szCs w:val="24"/>
              </w:rPr>
            </w:pPr>
            <w:r>
              <w:rPr>
                <w:rFonts w:hint="eastAsia" w:cs="宋体"/>
                <w:bCs/>
                <w:color w:val="auto"/>
                <w:kern w:val="2"/>
                <w:sz w:val="24"/>
                <w:szCs w:val="24"/>
              </w:rPr>
              <w:t>环</w:t>
            </w:r>
          </w:p>
          <w:p>
            <w:pPr>
              <w:pStyle w:val="23"/>
              <w:adjustRightInd w:val="0"/>
              <w:snapToGrid w:val="0"/>
              <w:spacing w:before="0" w:beforeAutospacing="0" w:after="0" w:afterAutospacing="0"/>
              <w:jc w:val="center"/>
              <w:rPr>
                <w:rFonts w:hint="eastAsia" w:cs="宋体"/>
                <w:bCs/>
                <w:color w:val="auto"/>
                <w:kern w:val="2"/>
                <w:sz w:val="24"/>
                <w:szCs w:val="24"/>
              </w:rPr>
            </w:pPr>
            <w:r>
              <w:rPr>
                <w:rFonts w:hint="eastAsia" w:cs="宋体"/>
                <w:bCs/>
                <w:color w:val="auto"/>
                <w:kern w:val="2"/>
                <w:sz w:val="24"/>
                <w:szCs w:val="24"/>
              </w:rPr>
              <w:t>境</w:t>
            </w:r>
          </w:p>
          <w:p>
            <w:pPr>
              <w:pStyle w:val="23"/>
              <w:adjustRightInd w:val="0"/>
              <w:snapToGrid w:val="0"/>
              <w:spacing w:before="0" w:beforeAutospacing="0" w:after="0" w:afterAutospacing="0"/>
              <w:jc w:val="center"/>
              <w:rPr>
                <w:rFonts w:hint="eastAsia" w:cs="宋体"/>
                <w:bCs/>
                <w:color w:val="auto"/>
                <w:kern w:val="2"/>
                <w:sz w:val="24"/>
                <w:szCs w:val="24"/>
              </w:rPr>
            </w:pPr>
            <w:r>
              <w:rPr>
                <w:rFonts w:hint="eastAsia" w:cs="宋体"/>
                <w:bCs/>
                <w:color w:val="auto"/>
                <w:kern w:val="2"/>
                <w:sz w:val="24"/>
                <w:szCs w:val="24"/>
              </w:rPr>
              <w:t>影</w:t>
            </w:r>
          </w:p>
          <w:p>
            <w:pPr>
              <w:pStyle w:val="23"/>
              <w:adjustRightInd w:val="0"/>
              <w:snapToGrid w:val="0"/>
              <w:spacing w:before="0" w:beforeAutospacing="0" w:after="0" w:afterAutospacing="0"/>
              <w:jc w:val="center"/>
              <w:rPr>
                <w:rFonts w:hint="eastAsia" w:cs="宋体"/>
                <w:bCs/>
                <w:color w:val="auto"/>
                <w:kern w:val="2"/>
                <w:sz w:val="24"/>
                <w:szCs w:val="24"/>
              </w:rPr>
            </w:pPr>
            <w:r>
              <w:rPr>
                <w:rFonts w:hint="eastAsia" w:cs="宋体"/>
                <w:bCs/>
                <w:color w:val="auto"/>
                <w:kern w:val="2"/>
                <w:sz w:val="24"/>
                <w:szCs w:val="24"/>
              </w:rPr>
              <w:t>响</w:t>
            </w:r>
          </w:p>
          <w:p>
            <w:pPr>
              <w:pStyle w:val="23"/>
              <w:adjustRightInd w:val="0"/>
              <w:snapToGrid w:val="0"/>
              <w:spacing w:before="0" w:beforeAutospacing="0" w:after="0" w:afterAutospacing="0"/>
              <w:jc w:val="center"/>
              <w:rPr>
                <w:rFonts w:hint="eastAsia" w:cs="宋体"/>
                <w:bCs/>
                <w:color w:val="auto"/>
                <w:kern w:val="2"/>
                <w:sz w:val="24"/>
                <w:szCs w:val="24"/>
              </w:rPr>
            </w:pPr>
            <w:r>
              <w:rPr>
                <w:rFonts w:hint="eastAsia" w:cs="宋体"/>
                <w:bCs/>
                <w:color w:val="auto"/>
                <w:kern w:val="2"/>
                <w:sz w:val="24"/>
                <w:szCs w:val="24"/>
              </w:rPr>
              <w:t>和</w:t>
            </w:r>
          </w:p>
          <w:p>
            <w:pPr>
              <w:pStyle w:val="23"/>
              <w:adjustRightInd w:val="0"/>
              <w:snapToGrid w:val="0"/>
              <w:spacing w:before="0" w:beforeAutospacing="0" w:after="0" w:afterAutospacing="0"/>
              <w:jc w:val="center"/>
              <w:rPr>
                <w:rFonts w:hint="eastAsia" w:cs="宋体"/>
                <w:bCs/>
                <w:color w:val="auto"/>
                <w:kern w:val="2"/>
                <w:sz w:val="24"/>
                <w:szCs w:val="24"/>
              </w:rPr>
            </w:pPr>
            <w:r>
              <w:rPr>
                <w:rFonts w:hint="eastAsia" w:cs="宋体"/>
                <w:bCs/>
                <w:color w:val="auto"/>
                <w:kern w:val="2"/>
                <w:sz w:val="24"/>
                <w:szCs w:val="24"/>
              </w:rPr>
              <w:t>保</w:t>
            </w:r>
          </w:p>
          <w:p>
            <w:pPr>
              <w:pStyle w:val="23"/>
              <w:adjustRightInd w:val="0"/>
              <w:snapToGrid w:val="0"/>
              <w:spacing w:before="0" w:beforeAutospacing="0" w:after="0" w:afterAutospacing="0"/>
              <w:jc w:val="center"/>
              <w:rPr>
                <w:rFonts w:hint="eastAsia" w:cs="宋体"/>
                <w:bCs/>
                <w:color w:val="auto"/>
                <w:kern w:val="2"/>
                <w:sz w:val="24"/>
                <w:szCs w:val="24"/>
              </w:rPr>
            </w:pPr>
            <w:r>
              <w:rPr>
                <w:rFonts w:hint="eastAsia" w:cs="宋体"/>
                <w:bCs/>
                <w:color w:val="auto"/>
                <w:kern w:val="2"/>
                <w:sz w:val="24"/>
                <w:szCs w:val="24"/>
              </w:rPr>
              <w:t>护</w:t>
            </w:r>
          </w:p>
          <w:p>
            <w:pPr>
              <w:pStyle w:val="23"/>
              <w:adjustRightInd w:val="0"/>
              <w:snapToGrid w:val="0"/>
              <w:spacing w:before="0" w:beforeAutospacing="0" w:after="0" w:afterAutospacing="0"/>
              <w:jc w:val="center"/>
              <w:rPr>
                <w:rFonts w:hint="eastAsia" w:cs="宋体"/>
                <w:bCs/>
                <w:color w:val="auto"/>
                <w:kern w:val="2"/>
                <w:sz w:val="24"/>
                <w:szCs w:val="24"/>
              </w:rPr>
            </w:pPr>
            <w:r>
              <w:rPr>
                <w:rFonts w:hint="eastAsia" w:cs="宋体"/>
                <w:bCs/>
                <w:color w:val="auto"/>
                <w:kern w:val="2"/>
                <w:sz w:val="24"/>
                <w:szCs w:val="24"/>
              </w:rPr>
              <w:t>措</w:t>
            </w:r>
          </w:p>
          <w:p>
            <w:pPr>
              <w:pStyle w:val="23"/>
              <w:adjustRightInd w:val="0"/>
              <w:snapToGrid w:val="0"/>
              <w:spacing w:before="0" w:beforeAutospacing="0" w:after="0" w:afterAutospacing="0"/>
              <w:jc w:val="center"/>
              <w:rPr>
                <w:rFonts w:hint="eastAsia" w:cs="宋体"/>
                <w:bCs/>
                <w:color w:val="auto"/>
                <w:kern w:val="2"/>
                <w:sz w:val="24"/>
                <w:szCs w:val="24"/>
                <w:lang w:val="en-US" w:eastAsia="zh-CN"/>
              </w:rPr>
            </w:pPr>
            <w:r>
              <w:rPr>
                <w:rFonts w:hint="eastAsia" w:cs="宋体"/>
                <w:bCs/>
                <w:color w:val="auto"/>
                <w:kern w:val="2"/>
                <w:sz w:val="24"/>
                <w:szCs w:val="24"/>
              </w:rPr>
              <w:t>施</w:t>
            </w:r>
          </w:p>
          <w:p>
            <w:pPr>
              <w:pStyle w:val="23"/>
              <w:adjustRightInd w:val="0"/>
              <w:snapToGrid w:val="0"/>
              <w:spacing w:before="0" w:beforeAutospacing="0" w:after="0" w:afterAutospacing="0"/>
              <w:jc w:val="center"/>
              <w:rPr>
                <w:rFonts w:hint="default" w:ascii="Times New Roman" w:hAnsi="Times New Roman" w:eastAsia="宋体" w:cs="Times New Roman"/>
                <w:b w:val="0"/>
                <w:bCs w:val="0"/>
                <w:color w:val="0000FF"/>
                <w:kern w:val="2"/>
                <w:sz w:val="24"/>
                <w:szCs w:val="24"/>
              </w:rPr>
            </w:pPr>
          </w:p>
        </w:tc>
        <w:tc>
          <w:tcPr>
            <w:tcW w:w="85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textAlignment w:val="auto"/>
              <w:rPr>
                <w:rFonts w:hint="default"/>
                <w:b/>
                <w:bCs/>
                <w:color w:val="auto"/>
                <w:sz w:val="24"/>
                <w:szCs w:val="24"/>
              </w:rPr>
            </w:pPr>
            <w:r>
              <w:rPr>
                <w:rFonts w:hint="eastAsia"/>
                <w:b/>
                <w:bCs/>
                <w:color w:val="auto"/>
                <w:sz w:val="24"/>
                <w:szCs w:val="24"/>
                <w:lang w:val="en-US" w:eastAsia="zh-CN"/>
              </w:rPr>
              <w:t>1、</w:t>
            </w:r>
            <w:r>
              <w:rPr>
                <w:rFonts w:hint="default"/>
                <w:b/>
                <w:bCs/>
                <w:color w:val="auto"/>
                <w:sz w:val="24"/>
                <w:szCs w:val="24"/>
              </w:rPr>
              <w:t>废气</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eastAsia" w:ascii="Times New Roman" w:hAnsi="Times New Roman" w:eastAsia="宋体" w:cs="Times New Roman"/>
                <w:bCs/>
                <w:color w:val="auto"/>
                <w:spacing w:val="-10"/>
                <w:sz w:val="24"/>
                <w:szCs w:val="24"/>
                <w:lang w:eastAsia="zh-CN"/>
              </w:rPr>
            </w:pPr>
            <w:r>
              <w:rPr>
                <w:rFonts w:hint="eastAsia" w:ascii="Times New Roman" w:hAnsi="Times New Roman" w:eastAsia="宋体" w:cs="Times New Roman"/>
                <w:bCs/>
                <w:color w:val="auto"/>
                <w:spacing w:val="-10"/>
                <w:sz w:val="24"/>
                <w:szCs w:val="24"/>
                <w:lang w:eastAsia="zh-CN"/>
              </w:rPr>
              <w:t>（</w:t>
            </w:r>
            <w:r>
              <w:rPr>
                <w:rFonts w:hint="eastAsia" w:ascii="Times New Roman" w:hAnsi="Times New Roman" w:eastAsia="宋体" w:cs="Times New Roman"/>
                <w:bCs/>
                <w:color w:val="auto"/>
                <w:spacing w:val="-10"/>
                <w:sz w:val="24"/>
                <w:szCs w:val="24"/>
                <w:lang w:val="en-US" w:eastAsia="zh-CN"/>
              </w:rPr>
              <w:t>1</w:t>
            </w:r>
            <w:r>
              <w:rPr>
                <w:rFonts w:hint="eastAsia" w:ascii="Times New Roman" w:hAnsi="Times New Roman" w:eastAsia="宋体" w:cs="Times New Roman"/>
                <w:bCs/>
                <w:color w:val="auto"/>
                <w:spacing w:val="-10"/>
                <w:sz w:val="24"/>
                <w:szCs w:val="24"/>
                <w:lang w:eastAsia="zh-CN"/>
              </w:rPr>
              <w:t>）废气产生及排放情况</w:t>
            </w:r>
          </w:p>
          <w:p>
            <w:pPr>
              <w:pStyle w:val="4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FF"/>
                <w:sz w:val="24"/>
                <w:szCs w:val="24"/>
                <w:lang w:val="en-US" w:eastAsia="zh-CN"/>
              </w:rPr>
            </w:pPr>
            <w:r>
              <w:rPr>
                <w:rFonts w:hint="default" w:ascii="Times New Roman" w:hAnsi="Times New Roman" w:eastAsia="宋体" w:cs="Times New Roman"/>
                <w:color w:val="auto"/>
                <w:sz w:val="24"/>
                <w:szCs w:val="24"/>
                <w:lang w:val="en-US" w:eastAsia="zh-CN"/>
              </w:rPr>
              <w:t>项目产生的废气主要冷镦废气、淬火废气、回火废气</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淬火尾气燃烧废气</w:t>
            </w:r>
            <w:r>
              <w:rPr>
                <w:rFonts w:hint="eastAsia" w:ascii="Times New Roman" w:hAnsi="Times New Roman" w:eastAsia="宋体" w:cs="Times New Roman"/>
                <w:color w:val="auto"/>
                <w:sz w:val="24"/>
                <w:szCs w:val="24"/>
                <w:lang w:val="en-US" w:eastAsia="zh-CN"/>
              </w:rPr>
              <w:t>及清洗废气</w:t>
            </w:r>
            <w:r>
              <w:rPr>
                <w:rFonts w:hint="default" w:ascii="Times New Roman" w:hAnsi="Times New Roman" w:eastAsia="宋体"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eastAsia" w:ascii="Times New Roman" w:hAnsi="Times New Roman" w:eastAsia="宋体" w:cs="Times New Roman"/>
                <w:b w:val="0"/>
                <w:bCs/>
                <w:color w:val="auto"/>
                <w:spacing w:val="-10"/>
                <w:sz w:val="24"/>
                <w:szCs w:val="24"/>
                <w:lang w:val="en-US" w:eastAsia="zh-CN"/>
              </w:rPr>
            </w:pPr>
            <w:r>
              <w:rPr>
                <w:rFonts w:hint="eastAsia" w:ascii="Times New Roman" w:hAnsi="Times New Roman" w:eastAsia="宋体" w:cs="Times New Roman"/>
                <w:b w:val="0"/>
                <w:bCs/>
                <w:color w:val="auto"/>
                <w:spacing w:val="-10"/>
                <w:sz w:val="24"/>
                <w:szCs w:val="24"/>
                <w:lang w:val="en-US" w:eastAsia="zh-CN"/>
              </w:rPr>
              <w:t>废气源强核算过程</w:t>
            </w:r>
            <w:r>
              <w:rPr>
                <w:rFonts w:hint="eastAsia" w:ascii="Times New Roman" w:hAnsi="Times New Roman" w:cs="Times New Roman"/>
                <w:b w:val="0"/>
                <w:bCs/>
                <w:color w:val="auto"/>
                <w:spacing w:val="-10"/>
                <w:sz w:val="24"/>
                <w:szCs w:val="24"/>
                <w:lang w:val="en-US" w:eastAsia="zh-CN"/>
              </w:rPr>
              <w:t>：</w:t>
            </w:r>
          </w:p>
          <w:p>
            <w:pPr>
              <w:pStyle w:val="37"/>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outlineLvl w:val="9"/>
              <w:rPr>
                <w:rFonts w:hint="eastAsia" w:cs="Times New Roman"/>
                <w:b w:val="0"/>
                <w:bCs/>
                <w:color w:val="auto"/>
                <w:szCs w:val="24"/>
                <w:lang w:val="en-US" w:eastAsia="zh-CN"/>
              </w:rPr>
            </w:pPr>
            <w:r>
              <w:rPr>
                <w:rFonts w:hint="eastAsia" w:ascii="宋体" w:hAnsi="宋体" w:eastAsia="宋体" w:cs="宋体"/>
                <w:color w:val="auto"/>
                <w:sz w:val="24"/>
                <w:szCs w:val="24"/>
              </w:rPr>
              <w:t>①</w:t>
            </w:r>
            <w:r>
              <w:rPr>
                <w:rFonts w:hint="eastAsia" w:ascii="Times New Roman" w:hAnsi="Times New Roman" w:eastAsia="宋体"/>
                <w:color w:val="auto"/>
                <w:sz w:val="24"/>
                <w:szCs w:val="24"/>
                <w:lang w:val="en-US" w:eastAsia="zh-CN"/>
              </w:rPr>
              <w:t xml:space="preserve"> 冷镦废气、淬火废气、回火废气</w:t>
            </w:r>
          </w:p>
          <w:p>
            <w:pPr>
              <w:pStyle w:val="37"/>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outlineLvl w:val="9"/>
              <w:rPr>
                <w:rFonts w:hint="eastAsia" w:cs="Times New Roman"/>
                <w:b w:val="0"/>
                <w:bCs/>
                <w:color w:val="auto"/>
                <w:sz w:val="24"/>
                <w:szCs w:val="24"/>
                <w:lang w:val="en-US" w:eastAsia="zh-CN"/>
              </w:rPr>
            </w:pPr>
            <w:r>
              <w:rPr>
                <w:rFonts w:hint="eastAsia" w:cs="Times New Roman"/>
                <w:b w:val="0"/>
                <w:bCs/>
                <w:color w:val="auto"/>
                <w:sz w:val="24"/>
                <w:szCs w:val="24"/>
                <w:lang w:val="en-US" w:eastAsia="zh-CN"/>
              </w:rPr>
              <w:t>A.冷镦废气</w:t>
            </w:r>
          </w:p>
          <w:p>
            <w:pPr>
              <w:pStyle w:val="37"/>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outlineLvl w:val="9"/>
              <w:rPr>
                <w:rFonts w:hint="eastAsia" w:cs="Times New Roman"/>
                <w:color w:val="auto"/>
                <w:sz w:val="24"/>
                <w:szCs w:val="24"/>
                <w:lang w:eastAsia="zh-CN"/>
              </w:rPr>
            </w:pPr>
            <w:r>
              <w:rPr>
                <w:rFonts w:hint="eastAsia" w:cs="Times New Roman"/>
                <w:b w:val="0"/>
                <w:bCs/>
                <w:color w:val="auto"/>
                <w:sz w:val="24"/>
                <w:szCs w:val="24"/>
                <w:lang w:val="en-US" w:eastAsia="zh-CN"/>
              </w:rPr>
              <w:t>在冷镦过程中采用冷镦机油</w:t>
            </w:r>
            <w:r>
              <w:rPr>
                <w:rFonts w:hint="eastAsia" w:cs="Times New Roman"/>
                <w:color w:val="auto"/>
                <w:sz w:val="24"/>
                <w:szCs w:val="24"/>
                <w:lang w:eastAsia="zh-CN"/>
              </w:rPr>
              <w:t>起润滑和冷却作用，加工过程是机械挤压过程，在挤压成型过程中</w:t>
            </w:r>
            <w:r>
              <w:rPr>
                <w:rFonts w:hint="eastAsia" w:cs="Times New Roman"/>
                <w:b w:val="0"/>
                <w:bCs/>
                <w:color w:val="auto"/>
                <w:sz w:val="24"/>
                <w:szCs w:val="24"/>
                <w:lang w:val="en-US" w:eastAsia="zh-CN"/>
              </w:rPr>
              <w:t>冷镦机油</w:t>
            </w:r>
            <w:r>
              <w:rPr>
                <w:rFonts w:hint="eastAsia" w:cs="Times New Roman"/>
                <w:color w:val="auto"/>
                <w:sz w:val="24"/>
                <w:szCs w:val="24"/>
                <w:lang w:eastAsia="zh-CN"/>
              </w:rPr>
              <w:t>会挥发产生冷镦废气，本环评以挥发性有机物计。</w:t>
            </w:r>
          </w:p>
          <w:p>
            <w:pPr>
              <w:pStyle w:val="37"/>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outlineLvl w:val="9"/>
              <w:rPr>
                <w:rFonts w:hint="eastAsia" w:eastAsia="宋体" w:cs="Times New Roman"/>
                <w:color w:val="0000FF"/>
                <w:sz w:val="24"/>
                <w:szCs w:val="24"/>
                <w:lang w:val="en-US" w:eastAsia="zh-CN"/>
              </w:rPr>
            </w:pPr>
            <w:r>
              <w:rPr>
                <w:rFonts w:hint="eastAsia" w:cs="Times New Roman"/>
                <w:color w:val="auto"/>
                <w:sz w:val="24"/>
                <w:szCs w:val="24"/>
                <w:lang w:eastAsia="zh-CN"/>
              </w:rPr>
              <w:t>本项目冷镦废气类比《宁阳县泰鑫钢球厂年产</w:t>
            </w:r>
            <w:r>
              <w:rPr>
                <w:rFonts w:hint="eastAsia" w:cs="Times New Roman"/>
                <w:color w:val="auto"/>
                <w:sz w:val="24"/>
                <w:szCs w:val="24"/>
                <w:lang w:val="en-US" w:eastAsia="zh-CN"/>
              </w:rPr>
              <w:t>500吨钢球生产项目环境影响报告表</w:t>
            </w:r>
            <w:r>
              <w:rPr>
                <w:rFonts w:hint="eastAsia" w:cs="Times New Roman"/>
                <w:color w:val="auto"/>
                <w:sz w:val="24"/>
                <w:szCs w:val="24"/>
                <w:lang w:eastAsia="zh-CN"/>
              </w:rPr>
              <w:t>》（宁环审【</w:t>
            </w:r>
            <w:r>
              <w:rPr>
                <w:rFonts w:hint="eastAsia" w:cs="Times New Roman"/>
                <w:color w:val="auto"/>
                <w:sz w:val="24"/>
                <w:szCs w:val="24"/>
                <w:lang w:val="en-US" w:eastAsia="zh-CN"/>
              </w:rPr>
              <w:t>2019】40号</w:t>
            </w:r>
            <w:r>
              <w:rPr>
                <w:rFonts w:hint="eastAsia" w:cs="Times New Roman"/>
                <w:color w:val="auto"/>
                <w:sz w:val="24"/>
                <w:szCs w:val="24"/>
                <w:lang w:eastAsia="zh-CN"/>
              </w:rPr>
              <w:t>）</w:t>
            </w:r>
            <w:r>
              <w:rPr>
                <w:rFonts w:hint="eastAsia" w:cs="Times New Roman"/>
                <w:color w:val="auto"/>
                <w:sz w:val="24"/>
                <w:szCs w:val="24"/>
                <w:lang w:val="en-US" w:eastAsia="zh-CN"/>
              </w:rPr>
              <w:t>，</w:t>
            </w:r>
            <w:r>
              <w:rPr>
                <w:rFonts w:hint="eastAsia" w:cs="Times New Roman"/>
                <w:color w:val="auto"/>
                <w:sz w:val="24"/>
                <w:szCs w:val="24"/>
                <w:lang w:eastAsia="zh-CN"/>
              </w:rPr>
              <w:t>宁阳县泰鑫钢球厂年产</w:t>
            </w:r>
            <w:r>
              <w:rPr>
                <w:rFonts w:hint="eastAsia" w:cs="Times New Roman"/>
                <w:color w:val="auto"/>
                <w:sz w:val="24"/>
                <w:szCs w:val="24"/>
                <w:lang w:val="en-US" w:eastAsia="zh-CN"/>
              </w:rPr>
              <w:t>500吨钢球生产项目以冷拔丝为原料，经冷镦、光球、热处理、回火、硬磨、抛光、烫干、挑选精选等工序生产钢球，冷镦工序使用润滑油，本项目直接以轴承钢丝为原料，经冷镦、</w:t>
            </w:r>
            <w:r>
              <w:rPr>
                <w:rFonts w:hint="eastAsia" w:ascii="Times New Roman" w:hAnsi="Times New Roman" w:eastAsia="宋体" w:cs="Times New Roman"/>
                <w:color w:val="auto"/>
                <w:sz w:val="24"/>
                <w:szCs w:val="24"/>
                <w:lang w:val="en-US" w:eastAsia="zh-CN"/>
              </w:rPr>
              <w:t>光球、淬火、回火、</w:t>
            </w:r>
            <w:r>
              <w:rPr>
                <w:rFonts w:hint="eastAsia" w:cs="Times New Roman"/>
                <w:color w:val="auto"/>
                <w:sz w:val="24"/>
                <w:szCs w:val="24"/>
                <w:lang w:val="en-US" w:eastAsia="zh-CN"/>
              </w:rPr>
              <w:t>除油、硬磨、</w:t>
            </w:r>
            <w:r>
              <w:rPr>
                <w:rFonts w:hint="eastAsia" w:ascii="Times New Roman" w:hAnsi="Times New Roman" w:eastAsia="宋体" w:cs="Times New Roman"/>
                <w:color w:val="auto"/>
                <w:sz w:val="24"/>
                <w:szCs w:val="24"/>
                <w:lang w:val="en-US" w:eastAsia="zh-CN"/>
              </w:rPr>
              <w:t>强化、初研、精研、清洗、</w:t>
            </w:r>
            <w:r>
              <w:rPr>
                <w:rFonts w:hint="eastAsia" w:cs="Times New Roman"/>
                <w:b w:val="0"/>
                <w:bCs w:val="0"/>
                <w:color w:val="auto"/>
                <w:sz w:val="24"/>
                <w:szCs w:val="24"/>
                <w:lang w:val="en-US" w:eastAsia="zh-CN"/>
              </w:rPr>
              <w:t>成品检验</w:t>
            </w:r>
            <w:r>
              <w:rPr>
                <w:rFonts w:hint="eastAsia" w:ascii="Times New Roman" w:hAnsi="Times New Roman" w:eastAsia="宋体" w:cs="Times New Roman"/>
                <w:color w:val="auto"/>
                <w:sz w:val="24"/>
                <w:szCs w:val="24"/>
                <w:lang w:val="en-US" w:eastAsia="zh-CN"/>
              </w:rPr>
              <w:t>、</w:t>
            </w:r>
            <w:r>
              <w:rPr>
                <w:rFonts w:hint="eastAsia" w:cs="Times New Roman"/>
                <w:b w:val="0"/>
                <w:bCs w:val="0"/>
                <w:color w:val="auto"/>
                <w:sz w:val="24"/>
                <w:szCs w:val="24"/>
                <w:lang w:val="en-US" w:eastAsia="zh-CN"/>
              </w:rPr>
              <w:t>涂油</w:t>
            </w:r>
            <w:r>
              <w:rPr>
                <w:rFonts w:hint="default" w:ascii="Times New Roman" w:hAnsi="Times New Roman" w:eastAsia="宋体" w:cs="Times New Roman"/>
                <w:b w:val="0"/>
                <w:bCs w:val="0"/>
                <w:color w:val="auto"/>
                <w:sz w:val="24"/>
                <w:szCs w:val="24"/>
                <w:lang w:val="en-US" w:eastAsia="zh-CN"/>
              </w:rPr>
              <w:t>包装</w:t>
            </w:r>
            <w:r>
              <w:rPr>
                <w:rFonts w:hint="eastAsia" w:ascii="Times New Roman" w:hAnsi="Times New Roman" w:eastAsia="宋体" w:cs="Times New Roman"/>
                <w:color w:val="auto"/>
                <w:sz w:val="24"/>
                <w:szCs w:val="24"/>
                <w:lang w:val="en-US" w:eastAsia="zh-CN"/>
              </w:rPr>
              <w:t>等工序生产钢球</w:t>
            </w:r>
            <w:r>
              <w:rPr>
                <w:rFonts w:hint="eastAsia" w:cs="Times New Roman"/>
                <w:color w:val="auto"/>
                <w:sz w:val="24"/>
                <w:szCs w:val="24"/>
                <w:lang w:val="en-US" w:eastAsia="zh-CN"/>
              </w:rPr>
              <w:t>，冷镦工序使用冷镦机油（</w:t>
            </w:r>
            <w:r>
              <w:rPr>
                <w:rFonts w:hint="eastAsia" w:cs="Times New Roman"/>
                <w:b w:val="0"/>
                <w:bCs w:val="0"/>
                <w:color w:val="auto"/>
                <w:sz w:val="24"/>
                <w:szCs w:val="24"/>
                <w:highlight w:val="none"/>
                <w:lang w:val="en-US" w:eastAsia="zh-CN"/>
              </w:rPr>
              <w:t>46#机械油，是一种通用润滑油</w:t>
            </w:r>
            <w:r>
              <w:rPr>
                <w:rFonts w:hint="eastAsia" w:cs="Times New Roman"/>
                <w:color w:val="auto"/>
                <w:sz w:val="24"/>
                <w:szCs w:val="24"/>
                <w:lang w:val="en-US" w:eastAsia="zh-CN"/>
              </w:rPr>
              <w:t>）。因此具有可类比性。</w:t>
            </w:r>
          </w:p>
          <w:p>
            <w:pPr>
              <w:pStyle w:val="37"/>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outlineLvl w:val="9"/>
              <w:rPr>
                <w:rFonts w:hint="eastAsia" w:cs="Times New Roman"/>
                <w:color w:val="auto"/>
                <w:sz w:val="24"/>
                <w:szCs w:val="24"/>
                <w:lang w:val="en-US" w:eastAsia="zh-CN"/>
              </w:rPr>
            </w:pPr>
            <w:r>
              <w:rPr>
                <w:rFonts w:hint="eastAsia" w:cs="Times New Roman"/>
                <w:color w:val="auto"/>
                <w:sz w:val="24"/>
                <w:szCs w:val="24"/>
                <w:lang w:eastAsia="zh-CN"/>
              </w:rPr>
              <w:t>同时根据《宁阳县泰鑫钢球厂年产</w:t>
            </w:r>
            <w:r>
              <w:rPr>
                <w:rFonts w:hint="eastAsia" w:cs="Times New Roman"/>
                <w:color w:val="auto"/>
                <w:sz w:val="24"/>
                <w:szCs w:val="24"/>
                <w:lang w:val="en-US" w:eastAsia="zh-CN"/>
              </w:rPr>
              <w:t>500吨钢球生产项目竣工环境保护验收监测报告表</w:t>
            </w:r>
            <w:r>
              <w:rPr>
                <w:rFonts w:hint="eastAsia" w:cs="Times New Roman"/>
                <w:color w:val="auto"/>
                <w:sz w:val="24"/>
                <w:szCs w:val="24"/>
                <w:lang w:eastAsia="zh-CN"/>
              </w:rPr>
              <w:t>》（</w:t>
            </w:r>
            <w:r>
              <w:rPr>
                <w:rFonts w:hint="eastAsia" w:cs="Times New Roman"/>
                <w:color w:val="auto"/>
                <w:sz w:val="24"/>
                <w:szCs w:val="24"/>
                <w:lang w:val="en-US" w:eastAsia="zh-CN"/>
              </w:rPr>
              <w:t>2021年5月）中山东科源检测技术有限公司出具的检测报告（报告编号：鲁科源（环）检字2021第0888号），检测结果如下：</w:t>
            </w:r>
          </w:p>
          <w:p>
            <w:pPr>
              <w:pStyle w:val="37"/>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outlineLvl w:val="9"/>
              <w:rPr>
                <w:rFonts w:hint="default" w:cs="Times New Roman"/>
                <w:b/>
                <w:bCs/>
                <w:color w:val="auto"/>
                <w:sz w:val="24"/>
                <w:szCs w:val="24"/>
                <w:lang w:val="en-US" w:eastAsia="zh-CN"/>
              </w:rPr>
            </w:pPr>
            <w:r>
              <w:rPr>
                <w:rFonts w:hint="eastAsia" w:cs="Times New Roman"/>
                <w:b/>
                <w:bCs/>
                <w:color w:val="auto"/>
                <w:sz w:val="24"/>
                <w:szCs w:val="24"/>
                <w:lang w:val="en-US" w:eastAsia="zh-CN"/>
              </w:rPr>
              <w:t xml:space="preserve">表4.1  </w:t>
            </w:r>
            <w:r>
              <w:rPr>
                <w:rFonts w:hint="eastAsia" w:cs="Times New Roman"/>
                <w:b/>
                <w:bCs/>
                <w:color w:val="auto"/>
                <w:sz w:val="24"/>
                <w:szCs w:val="24"/>
                <w:lang w:eastAsia="zh-CN"/>
              </w:rPr>
              <w:t>宁阳县泰鑫钢球厂验收检测结果</w:t>
            </w:r>
          </w:p>
          <w:tbl>
            <w:tblPr>
              <w:tblStyle w:val="26"/>
              <w:tblW w:w="83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1"/>
              <w:gridCol w:w="1147"/>
              <w:gridCol w:w="1192"/>
              <w:gridCol w:w="1151"/>
              <w:gridCol w:w="1893"/>
              <w:gridCol w:w="1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00" w:type="dxa"/>
                  <w:gridSpan w:val="3"/>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jc w:val="center"/>
                    <w:textAlignment w:val="auto"/>
                    <w:outlineLvl w:val="9"/>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检测点位</w:t>
                  </w:r>
                </w:p>
              </w:tc>
              <w:tc>
                <w:tcPr>
                  <w:tcW w:w="4862" w:type="dxa"/>
                  <w:gridSpan w:val="3"/>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jc w:val="center"/>
                    <w:textAlignment w:val="auto"/>
                    <w:outlineLvl w:val="9"/>
                    <w:rPr>
                      <w:rFonts w:hint="eastAsia" w:cs="Times New Roman"/>
                      <w:color w:val="auto"/>
                      <w:sz w:val="21"/>
                      <w:szCs w:val="21"/>
                      <w:vertAlign w:val="baseline"/>
                      <w:lang w:val="en-US" w:eastAsia="zh-CN"/>
                    </w:rPr>
                  </w:pPr>
                  <w:r>
                    <w:rPr>
                      <w:rFonts w:hint="eastAsia"/>
                      <w:color w:val="auto"/>
                      <w:sz w:val="21"/>
                      <w:szCs w:val="21"/>
                      <w:vertAlign w:val="baseline"/>
                      <w:lang w:val="en-US" w:eastAsia="zh-CN"/>
                    </w:rPr>
                    <w:t>排气筒检测口（进出口）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vMerge w:val="restart"/>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jc w:val="center"/>
                    <w:textAlignment w:val="auto"/>
                    <w:outlineLvl w:val="9"/>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采样日期</w:t>
                  </w:r>
                </w:p>
              </w:tc>
              <w:tc>
                <w:tcPr>
                  <w:tcW w:w="1147" w:type="dxa"/>
                  <w:vMerge w:val="restart"/>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检测频次</w:t>
                  </w:r>
                </w:p>
              </w:tc>
              <w:tc>
                <w:tcPr>
                  <w:tcW w:w="1192" w:type="dxa"/>
                  <w:vMerge w:val="restart"/>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检测断面</w:t>
                  </w:r>
                </w:p>
              </w:tc>
              <w:tc>
                <w:tcPr>
                  <w:tcW w:w="1151" w:type="dxa"/>
                  <w:vMerge w:val="restart"/>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废气流量</w:t>
                  </w:r>
                </w:p>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jc w:val="center"/>
                    <w:textAlignment w:val="auto"/>
                    <w:outlineLvl w:val="9"/>
                    <w:rPr>
                      <w:rFonts w:hint="eastAsia" w:cs="Times New Roman"/>
                      <w:color w:val="auto"/>
                      <w:sz w:val="21"/>
                      <w:szCs w:val="21"/>
                      <w:vertAlign w:val="baseline"/>
                      <w:lang w:val="en-US" w:eastAsia="zh-CN"/>
                    </w:rPr>
                  </w:pPr>
                  <w:r>
                    <w:rPr>
                      <w:rFonts w:hint="eastAsia"/>
                      <w:color w:val="auto"/>
                      <w:sz w:val="21"/>
                      <w:szCs w:val="21"/>
                      <w:vertAlign w:val="baseline"/>
                      <w:lang w:val="en-US" w:eastAsia="zh-CN"/>
                    </w:rPr>
                    <w:t>Nm</w:t>
                  </w:r>
                  <w:r>
                    <w:rPr>
                      <w:rFonts w:hint="eastAsia"/>
                      <w:color w:val="auto"/>
                      <w:sz w:val="21"/>
                      <w:szCs w:val="21"/>
                      <w:vertAlign w:val="superscript"/>
                      <w:lang w:val="en-US" w:eastAsia="zh-CN"/>
                    </w:rPr>
                    <w:t>3</w:t>
                  </w:r>
                  <w:r>
                    <w:rPr>
                      <w:rFonts w:hint="eastAsia"/>
                      <w:color w:val="auto"/>
                      <w:sz w:val="21"/>
                      <w:szCs w:val="21"/>
                      <w:vertAlign w:val="baseline"/>
                      <w:lang w:val="en-US" w:eastAsia="zh-CN"/>
                    </w:rPr>
                    <w:t>/h</w:t>
                  </w:r>
                </w:p>
              </w:tc>
              <w:tc>
                <w:tcPr>
                  <w:tcW w:w="3711" w:type="dxa"/>
                  <w:gridSpan w:val="2"/>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挥发性有机物（以挥发性有机物计）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vMerge w:val="continue"/>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jc w:val="center"/>
                    <w:textAlignment w:val="auto"/>
                    <w:outlineLvl w:val="9"/>
                    <w:rPr>
                      <w:rFonts w:hint="eastAsia" w:cs="Times New Roman"/>
                      <w:color w:val="auto"/>
                      <w:sz w:val="21"/>
                      <w:szCs w:val="21"/>
                      <w:vertAlign w:val="baseline"/>
                      <w:lang w:val="en-US" w:eastAsia="zh-CN"/>
                    </w:rPr>
                  </w:pPr>
                </w:p>
              </w:tc>
              <w:tc>
                <w:tcPr>
                  <w:tcW w:w="1147" w:type="dxa"/>
                  <w:vMerge w:val="continue"/>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jc w:val="center"/>
                    <w:textAlignment w:val="auto"/>
                    <w:outlineLvl w:val="9"/>
                    <w:rPr>
                      <w:rFonts w:hint="eastAsia" w:cs="Times New Roman"/>
                      <w:color w:val="auto"/>
                      <w:sz w:val="21"/>
                      <w:szCs w:val="21"/>
                      <w:vertAlign w:val="baseline"/>
                      <w:lang w:val="en-US" w:eastAsia="zh-CN"/>
                    </w:rPr>
                  </w:pPr>
                </w:p>
              </w:tc>
              <w:tc>
                <w:tcPr>
                  <w:tcW w:w="1192" w:type="dxa"/>
                  <w:vMerge w:val="continue"/>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jc w:val="center"/>
                    <w:textAlignment w:val="auto"/>
                    <w:outlineLvl w:val="9"/>
                    <w:rPr>
                      <w:rFonts w:hint="eastAsia" w:cs="Times New Roman"/>
                      <w:color w:val="auto"/>
                      <w:sz w:val="21"/>
                      <w:szCs w:val="21"/>
                      <w:vertAlign w:val="baseline"/>
                      <w:lang w:val="en-US" w:eastAsia="zh-CN"/>
                    </w:rPr>
                  </w:pPr>
                </w:p>
              </w:tc>
              <w:tc>
                <w:tcPr>
                  <w:tcW w:w="1151" w:type="dxa"/>
                  <w:vMerge w:val="continue"/>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jc w:val="center"/>
                    <w:textAlignment w:val="auto"/>
                    <w:outlineLvl w:val="9"/>
                    <w:rPr>
                      <w:rFonts w:hint="eastAsia" w:cs="Times New Roman"/>
                      <w:color w:val="auto"/>
                      <w:sz w:val="21"/>
                      <w:szCs w:val="21"/>
                      <w:vertAlign w:val="baseline"/>
                      <w:lang w:val="en-US" w:eastAsia="zh-CN"/>
                    </w:rPr>
                  </w:pPr>
                </w:p>
              </w:tc>
              <w:tc>
                <w:tcPr>
                  <w:tcW w:w="1893"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排放浓度mg/m</w:t>
                  </w:r>
                  <w:r>
                    <w:rPr>
                      <w:rFonts w:hint="eastAsia"/>
                      <w:color w:val="auto"/>
                      <w:sz w:val="21"/>
                      <w:szCs w:val="21"/>
                      <w:vertAlign w:val="superscript"/>
                      <w:lang w:val="en-US" w:eastAsia="zh-CN"/>
                    </w:rPr>
                    <w:t>3</w:t>
                  </w:r>
                </w:p>
              </w:tc>
              <w:tc>
                <w:tcPr>
                  <w:tcW w:w="1818"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vMerge w:val="restart"/>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color w:val="auto"/>
                      <w:sz w:val="21"/>
                      <w:szCs w:val="21"/>
                      <w:vertAlign w:val="baseline"/>
                      <w:lang w:val="en-US" w:eastAsia="zh-CN"/>
                    </w:rPr>
                    <w:t>2021.02.27</w:t>
                  </w:r>
                </w:p>
              </w:tc>
              <w:tc>
                <w:tcPr>
                  <w:tcW w:w="1147" w:type="dxa"/>
                  <w:vMerge w:val="restart"/>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color w:val="auto"/>
                      <w:sz w:val="21"/>
                      <w:szCs w:val="21"/>
                      <w:vertAlign w:val="baseline"/>
                      <w:lang w:val="en-US" w:eastAsia="zh-CN"/>
                    </w:rPr>
                    <w:t>1</w:t>
                  </w:r>
                </w:p>
              </w:tc>
              <w:tc>
                <w:tcPr>
                  <w:tcW w:w="1192"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color w:val="auto"/>
                      <w:sz w:val="21"/>
                      <w:szCs w:val="21"/>
                      <w:vertAlign w:val="baseline"/>
                      <w:lang w:val="en-US" w:eastAsia="zh-CN"/>
                    </w:rPr>
                    <w:t>进口</w:t>
                  </w:r>
                </w:p>
              </w:tc>
              <w:tc>
                <w:tcPr>
                  <w:tcW w:w="1151"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color w:val="auto"/>
                      <w:sz w:val="21"/>
                      <w:szCs w:val="21"/>
                      <w:vertAlign w:val="baseline"/>
                      <w:lang w:val="en-US" w:eastAsia="zh-CN"/>
                    </w:rPr>
                    <w:t>4782</w:t>
                  </w:r>
                </w:p>
              </w:tc>
              <w:tc>
                <w:tcPr>
                  <w:tcW w:w="1893"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color w:val="auto"/>
                      <w:sz w:val="21"/>
                      <w:szCs w:val="21"/>
                      <w:vertAlign w:val="baseline"/>
                      <w:lang w:val="en-US" w:eastAsia="zh-CN"/>
                    </w:rPr>
                    <w:t>8.53</w:t>
                  </w:r>
                </w:p>
              </w:tc>
              <w:tc>
                <w:tcPr>
                  <w:tcW w:w="1818"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color w:val="auto"/>
                      <w:sz w:val="21"/>
                      <w:szCs w:val="21"/>
                      <w:vertAlign w:val="baseline"/>
                      <w:lang w:val="en-US" w:eastAsia="zh-CN"/>
                    </w:rPr>
                    <w:t>0.0408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vMerge w:val="continue"/>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p>
              </w:tc>
              <w:tc>
                <w:tcPr>
                  <w:tcW w:w="1147" w:type="dxa"/>
                  <w:vMerge w:val="continue"/>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p>
              </w:tc>
              <w:tc>
                <w:tcPr>
                  <w:tcW w:w="1192"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color w:val="auto"/>
                      <w:sz w:val="21"/>
                      <w:szCs w:val="21"/>
                      <w:vertAlign w:val="baseline"/>
                      <w:lang w:val="en-US" w:eastAsia="zh-CN"/>
                    </w:rPr>
                    <w:t>出口</w:t>
                  </w:r>
                </w:p>
              </w:tc>
              <w:tc>
                <w:tcPr>
                  <w:tcW w:w="1151"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color w:val="auto"/>
                      <w:sz w:val="21"/>
                      <w:szCs w:val="21"/>
                      <w:vertAlign w:val="baseline"/>
                      <w:lang w:val="en-US" w:eastAsia="zh-CN"/>
                    </w:rPr>
                    <w:t>5748</w:t>
                  </w:r>
                </w:p>
              </w:tc>
              <w:tc>
                <w:tcPr>
                  <w:tcW w:w="1893"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color w:val="auto"/>
                      <w:sz w:val="21"/>
                      <w:szCs w:val="21"/>
                      <w:vertAlign w:val="baseline"/>
                      <w:lang w:val="en-US" w:eastAsia="zh-CN"/>
                    </w:rPr>
                    <w:t>3.51</w:t>
                  </w:r>
                </w:p>
              </w:tc>
              <w:tc>
                <w:tcPr>
                  <w:tcW w:w="1818"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color w:val="auto"/>
                      <w:sz w:val="21"/>
                      <w:szCs w:val="21"/>
                      <w:vertAlign w:val="baseline"/>
                      <w:lang w:val="en-US" w:eastAsia="zh-CN"/>
                    </w:rPr>
                    <w:t>0.0202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vMerge w:val="continue"/>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p>
              </w:tc>
              <w:tc>
                <w:tcPr>
                  <w:tcW w:w="1147" w:type="dxa"/>
                  <w:vMerge w:val="restart"/>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color w:val="auto"/>
                      <w:sz w:val="21"/>
                      <w:szCs w:val="21"/>
                      <w:vertAlign w:val="baseline"/>
                      <w:lang w:val="en-US" w:eastAsia="zh-CN"/>
                    </w:rPr>
                    <w:t>2</w:t>
                  </w:r>
                </w:p>
              </w:tc>
              <w:tc>
                <w:tcPr>
                  <w:tcW w:w="1192"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color w:val="auto"/>
                      <w:sz w:val="21"/>
                      <w:szCs w:val="21"/>
                      <w:vertAlign w:val="baseline"/>
                      <w:lang w:val="en-US" w:eastAsia="zh-CN"/>
                    </w:rPr>
                    <w:t>进口</w:t>
                  </w:r>
                </w:p>
              </w:tc>
              <w:tc>
                <w:tcPr>
                  <w:tcW w:w="1151"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color w:val="auto"/>
                      <w:sz w:val="21"/>
                      <w:szCs w:val="21"/>
                      <w:vertAlign w:val="baseline"/>
                      <w:lang w:val="en-US" w:eastAsia="zh-CN"/>
                    </w:rPr>
                    <w:t>4715</w:t>
                  </w:r>
                </w:p>
              </w:tc>
              <w:tc>
                <w:tcPr>
                  <w:tcW w:w="1893"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color w:val="auto"/>
                      <w:sz w:val="21"/>
                      <w:szCs w:val="21"/>
                      <w:vertAlign w:val="baseline"/>
                      <w:lang w:val="en-US" w:eastAsia="zh-CN"/>
                    </w:rPr>
                    <w:t>8.22</w:t>
                  </w:r>
                </w:p>
              </w:tc>
              <w:tc>
                <w:tcPr>
                  <w:tcW w:w="1818"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color w:val="auto"/>
                      <w:sz w:val="21"/>
                      <w:szCs w:val="21"/>
                      <w:vertAlign w:val="baseline"/>
                      <w:lang w:val="en-US" w:eastAsia="zh-CN"/>
                    </w:rPr>
                    <w:t>0.0388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vMerge w:val="continue"/>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p>
              </w:tc>
              <w:tc>
                <w:tcPr>
                  <w:tcW w:w="1147" w:type="dxa"/>
                  <w:vMerge w:val="continue"/>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p>
              </w:tc>
              <w:tc>
                <w:tcPr>
                  <w:tcW w:w="1192"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color w:val="auto"/>
                      <w:sz w:val="21"/>
                      <w:szCs w:val="21"/>
                      <w:vertAlign w:val="baseline"/>
                      <w:lang w:val="en-US" w:eastAsia="zh-CN"/>
                    </w:rPr>
                    <w:t>出口</w:t>
                  </w:r>
                </w:p>
              </w:tc>
              <w:tc>
                <w:tcPr>
                  <w:tcW w:w="1151"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color w:val="auto"/>
                      <w:sz w:val="21"/>
                      <w:szCs w:val="21"/>
                      <w:vertAlign w:val="baseline"/>
                      <w:lang w:val="en-US" w:eastAsia="zh-CN"/>
                    </w:rPr>
                    <w:t>5955</w:t>
                  </w:r>
                </w:p>
              </w:tc>
              <w:tc>
                <w:tcPr>
                  <w:tcW w:w="1893"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color w:val="auto"/>
                      <w:sz w:val="21"/>
                      <w:szCs w:val="21"/>
                      <w:vertAlign w:val="baseline"/>
                      <w:lang w:val="en-US" w:eastAsia="zh-CN"/>
                    </w:rPr>
                    <w:t>2.93</w:t>
                  </w:r>
                </w:p>
              </w:tc>
              <w:tc>
                <w:tcPr>
                  <w:tcW w:w="1818"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color w:val="auto"/>
                      <w:sz w:val="21"/>
                      <w:szCs w:val="21"/>
                      <w:vertAlign w:val="baseline"/>
                      <w:lang w:val="en-US" w:eastAsia="zh-CN"/>
                    </w:rPr>
                    <w:t>0.0174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vMerge w:val="continue"/>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p>
              </w:tc>
              <w:tc>
                <w:tcPr>
                  <w:tcW w:w="1147" w:type="dxa"/>
                  <w:vMerge w:val="restart"/>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color w:val="auto"/>
                      <w:sz w:val="21"/>
                      <w:szCs w:val="21"/>
                      <w:vertAlign w:val="baseline"/>
                      <w:lang w:val="en-US" w:eastAsia="zh-CN"/>
                    </w:rPr>
                    <w:t>3</w:t>
                  </w:r>
                </w:p>
              </w:tc>
              <w:tc>
                <w:tcPr>
                  <w:tcW w:w="1192"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color w:val="auto"/>
                      <w:sz w:val="21"/>
                      <w:szCs w:val="21"/>
                      <w:vertAlign w:val="baseline"/>
                      <w:lang w:val="en-US" w:eastAsia="zh-CN"/>
                    </w:rPr>
                    <w:t>进口</w:t>
                  </w:r>
                </w:p>
              </w:tc>
              <w:tc>
                <w:tcPr>
                  <w:tcW w:w="1151"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color w:val="auto"/>
                      <w:sz w:val="21"/>
                      <w:szCs w:val="21"/>
                      <w:vertAlign w:val="baseline"/>
                      <w:lang w:val="en-US" w:eastAsia="zh-CN"/>
                    </w:rPr>
                    <w:t>4827</w:t>
                  </w:r>
                </w:p>
              </w:tc>
              <w:tc>
                <w:tcPr>
                  <w:tcW w:w="1893"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color w:val="auto"/>
                      <w:sz w:val="21"/>
                      <w:szCs w:val="21"/>
                      <w:vertAlign w:val="baseline"/>
                      <w:lang w:val="en-US" w:eastAsia="zh-CN"/>
                    </w:rPr>
                    <w:t>8.17</w:t>
                  </w:r>
                </w:p>
              </w:tc>
              <w:tc>
                <w:tcPr>
                  <w:tcW w:w="1818"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color w:val="auto"/>
                      <w:sz w:val="21"/>
                      <w:szCs w:val="21"/>
                      <w:vertAlign w:val="baseline"/>
                      <w:lang w:val="en-US" w:eastAsia="zh-CN"/>
                    </w:rPr>
                    <w:t>0.0394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vMerge w:val="continue"/>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p>
              </w:tc>
              <w:tc>
                <w:tcPr>
                  <w:tcW w:w="1147" w:type="dxa"/>
                  <w:vMerge w:val="continue"/>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p>
              </w:tc>
              <w:tc>
                <w:tcPr>
                  <w:tcW w:w="1192"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color w:val="auto"/>
                      <w:sz w:val="21"/>
                      <w:szCs w:val="21"/>
                      <w:vertAlign w:val="baseline"/>
                      <w:lang w:val="en-US" w:eastAsia="zh-CN"/>
                    </w:rPr>
                    <w:t>出口</w:t>
                  </w:r>
                </w:p>
              </w:tc>
              <w:tc>
                <w:tcPr>
                  <w:tcW w:w="1151"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color w:val="auto"/>
                      <w:sz w:val="21"/>
                      <w:szCs w:val="21"/>
                      <w:vertAlign w:val="baseline"/>
                      <w:lang w:val="en-US" w:eastAsia="zh-CN"/>
                    </w:rPr>
                    <w:t>5915</w:t>
                  </w:r>
                </w:p>
              </w:tc>
              <w:tc>
                <w:tcPr>
                  <w:tcW w:w="1893"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color w:val="auto"/>
                      <w:sz w:val="21"/>
                      <w:szCs w:val="21"/>
                      <w:vertAlign w:val="baseline"/>
                      <w:lang w:val="en-US" w:eastAsia="zh-CN"/>
                    </w:rPr>
                    <w:t>2.72</w:t>
                  </w:r>
                </w:p>
              </w:tc>
              <w:tc>
                <w:tcPr>
                  <w:tcW w:w="1818"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color w:val="auto"/>
                      <w:sz w:val="21"/>
                      <w:szCs w:val="21"/>
                      <w:vertAlign w:val="baseline"/>
                      <w:lang w:val="en-US" w:eastAsia="zh-CN"/>
                    </w:rPr>
                    <w:t>0.0161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vMerge w:val="restart"/>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color w:val="auto"/>
                      <w:sz w:val="21"/>
                      <w:szCs w:val="21"/>
                      <w:vertAlign w:val="baseline"/>
                      <w:lang w:val="en-US" w:eastAsia="zh-CN"/>
                    </w:rPr>
                    <w:t>2021.02.28</w:t>
                  </w:r>
                </w:p>
              </w:tc>
              <w:tc>
                <w:tcPr>
                  <w:tcW w:w="1147" w:type="dxa"/>
                  <w:vMerge w:val="restart"/>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color w:val="auto"/>
                      <w:sz w:val="21"/>
                      <w:szCs w:val="21"/>
                      <w:vertAlign w:val="baseline"/>
                      <w:lang w:val="en-US" w:eastAsia="zh-CN"/>
                    </w:rPr>
                    <w:t>1</w:t>
                  </w:r>
                </w:p>
              </w:tc>
              <w:tc>
                <w:tcPr>
                  <w:tcW w:w="1192"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color w:val="auto"/>
                      <w:sz w:val="21"/>
                      <w:szCs w:val="21"/>
                      <w:vertAlign w:val="baseline"/>
                      <w:lang w:val="en-US" w:eastAsia="zh-CN"/>
                    </w:rPr>
                    <w:t>进口</w:t>
                  </w:r>
                </w:p>
              </w:tc>
              <w:tc>
                <w:tcPr>
                  <w:tcW w:w="1151"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color w:val="auto"/>
                      <w:sz w:val="21"/>
                      <w:szCs w:val="21"/>
                      <w:vertAlign w:val="baseline"/>
                      <w:lang w:val="en-US" w:eastAsia="zh-CN"/>
                    </w:rPr>
                    <w:t>4762</w:t>
                  </w:r>
                </w:p>
              </w:tc>
              <w:tc>
                <w:tcPr>
                  <w:tcW w:w="1893"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color w:val="auto"/>
                      <w:sz w:val="21"/>
                      <w:szCs w:val="21"/>
                      <w:vertAlign w:val="baseline"/>
                      <w:lang w:val="en-US" w:eastAsia="zh-CN"/>
                    </w:rPr>
                    <w:t>10.6</w:t>
                  </w:r>
                </w:p>
              </w:tc>
              <w:tc>
                <w:tcPr>
                  <w:tcW w:w="1818"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color w:val="auto"/>
                      <w:sz w:val="21"/>
                      <w:szCs w:val="21"/>
                      <w:vertAlign w:val="baseline"/>
                      <w:lang w:val="en-US" w:eastAsia="zh-CN"/>
                    </w:rPr>
                    <w:t>0.0505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vMerge w:val="continue"/>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p>
              </w:tc>
              <w:tc>
                <w:tcPr>
                  <w:tcW w:w="1147" w:type="dxa"/>
                  <w:vMerge w:val="continue"/>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p>
              </w:tc>
              <w:tc>
                <w:tcPr>
                  <w:tcW w:w="1192"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color w:val="auto"/>
                      <w:sz w:val="21"/>
                      <w:szCs w:val="21"/>
                      <w:vertAlign w:val="baseline"/>
                      <w:lang w:val="en-US" w:eastAsia="zh-CN"/>
                    </w:rPr>
                    <w:t>出口</w:t>
                  </w:r>
                </w:p>
              </w:tc>
              <w:tc>
                <w:tcPr>
                  <w:tcW w:w="1151"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color w:val="auto"/>
                      <w:sz w:val="21"/>
                      <w:szCs w:val="21"/>
                      <w:vertAlign w:val="baseline"/>
                      <w:lang w:val="en-US" w:eastAsia="zh-CN"/>
                    </w:rPr>
                    <w:t>5823</w:t>
                  </w:r>
                </w:p>
              </w:tc>
              <w:tc>
                <w:tcPr>
                  <w:tcW w:w="1893"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color w:val="auto"/>
                      <w:sz w:val="21"/>
                      <w:szCs w:val="21"/>
                      <w:vertAlign w:val="baseline"/>
                      <w:lang w:val="en-US" w:eastAsia="zh-CN"/>
                    </w:rPr>
                    <w:t>3.49</w:t>
                  </w:r>
                </w:p>
              </w:tc>
              <w:tc>
                <w:tcPr>
                  <w:tcW w:w="1818"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color w:val="auto"/>
                      <w:sz w:val="21"/>
                      <w:szCs w:val="21"/>
                      <w:vertAlign w:val="baseline"/>
                      <w:lang w:val="en-US" w:eastAsia="zh-CN"/>
                    </w:rPr>
                    <w:t>0.0203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vMerge w:val="continue"/>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p>
              </w:tc>
              <w:tc>
                <w:tcPr>
                  <w:tcW w:w="1147" w:type="dxa"/>
                  <w:vMerge w:val="restart"/>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color w:val="auto"/>
                      <w:sz w:val="21"/>
                      <w:szCs w:val="21"/>
                      <w:vertAlign w:val="baseline"/>
                      <w:lang w:val="en-US" w:eastAsia="zh-CN"/>
                    </w:rPr>
                    <w:t>2</w:t>
                  </w:r>
                </w:p>
              </w:tc>
              <w:tc>
                <w:tcPr>
                  <w:tcW w:w="1192"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color w:val="auto"/>
                      <w:sz w:val="21"/>
                      <w:szCs w:val="21"/>
                      <w:vertAlign w:val="baseline"/>
                      <w:lang w:val="en-US" w:eastAsia="zh-CN"/>
                    </w:rPr>
                    <w:t>进口</w:t>
                  </w:r>
                </w:p>
              </w:tc>
              <w:tc>
                <w:tcPr>
                  <w:tcW w:w="1151"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color w:val="auto"/>
                      <w:sz w:val="21"/>
                      <w:szCs w:val="21"/>
                      <w:vertAlign w:val="baseline"/>
                      <w:lang w:val="en-US" w:eastAsia="zh-CN"/>
                    </w:rPr>
                    <w:t>4805</w:t>
                  </w:r>
                </w:p>
              </w:tc>
              <w:tc>
                <w:tcPr>
                  <w:tcW w:w="1893"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color w:val="auto"/>
                      <w:sz w:val="21"/>
                      <w:szCs w:val="21"/>
                      <w:vertAlign w:val="baseline"/>
                      <w:lang w:val="en-US" w:eastAsia="zh-CN"/>
                    </w:rPr>
                    <w:t>9.83</w:t>
                  </w:r>
                </w:p>
              </w:tc>
              <w:tc>
                <w:tcPr>
                  <w:tcW w:w="1818"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color w:val="auto"/>
                      <w:sz w:val="21"/>
                      <w:szCs w:val="21"/>
                      <w:vertAlign w:val="baseline"/>
                      <w:lang w:val="en-US" w:eastAsia="zh-CN"/>
                    </w:rPr>
                    <w:t>0.0472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vMerge w:val="continue"/>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p>
              </w:tc>
              <w:tc>
                <w:tcPr>
                  <w:tcW w:w="1147" w:type="dxa"/>
                  <w:vMerge w:val="continue"/>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p>
              </w:tc>
              <w:tc>
                <w:tcPr>
                  <w:tcW w:w="1192"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color w:val="auto"/>
                      <w:sz w:val="21"/>
                      <w:szCs w:val="21"/>
                      <w:vertAlign w:val="baseline"/>
                      <w:lang w:val="en-US" w:eastAsia="zh-CN"/>
                    </w:rPr>
                    <w:t>出口</w:t>
                  </w:r>
                </w:p>
              </w:tc>
              <w:tc>
                <w:tcPr>
                  <w:tcW w:w="1151"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color w:val="auto"/>
                      <w:sz w:val="21"/>
                      <w:szCs w:val="21"/>
                      <w:vertAlign w:val="baseline"/>
                      <w:lang w:val="en-US" w:eastAsia="zh-CN"/>
                    </w:rPr>
                    <w:t>5764</w:t>
                  </w:r>
                </w:p>
              </w:tc>
              <w:tc>
                <w:tcPr>
                  <w:tcW w:w="1893"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color w:val="auto"/>
                      <w:sz w:val="21"/>
                      <w:szCs w:val="21"/>
                      <w:vertAlign w:val="baseline"/>
                      <w:lang w:val="en-US" w:eastAsia="zh-CN"/>
                    </w:rPr>
                    <w:t>3.59</w:t>
                  </w:r>
                </w:p>
              </w:tc>
              <w:tc>
                <w:tcPr>
                  <w:tcW w:w="1818"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color w:val="auto"/>
                      <w:sz w:val="21"/>
                      <w:szCs w:val="21"/>
                      <w:vertAlign w:val="baseline"/>
                      <w:lang w:val="en-US" w:eastAsia="zh-CN"/>
                    </w:rPr>
                    <w:t>0.0207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vMerge w:val="continue"/>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p>
              </w:tc>
              <w:tc>
                <w:tcPr>
                  <w:tcW w:w="1147" w:type="dxa"/>
                  <w:vMerge w:val="restart"/>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color w:val="auto"/>
                      <w:sz w:val="21"/>
                      <w:szCs w:val="21"/>
                      <w:vertAlign w:val="baseline"/>
                      <w:lang w:val="en-US" w:eastAsia="zh-CN"/>
                    </w:rPr>
                    <w:t>3</w:t>
                  </w:r>
                </w:p>
              </w:tc>
              <w:tc>
                <w:tcPr>
                  <w:tcW w:w="1192"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color w:val="auto"/>
                      <w:sz w:val="21"/>
                      <w:szCs w:val="21"/>
                      <w:vertAlign w:val="baseline"/>
                      <w:lang w:val="en-US" w:eastAsia="zh-CN"/>
                    </w:rPr>
                    <w:t>进口</w:t>
                  </w:r>
                </w:p>
              </w:tc>
              <w:tc>
                <w:tcPr>
                  <w:tcW w:w="1151"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color w:val="auto"/>
                      <w:sz w:val="21"/>
                      <w:szCs w:val="21"/>
                      <w:vertAlign w:val="baseline"/>
                      <w:lang w:val="en-US" w:eastAsia="zh-CN"/>
                    </w:rPr>
                    <w:t>4694</w:t>
                  </w:r>
                </w:p>
              </w:tc>
              <w:tc>
                <w:tcPr>
                  <w:tcW w:w="1893"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color w:val="auto"/>
                      <w:sz w:val="21"/>
                      <w:szCs w:val="21"/>
                      <w:vertAlign w:val="baseline"/>
                      <w:lang w:val="en-US" w:eastAsia="zh-CN"/>
                    </w:rPr>
                    <w:t>11.0</w:t>
                  </w:r>
                </w:p>
              </w:tc>
              <w:tc>
                <w:tcPr>
                  <w:tcW w:w="1818"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color w:val="auto"/>
                      <w:sz w:val="21"/>
                      <w:szCs w:val="21"/>
                      <w:vertAlign w:val="baseline"/>
                      <w:lang w:val="en-US" w:eastAsia="zh-CN"/>
                    </w:rPr>
                    <w:t>0.0516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vMerge w:val="continue"/>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p>
              </w:tc>
              <w:tc>
                <w:tcPr>
                  <w:tcW w:w="1147" w:type="dxa"/>
                  <w:vMerge w:val="continue"/>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p>
              </w:tc>
              <w:tc>
                <w:tcPr>
                  <w:tcW w:w="1192"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color w:val="auto"/>
                      <w:sz w:val="21"/>
                      <w:szCs w:val="21"/>
                      <w:vertAlign w:val="baseline"/>
                      <w:lang w:val="en-US" w:eastAsia="zh-CN"/>
                    </w:rPr>
                    <w:t>出口</w:t>
                  </w:r>
                </w:p>
              </w:tc>
              <w:tc>
                <w:tcPr>
                  <w:tcW w:w="1151"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color w:val="auto"/>
                      <w:sz w:val="21"/>
                      <w:szCs w:val="21"/>
                      <w:vertAlign w:val="baseline"/>
                      <w:lang w:val="en-US" w:eastAsia="zh-CN"/>
                    </w:rPr>
                    <w:t>5775</w:t>
                  </w:r>
                </w:p>
              </w:tc>
              <w:tc>
                <w:tcPr>
                  <w:tcW w:w="1893"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color w:val="auto"/>
                      <w:sz w:val="21"/>
                      <w:szCs w:val="21"/>
                      <w:vertAlign w:val="baseline"/>
                      <w:lang w:val="en-US" w:eastAsia="zh-CN"/>
                    </w:rPr>
                    <w:t>3.25</w:t>
                  </w:r>
                </w:p>
              </w:tc>
              <w:tc>
                <w:tcPr>
                  <w:tcW w:w="1818"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color w:val="auto"/>
                      <w:sz w:val="21"/>
                      <w:szCs w:val="21"/>
                      <w:vertAlign w:val="baseline"/>
                      <w:lang w:val="en-US" w:eastAsia="zh-CN"/>
                    </w:rPr>
                    <w:t>0.0188</w:t>
                  </w:r>
                </w:p>
              </w:tc>
            </w:tr>
          </w:tbl>
          <w:p>
            <w:pPr>
              <w:pStyle w:val="37"/>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480" w:firstLineChars="200"/>
              <w:jc w:val="left"/>
              <w:textAlignment w:val="auto"/>
              <w:outlineLvl w:val="9"/>
              <w:rPr>
                <w:rFonts w:hint="default" w:cs="Times New Roman"/>
                <w:color w:val="auto"/>
                <w:sz w:val="24"/>
                <w:szCs w:val="24"/>
                <w:lang w:val="en-US" w:eastAsia="zh-CN"/>
              </w:rPr>
            </w:pPr>
            <w:r>
              <w:rPr>
                <w:rFonts w:hint="eastAsia" w:cs="Times New Roman"/>
                <w:color w:val="auto"/>
                <w:sz w:val="24"/>
                <w:szCs w:val="24"/>
                <w:lang w:val="en-US" w:eastAsia="zh-CN"/>
              </w:rPr>
              <w:t>根据检测结果可知，</w:t>
            </w:r>
            <w:r>
              <w:rPr>
                <w:rFonts w:hint="eastAsia" w:cs="Times New Roman"/>
                <w:color w:val="auto"/>
                <w:sz w:val="24"/>
                <w:szCs w:val="24"/>
                <w:lang w:eastAsia="zh-CN"/>
              </w:rPr>
              <w:t>宁阳县泰鑫钢球厂年产</w:t>
            </w:r>
            <w:r>
              <w:rPr>
                <w:rFonts w:hint="eastAsia" w:cs="Times New Roman"/>
                <w:color w:val="auto"/>
                <w:sz w:val="24"/>
                <w:szCs w:val="24"/>
                <w:lang w:val="en-US" w:eastAsia="zh-CN"/>
              </w:rPr>
              <w:t>500吨钢球生产项目冷镦工序润滑油使用量为2t/a，</w:t>
            </w:r>
            <w:r>
              <w:rPr>
                <w:rFonts w:hint="eastAsia" w:cs="Times New Roman"/>
                <w:b w:val="0"/>
                <w:bCs/>
                <w:color w:val="auto"/>
                <w:sz w:val="24"/>
                <w:szCs w:val="24"/>
                <w:lang w:val="en-US" w:eastAsia="zh-CN"/>
              </w:rPr>
              <w:t>挥发性有机物</w:t>
            </w:r>
            <w:r>
              <w:rPr>
                <w:rFonts w:hint="eastAsia" w:cs="Times New Roman"/>
                <w:color w:val="auto"/>
                <w:sz w:val="24"/>
                <w:szCs w:val="24"/>
                <w:lang w:val="en-US" w:eastAsia="zh-CN"/>
              </w:rPr>
              <w:t>产生量约为0.38t/a。本项目年使用冷镦机油（46#机械油，是一种通用润滑油）10t，类比可知本项目冷镦工序</w:t>
            </w:r>
            <w:r>
              <w:rPr>
                <w:rFonts w:hint="eastAsia" w:cs="Times New Roman"/>
                <w:b w:val="0"/>
                <w:bCs/>
                <w:color w:val="auto"/>
                <w:sz w:val="24"/>
                <w:szCs w:val="24"/>
                <w:lang w:val="en-US" w:eastAsia="zh-CN"/>
              </w:rPr>
              <w:t>挥发性有机物</w:t>
            </w:r>
            <w:r>
              <w:rPr>
                <w:rFonts w:hint="eastAsia" w:cs="Times New Roman"/>
                <w:color w:val="auto"/>
                <w:sz w:val="24"/>
                <w:szCs w:val="24"/>
                <w:lang w:val="en-US" w:eastAsia="zh-CN"/>
              </w:rPr>
              <w:t>产生量约为1.9t/a。</w:t>
            </w:r>
          </w:p>
          <w:p>
            <w:pPr>
              <w:pStyle w:val="37"/>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outlineLvl w:val="9"/>
              <w:rPr>
                <w:rFonts w:hint="eastAsia" w:cs="Times New Roman"/>
                <w:b w:val="0"/>
                <w:bCs/>
                <w:color w:val="auto"/>
                <w:sz w:val="24"/>
                <w:szCs w:val="24"/>
                <w:lang w:val="en-US" w:eastAsia="zh-CN"/>
              </w:rPr>
            </w:pPr>
            <w:r>
              <w:rPr>
                <w:rFonts w:hint="eastAsia"/>
                <w:color w:val="auto"/>
                <w:sz w:val="24"/>
                <w:szCs w:val="24"/>
                <w:lang w:val="en-US" w:eastAsia="zh-CN"/>
              </w:rPr>
              <w:t>项目冷镦工序产生的</w:t>
            </w:r>
            <w:r>
              <w:rPr>
                <w:rFonts w:hint="eastAsia" w:cs="Times New Roman"/>
                <w:b w:val="0"/>
                <w:bCs/>
                <w:color w:val="auto"/>
                <w:sz w:val="24"/>
                <w:szCs w:val="24"/>
                <w:lang w:val="en-US" w:eastAsia="zh-CN"/>
              </w:rPr>
              <w:t>挥发性有机物量约为1.9t/a</w:t>
            </w:r>
            <w:r>
              <w:rPr>
                <w:rFonts w:hint="eastAsia"/>
                <w:color w:val="auto"/>
                <w:sz w:val="24"/>
                <w:szCs w:val="24"/>
                <w:lang w:val="en-US" w:eastAsia="zh-CN"/>
              </w:rPr>
              <w:t>。</w:t>
            </w:r>
            <w:r>
              <w:rPr>
                <w:rFonts w:hint="eastAsia" w:cs="Times New Roman"/>
                <w:color w:val="auto"/>
                <w:sz w:val="24"/>
                <w:szCs w:val="24"/>
                <w:lang w:val="en-US" w:eastAsia="zh-CN"/>
              </w:rPr>
              <w:t>在冷镦机上方设置集气罩，</w:t>
            </w:r>
            <w:r>
              <w:rPr>
                <w:rFonts w:hint="default" w:ascii="Times New Roman" w:hAnsi="Times New Roman" w:eastAsia="宋体"/>
                <w:color w:val="auto"/>
                <w:sz w:val="24"/>
                <w:szCs w:val="24"/>
                <w:lang w:val="en-US" w:eastAsia="zh-CN"/>
              </w:rPr>
              <w:t>集气罩收集效率取90%，收集后的</w:t>
            </w:r>
            <w:r>
              <w:rPr>
                <w:rFonts w:hint="eastAsia" w:ascii="Times New Roman" w:hAnsi="Times New Roman" w:eastAsia="宋体"/>
                <w:color w:val="auto"/>
                <w:sz w:val="24"/>
                <w:szCs w:val="24"/>
                <w:lang w:val="en-US" w:eastAsia="zh-CN"/>
              </w:rPr>
              <w:t>冷镦废气</w:t>
            </w:r>
            <w:r>
              <w:rPr>
                <w:rFonts w:hint="default" w:ascii="Times New Roman" w:hAnsi="Times New Roman" w:eastAsia="宋体"/>
                <w:color w:val="auto"/>
                <w:sz w:val="24"/>
                <w:szCs w:val="24"/>
                <w:lang w:val="en-US" w:eastAsia="zh-CN"/>
              </w:rPr>
              <w:t>经</w:t>
            </w:r>
            <w:r>
              <w:rPr>
                <w:rFonts w:hint="eastAsia" w:ascii="宋体" w:hAnsi="宋体" w:eastAsia="宋体" w:cs="宋体"/>
                <w:color w:val="auto"/>
                <w:sz w:val="24"/>
                <w:szCs w:val="24"/>
                <w:lang w:val="en-US" w:eastAsia="zh-CN"/>
              </w:rPr>
              <w:t>“</w:t>
            </w:r>
            <w:r>
              <w:rPr>
                <w:rFonts w:hint="eastAsia" w:ascii="宋体" w:hAnsi="宋体" w:cs="宋体"/>
                <w:color w:val="auto"/>
                <w:sz w:val="24"/>
                <w:szCs w:val="24"/>
                <w:lang w:val="en-US" w:eastAsia="zh-CN"/>
              </w:rPr>
              <w:t>活性炭纤维毡</w:t>
            </w:r>
            <w:r>
              <w:rPr>
                <w:rFonts w:hint="eastAsia" w:ascii="宋体" w:hAnsi="宋体" w:eastAsia="宋体" w:cs="宋体"/>
                <w:color w:val="auto"/>
                <w:sz w:val="24"/>
                <w:szCs w:val="24"/>
                <w:highlight w:val="none"/>
                <w:lang w:val="en-US" w:eastAsia="zh-CN"/>
              </w:rPr>
              <w:t>”处理</w:t>
            </w:r>
            <w:r>
              <w:rPr>
                <w:rFonts w:hint="default" w:ascii="Times New Roman" w:hAnsi="Times New Roman" w:eastAsia="宋体"/>
                <w:color w:val="auto"/>
                <w:sz w:val="24"/>
                <w:szCs w:val="24"/>
                <w:highlight w:val="none"/>
                <w:lang w:val="en-US" w:eastAsia="zh-CN"/>
              </w:rPr>
              <w:t>后</w:t>
            </w:r>
            <w:r>
              <w:rPr>
                <w:rFonts w:hint="eastAsia"/>
                <w:color w:val="auto"/>
                <w:sz w:val="24"/>
                <w:szCs w:val="24"/>
                <w:highlight w:val="none"/>
                <w:lang w:val="en-US" w:eastAsia="zh-CN"/>
              </w:rPr>
              <w:t>，进入一根</w:t>
            </w:r>
            <w:r>
              <w:rPr>
                <w:rFonts w:hint="default" w:ascii="Times New Roman" w:hAnsi="Times New Roman" w:eastAsia="宋体"/>
                <w:color w:val="auto"/>
                <w:sz w:val="24"/>
                <w:szCs w:val="24"/>
                <w:highlight w:val="none"/>
                <w:lang w:val="en-US" w:eastAsia="zh-CN"/>
              </w:rPr>
              <w:t>15m高排气筒（DA001）排放（</w:t>
            </w:r>
            <w:r>
              <w:rPr>
                <w:rFonts w:hint="eastAsia"/>
                <w:color w:val="auto"/>
                <w:sz w:val="24"/>
                <w:szCs w:val="24"/>
                <w:highlight w:val="none"/>
                <w:lang w:val="en-US" w:eastAsia="zh-CN"/>
              </w:rPr>
              <w:t>冷镦设计</w:t>
            </w:r>
            <w:r>
              <w:rPr>
                <w:rFonts w:hint="default" w:ascii="Times New Roman" w:hAnsi="Times New Roman" w:eastAsia="宋体"/>
                <w:color w:val="auto"/>
                <w:sz w:val="24"/>
                <w:szCs w:val="24"/>
                <w:highlight w:val="none"/>
                <w:lang w:val="en-US" w:eastAsia="zh-CN"/>
              </w:rPr>
              <w:t>风量</w:t>
            </w:r>
            <w:r>
              <w:rPr>
                <w:rFonts w:hint="eastAsia"/>
                <w:color w:val="auto"/>
                <w:sz w:val="24"/>
                <w:szCs w:val="24"/>
                <w:highlight w:val="none"/>
                <w:lang w:val="en-US" w:eastAsia="zh-CN"/>
              </w:rPr>
              <w:t>45000N</w:t>
            </w:r>
            <w:r>
              <w:rPr>
                <w:rFonts w:hint="default" w:ascii="Times New Roman" w:hAnsi="Times New Roman" w:eastAsia="宋体"/>
                <w:color w:val="auto"/>
                <w:sz w:val="24"/>
                <w:szCs w:val="24"/>
                <w:highlight w:val="none"/>
                <w:lang w:val="en-US" w:eastAsia="zh-CN"/>
              </w:rPr>
              <w:t>m</w:t>
            </w:r>
            <w:r>
              <w:rPr>
                <w:rFonts w:hint="default" w:ascii="Times New Roman" w:hAnsi="Times New Roman" w:eastAsia="宋体"/>
                <w:color w:val="auto"/>
                <w:sz w:val="24"/>
                <w:szCs w:val="24"/>
                <w:highlight w:val="none"/>
                <w:vertAlign w:val="superscript"/>
                <w:lang w:val="en-US" w:eastAsia="zh-CN"/>
              </w:rPr>
              <w:t>3</w:t>
            </w:r>
            <w:r>
              <w:rPr>
                <w:rFonts w:hint="default" w:ascii="Times New Roman" w:hAnsi="Times New Roman" w:eastAsia="宋体"/>
                <w:color w:val="auto"/>
                <w:sz w:val="24"/>
                <w:szCs w:val="24"/>
                <w:highlight w:val="none"/>
                <w:lang w:val="en-US" w:eastAsia="zh-CN"/>
              </w:rPr>
              <w:t>/h，年运行时间按7</w:t>
            </w:r>
            <w:r>
              <w:rPr>
                <w:rFonts w:hint="eastAsia"/>
                <w:color w:val="auto"/>
                <w:sz w:val="24"/>
                <w:szCs w:val="24"/>
                <w:highlight w:val="none"/>
                <w:lang w:val="en-US" w:eastAsia="zh-CN"/>
              </w:rPr>
              <w:t>20</w:t>
            </w:r>
            <w:r>
              <w:rPr>
                <w:rFonts w:hint="default" w:ascii="Times New Roman" w:hAnsi="Times New Roman" w:eastAsia="宋体"/>
                <w:color w:val="auto"/>
                <w:sz w:val="24"/>
                <w:szCs w:val="24"/>
                <w:highlight w:val="none"/>
                <w:lang w:val="en-US" w:eastAsia="zh-CN"/>
              </w:rPr>
              <w:t>0h计）</w:t>
            </w:r>
            <w:r>
              <w:rPr>
                <w:rFonts w:hint="default" w:ascii="Times New Roman" w:hAnsi="Times New Roman" w:eastAsia="宋体"/>
                <w:color w:val="auto"/>
                <w:sz w:val="24"/>
                <w:szCs w:val="24"/>
                <w:lang w:val="en-US" w:eastAsia="zh-CN"/>
              </w:rPr>
              <w:t>，活性炭纤维毡</w:t>
            </w:r>
            <w:r>
              <w:rPr>
                <w:rFonts w:hint="default" w:ascii="Times New Roman" w:hAnsi="Times New Roman" w:eastAsia="宋体" w:cs="Times New Roman"/>
                <w:color w:val="auto"/>
                <w:sz w:val="24"/>
                <w:szCs w:val="24"/>
                <w:lang w:val="en-US" w:eastAsia="zh-CN"/>
              </w:rPr>
              <w:t>的处理效率以</w:t>
            </w:r>
            <w:r>
              <w:rPr>
                <w:rFonts w:hint="eastAsia" w:ascii="Times New Roman" w:hAnsi="Times New Roman" w:eastAsia="宋体" w:cs="Times New Roman"/>
                <w:color w:val="auto"/>
                <w:sz w:val="24"/>
                <w:szCs w:val="24"/>
                <w:lang w:val="en-US" w:eastAsia="zh-CN"/>
              </w:rPr>
              <w:t>9</w:t>
            </w:r>
            <w:r>
              <w:rPr>
                <w:rFonts w:hint="eastAsia" w:cs="Times New Roman"/>
                <w:color w:val="auto"/>
                <w:sz w:val="24"/>
                <w:szCs w:val="24"/>
                <w:lang w:val="en-US" w:eastAsia="zh-CN"/>
              </w:rPr>
              <w:t>0</w:t>
            </w:r>
            <w:r>
              <w:rPr>
                <w:rFonts w:hint="default" w:ascii="Times New Roman" w:hAnsi="Times New Roman" w:eastAsia="宋体" w:cs="Times New Roman"/>
                <w:color w:val="auto"/>
                <w:sz w:val="24"/>
                <w:szCs w:val="24"/>
                <w:lang w:val="en-US" w:eastAsia="zh-CN"/>
              </w:rPr>
              <w:t>%计算，</w:t>
            </w:r>
            <w:r>
              <w:rPr>
                <w:rFonts w:hint="default" w:ascii="Times New Roman" w:hAnsi="Times New Roman" w:eastAsia="宋体" w:cs="Times New Roman"/>
                <w:color w:val="auto"/>
                <w:sz w:val="24"/>
                <w:szCs w:val="24"/>
                <w:lang w:eastAsia="zh-CN"/>
              </w:rPr>
              <w:t>则</w:t>
            </w:r>
            <w:r>
              <w:rPr>
                <w:rFonts w:hint="default" w:ascii="Times New Roman" w:hAnsi="Times New Roman" w:eastAsia="宋体" w:cs="Times New Roman"/>
                <w:color w:val="auto"/>
                <w:sz w:val="24"/>
                <w:szCs w:val="24"/>
                <w:lang w:val="en-US" w:eastAsia="zh-CN"/>
              </w:rPr>
              <w:t>项目</w:t>
            </w:r>
            <w:r>
              <w:rPr>
                <w:rFonts w:hint="eastAsia" w:cs="Times New Roman"/>
                <w:color w:val="auto"/>
                <w:sz w:val="24"/>
                <w:szCs w:val="24"/>
                <w:lang w:val="en-US" w:eastAsia="zh-CN"/>
              </w:rPr>
              <w:t>冷镦工序</w:t>
            </w:r>
            <w:r>
              <w:rPr>
                <w:rFonts w:hint="default" w:ascii="Times New Roman" w:hAnsi="Times New Roman" w:eastAsia="宋体" w:cs="Times New Roman"/>
                <w:color w:val="auto"/>
                <w:sz w:val="24"/>
                <w:szCs w:val="24"/>
                <w:lang w:val="en-US" w:eastAsia="zh-CN"/>
              </w:rPr>
              <w:t>有组织</w:t>
            </w:r>
            <w:r>
              <w:rPr>
                <w:rFonts w:hint="eastAsia" w:cs="Times New Roman"/>
                <w:color w:val="auto"/>
                <w:sz w:val="24"/>
                <w:szCs w:val="24"/>
                <w:lang w:val="en-US" w:eastAsia="zh-CN"/>
              </w:rPr>
              <w:t>挥发性有机物</w:t>
            </w:r>
            <w:r>
              <w:rPr>
                <w:rFonts w:hint="default" w:ascii="Times New Roman" w:hAnsi="Times New Roman" w:eastAsia="宋体" w:cs="Times New Roman"/>
                <w:color w:val="auto"/>
                <w:sz w:val="24"/>
                <w:szCs w:val="24"/>
                <w:lang w:val="en-US" w:eastAsia="zh-CN"/>
              </w:rPr>
              <w:t>产生量约</w:t>
            </w:r>
            <w:r>
              <w:rPr>
                <w:rFonts w:hint="default" w:cs="Times New Roman"/>
                <w:b w:val="0"/>
                <w:bCs/>
                <w:color w:val="auto"/>
                <w:sz w:val="24"/>
                <w:szCs w:val="24"/>
                <w:lang w:val="en-US" w:eastAsia="zh-CN"/>
              </w:rPr>
              <w:t>为</w:t>
            </w:r>
            <w:r>
              <w:rPr>
                <w:rFonts w:hint="eastAsia" w:cs="Times New Roman"/>
                <w:b w:val="0"/>
                <w:bCs/>
                <w:color w:val="auto"/>
                <w:sz w:val="24"/>
                <w:szCs w:val="24"/>
                <w:lang w:val="en-US" w:eastAsia="zh-CN"/>
              </w:rPr>
              <w:t>1.71</w:t>
            </w:r>
            <w:r>
              <w:rPr>
                <w:rFonts w:hint="default" w:cs="Times New Roman"/>
                <w:b w:val="0"/>
                <w:bCs/>
                <w:color w:val="auto"/>
                <w:sz w:val="24"/>
                <w:szCs w:val="24"/>
                <w:lang w:val="en-US" w:eastAsia="zh-CN"/>
              </w:rPr>
              <w:t>t/a，</w:t>
            </w:r>
            <w:r>
              <w:rPr>
                <w:rFonts w:hint="eastAsia" w:cs="Times New Roman"/>
                <w:b w:val="0"/>
                <w:bCs/>
                <w:color w:val="auto"/>
                <w:sz w:val="24"/>
                <w:szCs w:val="24"/>
                <w:lang w:val="en-US" w:eastAsia="zh-CN"/>
              </w:rPr>
              <w:t>产生速率为0.238kg/h，</w:t>
            </w:r>
            <w:r>
              <w:rPr>
                <w:rFonts w:hint="default" w:cs="Times New Roman"/>
                <w:b w:val="0"/>
                <w:bCs/>
                <w:color w:val="auto"/>
                <w:sz w:val="24"/>
                <w:szCs w:val="24"/>
                <w:lang w:val="en-US" w:eastAsia="zh-CN"/>
              </w:rPr>
              <w:t>产生浓度约为</w:t>
            </w:r>
            <w:r>
              <w:rPr>
                <w:rFonts w:hint="eastAsia" w:cs="Times New Roman"/>
                <w:b w:val="0"/>
                <w:bCs/>
                <w:color w:val="auto"/>
                <w:sz w:val="24"/>
                <w:szCs w:val="24"/>
                <w:lang w:val="en-US" w:eastAsia="zh-CN"/>
              </w:rPr>
              <w:t>5.29</w:t>
            </w:r>
            <w:r>
              <w:rPr>
                <w:rFonts w:hint="default" w:cs="Times New Roman"/>
                <w:b w:val="0"/>
                <w:bCs/>
                <w:color w:val="auto"/>
                <w:sz w:val="24"/>
                <w:szCs w:val="24"/>
                <w:lang w:val="en-US" w:eastAsia="zh-CN"/>
              </w:rPr>
              <w:t>mg/m</w:t>
            </w:r>
            <w:r>
              <w:rPr>
                <w:rFonts w:hint="default" w:cs="Times New Roman"/>
                <w:b w:val="0"/>
                <w:bCs/>
                <w:color w:val="auto"/>
                <w:sz w:val="24"/>
                <w:szCs w:val="24"/>
                <w:vertAlign w:val="superscript"/>
                <w:lang w:val="en-US" w:eastAsia="zh-CN"/>
              </w:rPr>
              <w:t>3</w:t>
            </w:r>
            <w:r>
              <w:rPr>
                <w:rFonts w:hint="default" w:cs="Times New Roman"/>
                <w:b w:val="0"/>
                <w:bCs/>
                <w:color w:val="auto"/>
                <w:sz w:val="24"/>
                <w:szCs w:val="24"/>
                <w:lang w:val="en-US" w:eastAsia="zh-CN"/>
              </w:rPr>
              <w:t>；排放量约为</w:t>
            </w:r>
            <w:r>
              <w:rPr>
                <w:rFonts w:hint="eastAsia" w:cs="Times New Roman"/>
                <w:b w:val="0"/>
                <w:bCs/>
                <w:color w:val="auto"/>
                <w:sz w:val="24"/>
                <w:szCs w:val="24"/>
                <w:lang w:val="en-US" w:eastAsia="zh-CN"/>
              </w:rPr>
              <w:t>0.171</w:t>
            </w:r>
            <w:r>
              <w:rPr>
                <w:rFonts w:hint="default" w:cs="Times New Roman"/>
                <w:b w:val="0"/>
                <w:bCs/>
                <w:color w:val="auto"/>
                <w:sz w:val="24"/>
                <w:szCs w:val="24"/>
                <w:lang w:val="en-US" w:eastAsia="zh-CN"/>
              </w:rPr>
              <w:t>t/a，排放速率约为</w:t>
            </w:r>
            <w:r>
              <w:rPr>
                <w:rFonts w:hint="eastAsia" w:cs="Times New Roman"/>
                <w:b w:val="0"/>
                <w:bCs/>
                <w:color w:val="auto"/>
                <w:sz w:val="24"/>
                <w:szCs w:val="24"/>
                <w:lang w:val="en-US" w:eastAsia="zh-CN"/>
              </w:rPr>
              <w:t>0.0238</w:t>
            </w:r>
            <w:r>
              <w:rPr>
                <w:rFonts w:hint="default" w:cs="Times New Roman"/>
                <w:b w:val="0"/>
                <w:bCs/>
                <w:color w:val="auto"/>
                <w:sz w:val="24"/>
                <w:szCs w:val="24"/>
                <w:lang w:val="en-US" w:eastAsia="zh-CN"/>
              </w:rPr>
              <w:t>kg/h，排放浓度约为</w:t>
            </w:r>
            <w:r>
              <w:rPr>
                <w:rFonts w:hint="eastAsia" w:cs="Times New Roman"/>
                <w:b w:val="0"/>
                <w:bCs/>
                <w:color w:val="auto"/>
                <w:sz w:val="24"/>
                <w:szCs w:val="24"/>
                <w:lang w:val="en-US" w:eastAsia="zh-CN"/>
              </w:rPr>
              <w:t>0.529</w:t>
            </w:r>
            <w:r>
              <w:rPr>
                <w:rFonts w:hint="default" w:cs="Times New Roman"/>
                <w:b w:val="0"/>
                <w:bCs/>
                <w:color w:val="auto"/>
                <w:sz w:val="24"/>
                <w:szCs w:val="24"/>
                <w:lang w:val="en-US" w:eastAsia="zh-CN"/>
              </w:rPr>
              <w:t>mg/m</w:t>
            </w:r>
            <w:r>
              <w:rPr>
                <w:rFonts w:hint="default" w:cs="Times New Roman"/>
                <w:b w:val="0"/>
                <w:bCs/>
                <w:color w:val="auto"/>
                <w:sz w:val="24"/>
                <w:szCs w:val="24"/>
                <w:vertAlign w:val="superscript"/>
                <w:lang w:val="en-US" w:eastAsia="zh-CN"/>
              </w:rPr>
              <w:t>3</w:t>
            </w:r>
            <w:r>
              <w:rPr>
                <w:rFonts w:hint="eastAsia" w:cs="Times New Roman"/>
                <w:b w:val="0"/>
                <w:bCs/>
                <w:color w:val="auto"/>
                <w:sz w:val="24"/>
                <w:szCs w:val="24"/>
                <w:vertAlign w:val="baseline"/>
                <w:lang w:val="en-US" w:eastAsia="zh-CN"/>
              </w:rPr>
              <w:t>；</w:t>
            </w:r>
            <w:r>
              <w:rPr>
                <w:rFonts w:hint="eastAsia" w:cs="Times New Roman"/>
                <w:b w:val="0"/>
                <w:bCs/>
                <w:color w:val="auto"/>
                <w:sz w:val="24"/>
                <w:szCs w:val="24"/>
                <w:lang w:val="en-US" w:eastAsia="zh-CN"/>
              </w:rPr>
              <w:t>冷镦</w:t>
            </w:r>
            <w:r>
              <w:rPr>
                <w:rFonts w:hint="default" w:cs="Times New Roman"/>
                <w:b w:val="0"/>
                <w:bCs/>
                <w:color w:val="auto"/>
                <w:sz w:val="24"/>
                <w:szCs w:val="24"/>
                <w:lang w:val="en-US" w:eastAsia="zh-CN"/>
              </w:rPr>
              <w:t>无组织</w:t>
            </w:r>
            <w:r>
              <w:rPr>
                <w:rFonts w:hint="eastAsia" w:cs="Times New Roman"/>
                <w:b w:val="0"/>
                <w:bCs/>
                <w:color w:val="auto"/>
                <w:sz w:val="24"/>
                <w:szCs w:val="24"/>
                <w:lang w:val="en-US" w:eastAsia="zh-CN"/>
              </w:rPr>
              <w:t>挥发性有机物</w:t>
            </w:r>
            <w:r>
              <w:rPr>
                <w:rFonts w:hint="default" w:cs="Times New Roman"/>
                <w:b w:val="0"/>
                <w:bCs/>
                <w:color w:val="auto"/>
                <w:sz w:val="24"/>
                <w:szCs w:val="24"/>
                <w:lang w:val="en-US" w:eastAsia="zh-CN"/>
              </w:rPr>
              <w:t>排放量为</w:t>
            </w:r>
            <w:r>
              <w:rPr>
                <w:rFonts w:hint="eastAsia" w:cs="Times New Roman"/>
                <w:b w:val="0"/>
                <w:bCs/>
                <w:color w:val="auto"/>
                <w:sz w:val="24"/>
                <w:szCs w:val="24"/>
                <w:lang w:val="en-US" w:eastAsia="zh-CN"/>
              </w:rPr>
              <w:t>0.19</w:t>
            </w:r>
            <w:r>
              <w:rPr>
                <w:rFonts w:hint="default" w:cs="Times New Roman"/>
                <w:b w:val="0"/>
                <w:bCs/>
                <w:color w:val="auto"/>
                <w:sz w:val="24"/>
                <w:szCs w:val="24"/>
                <w:lang w:val="en-US" w:eastAsia="zh-CN"/>
              </w:rPr>
              <w:t>t/a</w:t>
            </w:r>
            <w:r>
              <w:rPr>
                <w:rFonts w:hint="eastAsia" w:cs="Times New Roman"/>
                <w:b w:val="0"/>
                <w:bCs/>
                <w:color w:val="auto"/>
                <w:sz w:val="24"/>
                <w:szCs w:val="24"/>
                <w:lang w:val="en-US" w:eastAsia="zh-CN"/>
              </w:rPr>
              <w:t>，</w:t>
            </w:r>
            <w:r>
              <w:rPr>
                <w:rFonts w:hint="default" w:cs="Times New Roman"/>
                <w:b w:val="0"/>
                <w:bCs/>
                <w:color w:val="auto"/>
                <w:sz w:val="24"/>
                <w:szCs w:val="24"/>
                <w:lang w:val="en-US" w:eastAsia="zh-CN"/>
              </w:rPr>
              <w:t>排放速率为0.0</w:t>
            </w:r>
            <w:r>
              <w:rPr>
                <w:rFonts w:hint="eastAsia" w:cs="Times New Roman"/>
                <w:b w:val="0"/>
                <w:bCs/>
                <w:color w:val="auto"/>
                <w:sz w:val="24"/>
                <w:szCs w:val="24"/>
                <w:lang w:val="en-US" w:eastAsia="zh-CN"/>
              </w:rPr>
              <w:t>264</w:t>
            </w:r>
            <w:r>
              <w:rPr>
                <w:rFonts w:hint="default" w:cs="Times New Roman"/>
                <w:b w:val="0"/>
                <w:bCs/>
                <w:color w:val="auto"/>
                <w:sz w:val="24"/>
                <w:szCs w:val="24"/>
                <w:lang w:val="en-US" w:eastAsia="zh-CN"/>
              </w:rPr>
              <w:t>kg/h</w:t>
            </w:r>
            <w:r>
              <w:rPr>
                <w:rFonts w:hint="eastAsia" w:cs="Times New Roman"/>
                <w:b w:val="0"/>
                <w:bCs/>
                <w:color w:val="auto"/>
                <w:sz w:val="24"/>
                <w:szCs w:val="24"/>
                <w:lang w:val="en-US" w:eastAsia="zh-CN"/>
              </w:rPr>
              <w:t>。</w:t>
            </w:r>
          </w:p>
          <w:p>
            <w:pPr>
              <w:pStyle w:val="37"/>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outlineLvl w:val="9"/>
              <w:rPr>
                <w:rFonts w:hint="default" w:cs="Times New Roman"/>
                <w:b w:val="0"/>
                <w:bCs/>
                <w:color w:val="auto"/>
                <w:sz w:val="24"/>
                <w:szCs w:val="24"/>
                <w:lang w:val="en-US" w:eastAsia="zh-CN"/>
              </w:rPr>
            </w:pPr>
            <w:r>
              <w:rPr>
                <w:rFonts w:hint="default" w:cs="Times New Roman"/>
                <w:b w:val="0"/>
                <w:bCs/>
                <w:color w:val="auto"/>
                <w:sz w:val="24"/>
                <w:szCs w:val="24"/>
                <w:lang w:val="en-US" w:eastAsia="zh-CN"/>
              </w:rPr>
              <w:t>按照《环境工程设计手册》中的有关公式，根据类似项目实际治理工程的情况以及结合本项目的设备规模，需要收集有机废气的设备，按照以下经验公式计算得出各设备所需的风量Q。</w:t>
            </w:r>
          </w:p>
          <w:p>
            <w:pPr>
              <w:pageBreakBefore w:val="0"/>
              <w:widowControl/>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bCs/>
                <w:color w:val="auto"/>
                <w:sz w:val="24"/>
                <w:szCs w:val="24"/>
                <w:highlight w:val="none"/>
                <w:lang w:val="en-US"/>
              </w:rPr>
            </w:pPr>
            <w:r>
              <w:rPr>
                <w:rFonts w:hint="default" w:ascii="Times New Roman" w:hAnsi="Times New Roman" w:eastAsia="宋体" w:cs="Times New Roman"/>
                <w:bCs/>
                <w:color w:val="auto"/>
                <w:sz w:val="24"/>
                <w:szCs w:val="24"/>
                <w:highlight w:val="none"/>
                <w:lang w:val="en-US" w:eastAsia="zh-CN"/>
              </w:rPr>
              <w:t>集气罩</w:t>
            </w:r>
            <w:r>
              <w:rPr>
                <w:rFonts w:hint="default" w:ascii="Times New Roman" w:hAnsi="Times New Roman" w:eastAsia="宋体" w:cs="Times New Roman"/>
                <w:bCs/>
                <w:color w:val="auto"/>
                <w:sz w:val="24"/>
                <w:szCs w:val="24"/>
                <w:highlight w:val="none"/>
              </w:rPr>
              <w:t>集气风量计算公式：Q=</w:t>
            </w:r>
            <w:r>
              <w:rPr>
                <w:rFonts w:hint="default" w:ascii="Times New Roman" w:hAnsi="Times New Roman" w:eastAsia="宋体" w:cs="Times New Roman"/>
                <w:bCs/>
                <w:color w:val="auto"/>
                <w:sz w:val="24"/>
                <w:szCs w:val="24"/>
                <w:highlight w:val="none"/>
                <w:lang w:val="en-US" w:eastAsia="zh-CN"/>
              </w:rPr>
              <w:t>3600（5X</w:t>
            </w:r>
            <w:r>
              <w:rPr>
                <w:rFonts w:hint="default" w:ascii="Times New Roman" w:hAnsi="Times New Roman" w:eastAsia="宋体" w:cs="Times New Roman"/>
                <w:bCs/>
                <w:color w:val="auto"/>
                <w:sz w:val="24"/>
                <w:szCs w:val="24"/>
                <w:highlight w:val="none"/>
                <w:vertAlign w:val="superscript"/>
                <w:lang w:val="en-US" w:eastAsia="zh-CN"/>
              </w:rPr>
              <w:t>2</w:t>
            </w:r>
            <w:r>
              <w:rPr>
                <w:rFonts w:hint="default" w:ascii="Times New Roman" w:hAnsi="Times New Roman" w:eastAsia="宋体" w:cs="Times New Roman"/>
                <w:bCs/>
                <w:color w:val="auto"/>
                <w:sz w:val="24"/>
                <w:szCs w:val="24"/>
                <w:highlight w:val="none"/>
                <w:lang w:val="en-US" w:eastAsia="zh-CN"/>
              </w:rPr>
              <w:t>+F）*Vx</w:t>
            </w:r>
          </w:p>
          <w:p>
            <w:pPr>
              <w:pageBreakBefore w:val="0"/>
              <w:widowControl/>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式中：Q：为集气风量，单位为m</w:t>
            </w:r>
            <w:r>
              <w:rPr>
                <w:rFonts w:hint="default" w:ascii="Times New Roman" w:hAnsi="Times New Roman" w:eastAsia="宋体" w:cs="Times New Roman"/>
                <w:bCs/>
                <w:color w:val="auto"/>
                <w:sz w:val="24"/>
                <w:szCs w:val="24"/>
                <w:highlight w:val="none"/>
                <w:vertAlign w:val="superscript"/>
              </w:rPr>
              <w:t>3</w:t>
            </w:r>
            <w:r>
              <w:rPr>
                <w:rFonts w:hint="default" w:ascii="Times New Roman" w:hAnsi="Times New Roman" w:eastAsia="宋体" w:cs="Times New Roman"/>
                <w:bCs/>
                <w:color w:val="auto"/>
                <w:sz w:val="24"/>
                <w:szCs w:val="24"/>
                <w:highlight w:val="none"/>
              </w:rPr>
              <w:t>/h；</w:t>
            </w:r>
          </w:p>
          <w:p>
            <w:pPr>
              <w:pageBreakBefore w:val="0"/>
              <w:widowControl/>
              <w:kinsoku/>
              <w:wordWrap/>
              <w:overflowPunct/>
              <w:topLinePunct w:val="0"/>
              <w:autoSpaceDE/>
              <w:autoSpaceDN/>
              <w:bidi w:val="0"/>
              <w:adjustRightInd/>
              <w:snapToGrid/>
              <w:spacing w:line="360" w:lineRule="auto"/>
              <w:ind w:leftChars="0" w:firstLine="1200" w:firstLineChars="500"/>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X：集气罩至污染源的距离（取0.2m）；</w:t>
            </w:r>
          </w:p>
          <w:p>
            <w:pPr>
              <w:pStyle w:val="6"/>
              <w:pageBreakBefore w:val="0"/>
              <w:numPr>
                <w:ilvl w:val="3"/>
                <w:numId w:val="0"/>
              </w:numPr>
              <w:kinsoku/>
              <w:wordWrap/>
              <w:overflowPunct/>
              <w:topLinePunct w:val="0"/>
              <w:autoSpaceDE/>
              <w:autoSpaceDN/>
              <w:bidi w:val="0"/>
              <w:adjustRightInd/>
              <w:snapToGrid/>
              <w:spacing w:before="0" w:after="0" w:line="360" w:lineRule="auto"/>
              <w:ind w:leftChars="0" w:firstLine="1200" w:firstLineChars="5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F：集气罩口面积（根据设备口径尺寸取</w:t>
            </w:r>
            <w:r>
              <w:rPr>
                <w:rFonts w:hint="eastAsia" w:ascii="Times New Roman" w:hAnsi="Times New Roman" w:eastAsia="宋体" w:cs="Times New Roman"/>
                <w:b w:val="0"/>
                <w:bCs w:val="0"/>
                <w:color w:val="auto"/>
                <w:sz w:val="24"/>
                <w:szCs w:val="24"/>
                <w:highlight w:val="none"/>
                <w:lang w:val="en-US" w:eastAsia="zh-CN"/>
              </w:rPr>
              <w:t>0.5</w:t>
            </w:r>
            <w:r>
              <w:rPr>
                <w:rFonts w:hint="default" w:ascii="Times New Roman" w:hAnsi="Times New Roman" w:eastAsia="宋体" w:cs="Times New Roman"/>
                <w:b w:val="0"/>
                <w:bCs w:val="0"/>
                <w:color w:val="auto"/>
                <w:sz w:val="24"/>
                <w:szCs w:val="24"/>
                <w:highlight w:val="none"/>
                <w:lang w:val="en-US" w:eastAsia="zh-CN"/>
              </w:rPr>
              <w:t>m*0.5m）；</w:t>
            </w:r>
          </w:p>
          <w:p>
            <w:pPr>
              <w:pageBreakBefore w:val="0"/>
              <w:widowControl/>
              <w:kinsoku/>
              <w:wordWrap/>
              <w:overflowPunct/>
              <w:topLinePunct w:val="0"/>
              <w:autoSpaceDE/>
              <w:autoSpaceDN/>
              <w:bidi w:val="0"/>
              <w:adjustRightInd/>
              <w:snapToGrid/>
              <w:spacing w:line="360" w:lineRule="auto"/>
              <w:ind w:leftChars="0" w:firstLine="1200" w:firstLineChars="5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Vx：控制风量（取0.6m/s）。</w:t>
            </w:r>
          </w:p>
          <w:p>
            <w:pPr>
              <w:pStyle w:val="37"/>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outlineLvl w:val="9"/>
              <w:rPr>
                <w:rFonts w:hint="eastAsia" w:cs="Times New Roman"/>
                <w:b w:val="0"/>
                <w:bCs/>
                <w:color w:val="auto"/>
                <w:sz w:val="24"/>
                <w:szCs w:val="24"/>
                <w:lang w:val="en-US" w:eastAsia="zh-CN"/>
              </w:rPr>
            </w:pPr>
            <w:r>
              <w:rPr>
                <w:rFonts w:hint="eastAsia" w:ascii="Times New Roman" w:hAnsi="Times New Roman" w:eastAsia="宋体" w:cs="Times New Roman"/>
                <w:color w:val="auto"/>
                <w:sz w:val="24"/>
                <w:szCs w:val="24"/>
                <w:lang w:val="en-US" w:eastAsia="zh-CN"/>
              </w:rPr>
              <w:t>本项目冷镦</w:t>
            </w:r>
            <w:r>
              <w:rPr>
                <w:rFonts w:hint="eastAsia" w:cs="Times New Roman"/>
                <w:color w:val="auto"/>
                <w:sz w:val="24"/>
                <w:szCs w:val="24"/>
                <w:lang w:val="en-US" w:eastAsia="zh-CN"/>
              </w:rPr>
              <w:t>工序设备45台</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bCs/>
                <w:color w:val="auto"/>
                <w:sz w:val="24"/>
                <w:szCs w:val="24"/>
                <w:highlight w:val="none"/>
                <w:lang w:val="en-US" w:eastAsia="zh-CN"/>
              </w:rPr>
              <w:t>则单个集气罩风量为</w:t>
            </w:r>
            <w:r>
              <w:rPr>
                <w:rFonts w:hint="eastAsia" w:cs="Times New Roman"/>
                <w:bCs/>
                <w:color w:val="auto"/>
                <w:sz w:val="24"/>
                <w:szCs w:val="24"/>
                <w:highlight w:val="none"/>
                <w:lang w:val="en-US" w:eastAsia="zh-CN"/>
              </w:rPr>
              <w:t>97</w:t>
            </w:r>
            <w:r>
              <w:rPr>
                <w:rFonts w:hint="default" w:ascii="Times New Roman" w:hAnsi="Times New Roman" w:eastAsia="宋体" w:cs="Times New Roman"/>
                <w:bCs/>
                <w:color w:val="auto"/>
                <w:sz w:val="24"/>
                <w:szCs w:val="24"/>
                <w:highlight w:val="none"/>
                <w:lang w:val="en-US" w:eastAsia="zh-CN"/>
              </w:rPr>
              <w:t>2</w:t>
            </w:r>
            <w:r>
              <w:rPr>
                <w:rFonts w:hint="default" w:ascii="Times New Roman" w:hAnsi="Times New Roman" w:eastAsia="宋体" w:cs="Times New Roman"/>
                <w:bCs/>
                <w:color w:val="auto"/>
                <w:sz w:val="24"/>
                <w:szCs w:val="24"/>
                <w:highlight w:val="none"/>
              </w:rPr>
              <w:t>m</w:t>
            </w:r>
            <w:r>
              <w:rPr>
                <w:rFonts w:hint="default" w:ascii="Times New Roman" w:hAnsi="Times New Roman" w:eastAsia="宋体" w:cs="Times New Roman"/>
                <w:bCs/>
                <w:color w:val="auto"/>
                <w:sz w:val="24"/>
                <w:szCs w:val="24"/>
                <w:highlight w:val="none"/>
                <w:vertAlign w:val="superscript"/>
              </w:rPr>
              <w:t>3</w:t>
            </w:r>
            <w:r>
              <w:rPr>
                <w:rFonts w:hint="default" w:ascii="Times New Roman" w:hAnsi="Times New Roman" w:eastAsia="宋体" w:cs="Times New Roman"/>
                <w:bCs/>
                <w:color w:val="auto"/>
                <w:sz w:val="24"/>
                <w:szCs w:val="24"/>
                <w:highlight w:val="none"/>
              </w:rPr>
              <w:t>/h</w:t>
            </w:r>
            <w:r>
              <w:rPr>
                <w:rFonts w:hint="default" w:ascii="Times New Roman" w:hAnsi="Times New Roman" w:eastAsia="宋体" w:cs="Times New Roman"/>
                <w:bCs/>
                <w:color w:val="auto"/>
                <w:sz w:val="24"/>
                <w:szCs w:val="24"/>
                <w:highlight w:val="none"/>
                <w:lang w:eastAsia="zh-CN"/>
              </w:rPr>
              <w:t>，</w:t>
            </w:r>
            <w:r>
              <w:rPr>
                <w:rFonts w:hint="eastAsia" w:cs="Times New Roman"/>
                <w:bCs/>
                <w:color w:val="auto"/>
                <w:sz w:val="24"/>
                <w:szCs w:val="24"/>
                <w:highlight w:val="none"/>
                <w:lang w:eastAsia="zh-CN"/>
              </w:rPr>
              <w:t>考虑风阻，</w:t>
            </w:r>
            <w:r>
              <w:rPr>
                <w:rFonts w:hint="default" w:ascii="Times New Roman" w:hAnsi="Times New Roman" w:eastAsia="宋体" w:cs="Times New Roman"/>
                <w:bCs/>
                <w:color w:val="auto"/>
                <w:sz w:val="24"/>
                <w:szCs w:val="24"/>
                <w:highlight w:val="none"/>
                <w:lang w:val="en-US" w:eastAsia="zh-CN"/>
              </w:rPr>
              <w:t>本环评</w:t>
            </w:r>
            <w:r>
              <w:rPr>
                <w:rFonts w:hint="eastAsia" w:cs="Times New Roman"/>
                <w:bCs/>
                <w:color w:val="auto"/>
                <w:sz w:val="24"/>
                <w:szCs w:val="24"/>
                <w:highlight w:val="none"/>
                <w:lang w:val="en-US" w:eastAsia="zh-CN"/>
              </w:rPr>
              <w:t>冷镦废气总风量</w:t>
            </w:r>
            <w:r>
              <w:rPr>
                <w:rFonts w:hint="default" w:ascii="Times New Roman" w:hAnsi="Times New Roman" w:eastAsia="宋体" w:cs="Times New Roman"/>
                <w:bCs/>
                <w:color w:val="auto"/>
                <w:sz w:val="24"/>
                <w:szCs w:val="24"/>
                <w:highlight w:val="none"/>
                <w:lang w:val="en-US" w:eastAsia="zh-CN"/>
              </w:rPr>
              <w:t>取</w:t>
            </w:r>
            <w:r>
              <w:rPr>
                <w:rFonts w:hint="eastAsia" w:cs="Times New Roman"/>
                <w:bCs/>
                <w:color w:val="auto"/>
                <w:sz w:val="24"/>
                <w:szCs w:val="24"/>
                <w:highlight w:val="none"/>
                <w:lang w:val="en-US" w:eastAsia="zh-CN"/>
              </w:rPr>
              <w:t>45000</w:t>
            </w:r>
            <w:r>
              <w:rPr>
                <w:rFonts w:hint="default" w:ascii="Times New Roman" w:hAnsi="Times New Roman" w:eastAsia="宋体" w:cs="Times New Roman"/>
                <w:bCs/>
                <w:color w:val="auto"/>
                <w:sz w:val="24"/>
                <w:szCs w:val="24"/>
                <w:highlight w:val="none"/>
              </w:rPr>
              <w:t>m</w:t>
            </w:r>
            <w:r>
              <w:rPr>
                <w:rFonts w:hint="default" w:ascii="Times New Roman" w:hAnsi="Times New Roman" w:eastAsia="宋体" w:cs="Times New Roman"/>
                <w:bCs/>
                <w:color w:val="auto"/>
                <w:sz w:val="24"/>
                <w:szCs w:val="24"/>
                <w:highlight w:val="none"/>
                <w:vertAlign w:val="superscript"/>
              </w:rPr>
              <w:t>3</w:t>
            </w:r>
            <w:r>
              <w:rPr>
                <w:rFonts w:hint="default" w:ascii="Times New Roman" w:hAnsi="Times New Roman" w:eastAsia="宋体" w:cs="Times New Roman"/>
                <w:bCs/>
                <w:color w:val="auto"/>
                <w:sz w:val="24"/>
                <w:szCs w:val="24"/>
                <w:highlight w:val="none"/>
              </w:rPr>
              <w:t>/h</w:t>
            </w:r>
            <w:r>
              <w:rPr>
                <w:rFonts w:hint="eastAsia" w:cs="Times New Roman"/>
                <w:bCs/>
                <w:color w:val="auto"/>
                <w:sz w:val="24"/>
                <w:szCs w:val="24"/>
                <w:highlight w:val="none"/>
                <w:lang w:eastAsia="zh-CN"/>
              </w:rPr>
              <w:t>；</w:t>
            </w:r>
          </w:p>
          <w:p>
            <w:pPr>
              <w:pStyle w:val="37"/>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outlineLvl w:val="9"/>
              <w:rPr>
                <w:rFonts w:hint="default"/>
                <w:color w:val="auto"/>
                <w:lang w:val="en-US" w:eastAsia="zh-CN"/>
              </w:rPr>
            </w:pPr>
            <w:r>
              <w:rPr>
                <w:rFonts w:hint="eastAsia" w:cs="Times New Roman"/>
                <w:b w:val="0"/>
                <w:bCs/>
                <w:color w:val="auto"/>
                <w:sz w:val="24"/>
                <w:szCs w:val="24"/>
                <w:lang w:val="en-US" w:eastAsia="zh-CN"/>
              </w:rPr>
              <w:t>B.</w:t>
            </w:r>
            <w:r>
              <w:rPr>
                <w:rFonts w:hint="eastAsia" w:ascii="Times New Roman" w:hAnsi="Times New Roman" w:eastAsia="宋体"/>
                <w:color w:val="auto"/>
                <w:sz w:val="24"/>
                <w:szCs w:val="24"/>
                <w:lang w:val="en-US" w:eastAsia="zh-CN"/>
              </w:rPr>
              <w:t>淬火、回火废气</w:t>
            </w:r>
          </w:p>
          <w:p>
            <w:pPr>
              <w:pStyle w:val="37"/>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outlineLvl w:val="9"/>
              <w:rPr>
                <w:rFonts w:hint="eastAsia" w:cs="Times New Roman"/>
                <w:color w:val="auto"/>
                <w:sz w:val="24"/>
                <w:szCs w:val="24"/>
                <w:lang w:val="en-US" w:eastAsia="zh-CN"/>
              </w:rPr>
            </w:pPr>
            <w:r>
              <w:rPr>
                <w:rFonts w:hint="eastAsia" w:cs="Times New Roman"/>
                <w:b w:val="0"/>
                <w:bCs/>
                <w:color w:val="auto"/>
                <w:sz w:val="24"/>
                <w:szCs w:val="24"/>
                <w:lang w:val="en-US" w:eastAsia="zh-CN"/>
              </w:rPr>
              <w:t>根据《热处理环境保护技术要求》（GB/T30822-2014），</w:t>
            </w:r>
            <w:r>
              <w:rPr>
                <w:rFonts w:hint="default" w:ascii="Times New Roman" w:hAnsi="Times New Roman" w:cs="Times New Roman"/>
                <w:b w:val="0"/>
                <w:bCs/>
                <w:color w:val="auto"/>
                <w:sz w:val="24"/>
                <w:szCs w:val="24"/>
                <w:lang w:val="en-US" w:eastAsia="zh-CN"/>
              </w:rPr>
              <w:t>本项目淬火</w:t>
            </w:r>
            <w:r>
              <w:rPr>
                <w:rFonts w:hint="eastAsia" w:cs="Times New Roman"/>
                <w:b w:val="0"/>
                <w:bCs/>
                <w:color w:val="auto"/>
                <w:sz w:val="24"/>
                <w:szCs w:val="24"/>
                <w:lang w:val="en-US" w:eastAsia="zh-CN"/>
              </w:rPr>
              <w:t>、回火</w:t>
            </w:r>
            <w:r>
              <w:rPr>
                <w:rFonts w:hint="default" w:ascii="Times New Roman" w:hAnsi="Times New Roman" w:cs="Times New Roman"/>
                <w:b w:val="0"/>
                <w:bCs/>
                <w:color w:val="auto"/>
                <w:sz w:val="24"/>
                <w:szCs w:val="24"/>
                <w:lang w:val="en-US" w:eastAsia="zh-CN"/>
              </w:rPr>
              <w:t>过程中会产生</w:t>
            </w:r>
            <w:r>
              <w:rPr>
                <w:rFonts w:hint="eastAsia" w:cs="Times New Roman"/>
                <w:b w:val="0"/>
                <w:bCs/>
                <w:color w:val="auto"/>
                <w:sz w:val="24"/>
                <w:szCs w:val="24"/>
                <w:lang w:val="en-US" w:eastAsia="zh-CN"/>
              </w:rPr>
              <w:t>油烟，主要</w:t>
            </w:r>
            <w:r>
              <w:rPr>
                <w:rFonts w:hint="default" w:ascii="Times New Roman" w:hAnsi="Times New Roman" w:cs="Times New Roman"/>
                <w:b w:val="0"/>
                <w:bCs/>
                <w:color w:val="auto"/>
                <w:sz w:val="24"/>
                <w:szCs w:val="24"/>
                <w:lang w:val="en-US" w:eastAsia="zh-CN"/>
              </w:rPr>
              <w:t>以</w:t>
            </w:r>
            <w:r>
              <w:rPr>
                <w:rFonts w:hint="eastAsia" w:cs="Times New Roman"/>
                <w:b w:val="0"/>
                <w:bCs/>
                <w:color w:val="auto"/>
                <w:sz w:val="24"/>
                <w:szCs w:val="24"/>
                <w:lang w:val="en-US" w:eastAsia="zh-CN"/>
              </w:rPr>
              <w:t>挥发性有机物、颗粒物</w:t>
            </w:r>
            <w:r>
              <w:rPr>
                <w:rFonts w:hint="eastAsia" w:cs="Times New Roman"/>
                <w:color w:val="auto"/>
                <w:sz w:val="24"/>
                <w:szCs w:val="24"/>
                <w:lang w:val="en-US" w:eastAsia="zh-CN"/>
              </w:rPr>
              <w:t>，淬火油定期添加。</w:t>
            </w:r>
          </w:p>
          <w:p>
            <w:pPr>
              <w:pStyle w:val="37"/>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outlineLvl w:val="9"/>
              <w:rPr>
                <w:rFonts w:hint="default"/>
                <w:color w:val="auto"/>
                <w:sz w:val="24"/>
                <w:szCs w:val="24"/>
                <w:lang w:val="en-US" w:eastAsia="zh-CN"/>
              </w:rPr>
            </w:pPr>
            <w:r>
              <w:rPr>
                <w:rFonts w:hint="eastAsia"/>
                <w:color w:val="auto"/>
                <w:sz w:val="24"/>
                <w:szCs w:val="24"/>
                <w:lang w:val="en-US" w:eastAsia="zh-CN"/>
              </w:rPr>
              <w:t>本项目</w:t>
            </w:r>
            <w:r>
              <w:rPr>
                <w:rFonts w:hint="default" w:ascii="Times New Roman" w:hAnsi="Times New Roman" w:eastAsia="宋体" w:cs="Times New Roman"/>
                <w:color w:val="auto"/>
                <w:sz w:val="24"/>
                <w:szCs w:val="24"/>
                <w:lang w:val="en-US" w:eastAsia="zh-CN"/>
              </w:rPr>
              <w:t>淬火</w:t>
            </w:r>
            <w:r>
              <w:rPr>
                <w:rFonts w:hint="eastAsia" w:cs="Times New Roman"/>
                <w:color w:val="auto"/>
                <w:sz w:val="24"/>
                <w:szCs w:val="24"/>
                <w:lang w:val="en-US" w:eastAsia="zh-CN"/>
              </w:rPr>
              <w:t>、回火</w:t>
            </w:r>
            <w:r>
              <w:rPr>
                <w:rFonts w:hint="default" w:ascii="Times New Roman" w:hAnsi="Times New Roman" w:eastAsia="宋体" w:cs="Times New Roman"/>
                <w:color w:val="auto"/>
                <w:sz w:val="24"/>
                <w:szCs w:val="24"/>
                <w:lang w:val="en-US" w:eastAsia="zh-CN"/>
              </w:rPr>
              <w:t>废气</w:t>
            </w:r>
            <w:r>
              <w:rPr>
                <w:rFonts w:hint="eastAsia"/>
                <w:color w:val="auto"/>
                <w:sz w:val="24"/>
                <w:szCs w:val="24"/>
                <w:lang w:val="en-US" w:eastAsia="zh-CN"/>
              </w:rPr>
              <w:t>参照《排放源统计调查产排污核算方法和系数手册（公告2021年第24号）》中</w:t>
            </w:r>
            <w:r>
              <w:rPr>
                <w:rFonts w:hint="default" w:ascii="Times New Roman" w:hAnsi="Times New Roman" w:eastAsia="宋体"/>
                <w:color w:val="auto"/>
                <w:sz w:val="24"/>
                <w:szCs w:val="24"/>
                <w:lang w:val="en-US" w:eastAsia="zh-CN"/>
              </w:rPr>
              <w:t>机械行业系数手册</w:t>
            </w:r>
            <w:r>
              <w:rPr>
                <w:rFonts w:hint="eastAsia"/>
                <w:color w:val="auto"/>
                <w:sz w:val="24"/>
                <w:szCs w:val="24"/>
                <w:lang w:val="en-US" w:eastAsia="zh-CN"/>
              </w:rPr>
              <w:t>中产污系数，热处理</w:t>
            </w:r>
            <w:r>
              <w:rPr>
                <w:rFonts w:hint="default" w:ascii="Times New Roman" w:hAnsi="Times New Roman" w:eastAsia="宋体"/>
                <w:color w:val="auto"/>
                <w:sz w:val="24"/>
                <w:szCs w:val="24"/>
                <w:lang w:val="en-US" w:eastAsia="zh-CN"/>
              </w:rPr>
              <w:t>过程</w:t>
            </w:r>
            <w:r>
              <w:rPr>
                <w:rFonts w:hint="eastAsia"/>
                <w:color w:val="auto"/>
                <w:sz w:val="24"/>
                <w:szCs w:val="24"/>
                <w:lang w:val="en-US" w:eastAsia="zh-CN"/>
              </w:rPr>
              <w:t>（淬火/回火）</w:t>
            </w:r>
            <w:r>
              <w:rPr>
                <w:rFonts w:hint="eastAsia" w:ascii="Times New Roman" w:hAnsi="Times New Roman" w:cs="Times New Roman"/>
                <w:color w:val="auto"/>
                <w:sz w:val="24"/>
                <w:szCs w:val="24"/>
                <w:lang w:val="en-US" w:eastAsia="zh-CN"/>
              </w:rPr>
              <w:t>，</w:t>
            </w:r>
            <w:r>
              <w:rPr>
                <w:rFonts w:hint="eastAsia" w:cs="Times New Roman"/>
                <w:color w:val="auto"/>
                <w:sz w:val="24"/>
                <w:szCs w:val="24"/>
                <w:lang w:val="en-US" w:eastAsia="zh-CN"/>
              </w:rPr>
              <w:t>颗粒物的产污系数为200kg/t-淬火油。</w:t>
            </w:r>
            <w:r>
              <w:rPr>
                <w:rFonts w:hint="default" w:ascii="Times New Roman" w:hAnsi="Times New Roman" w:eastAsia="宋体"/>
                <w:color w:val="auto"/>
                <w:sz w:val="24"/>
                <w:szCs w:val="24"/>
                <w:lang w:val="en-US" w:eastAsia="zh-CN"/>
              </w:rPr>
              <w:t>根据建设单位提供资料，本项目淬火油年</w:t>
            </w:r>
            <w:r>
              <w:rPr>
                <w:rFonts w:hint="eastAsia"/>
                <w:color w:val="auto"/>
                <w:sz w:val="24"/>
                <w:szCs w:val="24"/>
                <w:lang w:val="en-US" w:eastAsia="zh-CN"/>
              </w:rPr>
              <w:t>使用量</w:t>
            </w:r>
            <w:r>
              <w:rPr>
                <w:rFonts w:hint="default" w:ascii="Times New Roman" w:hAnsi="Times New Roman" w:eastAsia="宋体"/>
                <w:color w:val="auto"/>
                <w:sz w:val="24"/>
                <w:szCs w:val="24"/>
                <w:lang w:val="en-US" w:eastAsia="zh-CN"/>
              </w:rPr>
              <w:t>共计约</w:t>
            </w:r>
            <w:r>
              <w:rPr>
                <w:rFonts w:hint="eastAsia"/>
                <w:color w:val="auto"/>
                <w:sz w:val="24"/>
                <w:szCs w:val="24"/>
                <w:lang w:val="en-US" w:eastAsia="zh-CN"/>
              </w:rPr>
              <w:t>12</w:t>
            </w:r>
            <w:r>
              <w:rPr>
                <w:rFonts w:hint="default" w:ascii="Times New Roman" w:hAnsi="Times New Roman" w:eastAsia="宋体"/>
                <w:color w:val="auto"/>
                <w:sz w:val="24"/>
                <w:szCs w:val="24"/>
                <w:lang w:val="en-US" w:eastAsia="zh-CN"/>
              </w:rPr>
              <w:t>t/a，则</w:t>
            </w:r>
            <w:r>
              <w:rPr>
                <w:rFonts w:hint="eastAsia"/>
                <w:color w:val="auto"/>
                <w:sz w:val="24"/>
                <w:szCs w:val="24"/>
                <w:lang w:val="en-US" w:eastAsia="zh-CN"/>
              </w:rPr>
              <w:t>颗粒物产生量为2.4t/a。</w:t>
            </w:r>
          </w:p>
          <w:p>
            <w:pPr>
              <w:pStyle w:val="37"/>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outlineLvl w:val="9"/>
              <w:rPr>
                <w:rFonts w:hint="eastAsia" w:cs="Times New Roman"/>
                <w:color w:val="auto"/>
                <w:sz w:val="24"/>
                <w:szCs w:val="24"/>
                <w:lang w:val="en-US" w:eastAsia="zh-CN"/>
              </w:rPr>
            </w:pPr>
            <w:r>
              <w:rPr>
                <w:rFonts w:hint="eastAsia" w:cs="Times New Roman"/>
                <w:color w:val="auto"/>
                <w:sz w:val="24"/>
                <w:szCs w:val="24"/>
                <w:lang w:eastAsia="zh-CN"/>
              </w:rPr>
              <w:t>同时根据《</w:t>
            </w:r>
            <w:r>
              <w:rPr>
                <w:rFonts w:hint="eastAsia" w:cs="Times New Roman"/>
                <w:color w:val="auto"/>
                <w:sz w:val="24"/>
                <w:szCs w:val="24"/>
                <w:lang w:val="en-US" w:eastAsia="zh-CN"/>
              </w:rPr>
              <w:t>宿州开源精工轴承配件生产加工项目（阶段性）</w:t>
            </w:r>
            <w:r>
              <w:rPr>
                <w:rFonts w:hint="eastAsia" w:cs="Times New Roman"/>
                <w:color w:val="auto"/>
                <w:sz w:val="24"/>
                <w:szCs w:val="24"/>
                <w:lang w:eastAsia="zh-CN"/>
              </w:rPr>
              <w:t>竣工环保验收报告表》（</w:t>
            </w:r>
            <w:r>
              <w:rPr>
                <w:rFonts w:hint="eastAsia" w:cs="Times New Roman"/>
                <w:color w:val="auto"/>
                <w:sz w:val="24"/>
                <w:szCs w:val="24"/>
                <w:lang w:val="en-US" w:eastAsia="zh-CN"/>
              </w:rPr>
              <w:t>2021年9月）安徽精检分析测试有限公司检测报告（报告编号：鲁科源（环）检字2021第0888号），检测结果如下：</w:t>
            </w:r>
          </w:p>
          <w:p>
            <w:pPr>
              <w:pStyle w:val="37"/>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outlineLvl w:val="9"/>
              <w:rPr>
                <w:rFonts w:hint="default" w:cs="Times New Roman"/>
                <w:b/>
                <w:bCs/>
                <w:color w:val="auto"/>
                <w:sz w:val="24"/>
                <w:szCs w:val="24"/>
                <w:lang w:val="en-US" w:eastAsia="zh-CN"/>
              </w:rPr>
            </w:pPr>
            <w:r>
              <w:rPr>
                <w:rFonts w:hint="eastAsia" w:cs="Times New Roman"/>
                <w:b/>
                <w:bCs/>
                <w:color w:val="auto"/>
                <w:sz w:val="24"/>
                <w:szCs w:val="24"/>
                <w:lang w:val="en-US" w:eastAsia="zh-CN"/>
              </w:rPr>
              <w:t>表4.2  宿州开源精工轴承配件生产加工项目</w:t>
            </w:r>
            <w:r>
              <w:rPr>
                <w:rFonts w:hint="eastAsia" w:cs="Times New Roman"/>
                <w:b/>
                <w:bCs/>
                <w:color w:val="auto"/>
                <w:sz w:val="24"/>
                <w:szCs w:val="24"/>
                <w:lang w:eastAsia="zh-CN"/>
              </w:rPr>
              <w:t>验收检测结果</w:t>
            </w:r>
          </w:p>
          <w:tbl>
            <w:tblPr>
              <w:tblStyle w:val="26"/>
              <w:tblW w:w="83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1"/>
              <w:gridCol w:w="1147"/>
              <w:gridCol w:w="1192"/>
              <w:gridCol w:w="1151"/>
              <w:gridCol w:w="1893"/>
              <w:gridCol w:w="1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00" w:type="dxa"/>
                  <w:gridSpan w:val="3"/>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jc w:val="center"/>
                    <w:textAlignment w:val="auto"/>
                    <w:outlineLvl w:val="9"/>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检测点位</w:t>
                  </w:r>
                </w:p>
              </w:tc>
              <w:tc>
                <w:tcPr>
                  <w:tcW w:w="4862" w:type="dxa"/>
                  <w:gridSpan w:val="3"/>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jc w:val="center"/>
                    <w:textAlignment w:val="auto"/>
                    <w:outlineLvl w:val="9"/>
                    <w:rPr>
                      <w:rFonts w:hint="eastAsia" w:cs="Times New Roman"/>
                      <w:color w:val="auto"/>
                      <w:sz w:val="21"/>
                      <w:szCs w:val="21"/>
                      <w:vertAlign w:val="baseline"/>
                      <w:lang w:val="en-US" w:eastAsia="zh-CN"/>
                    </w:rPr>
                  </w:pPr>
                  <w:r>
                    <w:rPr>
                      <w:rFonts w:hint="eastAsia"/>
                      <w:color w:val="auto"/>
                      <w:sz w:val="21"/>
                      <w:szCs w:val="21"/>
                      <w:vertAlign w:val="baseline"/>
                      <w:lang w:val="en-US" w:eastAsia="zh-CN"/>
                    </w:rPr>
                    <w:t>排气筒检测口（进出口）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vMerge w:val="restart"/>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jc w:val="center"/>
                    <w:textAlignment w:val="auto"/>
                    <w:outlineLvl w:val="9"/>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采样日期</w:t>
                  </w:r>
                </w:p>
              </w:tc>
              <w:tc>
                <w:tcPr>
                  <w:tcW w:w="1147" w:type="dxa"/>
                  <w:vMerge w:val="restart"/>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检测频次</w:t>
                  </w:r>
                </w:p>
              </w:tc>
              <w:tc>
                <w:tcPr>
                  <w:tcW w:w="1192" w:type="dxa"/>
                  <w:vMerge w:val="restart"/>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检测断面</w:t>
                  </w:r>
                </w:p>
              </w:tc>
              <w:tc>
                <w:tcPr>
                  <w:tcW w:w="1151" w:type="dxa"/>
                  <w:vMerge w:val="restart"/>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废气流量</w:t>
                  </w:r>
                </w:p>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jc w:val="center"/>
                    <w:textAlignment w:val="auto"/>
                    <w:outlineLvl w:val="9"/>
                    <w:rPr>
                      <w:rFonts w:hint="eastAsia" w:cs="Times New Roman"/>
                      <w:color w:val="auto"/>
                      <w:sz w:val="21"/>
                      <w:szCs w:val="21"/>
                      <w:vertAlign w:val="baseline"/>
                      <w:lang w:val="en-US" w:eastAsia="zh-CN"/>
                    </w:rPr>
                  </w:pPr>
                  <w:r>
                    <w:rPr>
                      <w:rFonts w:hint="eastAsia"/>
                      <w:color w:val="auto"/>
                      <w:sz w:val="21"/>
                      <w:szCs w:val="21"/>
                      <w:vertAlign w:val="baseline"/>
                      <w:lang w:val="en-US" w:eastAsia="zh-CN"/>
                    </w:rPr>
                    <w:t>Nm</w:t>
                  </w:r>
                  <w:r>
                    <w:rPr>
                      <w:rFonts w:hint="eastAsia"/>
                      <w:color w:val="auto"/>
                      <w:sz w:val="21"/>
                      <w:szCs w:val="21"/>
                      <w:vertAlign w:val="superscript"/>
                      <w:lang w:val="en-US" w:eastAsia="zh-CN"/>
                    </w:rPr>
                    <w:t>3</w:t>
                  </w:r>
                  <w:r>
                    <w:rPr>
                      <w:rFonts w:hint="eastAsia"/>
                      <w:color w:val="auto"/>
                      <w:sz w:val="21"/>
                      <w:szCs w:val="21"/>
                      <w:vertAlign w:val="baseline"/>
                      <w:lang w:val="en-US" w:eastAsia="zh-CN"/>
                    </w:rPr>
                    <w:t>/h</w:t>
                  </w:r>
                </w:p>
              </w:tc>
              <w:tc>
                <w:tcPr>
                  <w:tcW w:w="3711" w:type="dxa"/>
                  <w:gridSpan w:val="2"/>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挥发性有机物（以挥发性有机物计）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vMerge w:val="continue"/>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jc w:val="center"/>
                    <w:textAlignment w:val="auto"/>
                    <w:outlineLvl w:val="9"/>
                    <w:rPr>
                      <w:rFonts w:hint="eastAsia" w:cs="Times New Roman"/>
                      <w:color w:val="auto"/>
                      <w:sz w:val="21"/>
                      <w:szCs w:val="21"/>
                      <w:vertAlign w:val="baseline"/>
                      <w:lang w:val="en-US" w:eastAsia="zh-CN"/>
                    </w:rPr>
                  </w:pPr>
                </w:p>
              </w:tc>
              <w:tc>
                <w:tcPr>
                  <w:tcW w:w="1147" w:type="dxa"/>
                  <w:vMerge w:val="continue"/>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jc w:val="center"/>
                    <w:textAlignment w:val="auto"/>
                    <w:outlineLvl w:val="9"/>
                    <w:rPr>
                      <w:rFonts w:hint="eastAsia" w:cs="Times New Roman"/>
                      <w:color w:val="auto"/>
                      <w:sz w:val="21"/>
                      <w:szCs w:val="21"/>
                      <w:vertAlign w:val="baseline"/>
                      <w:lang w:val="en-US" w:eastAsia="zh-CN"/>
                    </w:rPr>
                  </w:pPr>
                </w:p>
              </w:tc>
              <w:tc>
                <w:tcPr>
                  <w:tcW w:w="1192" w:type="dxa"/>
                  <w:vMerge w:val="continue"/>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jc w:val="center"/>
                    <w:textAlignment w:val="auto"/>
                    <w:outlineLvl w:val="9"/>
                    <w:rPr>
                      <w:rFonts w:hint="eastAsia" w:cs="Times New Roman"/>
                      <w:color w:val="auto"/>
                      <w:sz w:val="21"/>
                      <w:szCs w:val="21"/>
                      <w:vertAlign w:val="baseline"/>
                      <w:lang w:val="en-US" w:eastAsia="zh-CN"/>
                    </w:rPr>
                  </w:pPr>
                </w:p>
              </w:tc>
              <w:tc>
                <w:tcPr>
                  <w:tcW w:w="1151" w:type="dxa"/>
                  <w:vMerge w:val="continue"/>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jc w:val="center"/>
                    <w:textAlignment w:val="auto"/>
                    <w:outlineLvl w:val="9"/>
                    <w:rPr>
                      <w:rFonts w:hint="eastAsia" w:cs="Times New Roman"/>
                      <w:color w:val="auto"/>
                      <w:sz w:val="21"/>
                      <w:szCs w:val="21"/>
                      <w:vertAlign w:val="baseline"/>
                      <w:lang w:val="en-US" w:eastAsia="zh-CN"/>
                    </w:rPr>
                  </w:pPr>
                </w:p>
              </w:tc>
              <w:tc>
                <w:tcPr>
                  <w:tcW w:w="1893"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排放浓度mg/m</w:t>
                  </w:r>
                  <w:r>
                    <w:rPr>
                      <w:rFonts w:hint="eastAsia"/>
                      <w:color w:val="auto"/>
                      <w:sz w:val="21"/>
                      <w:szCs w:val="21"/>
                      <w:vertAlign w:val="superscript"/>
                      <w:lang w:val="en-US" w:eastAsia="zh-CN"/>
                    </w:rPr>
                    <w:t>3</w:t>
                  </w:r>
                </w:p>
              </w:tc>
              <w:tc>
                <w:tcPr>
                  <w:tcW w:w="1818"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vMerge w:val="restart"/>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default" w:cs="Times New Roman"/>
                      <w:color w:val="auto"/>
                      <w:sz w:val="21"/>
                      <w:szCs w:val="21"/>
                      <w:vertAlign w:val="baseline"/>
                      <w:lang w:val="en-US" w:eastAsia="zh-CN"/>
                    </w:rPr>
                  </w:pPr>
                  <w:r>
                    <w:rPr>
                      <w:rFonts w:hint="eastAsia"/>
                      <w:color w:val="auto"/>
                      <w:sz w:val="21"/>
                      <w:szCs w:val="21"/>
                      <w:vertAlign w:val="baseline"/>
                      <w:lang w:val="en-US" w:eastAsia="zh-CN"/>
                    </w:rPr>
                    <w:t>2021.08.28</w:t>
                  </w:r>
                </w:p>
              </w:tc>
              <w:tc>
                <w:tcPr>
                  <w:tcW w:w="1147" w:type="dxa"/>
                  <w:vMerge w:val="restart"/>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color w:val="auto"/>
                      <w:sz w:val="21"/>
                      <w:szCs w:val="21"/>
                      <w:vertAlign w:val="baseline"/>
                      <w:lang w:val="en-US" w:eastAsia="zh-CN"/>
                    </w:rPr>
                    <w:t>1</w:t>
                  </w:r>
                </w:p>
              </w:tc>
              <w:tc>
                <w:tcPr>
                  <w:tcW w:w="1192"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color w:val="auto"/>
                      <w:sz w:val="21"/>
                      <w:szCs w:val="21"/>
                      <w:vertAlign w:val="baseline"/>
                      <w:lang w:val="en-US" w:eastAsia="zh-CN"/>
                    </w:rPr>
                    <w:t>进口</w:t>
                  </w:r>
                </w:p>
              </w:tc>
              <w:tc>
                <w:tcPr>
                  <w:tcW w:w="1151"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ascii="Times New Roman" w:hAnsi="Times New Roman" w:eastAsia="宋体" w:cs="Times New Roman"/>
                      <w:b w:val="0"/>
                      <w:bCs w:val="0"/>
                      <w:color w:val="auto"/>
                      <w:kern w:val="2"/>
                      <w:sz w:val="21"/>
                      <w:szCs w:val="21"/>
                      <w:lang w:val="en-US" w:eastAsia="zh-CN" w:bidi="ar-SA"/>
                    </w:rPr>
                    <w:t>7698</w:t>
                  </w:r>
                </w:p>
              </w:tc>
              <w:tc>
                <w:tcPr>
                  <w:tcW w:w="1893"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ascii="Times New Roman" w:hAnsi="Times New Roman" w:eastAsia="宋体" w:cs="Times New Roman"/>
                      <w:b w:val="0"/>
                      <w:bCs w:val="0"/>
                      <w:color w:val="auto"/>
                      <w:kern w:val="2"/>
                      <w:sz w:val="21"/>
                      <w:szCs w:val="21"/>
                      <w:lang w:val="en-US" w:eastAsia="zh-CN" w:bidi="ar-SA"/>
                    </w:rPr>
                    <w:t>3.85</w:t>
                  </w:r>
                </w:p>
              </w:tc>
              <w:tc>
                <w:tcPr>
                  <w:tcW w:w="1818"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2.96</w:t>
                  </w:r>
                  <w:r>
                    <w:rPr>
                      <w:rFonts w:hint="eastAsia" w:ascii="Times New Roman" w:hAnsi="Times New Roman" w:eastAsia="宋体" w:cs="Times New Roman"/>
                      <w:i w:val="0"/>
                      <w:iCs w:val="0"/>
                      <w:color w:val="auto"/>
                      <w:kern w:val="0"/>
                      <w:sz w:val="22"/>
                      <w:szCs w:val="22"/>
                      <w:u w:val="none"/>
                      <w:lang w:val="en-US" w:eastAsia="zh-CN" w:bidi="ar"/>
                    </w:rPr>
                    <w:t>×10</w:t>
                  </w:r>
                  <w:r>
                    <w:rPr>
                      <w:rFonts w:hint="eastAsia" w:ascii="Times New Roman" w:hAnsi="Times New Roman" w:eastAsia="宋体" w:cs="Times New Roman"/>
                      <w:i w:val="0"/>
                      <w:iCs w:val="0"/>
                      <w:color w:val="auto"/>
                      <w:kern w:val="0"/>
                      <w:sz w:val="22"/>
                      <w:szCs w:val="22"/>
                      <w:u w:val="none"/>
                      <w:vertAlign w:val="superscript"/>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vMerge w:val="continue"/>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p>
              </w:tc>
              <w:tc>
                <w:tcPr>
                  <w:tcW w:w="1147" w:type="dxa"/>
                  <w:vMerge w:val="continue"/>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p>
              </w:tc>
              <w:tc>
                <w:tcPr>
                  <w:tcW w:w="1192"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color w:val="auto"/>
                      <w:sz w:val="21"/>
                      <w:szCs w:val="21"/>
                      <w:vertAlign w:val="baseline"/>
                      <w:lang w:val="en-US" w:eastAsia="zh-CN"/>
                    </w:rPr>
                    <w:t>出口</w:t>
                  </w:r>
                </w:p>
              </w:tc>
              <w:tc>
                <w:tcPr>
                  <w:tcW w:w="1151"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ascii="Times New Roman" w:hAnsi="Times New Roman" w:eastAsia="宋体" w:cs="Times New Roman"/>
                      <w:b w:val="0"/>
                      <w:bCs w:val="0"/>
                      <w:color w:val="auto"/>
                      <w:kern w:val="2"/>
                      <w:sz w:val="21"/>
                      <w:szCs w:val="21"/>
                      <w:lang w:val="en-US" w:eastAsia="zh-CN" w:bidi="ar-SA"/>
                    </w:rPr>
                    <w:t>7625</w:t>
                  </w:r>
                </w:p>
              </w:tc>
              <w:tc>
                <w:tcPr>
                  <w:tcW w:w="1893"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ascii="Times New Roman" w:hAnsi="Times New Roman" w:eastAsia="宋体" w:cs="Times New Roman"/>
                      <w:b w:val="0"/>
                      <w:bCs w:val="0"/>
                      <w:color w:val="auto"/>
                      <w:kern w:val="2"/>
                      <w:sz w:val="21"/>
                      <w:szCs w:val="21"/>
                      <w:lang w:val="en-US" w:eastAsia="zh-CN" w:bidi="ar-SA"/>
                    </w:rPr>
                    <w:t>4.50</w:t>
                  </w:r>
                </w:p>
              </w:tc>
              <w:tc>
                <w:tcPr>
                  <w:tcW w:w="1818"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3.43</w:t>
                  </w:r>
                  <w:r>
                    <w:rPr>
                      <w:rFonts w:hint="eastAsia" w:ascii="Times New Roman" w:hAnsi="Times New Roman" w:eastAsia="宋体" w:cs="Times New Roman"/>
                      <w:i w:val="0"/>
                      <w:iCs w:val="0"/>
                      <w:color w:val="auto"/>
                      <w:kern w:val="0"/>
                      <w:sz w:val="22"/>
                      <w:szCs w:val="22"/>
                      <w:u w:val="none"/>
                      <w:lang w:val="en-US" w:eastAsia="zh-CN" w:bidi="ar"/>
                    </w:rPr>
                    <w:t>×10</w:t>
                  </w:r>
                  <w:r>
                    <w:rPr>
                      <w:rFonts w:hint="eastAsia" w:ascii="Times New Roman" w:hAnsi="Times New Roman" w:eastAsia="宋体" w:cs="Times New Roman"/>
                      <w:i w:val="0"/>
                      <w:iCs w:val="0"/>
                      <w:color w:val="auto"/>
                      <w:kern w:val="0"/>
                      <w:sz w:val="22"/>
                      <w:szCs w:val="22"/>
                      <w:u w:val="none"/>
                      <w:vertAlign w:val="superscript"/>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vMerge w:val="continue"/>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p>
              </w:tc>
              <w:tc>
                <w:tcPr>
                  <w:tcW w:w="1147" w:type="dxa"/>
                  <w:vMerge w:val="restart"/>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color w:val="auto"/>
                      <w:sz w:val="21"/>
                      <w:szCs w:val="21"/>
                      <w:vertAlign w:val="baseline"/>
                      <w:lang w:val="en-US" w:eastAsia="zh-CN"/>
                    </w:rPr>
                    <w:t>2</w:t>
                  </w:r>
                </w:p>
              </w:tc>
              <w:tc>
                <w:tcPr>
                  <w:tcW w:w="1192"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color w:val="auto"/>
                      <w:sz w:val="21"/>
                      <w:szCs w:val="21"/>
                      <w:vertAlign w:val="baseline"/>
                      <w:lang w:val="en-US" w:eastAsia="zh-CN"/>
                    </w:rPr>
                    <w:t>进口</w:t>
                  </w:r>
                </w:p>
              </w:tc>
              <w:tc>
                <w:tcPr>
                  <w:tcW w:w="1151"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ascii="Times New Roman" w:hAnsi="Times New Roman" w:eastAsia="宋体" w:cs="Times New Roman"/>
                      <w:b w:val="0"/>
                      <w:bCs w:val="0"/>
                      <w:color w:val="auto"/>
                      <w:kern w:val="2"/>
                      <w:sz w:val="21"/>
                      <w:szCs w:val="21"/>
                      <w:lang w:val="en-US" w:eastAsia="zh-CN" w:bidi="ar-SA"/>
                    </w:rPr>
                    <w:t>7499</w:t>
                  </w:r>
                </w:p>
              </w:tc>
              <w:tc>
                <w:tcPr>
                  <w:tcW w:w="1893"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ascii="Times New Roman" w:hAnsi="Times New Roman" w:cs="Times New Roman"/>
                      <w:i w:val="0"/>
                      <w:iCs w:val="0"/>
                      <w:color w:val="auto"/>
                      <w:kern w:val="2"/>
                      <w:sz w:val="22"/>
                      <w:szCs w:val="22"/>
                      <w:u w:val="none"/>
                      <w:lang w:val="en-US" w:eastAsia="zh-CN" w:bidi="ar-SA"/>
                    </w:rPr>
                    <w:t>4.15</w:t>
                  </w:r>
                </w:p>
              </w:tc>
              <w:tc>
                <w:tcPr>
                  <w:tcW w:w="1818"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3.11</w:t>
                  </w:r>
                  <w:r>
                    <w:rPr>
                      <w:rFonts w:hint="eastAsia" w:ascii="Times New Roman" w:hAnsi="Times New Roman" w:eastAsia="宋体" w:cs="Times New Roman"/>
                      <w:i w:val="0"/>
                      <w:iCs w:val="0"/>
                      <w:color w:val="auto"/>
                      <w:kern w:val="0"/>
                      <w:sz w:val="22"/>
                      <w:szCs w:val="22"/>
                      <w:u w:val="none"/>
                      <w:lang w:val="en-US" w:eastAsia="zh-CN" w:bidi="ar"/>
                    </w:rPr>
                    <w:t>×10</w:t>
                  </w:r>
                  <w:r>
                    <w:rPr>
                      <w:rFonts w:hint="eastAsia" w:ascii="Times New Roman" w:hAnsi="Times New Roman" w:eastAsia="宋体" w:cs="Times New Roman"/>
                      <w:i w:val="0"/>
                      <w:iCs w:val="0"/>
                      <w:color w:val="auto"/>
                      <w:kern w:val="0"/>
                      <w:sz w:val="22"/>
                      <w:szCs w:val="22"/>
                      <w:u w:val="none"/>
                      <w:vertAlign w:val="superscript"/>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vMerge w:val="continue"/>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p>
              </w:tc>
              <w:tc>
                <w:tcPr>
                  <w:tcW w:w="1147" w:type="dxa"/>
                  <w:vMerge w:val="continue"/>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p>
              </w:tc>
              <w:tc>
                <w:tcPr>
                  <w:tcW w:w="1192"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color w:val="auto"/>
                      <w:sz w:val="21"/>
                      <w:szCs w:val="21"/>
                      <w:vertAlign w:val="baseline"/>
                      <w:lang w:val="en-US" w:eastAsia="zh-CN"/>
                    </w:rPr>
                    <w:t>出口</w:t>
                  </w:r>
                </w:p>
              </w:tc>
              <w:tc>
                <w:tcPr>
                  <w:tcW w:w="1151"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ascii="Times New Roman" w:hAnsi="Times New Roman" w:eastAsia="宋体" w:cs="Times New Roman"/>
                      <w:b w:val="0"/>
                      <w:bCs w:val="0"/>
                      <w:color w:val="auto"/>
                      <w:kern w:val="2"/>
                      <w:sz w:val="21"/>
                      <w:szCs w:val="21"/>
                      <w:lang w:val="en-US" w:eastAsia="zh-CN" w:bidi="ar-SA"/>
                    </w:rPr>
                    <w:t>8756</w:t>
                  </w:r>
                </w:p>
              </w:tc>
              <w:tc>
                <w:tcPr>
                  <w:tcW w:w="1893"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ascii="Times New Roman" w:hAnsi="Times New Roman" w:cs="Times New Roman"/>
                      <w:i w:val="0"/>
                      <w:iCs w:val="0"/>
                      <w:color w:val="auto"/>
                      <w:kern w:val="2"/>
                      <w:sz w:val="22"/>
                      <w:szCs w:val="22"/>
                      <w:u w:val="none"/>
                      <w:lang w:val="en-US" w:eastAsia="zh-CN" w:bidi="ar-SA"/>
                    </w:rPr>
                    <w:t>2.85</w:t>
                  </w:r>
                </w:p>
              </w:tc>
              <w:tc>
                <w:tcPr>
                  <w:tcW w:w="1818"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ascii="Times New Roman" w:hAnsi="Times New Roman" w:cs="Times New Roman"/>
                      <w:i w:val="0"/>
                      <w:iCs w:val="0"/>
                      <w:color w:val="auto"/>
                      <w:kern w:val="0"/>
                      <w:sz w:val="22"/>
                      <w:szCs w:val="22"/>
                      <w:u w:val="none"/>
                      <w:lang w:val="en-US" w:eastAsia="zh-CN" w:bidi="ar"/>
                    </w:rPr>
                    <w:t>2.50×10</w:t>
                  </w:r>
                  <w:r>
                    <w:rPr>
                      <w:rFonts w:hint="eastAsia" w:ascii="Times New Roman" w:hAnsi="Times New Roman" w:cs="Times New Roman"/>
                      <w:i w:val="0"/>
                      <w:iCs w:val="0"/>
                      <w:color w:val="auto"/>
                      <w:kern w:val="0"/>
                      <w:sz w:val="22"/>
                      <w:szCs w:val="22"/>
                      <w:u w:val="none"/>
                      <w:vertAlign w:val="superscript"/>
                      <w:lang w:val="en-US" w:eastAsia="zh-CN" w:bidi="ar"/>
                    </w:rPr>
                    <w:t>-2</w:t>
                  </w:r>
                  <w:r>
                    <w:rPr>
                      <w:rFonts w:hint="default" w:ascii="Times New Roman" w:hAnsi="Times New Roman" w:eastAsia="宋体" w:cs="Times New Roman"/>
                      <w:i w:val="0"/>
                      <w:iCs w:val="0"/>
                      <w:color w:val="auto"/>
                      <w:kern w:val="0"/>
                      <w:sz w:val="22"/>
                      <w:szCs w:val="22"/>
                      <w:u w:val="none"/>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vMerge w:val="continue"/>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p>
              </w:tc>
              <w:tc>
                <w:tcPr>
                  <w:tcW w:w="1147" w:type="dxa"/>
                  <w:vMerge w:val="restart"/>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color w:val="auto"/>
                      <w:sz w:val="21"/>
                      <w:szCs w:val="21"/>
                      <w:vertAlign w:val="baseline"/>
                      <w:lang w:val="en-US" w:eastAsia="zh-CN"/>
                    </w:rPr>
                    <w:t>3</w:t>
                  </w:r>
                </w:p>
              </w:tc>
              <w:tc>
                <w:tcPr>
                  <w:tcW w:w="1192"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color w:val="auto"/>
                      <w:sz w:val="21"/>
                      <w:szCs w:val="21"/>
                      <w:vertAlign w:val="baseline"/>
                      <w:lang w:val="en-US" w:eastAsia="zh-CN"/>
                    </w:rPr>
                    <w:t>进口</w:t>
                  </w:r>
                </w:p>
              </w:tc>
              <w:tc>
                <w:tcPr>
                  <w:tcW w:w="1151"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ascii="Times New Roman" w:hAnsi="Times New Roman" w:eastAsia="宋体" w:cs="Times New Roman"/>
                      <w:b w:val="0"/>
                      <w:bCs w:val="0"/>
                      <w:color w:val="auto"/>
                      <w:kern w:val="2"/>
                      <w:sz w:val="21"/>
                      <w:szCs w:val="21"/>
                      <w:lang w:val="en-US" w:eastAsia="zh-CN" w:bidi="ar-SA"/>
                    </w:rPr>
                    <w:t>8681</w:t>
                  </w:r>
                </w:p>
              </w:tc>
              <w:tc>
                <w:tcPr>
                  <w:tcW w:w="1893"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ascii="Times New Roman" w:hAnsi="Times New Roman" w:eastAsia="宋体" w:cs="Times New Roman"/>
                      <w:b w:val="0"/>
                      <w:bCs w:val="0"/>
                      <w:color w:val="auto"/>
                      <w:kern w:val="2"/>
                      <w:sz w:val="21"/>
                      <w:szCs w:val="21"/>
                      <w:lang w:val="en-US" w:eastAsia="zh-CN" w:bidi="ar-SA"/>
                    </w:rPr>
                    <w:t>2.26</w:t>
                  </w:r>
                </w:p>
              </w:tc>
              <w:tc>
                <w:tcPr>
                  <w:tcW w:w="1818"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ascii="Times New Roman" w:hAnsi="Times New Roman" w:cs="Times New Roman"/>
                      <w:i w:val="0"/>
                      <w:iCs w:val="0"/>
                      <w:color w:val="auto"/>
                      <w:kern w:val="0"/>
                      <w:sz w:val="22"/>
                      <w:szCs w:val="22"/>
                      <w:u w:val="none"/>
                      <w:lang w:val="en-US" w:eastAsia="zh-CN" w:bidi="ar"/>
                    </w:rPr>
                    <w:t>1.96×10</w:t>
                  </w:r>
                  <w:r>
                    <w:rPr>
                      <w:rFonts w:hint="eastAsia" w:ascii="Times New Roman" w:hAnsi="Times New Roman" w:cs="Times New Roman"/>
                      <w:i w:val="0"/>
                      <w:iCs w:val="0"/>
                      <w:color w:val="auto"/>
                      <w:kern w:val="0"/>
                      <w:sz w:val="22"/>
                      <w:szCs w:val="22"/>
                      <w:u w:val="none"/>
                      <w:vertAlign w:val="superscript"/>
                      <w:lang w:val="en-US" w:eastAsia="zh-CN" w:bidi="ar"/>
                    </w:rPr>
                    <w:t>-2</w:t>
                  </w:r>
                  <w:r>
                    <w:rPr>
                      <w:rFonts w:hint="default" w:ascii="Times New Roman" w:hAnsi="Times New Roman" w:eastAsia="宋体" w:cs="Times New Roman"/>
                      <w:i w:val="0"/>
                      <w:iCs w:val="0"/>
                      <w:color w:val="auto"/>
                      <w:kern w:val="0"/>
                      <w:sz w:val="22"/>
                      <w:szCs w:val="22"/>
                      <w:u w:val="none"/>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vMerge w:val="continue"/>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p>
              </w:tc>
              <w:tc>
                <w:tcPr>
                  <w:tcW w:w="1147" w:type="dxa"/>
                  <w:vMerge w:val="continue"/>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p>
              </w:tc>
              <w:tc>
                <w:tcPr>
                  <w:tcW w:w="1192"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color w:val="auto"/>
                      <w:sz w:val="21"/>
                      <w:szCs w:val="21"/>
                      <w:vertAlign w:val="baseline"/>
                      <w:lang w:val="en-US" w:eastAsia="zh-CN"/>
                    </w:rPr>
                    <w:t>出口</w:t>
                  </w:r>
                </w:p>
              </w:tc>
              <w:tc>
                <w:tcPr>
                  <w:tcW w:w="1151"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ascii="Times New Roman" w:hAnsi="Times New Roman" w:eastAsia="宋体" w:cs="Times New Roman"/>
                      <w:b w:val="0"/>
                      <w:bCs w:val="0"/>
                      <w:color w:val="auto"/>
                      <w:kern w:val="2"/>
                      <w:sz w:val="21"/>
                      <w:szCs w:val="21"/>
                      <w:lang w:val="en-US" w:eastAsia="zh-CN" w:bidi="ar-SA"/>
                    </w:rPr>
                    <w:t>8745</w:t>
                  </w:r>
                </w:p>
              </w:tc>
              <w:tc>
                <w:tcPr>
                  <w:tcW w:w="1893"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ascii="Times New Roman" w:hAnsi="Times New Roman" w:cs="Times New Roman"/>
                      <w:i w:val="0"/>
                      <w:iCs w:val="0"/>
                      <w:color w:val="auto"/>
                      <w:kern w:val="2"/>
                      <w:sz w:val="22"/>
                      <w:szCs w:val="22"/>
                      <w:u w:val="none"/>
                      <w:lang w:val="en-US" w:eastAsia="zh-CN" w:bidi="ar-SA"/>
                    </w:rPr>
                    <w:t>2.99</w:t>
                  </w:r>
                </w:p>
              </w:tc>
              <w:tc>
                <w:tcPr>
                  <w:tcW w:w="1818"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ascii="Times New Roman" w:hAnsi="Times New Roman" w:cs="Times New Roman"/>
                      <w:i w:val="0"/>
                      <w:iCs w:val="0"/>
                      <w:color w:val="auto"/>
                      <w:kern w:val="0"/>
                      <w:sz w:val="22"/>
                      <w:szCs w:val="22"/>
                      <w:u w:val="none"/>
                      <w:lang w:val="en-US" w:eastAsia="zh-CN" w:bidi="ar"/>
                    </w:rPr>
                    <w:t>2.61×10</w:t>
                  </w:r>
                  <w:r>
                    <w:rPr>
                      <w:rFonts w:hint="eastAsia" w:ascii="Times New Roman" w:hAnsi="Times New Roman" w:cs="Times New Roman"/>
                      <w:i w:val="0"/>
                      <w:iCs w:val="0"/>
                      <w:color w:val="auto"/>
                      <w:kern w:val="0"/>
                      <w:sz w:val="22"/>
                      <w:szCs w:val="22"/>
                      <w:u w:val="none"/>
                      <w:vertAlign w:val="superscript"/>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vMerge w:val="restart"/>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default" w:cs="Times New Roman"/>
                      <w:color w:val="auto"/>
                      <w:sz w:val="21"/>
                      <w:szCs w:val="21"/>
                      <w:vertAlign w:val="baseline"/>
                      <w:lang w:val="en-US" w:eastAsia="zh-CN"/>
                    </w:rPr>
                  </w:pPr>
                  <w:r>
                    <w:rPr>
                      <w:rFonts w:hint="eastAsia"/>
                      <w:color w:val="auto"/>
                      <w:sz w:val="21"/>
                      <w:szCs w:val="21"/>
                      <w:vertAlign w:val="baseline"/>
                      <w:lang w:val="en-US" w:eastAsia="zh-CN"/>
                    </w:rPr>
                    <w:t>2021.08.29</w:t>
                  </w:r>
                </w:p>
              </w:tc>
              <w:tc>
                <w:tcPr>
                  <w:tcW w:w="1147" w:type="dxa"/>
                  <w:vMerge w:val="restart"/>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color w:val="auto"/>
                      <w:sz w:val="21"/>
                      <w:szCs w:val="21"/>
                      <w:vertAlign w:val="baseline"/>
                      <w:lang w:val="en-US" w:eastAsia="zh-CN"/>
                    </w:rPr>
                    <w:t>1</w:t>
                  </w:r>
                </w:p>
              </w:tc>
              <w:tc>
                <w:tcPr>
                  <w:tcW w:w="1192"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color w:val="auto"/>
                      <w:sz w:val="21"/>
                      <w:szCs w:val="21"/>
                      <w:vertAlign w:val="baseline"/>
                      <w:lang w:val="en-US" w:eastAsia="zh-CN"/>
                    </w:rPr>
                    <w:t>进口</w:t>
                  </w:r>
                </w:p>
              </w:tc>
              <w:tc>
                <w:tcPr>
                  <w:tcW w:w="1151"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ascii="Times New Roman" w:hAnsi="Times New Roman" w:eastAsia="宋体" w:cs="Times New Roman"/>
                      <w:b w:val="0"/>
                      <w:bCs w:val="0"/>
                      <w:color w:val="auto"/>
                      <w:kern w:val="2"/>
                      <w:sz w:val="21"/>
                      <w:szCs w:val="21"/>
                      <w:lang w:val="en-US" w:eastAsia="zh-CN" w:bidi="ar-SA"/>
                    </w:rPr>
                    <w:t>7688</w:t>
                  </w:r>
                </w:p>
              </w:tc>
              <w:tc>
                <w:tcPr>
                  <w:tcW w:w="1893"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ascii="Times New Roman" w:hAnsi="Times New Roman" w:eastAsia="宋体" w:cs="Times New Roman"/>
                      <w:b w:val="0"/>
                      <w:bCs w:val="0"/>
                      <w:color w:val="auto"/>
                      <w:kern w:val="2"/>
                      <w:sz w:val="21"/>
                      <w:szCs w:val="21"/>
                      <w:lang w:val="en-US" w:eastAsia="zh-CN" w:bidi="ar-SA"/>
                    </w:rPr>
                    <w:t>4.45</w:t>
                  </w:r>
                </w:p>
              </w:tc>
              <w:tc>
                <w:tcPr>
                  <w:tcW w:w="1818"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3.42</w:t>
                  </w:r>
                  <w:r>
                    <w:rPr>
                      <w:rFonts w:hint="eastAsia" w:ascii="Times New Roman" w:hAnsi="Times New Roman" w:eastAsia="宋体" w:cs="Times New Roman"/>
                      <w:i w:val="0"/>
                      <w:iCs w:val="0"/>
                      <w:color w:val="auto"/>
                      <w:kern w:val="0"/>
                      <w:sz w:val="22"/>
                      <w:szCs w:val="22"/>
                      <w:u w:val="none"/>
                      <w:lang w:val="en-US" w:eastAsia="zh-CN" w:bidi="ar"/>
                    </w:rPr>
                    <w:t>×10</w:t>
                  </w:r>
                  <w:r>
                    <w:rPr>
                      <w:rFonts w:hint="eastAsia" w:ascii="Times New Roman" w:hAnsi="Times New Roman" w:eastAsia="宋体" w:cs="Times New Roman"/>
                      <w:i w:val="0"/>
                      <w:iCs w:val="0"/>
                      <w:color w:val="auto"/>
                      <w:kern w:val="0"/>
                      <w:sz w:val="22"/>
                      <w:szCs w:val="22"/>
                      <w:u w:val="none"/>
                      <w:vertAlign w:val="superscript"/>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vMerge w:val="continue"/>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p>
              </w:tc>
              <w:tc>
                <w:tcPr>
                  <w:tcW w:w="1147" w:type="dxa"/>
                  <w:vMerge w:val="continue"/>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p>
              </w:tc>
              <w:tc>
                <w:tcPr>
                  <w:tcW w:w="1192"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color w:val="auto"/>
                      <w:sz w:val="21"/>
                      <w:szCs w:val="21"/>
                      <w:vertAlign w:val="baseline"/>
                      <w:lang w:val="en-US" w:eastAsia="zh-CN"/>
                    </w:rPr>
                    <w:t>出口</w:t>
                  </w:r>
                </w:p>
              </w:tc>
              <w:tc>
                <w:tcPr>
                  <w:tcW w:w="1151"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ascii="Times New Roman" w:hAnsi="Times New Roman" w:cs="Times New Roman"/>
                      <w:i w:val="0"/>
                      <w:iCs w:val="0"/>
                      <w:color w:val="auto"/>
                      <w:kern w:val="0"/>
                      <w:sz w:val="22"/>
                      <w:szCs w:val="22"/>
                      <w:u w:val="none"/>
                      <w:lang w:val="en-US" w:eastAsia="zh-CN" w:bidi="ar"/>
                    </w:rPr>
                    <w:t>7568</w:t>
                  </w:r>
                </w:p>
              </w:tc>
              <w:tc>
                <w:tcPr>
                  <w:tcW w:w="1893"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default" w:cs="Times New Roman"/>
                      <w:color w:val="auto"/>
                      <w:sz w:val="21"/>
                      <w:szCs w:val="21"/>
                      <w:vertAlign w:val="baseline"/>
                      <w:lang w:val="en-US" w:eastAsia="zh-CN"/>
                    </w:rPr>
                  </w:pPr>
                  <w:r>
                    <w:rPr>
                      <w:rFonts w:hint="eastAsia"/>
                      <w:color w:val="auto"/>
                      <w:sz w:val="21"/>
                      <w:szCs w:val="21"/>
                      <w:vertAlign w:val="baseline"/>
                      <w:lang w:val="en-US" w:eastAsia="zh-CN"/>
                    </w:rPr>
                    <w:t>3.20</w:t>
                  </w:r>
                </w:p>
              </w:tc>
              <w:tc>
                <w:tcPr>
                  <w:tcW w:w="1818"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2.42</w:t>
                  </w:r>
                  <w:r>
                    <w:rPr>
                      <w:rFonts w:hint="eastAsia" w:ascii="Times New Roman" w:hAnsi="Times New Roman" w:eastAsia="宋体" w:cs="Times New Roman"/>
                      <w:i w:val="0"/>
                      <w:iCs w:val="0"/>
                      <w:color w:val="auto"/>
                      <w:kern w:val="0"/>
                      <w:sz w:val="22"/>
                      <w:szCs w:val="22"/>
                      <w:u w:val="none"/>
                      <w:lang w:val="en-US" w:eastAsia="zh-CN" w:bidi="ar"/>
                    </w:rPr>
                    <w:t>×10</w:t>
                  </w:r>
                  <w:r>
                    <w:rPr>
                      <w:rFonts w:hint="eastAsia" w:ascii="Times New Roman" w:hAnsi="Times New Roman" w:eastAsia="宋体" w:cs="Times New Roman"/>
                      <w:i w:val="0"/>
                      <w:iCs w:val="0"/>
                      <w:color w:val="auto"/>
                      <w:kern w:val="0"/>
                      <w:sz w:val="22"/>
                      <w:szCs w:val="22"/>
                      <w:u w:val="none"/>
                      <w:vertAlign w:val="superscript"/>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vMerge w:val="continue"/>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p>
              </w:tc>
              <w:tc>
                <w:tcPr>
                  <w:tcW w:w="1147" w:type="dxa"/>
                  <w:vMerge w:val="restart"/>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color w:val="auto"/>
                      <w:sz w:val="21"/>
                      <w:szCs w:val="21"/>
                      <w:vertAlign w:val="baseline"/>
                      <w:lang w:val="en-US" w:eastAsia="zh-CN"/>
                    </w:rPr>
                    <w:t>2</w:t>
                  </w:r>
                </w:p>
              </w:tc>
              <w:tc>
                <w:tcPr>
                  <w:tcW w:w="1192"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color w:val="auto"/>
                      <w:sz w:val="21"/>
                      <w:szCs w:val="21"/>
                      <w:vertAlign w:val="baseline"/>
                      <w:lang w:val="en-US" w:eastAsia="zh-CN"/>
                    </w:rPr>
                    <w:t>进口</w:t>
                  </w:r>
                </w:p>
              </w:tc>
              <w:tc>
                <w:tcPr>
                  <w:tcW w:w="1151"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ascii="Times New Roman" w:hAnsi="Times New Roman" w:eastAsia="宋体" w:cs="Times New Roman"/>
                      <w:b w:val="0"/>
                      <w:bCs w:val="0"/>
                      <w:color w:val="auto"/>
                      <w:kern w:val="2"/>
                      <w:sz w:val="21"/>
                      <w:szCs w:val="21"/>
                      <w:lang w:val="en-US" w:eastAsia="zh-CN" w:bidi="ar-SA"/>
                    </w:rPr>
                    <w:t>7581</w:t>
                  </w:r>
                </w:p>
              </w:tc>
              <w:tc>
                <w:tcPr>
                  <w:tcW w:w="1893"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default" w:cs="Times New Roman"/>
                      <w:color w:val="auto"/>
                      <w:sz w:val="21"/>
                      <w:szCs w:val="21"/>
                      <w:vertAlign w:val="baseline"/>
                      <w:lang w:val="en-US" w:eastAsia="zh-CN"/>
                    </w:rPr>
                  </w:pPr>
                  <w:r>
                    <w:rPr>
                      <w:rFonts w:hint="eastAsia"/>
                      <w:color w:val="auto"/>
                      <w:sz w:val="21"/>
                      <w:szCs w:val="21"/>
                      <w:vertAlign w:val="baseline"/>
                      <w:lang w:val="en-US" w:eastAsia="zh-CN"/>
                    </w:rPr>
                    <w:t>2.95</w:t>
                  </w:r>
                </w:p>
              </w:tc>
              <w:tc>
                <w:tcPr>
                  <w:tcW w:w="1818"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2.2</w:t>
                  </w:r>
                  <w:r>
                    <w:rPr>
                      <w:rFonts w:hint="eastAsia" w:ascii="Times New Roman" w:hAnsi="Times New Roman" w:cs="Times New Roman"/>
                      <w:i w:val="0"/>
                      <w:iCs w:val="0"/>
                      <w:color w:val="auto"/>
                      <w:kern w:val="0"/>
                      <w:sz w:val="22"/>
                      <w:szCs w:val="22"/>
                      <w:u w:val="none"/>
                      <w:lang w:val="en-US" w:eastAsia="zh-CN" w:bidi="ar"/>
                    </w:rPr>
                    <w:t>4</w:t>
                  </w:r>
                  <w:r>
                    <w:rPr>
                      <w:rFonts w:hint="eastAsia" w:ascii="Times New Roman" w:hAnsi="Times New Roman" w:eastAsia="宋体" w:cs="Times New Roman"/>
                      <w:i w:val="0"/>
                      <w:iCs w:val="0"/>
                      <w:color w:val="auto"/>
                      <w:kern w:val="0"/>
                      <w:sz w:val="22"/>
                      <w:szCs w:val="22"/>
                      <w:u w:val="none"/>
                      <w:lang w:val="en-US" w:eastAsia="zh-CN" w:bidi="ar"/>
                    </w:rPr>
                    <w:t>×10</w:t>
                  </w:r>
                  <w:r>
                    <w:rPr>
                      <w:rFonts w:hint="eastAsia" w:ascii="Times New Roman" w:hAnsi="Times New Roman" w:eastAsia="宋体" w:cs="Times New Roman"/>
                      <w:i w:val="0"/>
                      <w:iCs w:val="0"/>
                      <w:color w:val="auto"/>
                      <w:kern w:val="0"/>
                      <w:sz w:val="22"/>
                      <w:szCs w:val="22"/>
                      <w:u w:val="none"/>
                      <w:vertAlign w:val="superscript"/>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vMerge w:val="continue"/>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p>
              </w:tc>
              <w:tc>
                <w:tcPr>
                  <w:tcW w:w="1147" w:type="dxa"/>
                  <w:vMerge w:val="continue"/>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p>
              </w:tc>
              <w:tc>
                <w:tcPr>
                  <w:tcW w:w="1192"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color w:val="auto"/>
                      <w:sz w:val="21"/>
                      <w:szCs w:val="21"/>
                      <w:vertAlign w:val="baseline"/>
                      <w:lang w:val="en-US" w:eastAsia="zh-CN"/>
                    </w:rPr>
                    <w:t>出口</w:t>
                  </w:r>
                </w:p>
              </w:tc>
              <w:tc>
                <w:tcPr>
                  <w:tcW w:w="1151"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ascii="Times New Roman" w:hAnsi="Times New Roman" w:eastAsia="宋体" w:cs="Times New Roman"/>
                      <w:b w:val="0"/>
                      <w:bCs w:val="0"/>
                      <w:color w:val="auto"/>
                      <w:kern w:val="2"/>
                      <w:sz w:val="21"/>
                      <w:szCs w:val="21"/>
                      <w:lang w:val="en-US" w:eastAsia="zh-CN" w:bidi="ar-SA"/>
                    </w:rPr>
                    <w:t>8648</w:t>
                  </w:r>
                </w:p>
              </w:tc>
              <w:tc>
                <w:tcPr>
                  <w:tcW w:w="1893"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default" w:cs="Times New Roman"/>
                      <w:color w:val="auto"/>
                      <w:sz w:val="21"/>
                      <w:szCs w:val="21"/>
                      <w:vertAlign w:val="baseline"/>
                      <w:lang w:val="en-US" w:eastAsia="zh-CN"/>
                    </w:rPr>
                  </w:pPr>
                  <w:r>
                    <w:rPr>
                      <w:rFonts w:hint="eastAsia"/>
                      <w:color w:val="auto"/>
                      <w:sz w:val="21"/>
                      <w:szCs w:val="21"/>
                      <w:vertAlign w:val="baseline"/>
                      <w:lang w:val="en-US" w:eastAsia="zh-CN"/>
                    </w:rPr>
                    <w:t>2.06</w:t>
                  </w:r>
                </w:p>
              </w:tc>
              <w:tc>
                <w:tcPr>
                  <w:tcW w:w="1818"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ascii="Times New Roman" w:hAnsi="Times New Roman" w:cs="Times New Roman"/>
                      <w:i w:val="0"/>
                      <w:iCs w:val="0"/>
                      <w:color w:val="auto"/>
                      <w:kern w:val="0"/>
                      <w:sz w:val="22"/>
                      <w:szCs w:val="22"/>
                      <w:u w:val="none"/>
                      <w:lang w:val="en-US" w:eastAsia="zh-CN" w:bidi="ar"/>
                    </w:rPr>
                    <w:t>1.78×10</w:t>
                  </w:r>
                  <w:r>
                    <w:rPr>
                      <w:rFonts w:hint="eastAsia" w:ascii="Times New Roman" w:hAnsi="Times New Roman" w:cs="Times New Roman"/>
                      <w:i w:val="0"/>
                      <w:iCs w:val="0"/>
                      <w:color w:val="auto"/>
                      <w:kern w:val="0"/>
                      <w:sz w:val="22"/>
                      <w:szCs w:val="22"/>
                      <w:u w:val="none"/>
                      <w:vertAlign w:val="superscript"/>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vMerge w:val="continue"/>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p>
              </w:tc>
              <w:tc>
                <w:tcPr>
                  <w:tcW w:w="1147" w:type="dxa"/>
                  <w:vMerge w:val="restart"/>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color w:val="auto"/>
                      <w:sz w:val="21"/>
                      <w:szCs w:val="21"/>
                      <w:vertAlign w:val="baseline"/>
                      <w:lang w:val="en-US" w:eastAsia="zh-CN"/>
                    </w:rPr>
                    <w:t>3</w:t>
                  </w:r>
                </w:p>
              </w:tc>
              <w:tc>
                <w:tcPr>
                  <w:tcW w:w="1192"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color w:val="auto"/>
                      <w:sz w:val="21"/>
                      <w:szCs w:val="21"/>
                      <w:vertAlign w:val="baseline"/>
                      <w:lang w:val="en-US" w:eastAsia="zh-CN"/>
                    </w:rPr>
                    <w:t>进口</w:t>
                  </w:r>
                </w:p>
              </w:tc>
              <w:tc>
                <w:tcPr>
                  <w:tcW w:w="1151"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ascii="Times New Roman" w:hAnsi="Times New Roman" w:eastAsia="宋体" w:cs="Times New Roman"/>
                      <w:b w:val="0"/>
                      <w:bCs w:val="0"/>
                      <w:color w:val="auto"/>
                      <w:kern w:val="2"/>
                      <w:sz w:val="21"/>
                      <w:szCs w:val="21"/>
                      <w:lang w:val="en-US" w:eastAsia="zh-CN" w:bidi="ar-SA"/>
                    </w:rPr>
                    <w:t>8662</w:t>
                  </w:r>
                </w:p>
              </w:tc>
              <w:tc>
                <w:tcPr>
                  <w:tcW w:w="1893"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default" w:cs="Times New Roman"/>
                      <w:color w:val="auto"/>
                      <w:sz w:val="21"/>
                      <w:szCs w:val="21"/>
                      <w:vertAlign w:val="baseline"/>
                      <w:lang w:val="en-US" w:eastAsia="zh-CN"/>
                    </w:rPr>
                  </w:pPr>
                  <w:r>
                    <w:rPr>
                      <w:rFonts w:hint="eastAsia"/>
                      <w:color w:val="auto"/>
                      <w:sz w:val="21"/>
                      <w:szCs w:val="21"/>
                      <w:vertAlign w:val="baseline"/>
                      <w:lang w:val="en-US" w:eastAsia="zh-CN"/>
                    </w:rPr>
                    <w:t>2.58</w:t>
                  </w:r>
                </w:p>
              </w:tc>
              <w:tc>
                <w:tcPr>
                  <w:tcW w:w="1818"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ascii="Times New Roman" w:hAnsi="Times New Roman" w:cs="Times New Roman"/>
                      <w:i w:val="0"/>
                      <w:iCs w:val="0"/>
                      <w:color w:val="auto"/>
                      <w:kern w:val="0"/>
                      <w:sz w:val="22"/>
                      <w:szCs w:val="22"/>
                      <w:u w:val="none"/>
                      <w:lang w:val="en-US" w:eastAsia="zh-CN" w:bidi="ar"/>
                    </w:rPr>
                    <w:t>2.23×10</w:t>
                  </w:r>
                  <w:r>
                    <w:rPr>
                      <w:rFonts w:hint="eastAsia" w:ascii="Times New Roman" w:hAnsi="Times New Roman" w:cs="Times New Roman"/>
                      <w:i w:val="0"/>
                      <w:iCs w:val="0"/>
                      <w:color w:val="auto"/>
                      <w:kern w:val="0"/>
                      <w:sz w:val="22"/>
                      <w:szCs w:val="22"/>
                      <w:u w:val="none"/>
                      <w:vertAlign w:val="superscript"/>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vMerge w:val="continue"/>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p>
              </w:tc>
              <w:tc>
                <w:tcPr>
                  <w:tcW w:w="1147" w:type="dxa"/>
                  <w:vMerge w:val="continue"/>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p>
              </w:tc>
              <w:tc>
                <w:tcPr>
                  <w:tcW w:w="1192"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color w:val="auto"/>
                      <w:sz w:val="21"/>
                      <w:szCs w:val="21"/>
                      <w:vertAlign w:val="baseline"/>
                      <w:lang w:val="en-US" w:eastAsia="zh-CN"/>
                    </w:rPr>
                    <w:t>出口</w:t>
                  </w:r>
                </w:p>
              </w:tc>
              <w:tc>
                <w:tcPr>
                  <w:tcW w:w="1151"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ascii="Times New Roman" w:hAnsi="Times New Roman" w:eastAsia="宋体" w:cs="Times New Roman"/>
                      <w:b w:val="0"/>
                      <w:bCs w:val="0"/>
                      <w:color w:val="auto"/>
                      <w:kern w:val="2"/>
                      <w:sz w:val="21"/>
                      <w:szCs w:val="21"/>
                      <w:lang w:val="en-US" w:eastAsia="zh-CN" w:bidi="ar-SA"/>
                    </w:rPr>
                    <w:t>8668</w:t>
                  </w:r>
                </w:p>
              </w:tc>
              <w:tc>
                <w:tcPr>
                  <w:tcW w:w="1893"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default" w:cs="Times New Roman"/>
                      <w:color w:val="auto"/>
                      <w:sz w:val="21"/>
                      <w:szCs w:val="21"/>
                      <w:vertAlign w:val="baseline"/>
                      <w:lang w:val="en-US" w:eastAsia="zh-CN"/>
                    </w:rPr>
                  </w:pPr>
                  <w:r>
                    <w:rPr>
                      <w:rFonts w:hint="eastAsia"/>
                      <w:color w:val="auto"/>
                      <w:sz w:val="21"/>
                      <w:szCs w:val="21"/>
                      <w:vertAlign w:val="baseline"/>
                      <w:lang w:val="en-US" w:eastAsia="zh-CN"/>
                    </w:rPr>
                    <w:t>2.23</w:t>
                  </w:r>
                </w:p>
              </w:tc>
              <w:tc>
                <w:tcPr>
                  <w:tcW w:w="1818" w:type="dxa"/>
                  <w:noWrap w:val="0"/>
                  <w:vAlign w:val="center"/>
                </w:tcPr>
                <w:p>
                  <w:pPr>
                    <w:keepNext w:val="0"/>
                    <w:keepLines w:val="0"/>
                    <w:pageBreakBefore w:val="0"/>
                    <w:widowControl w:val="0"/>
                    <w:kinsoku/>
                    <w:wordWrap/>
                    <w:overflowPunct/>
                    <w:topLinePunct w:val="0"/>
                    <w:bidi w:val="0"/>
                    <w:adjustRightInd w:val="0"/>
                    <w:snapToGrid w:val="0"/>
                    <w:spacing w:before="63" w:beforeLines="20" w:line="240" w:lineRule="auto"/>
                    <w:jc w:val="center"/>
                    <w:textAlignment w:val="auto"/>
                    <w:rPr>
                      <w:rFonts w:hint="eastAsia" w:cs="Times New Roman"/>
                      <w:color w:val="auto"/>
                      <w:sz w:val="21"/>
                      <w:szCs w:val="21"/>
                      <w:vertAlign w:val="baseline"/>
                      <w:lang w:val="en-US" w:eastAsia="zh-CN"/>
                    </w:rPr>
                  </w:pPr>
                  <w:r>
                    <w:rPr>
                      <w:rFonts w:hint="eastAsia" w:ascii="Times New Roman" w:hAnsi="Times New Roman" w:cs="Times New Roman"/>
                      <w:i w:val="0"/>
                      <w:iCs w:val="0"/>
                      <w:color w:val="auto"/>
                      <w:kern w:val="0"/>
                      <w:sz w:val="22"/>
                      <w:szCs w:val="22"/>
                      <w:u w:val="none"/>
                      <w:lang w:val="en-US" w:eastAsia="zh-CN" w:bidi="ar"/>
                    </w:rPr>
                    <w:t>1.93×10</w:t>
                  </w:r>
                  <w:r>
                    <w:rPr>
                      <w:rFonts w:hint="eastAsia" w:ascii="Times New Roman" w:hAnsi="Times New Roman" w:cs="Times New Roman"/>
                      <w:i w:val="0"/>
                      <w:iCs w:val="0"/>
                      <w:color w:val="auto"/>
                      <w:kern w:val="0"/>
                      <w:sz w:val="22"/>
                      <w:szCs w:val="22"/>
                      <w:u w:val="none"/>
                      <w:vertAlign w:val="superscript"/>
                      <w:lang w:val="en-US" w:eastAsia="zh-CN" w:bidi="ar"/>
                    </w:rPr>
                    <w:t>-2</w:t>
                  </w:r>
                </w:p>
              </w:tc>
            </w:tr>
          </w:tbl>
          <w:p>
            <w:pPr>
              <w:pStyle w:val="37"/>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480" w:firstLineChars="200"/>
              <w:jc w:val="left"/>
              <w:textAlignment w:val="auto"/>
              <w:outlineLvl w:val="9"/>
              <w:rPr>
                <w:rFonts w:hint="eastAsia" w:cs="Times New Roman"/>
                <w:color w:val="auto"/>
                <w:sz w:val="24"/>
                <w:szCs w:val="24"/>
                <w:lang w:val="en-US" w:eastAsia="zh-CN"/>
              </w:rPr>
            </w:pPr>
            <w:r>
              <w:rPr>
                <w:rFonts w:hint="eastAsia" w:cs="Times New Roman"/>
                <w:color w:val="auto"/>
                <w:sz w:val="24"/>
                <w:szCs w:val="24"/>
                <w:lang w:val="en-US" w:eastAsia="zh-CN"/>
              </w:rPr>
              <w:t>根据检测结果</w:t>
            </w:r>
            <w:r>
              <w:rPr>
                <w:rFonts w:hint="eastAsia" w:cs="Times New Roman"/>
                <w:color w:val="auto"/>
                <w:sz w:val="24"/>
                <w:szCs w:val="24"/>
                <w:highlight w:val="none"/>
                <w:lang w:val="en-US" w:eastAsia="zh-CN"/>
              </w:rPr>
              <w:t>可知，宿州开源精工轴承配件生产加工项目淬火油年使用量为12t/a，</w:t>
            </w:r>
            <w:r>
              <w:rPr>
                <w:rFonts w:hint="eastAsia" w:cs="Times New Roman"/>
                <w:b w:val="0"/>
                <w:bCs/>
                <w:color w:val="auto"/>
                <w:sz w:val="24"/>
                <w:szCs w:val="24"/>
                <w:highlight w:val="none"/>
                <w:lang w:val="en-US" w:eastAsia="zh-CN"/>
              </w:rPr>
              <w:t>挥发性有机物</w:t>
            </w:r>
            <w:r>
              <w:rPr>
                <w:rFonts w:hint="eastAsia" w:cs="Times New Roman"/>
                <w:color w:val="auto"/>
                <w:sz w:val="24"/>
                <w:szCs w:val="24"/>
                <w:highlight w:val="none"/>
                <w:lang w:val="en-US" w:eastAsia="zh-CN"/>
              </w:rPr>
              <w:t>产生量约为0.052t/a。本项目年使用淬火油12t/a，类比可知本项目淬火、回火工序</w:t>
            </w:r>
            <w:r>
              <w:rPr>
                <w:rFonts w:hint="eastAsia" w:cs="Times New Roman"/>
                <w:b w:val="0"/>
                <w:bCs/>
                <w:color w:val="auto"/>
                <w:sz w:val="24"/>
                <w:szCs w:val="24"/>
                <w:highlight w:val="none"/>
                <w:lang w:val="en-US" w:eastAsia="zh-CN"/>
              </w:rPr>
              <w:t>挥发性有机物</w:t>
            </w:r>
            <w:r>
              <w:rPr>
                <w:rFonts w:hint="eastAsia" w:cs="Times New Roman"/>
                <w:color w:val="auto"/>
                <w:sz w:val="24"/>
                <w:szCs w:val="24"/>
                <w:highlight w:val="none"/>
                <w:lang w:val="en-US" w:eastAsia="zh-CN"/>
              </w:rPr>
              <w:t>产生量约为0.052t/a。</w:t>
            </w:r>
          </w:p>
          <w:p>
            <w:pPr>
              <w:pStyle w:val="37"/>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outlineLvl w:val="9"/>
              <w:rPr>
                <w:rFonts w:hint="eastAsia" w:cs="Times New Roman"/>
                <w:b w:val="0"/>
                <w:bCs/>
                <w:color w:val="auto"/>
                <w:sz w:val="24"/>
                <w:szCs w:val="24"/>
                <w:lang w:val="en-US" w:eastAsia="zh-CN"/>
              </w:rPr>
            </w:pPr>
            <w:r>
              <w:rPr>
                <w:rFonts w:hint="eastAsia" w:cs="Times New Roman"/>
                <w:color w:val="auto"/>
                <w:sz w:val="24"/>
                <w:szCs w:val="24"/>
                <w:lang w:val="en-US" w:eastAsia="zh-CN"/>
              </w:rPr>
              <w:t>在淬火工序、回火工序上方设置集气罩，</w:t>
            </w:r>
            <w:r>
              <w:rPr>
                <w:rFonts w:hint="default" w:ascii="Times New Roman" w:hAnsi="Times New Roman" w:eastAsia="宋体"/>
                <w:color w:val="auto"/>
                <w:sz w:val="24"/>
                <w:szCs w:val="24"/>
                <w:lang w:val="en-US" w:eastAsia="zh-CN"/>
              </w:rPr>
              <w:t>集气罩收集效率取90%，收集后的</w:t>
            </w:r>
            <w:r>
              <w:rPr>
                <w:rFonts w:hint="eastAsia" w:ascii="Times New Roman" w:hAnsi="Times New Roman" w:eastAsia="宋体"/>
                <w:color w:val="auto"/>
                <w:sz w:val="24"/>
                <w:szCs w:val="24"/>
                <w:lang w:val="en-US" w:eastAsia="zh-CN"/>
              </w:rPr>
              <w:t>淬火废气、回火废气</w:t>
            </w:r>
            <w:r>
              <w:rPr>
                <w:rFonts w:hint="default" w:ascii="Times New Roman" w:hAnsi="Times New Roman" w:eastAsia="宋体"/>
                <w:color w:val="auto"/>
                <w:sz w:val="24"/>
                <w:szCs w:val="24"/>
                <w:lang w:val="en-US" w:eastAsia="zh-CN"/>
              </w:rPr>
              <w:t>经</w:t>
            </w:r>
            <w:r>
              <w:rPr>
                <w:rFonts w:hint="eastAsia" w:ascii="宋体" w:hAnsi="宋体" w:eastAsia="宋体" w:cs="宋体"/>
                <w:color w:val="auto"/>
                <w:sz w:val="24"/>
                <w:szCs w:val="24"/>
                <w:lang w:val="en-US" w:eastAsia="zh-CN"/>
              </w:rPr>
              <w:t>“</w:t>
            </w:r>
            <w:r>
              <w:rPr>
                <w:rFonts w:hint="eastAsia" w:ascii="宋体" w:hAnsi="宋体" w:cs="宋体"/>
                <w:color w:val="auto"/>
                <w:sz w:val="24"/>
                <w:szCs w:val="24"/>
                <w:lang w:val="en-US" w:eastAsia="zh-CN"/>
              </w:rPr>
              <w:t>油雾</w:t>
            </w:r>
            <w:r>
              <w:rPr>
                <w:rFonts w:hint="eastAsia" w:ascii="宋体" w:hAnsi="宋体" w:cs="宋体"/>
                <w:color w:val="auto"/>
                <w:sz w:val="24"/>
                <w:szCs w:val="24"/>
                <w:highlight w:val="none"/>
                <w:lang w:val="en-US" w:eastAsia="zh-CN"/>
              </w:rPr>
              <w:t>静电捕集器</w:t>
            </w:r>
            <w:r>
              <w:rPr>
                <w:rFonts w:hint="eastAsia" w:ascii="宋体" w:hAnsi="宋体" w:eastAsia="宋体" w:cs="宋体"/>
                <w:color w:val="auto"/>
                <w:sz w:val="24"/>
                <w:szCs w:val="24"/>
                <w:highlight w:val="none"/>
                <w:lang w:val="en-US" w:eastAsia="zh-CN"/>
              </w:rPr>
              <w:t>”处理</w:t>
            </w:r>
            <w:r>
              <w:rPr>
                <w:rFonts w:hint="default" w:ascii="Times New Roman" w:hAnsi="Times New Roman" w:eastAsia="宋体"/>
                <w:color w:val="auto"/>
                <w:sz w:val="24"/>
                <w:szCs w:val="24"/>
                <w:highlight w:val="none"/>
                <w:lang w:val="en-US" w:eastAsia="zh-CN"/>
              </w:rPr>
              <w:t>后</w:t>
            </w:r>
            <w:r>
              <w:rPr>
                <w:rFonts w:hint="eastAsia"/>
                <w:color w:val="auto"/>
                <w:sz w:val="24"/>
                <w:szCs w:val="24"/>
                <w:highlight w:val="none"/>
                <w:lang w:val="en-US" w:eastAsia="zh-CN"/>
              </w:rPr>
              <w:t>，共同汇入一根</w:t>
            </w:r>
            <w:r>
              <w:rPr>
                <w:rFonts w:hint="default" w:ascii="Times New Roman" w:hAnsi="Times New Roman" w:eastAsia="宋体"/>
                <w:color w:val="auto"/>
                <w:sz w:val="24"/>
                <w:szCs w:val="24"/>
                <w:highlight w:val="none"/>
                <w:lang w:val="en-US" w:eastAsia="zh-CN"/>
              </w:rPr>
              <w:t>15m高排气筒（DA001）排放（</w:t>
            </w:r>
            <w:r>
              <w:rPr>
                <w:rFonts w:hint="eastAsia"/>
                <w:color w:val="auto"/>
                <w:sz w:val="24"/>
                <w:szCs w:val="24"/>
                <w:highlight w:val="none"/>
                <w:lang w:val="en-US" w:eastAsia="zh-CN"/>
              </w:rPr>
              <w:t>淬火回火设计</w:t>
            </w:r>
            <w:r>
              <w:rPr>
                <w:rFonts w:hint="default" w:ascii="Times New Roman" w:hAnsi="Times New Roman" w:eastAsia="宋体"/>
                <w:color w:val="auto"/>
                <w:sz w:val="24"/>
                <w:szCs w:val="24"/>
                <w:highlight w:val="none"/>
                <w:lang w:val="en-US" w:eastAsia="zh-CN"/>
              </w:rPr>
              <w:t>风量1</w:t>
            </w:r>
            <w:r>
              <w:rPr>
                <w:rFonts w:hint="eastAsia"/>
                <w:color w:val="auto"/>
                <w:sz w:val="24"/>
                <w:szCs w:val="24"/>
                <w:highlight w:val="none"/>
                <w:lang w:val="en-US" w:eastAsia="zh-CN"/>
              </w:rPr>
              <w:t>8000N</w:t>
            </w:r>
            <w:r>
              <w:rPr>
                <w:rFonts w:hint="default" w:ascii="Times New Roman" w:hAnsi="Times New Roman" w:eastAsia="宋体"/>
                <w:color w:val="auto"/>
                <w:sz w:val="24"/>
                <w:szCs w:val="24"/>
                <w:highlight w:val="none"/>
                <w:lang w:val="en-US" w:eastAsia="zh-CN"/>
              </w:rPr>
              <w:t>m</w:t>
            </w:r>
            <w:r>
              <w:rPr>
                <w:rFonts w:hint="default" w:ascii="Times New Roman" w:hAnsi="Times New Roman" w:eastAsia="宋体"/>
                <w:color w:val="auto"/>
                <w:sz w:val="24"/>
                <w:szCs w:val="24"/>
                <w:highlight w:val="none"/>
                <w:vertAlign w:val="superscript"/>
                <w:lang w:val="en-US" w:eastAsia="zh-CN"/>
              </w:rPr>
              <w:t>3</w:t>
            </w:r>
            <w:r>
              <w:rPr>
                <w:rFonts w:hint="default" w:ascii="Times New Roman" w:hAnsi="Times New Roman" w:eastAsia="宋体"/>
                <w:color w:val="auto"/>
                <w:sz w:val="24"/>
                <w:szCs w:val="24"/>
                <w:highlight w:val="none"/>
                <w:lang w:val="en-US" w:eastAsia="zh-CN"/>
              </w:rPr>
              <w:t>/h</w:t>
            </w:r>
            <w:r>
              <w:rPr>
                <w:rFonts w:hint="eastAsia"/>
                <w:color w:val="auto"/>
                <w:sz w:val="24"/>
                <w:szCs w:val="24"/>
                <w:highlight w:val="none"/>
                <w:lang w:val="en-US" w:eastAsia="zh-CN"/>
              </w:rPr>
              <w:t>，</w:t>
            </w:r>
            <w:r>
              <w:rPr>
                <w:rFonts w:hint="default" w:ascii="Times New Roman" w:hAnsi="Times New Roman" w:eastAsia="宋体"/>
                <w:color w:val="auto"/>
                <w:sz w:val="24"/>
                <w:szCs w:val="24"/>
                <w:highlight w:val="none"/>
                <w:lang w:val="en-US" w:eastAsia="zh-CN"/>
              </w:rPr>
              <w:t>年运行时间按7</w:t>
            </w:r>
            <w:r>
              <w:rPr>
                <w:rFonts w:hint="eastAsia"/>
                <w:color w:val="auto"/>
                <w:sz w:val="24"/>
                <w:szCs w:val="24"/>
                <w:highlight w:val="none"/>
                <w:lang w:val="en-US" w:eastAsia="zh-CN"/>
              </w:rPr>
              <w:t>20</w:t>
            </w:r>
            <w:r>
              <w:rPr>
                <w:rFonts w:hint="default" w:ascii="Times New Roman" w:hAnsi="Times New Roman" w:eastAsia="宋体"/>
                <w:color w:val="auto"/>
                <w:sz w:val="24"/>
                <w:szCs w:val="24"/>
                <w:highlight w:val="none"/>
                <w:lang w:val="en-US" w:eastAsia="zh-CN"/>
              </w:rPr>
              <w:t>0h计）</w:t>
            </w:r>
            <w:r>
              <w:rPr>
                <w:rFonts w:hint="default" w:ascii="Times New Roman" w:hAnsi="Times New Roman" w:eastAsia="宋体"/>
                <w:color w:val="auto"/>
                <w:sz w:val="24"/>
                <w:szCs w:val="24"/>
                <w:lang w:val="en-US" w:eastAsia="zh-CN"/>
              </w:rPr>
              <w:t>，</w:t>
            </w:r>
            <w:r>
              <w:rPr>
                <w:rFonts w:hint="eastAsia"/>
                <w:color w:val="auto"/>
                <w:sz w:val="24"/>
                <w:szCs w:val="24"/>
                <w:lang w:val="en-US" w:eastAsia="zh-CN"/>
              </w:rPr>
              <w:t>油雾</w:t>
            </w:r>
            <w:r>
              <w:rPr>
                <w:rFonts w:hint="eastAsia" w:cs="Times New Roman"/>
                <w:color w:val="auto"/>
                <w:sz w:val="24"/>
                <w:szCs w:val="24"/>
                <w:lang w:val="en-US" w:eastAsia="zh-CN"/>
              </w:rPr>
              <w:t>静电捕集器</w:t>
            </w:r>
            <w:r>
              <w:rPr>
                <w:rFonts w:hint="default" w:ascii="Times New Roman" w:hAnsi="Times New Roman" w:eastAsia="宋体" w:cs="Times New Roman"/>
                <w:color w:val="auto"/>
                <w:sz w:val="24"/>
                <w:szCs w:val="24"/>
                <w:lang w:val="en-US" w:eastAsia="zh-CN"/>
              </w:rPr>
              <w:t>的处理效率以9</w:t>
            </w:r>
            <w:r>
              <w:rPr>
                <w:rFonts w:hint="eastAsia" w:cs="Times New Roman"/>
                <w:color w:val="auto"/>
                <w:sz w:val="24"/>
                <w:szCs w:val="24"/>
                <w:lang w:val="en-US" w:eastAsia="zh-CN"/>
              </w:rPr>
              <w:t>0</w:t>
            </w:r>
            <w:r>
              <w:rPr>
                <w:rFonts w:hint="default" w:ascii="Times New Roman" w:hAnsi="Times New Roman" w:eastAsia="宋体" w:cs="Times New Roman"/>
                <w:color w:val="auto"/>
                <w:sz w:val="24"/>
                <w:szCs w:val="24"/>
                <w:lang w:val="en-US" w:eastAsia="zh-CN"/>
              </w:rPr>
              <w:t>%计算，</w:t>
            </w:r>
            <w:r>
              <w:rPr>
                <w:rFonts w:hint="default" w:ascii="Times New Roman" w:hAnsi="Times New Roman" w:eastAsia="宋体" w:cs="Times New Roman"/>
                <w:color w:val="auto"/>
                <w:sz w:val="24"/>
                <w:szCs w:val="24"/>
                <w:lang w:eastAsia="zh-CN"/>
              </w:rPr>
              <w:t>则</w:t>
            </w:r>
            <w:r>
              <w:rPr>
                <w:rFonts w:hint="default" w:ascii="Times New Roman" w:hAnsi="Times New Roman" w:eastAsia="宋体" w:cs="Times New Roman"/>
                <w:color w:val="auto"/>
                <w:sz w:val="24"/>
                <w:szCs w:val="24"/>
                <w:lang w:val="en-US" w:eastAsia="zh-CN"/>
              </w:rPr>
              <w:t>项目</w:t>
            </w:r>
            <w:r>
              <w:rPr>
                <w:rFonts w:hint="eastAsia" w:cs="Times New Roman"/>
                <w:color w:val="auto"/>
                <w:sz w:val="24"/>
                <w:szCs w:val="24"/>
                <w:lang w:val="en-US" w:eastAsia="zh-CN"/>
              </w:rPr>
              <w:t>淬火、回火工序</w:t>
            </w:r>
            <w:r>
              <w:rPr>
                <w:rFonts w:hint="default" w:ascii="Times New Roman" w:hAnsi="Times New Roman" w:eastAsia="宋体" w:cs="Times New Roman"/>
                <w:color w:val="auto"/>
                <w:sz w:val="24"/>
                <w:szCs w:val="24"/>
                <w:lang w:val="en-US" w:eastAsia="zh-CN"/>
              </w:rPr>
              <w:t>有组织</w:t>
            </w:r>
            <w:r>
              <w:rPr>
                <w:rFonts w:hint="eastAsia" w:cs="Times New Roman"/>
                <w:color w:val="auto"/>
                <w:sz w:val="24"/>
                <w:szCs w:val="24"/>
                <w:lang w:val="en-US" w:eastAsia="zh-CN"/>
              </w:rPr>
              <w:t>颗粒物</w:t>
            </w:r>
            <w:r>
              <w:rPr>
                <w:rFonts w:hint="default" w:ascii="Times New Roman" w:hAnsi="Times New Roman" w:eastAsia="宋体" w:cs="Times New Roman"/>
                <w:color w:val="auto"/>
                <w:sz w:val="24"/>
                <w:szCs w:val="24"/>
                <w:lang w:val="en-US" w:eastAsia="zh-CN"/>
              </w:rPr>
              <w:t>产生量约</w:t>
            </w:r>
            <w:r>
              <w:rPr>
                <w:rFonts w:hint="default" w:cs="Times New Roman"/>
                <w:b w:val="0"/>
                <w:bCs/>
                <w:color w:val="auto"/>
                <w:sz w:val="24"/>
                <w:szCs w:val="24"/>
                <w:lang w:val="en-US" w:eastAsia="zh-CN"/>
              </w:rPr>
              <w:t>为</w:t>
            </w:r>
            <w:r>
              <w:rPr>
                <w:rFonts w:hint="eastAsia" w:cs="Times New Roman"/>
                <w:b w:val="0"/>
                <w:bCs/>
                <w:color w:val="auto"/>
                <w:sz w:val="24"/>
                <w:szCs w:val="24"/>
                <w:lang w:val="en-US" w:eastAsia="zh-CN"/>
              </w:rPr>
              <w:t>2.16</w:t>
            </w:r>
            <w:r>
              <w:rPr>
                <w:rFonts w:hint="default" w:cs="Times New Roman"/>
                <w:b w:val="0"/>
                <w:bCs/>
                <w:color w:val="auto"/>
                <w:sz w:val="24"/>
                <w:szCs w:val="24"/>
                <w:lang w:val="en-US" w:eastAsia="zh-CN"/>
              </w:rPr>
              <w:t>t/a，</w:t>
            </w:r>
            <w:r>
              <w:rPr>
                <w:rFonts w:hint="eastAsia" w:cs="Times New Roman"/>
                <w:b w:val="0"/>
                <w:bCs/>
                <w:color w:val="auto"/>
                <w:sz w:val="24"/>
                <w:szCs w:val="24"/>
                <w:lang w:val="en-US" w:eastAsia="zh-CN"/>
              </w:rPr>
              <w:t>产生速率为0.3kg/h，</w:t>
            </w:r>
            <w:r>
              <w:rPr>
                <w:rFonts w:hint="default" w:cs="Times New Roman"/>
                <w:b w:val="0"/>
                <w:bCs/>
                <w:color w:val="auto"/>
                <w:sz w:val="24"/>
                <w:szCs w:val="24"/>
                <w:lang w:val="en-US" w:eastAsia="zh-CN"/>
              </w:rPr>
              <w:t>产生浓度约为</w:t>
            </w:r>
            <w:r>
              <w:rPr>
                <w:rFonts w:hint="eastAsia" w:cs="Times New Roman"/>
                <w:b w:val="0"/>
                <w:bCs/>
                <w:color w:val="auto"/>
                <w:sz w:val="24"/>
                <w:szCs w:val="24"/>
                <w:lang w:val="en-US" w:eastAsia="zh-CN"/>
              </w:rPr>
              <w:t>16.7</w:t>
            </w:r>
            <w:r>
              <w:rPr>
                <w:rFonts w:hint="default" w:cs="Times New Roman"/>
                <w:b w:val="0"/>
                <w:bCs/>
                <w:color w:val="auto"/>
                <w:sz w:val="24"/>
                <w:szCs w:val="24"/>
                <w:lang w:val="en-US" w:eastAsia="zh-CN"/>
              </w:rPr>
              <w:t>mg/m</w:t>
            </w:r>
            <w:r>
              <w:rPr>
                <w:rFonts w:hint="default" w:cs="Times New Roman"/>
                <w:b w:val="0"/>
                <w:bCs/>
                <w:color w:val="auto"/>
                <w:sz w:val="24"/>
                <w:szCs w:val="24"/>
                <w:vertAlign w:val="superscript"/>
                <w:lang w:val="en-US" w:eastAsia="zh-CN"/>
              </w:rPr>
              <w:t>3</w:t>
            </w:r>
            <w:r>
              <w:rPr>
                <w:rFonts w:hint="default" w:cs="Times New Roman"/>
                <w:b w:val="0"/>
                <w:bCs/>
                <w:color w:val="auto"/>
                <w:sz w:val="24"/>
                <w:szCs w:val="24"/>
                <w:lang w:val="en-US" w:eastAsia="zh-CN"/>
              </w:rPr>
              <w:t>；</w:t>
            </w:r>
            <w:r>
              <w:rPr>
                <w:rFonts w:hint="eastAsia" w:cs="Times New Roman"/>
                <w:b w:val="0"/>
                <w:bCs/>
                <w:color w:val="auto"/>
                <w:sz w:val="24"/>
                <w:szCs w:val="24"/>
                <w:lang w:val="en-US" w:eastAsia="zh-CN"/>
              </w:rPr>
              <w:t>有组织颗粒物</w:t>
            </w:r>
            <w:r>
              <w:rPr>
                <w:rFonts w:hint="default" w:cs="Times New Roman"/>
                <w:b w:val="0"/>
                <w:bCs/>
                <w:color w:val="auto"/>
                <w:sz w:val="24"/>
                <w:szCs w:val="24"/>
                <w:lang w:val="en-US" w:eastAsia="zh-CN"/>
              </w:rPr>
              <w:t>排放量为</w:t>
            </w:r>
            <w:r>
              <w:rPr>
                <w:rFonts w:hint="eastAsia" w:cs="Times New Roman"/>
                <w:b w:val="0"/>
                <w:bCs/>
                <w:color w:val="auto"/>
                <w:sz w:val="24"/>
                <w:szCs w:val="24"/>
                <w:lang w:val="en-US" w:eastAsia="zh-CN"/>
              </w:rPr>
              <w:t>0.216</w:t>
            </w:r>
            <w:r>
              <w:rPr>
                <w:rFonts w:hint="default" w:cs="Times New Roman"/>
                <w:b w:val="0"/>
                <w:bCs/>
                <w:color w:val="auto"/>
                <w:sz w:val="24"/>
                <w:szCs w:val="24"/>
                <w:lang w:val="en-US" w:eastAsia="zh-CN"/>
              </w:rPr>
              <w:t>t/a，排放速率约为</w:t>
            </w:r>
            <w:r>
              <w:rPr>
                <w:rFonts w:hint="eastAsia" w:cs="Times New Roman"/>
                <w:b w:val="0"/>
                <w:bCs/>
                <w:color w:val="auto"/>
                <w:sz w:val="24"/>
                <w:szCs w:val="24"/>
                <w:lang w:val="en-US" w:eastAsia="zh-CN"/>
              </w:rPr>
              <w:t>0.03</w:t>
            </w:r>
            <w:r>
              <w:rPr>
                <w:rFonts w:hint="default" w:cs="Times New Roman"/>
                <w:b w:val="0"/>
                <w:bCs/>
                <w:color w:val="auto"/>
                <w:sz w:val="24"/>
                <w:szCs w:val="24"/>
                <w:lang w:val="en-US" w:eastAsia="zh-CN"/>
              </w:rPr>
              <w:t>kg/h，排放浓度约为</w:t>
            </w:r>
            <w:r>
              <w:rPr>
                <w:rFonts w:hint="eastAsia" w:cs="Times New Roman"/>
                <w:b w:val="0"/>
                <w:bCs/>
                <w:color w:val="auto"/>
                <w:sz w:val="24"/>
                <w:szCs w:val="24"/>
                <w:lang w:val="en-US" w:eastAsia="zh-CN"/>
              </w:rPr>
              <w:t>1.67</w:t>
            </w:r>
            <w:r>
              <w:rPr>
                <w:rFonts w:hint="default" w:cs="Times New Roman"/>
                <w:b w:val="0"/>
                <w:bCs/>
                <w:color w:val="auto"/>
                <w:sz w:val="24"/>
                <w:szCs w:val="24"/>
                <w:lang w:val="en-US" w:eastAsia="zh-CN"/>
              </w:rPr>
              <w:t>mg/m</w:t>
            </w:r>
            <w:r>
              <w:rPr>
                <w:rFonts w:hint="default" w:cs="Times New Roman"/>
                <w:b w:val="0"/>
                <w:bCs/>
                <w:color w:val="auto"/>
                <w:sz w:val="24"/>
                <w:szCs w:val="24"/>
                <w:vertAlign w:val="superscript"/>
                <w:lang w:val="en-US" w:eastAsia="zh-CN"/>
              </w:rPr>
              <w:t>3</w:t>
            </w:r>
            <w:r>
              <w:rPr>
                <w:rFonts w:hint="eastAsia" w:cs="Times New Roman"/>
                <w:b w:val="0"/>
                <w:bCs/>
                <w:color w:val="auto"/>
                <w:sz w:val="24"/>
                <w:szCs w:val="24"/>
                <w:vertAlign w:val="baseline"/>
                <w:lang w:val="en-US" w:eastAsia="zh-CN"/>
              </w:rPr>
              <w:t>；</w:t>
            </w:r>
            <w:r>
              <w:rPr>
                <w:rFonts w:hint="eastAsia" w:cs="Times New Roman"/>
                <w:b w:val="0"/>
                <w:bCs/>
                <w:color w:val="auto"/>
                <w:sz w:val="24"/>
                <w:szCs w:val="24"/>
                <w:lang w:val="en-US" w:eastAsia="zh-CN"/>
              </w:rPr>
              <w:t>淬火、回火</w:t>
            </w:r>
            <w:r>
              <w:rPr>
                <w:rFonts w:hint="default" w:cs="Times New Roman"/>
                <w:b w:val="0"/>
                <w:bCs/>
                <w:color w:val="auto"/>
                <w:sz w:val="24"/>
                <w:szCs w:val="24"/>
                <w:lang w:val="en-US" w:eastAsia="zh-CN"/>
              </w:rPr>
              <w:t>无组织</w:t>
            </w:r>
            <w:r>
              <w:rPr>
                <w:rFonts w:hint="eastAsia" w:cs="Times New Roman"/>
                <w:b w:val="0"/>
                <w:bCs/>
                <w:color w:val="auto"/>
                <w:sz w:val="24"/>
                <w:szCs w:val="24"/>
                <w:lang w:val="en-US" w:eastAsia="zh-CN"/>
              </w:rPr>
              <w:t>颗粒物</w:t>
            </w:r>
            <w:r>
              <w:rPr>
                <w:rFonts w:hint="default" w:cs="Times New Roman"/>
                <w:b w:val="0"/>
                <w:bCs/>
                <w:color w:val="auto"/>
                <w:sz w:val="24"/>
                <w:szCs w:val="24"/>
                <w:lang w:val="en-US" w:eastAsia="zh-CN"/>
              </w:rPr>
              <w:t>排放量为</w:t>
            </w:r>
            <w:r>
              <w:rPr>
                <w:rFonts w:hint="eastAsia" w:cs="Times New Roman"/>
                <w:b w:val="0"/>
                <w:bCs/>
                <w:color w:val="auto"/>
                <w:sz w:val="24"/>
                <w:szCs w:val="24"/>
                <w:lang w:val="en-US" w:eastAsia="zh-CN"/>
              </w:rPr>
              <w:t>0.24</w:t>
            </w:r>
            <w:r>
              <w:rPr>
                <w:rFonts w:hint="default" w:cs="Times New Roman"/>
                <w:b w:val="0"/>
                <w:bCs/>
                <w:color w:val="auto"/>
                <w:sz w:val="24"/>
                <w:szCs w:val="24"/>
                <w:lang w:val="en-US" w:eastAsia="zh-CN"/>
              </w:rPr>
              <w:t>t/a</w:t>
            </w:r>
            <w:r>
              <w:rPr>
                <w:rFonts w:hint="eastAsia" w:cs="Times New Roman"/>
                <w:b w:val="0"/>
                <w:bCs/>
                <w:color w:val="auto"/>
                <w:sz w:val="24"/>
                <w:szCs w:val="24"/>
                <w:lang w:val="en-US" w:eastAsia="zh-CN"/>
              </w:rPr>
              <w:t>，</w:t>
            </w:r>
            <w:r>
              <w:rPr>
                <w:rFonts w:hint="default" w:cs="Times New Roman"/>
                <w:b w:val="0"/>
                <w:bCs/>
                <w:color w:val="auto"/>
                <w:sz w:val="24"/>
                <w:szCs w:val="24"/>
                <w:lang w:val="en-US" w:eastAsia="zh-CN"/>
              </w:rPr>
              <w:t>排放速率为</w:t>
            </w:r>
            <w:r>
              <w:rPr>
                <w:rFonts w:hint="eastAsia" w:cs="Times New Roman"/>
                <w:b w:val="0"/>
                <w:bCs/>
                <w:color w:val="auto"/>
                <w:sz w:val="24"/>
                <w:szCs w:val="24"/>
                <w:lang w:val="en-US" w:eastAsia="zh-CN"/>
              </w:rPr>
              <w:t>0.0333</w:t>
            </w:r>
            <w:r>
              <w:rPr>
                <w:rFonts w:hint="default" w:cs="Times New Roman"/>
                <w:b w:val="0"/>
                <w:bCs/>
                <w:color w:val="auto"/>
                <w:sz w:val="24"/>
                <w:szCs w:val="24"/>
                <w:lang w:val="en-US" w:eastAsia="zh-CN"/>
              </w:rPr>
              <w:t>kg/h</w:t>
            </w:r>
            <w:r>
              <w:rPr>
                <w:rFonts w:hint="eastAsia" w:cs="Times New Roman"/>
                <w:b w:val="0"/>
                <w:bCs/>
                <w:color w:val="auto"/>
                <w:sz w:val="24"/>
                <w:szCs w:val="24"/>
                <w:lang w:val="en-US" w:eastAsia="zh-CN"/>
              </w:rPr>
              <w:t>。</w:t>
            </w:r>
          </w:p>
          <w:p>
            <w:pPr>
              <w:pStyle w:val="37"/>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outlineLvl w:val="9"/>
              <w:rPr>
                <w:rFonts w:hint="default" w:cs="Times New Roman"/>
                <w:b w:val="0"/>
                <w:bCs/>
                <w:color w:val="auto"/>
                <w:sz w:val="24"/>
                <w:szCs w:val="24"/>
                <w:lang w:val="en-US" w:eastAsia="zh-CN"/>
              </w:rPr>
            </w:pPr>
            <w:r>
              <w:rPr>
                <w:rFonts w:hint="eastAsia" w:ascii="Times New Roman" w:hAnsi="Times New Roman" w:eastAsia="宋体"/>
                <w:color w:val="auto"/>
                <w:sz w:val="24"/>
                <w:szCs w:val="24"/>
                <w:lang w:val="en-US" w:eastAsia="zh-CN"/>
              </w:rPr>
              <w:t>淬火废气、回火挥发性有机物废气</w:t>
            </w:r>
            <w:r>
              <w:rPr>
                <w:rFonts w:hint="eastAsia"/>
                <w:color w:val="auto"/>
                <w:sz w:val="24"/>
                <w:szCs w:val="24"/>
                <w:lang w:val="en-US" w:eastAsia="zh-CN"/>
              </w:rPr>
              <w:t>通过</w:t>
            </w:r>
            <w:r>
              <w:rPr>
                <w:rFonts w:hint="default" w:ascii="Times New Roman" w:hAnsi="Times New Roman" w:eastAsia="宋体"/>
                <w:color w:val="auto"/>
                <w:sz w:val="24"/>
                <w:szCs w:val="24"/>
                <w:lang w:val="en-US" w:eastAsia="zh-CN"/>
              </w:rPr>
              <w:t>集气罩收集效率取90%，收集后的</w:t>
            </w:r>
            <w:r>
              <w:rPr>
                <w:rFonts w:hint="eastAsia" w:ascii="Times New Roman" w:hAnsi="Times New Roman" w:eastAsia="宋体"/>
                <w:color w:val="auto"/>
                <w:sz w:val="24"/>
                <w:szCs w:val="24"/>
                <w:lang w:val="en-US" w:eastAsia="zh-CN"/>
              </w:rPr>
              <w:t>淬火</w:t>
            </w:r>
            <w:r>
              <w:rPr>
                <w:rFonts w:hint="eastAsia" w:ascii="Times New Roman" w:hAnsi="Times New Roman" w:eastAsia="宋体"/>
                <w:color w:val="auto"/>
                <w:sz w:val="24"/>
                <w:szCs w:val="24"/>
                <w:highlight w:val="none"/>
                <w:lang w:val="en-US" w:eastAsia="zh-CN"/>
              </w:rPr>
              <w:t>、回火</w:t>
            </w:r>
            <w:r>
              <w:rPr>
                <w:rFonts w:hint="eastAsia"/>
                <w:color w:val="auto"/>
                <w:sz w:val="24"/>
                <w:szCs w:val="24"/>
                <w:highlight w:val="none"/>
                <w:lang w:val="en-US" w:eastAsia="zh-CN"/>
              </w:rPr>
              <w:t>挥发性有机物</w:t>
            </w:r>
            <w:r>
              <w:rPr>
                <w:rFonts w:hint="default" w:ascii="Times New Roman" w:hAnsi="Times New Roman" w:eastAsia="宋体"/>
                <w:color w:val="auto"/>
                <w:sz w:val="24"/>
                <w:szCs w:val="24"/>
                <w:highlight w:val="none"/>
                <w:lang w:val="en-US" w:eastAsia="zh-CN"/>
              </w:rPr>
              <w:t>经</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活性炭纤维毡</w:t>
            </w:r>
            <w:r>
              <w:rPr>
                <w:rFonts w:hint="eastAsia" w:ascii="宋体" w:hAnsi="宋体" w:eastAsia="宋体" w:cs="宋体"/>
                <w:color w:val="auto"/>
                <w:sz w:val="24"/>
                <w:szCs w:val="24"/>
                <w:highlight w:val="none"/>
                <w:lang w:val="en-US" w:eastAsia="zh-CN"/>
              </w:rPr>
              <w:t>”处理</w:t>
            </w:r>
            <w:r>
              <w:rPr>
                <w:rFonts w:hint="default" w:ascii="Times New Roman" w:hAnsi="Times New Roman" w:eastAsia="宋体"/>
                <w:color w:val="auto"/>
                <w:sz w:val="24"/>
                <w:szCs w:val="24"/>
                <w:highlight w:val="none"/>
                <w:lang w:val="en-US" w:eastAsia="zh-CN"/>
              </w:rPr>
              <w:t>后</w:t>
            </w:r>
            <w:r>
              <w:rPr>
                <w:rFonts w:hint="eastAsia"/>
                <w:color w:val="auto"/>
                <w:sz w:val="24"/>
                <w:szCs w:val="24"/>
                <w:highlight w:val="none"/>
                <w:lang w:val="en-US" w:eastAsia="zh-CN"/>
              </w:rPr>
              <w:t>，共同汇入一根</w:t>
            </w:r>
            <w:r>
              <w:rPr>
                <w:rFonts w:hint="default" w:ascii="Times New Roman" w:hAnsi="Times New Roman" w:eastAsia="宋体"/>
                <w:color w:val="auto"/>
                <w:sz w:val="24"/>
                <w:szCs w:val="24"/>
                <w:highlight w:val="none"/>
                <w:lang w:val="en-US" w:eastAsia="zh-CN"/>
              </w:rPr>
              <w:t>15m高排气筒（DA001）排放（</w:t>
            </w:r>
            <w:r>
              <w:rPr>
                <w:rFonts w:hint="eastAsia"/>
                <w:color w:val="auto"/>
                <w:sz w:val="24"/>
                <w:szCs w:val="24"/>
                <w:highlight w:val="none"/>
                <w:lang w:val="en-US" w:eastAsia="zh-CN"/>
              </w:rPr>
              <w:t>淬火回火设计</w:t>
            </w:r>
            <w:r>
              <w:rPr>
                <w:rFonts w:hint="default" w:ascii="Times New Roman" w:hAnsi="Times New Roman" w:eastAsia="宋体"/>
                <w:color w:val="auto"/>
                <w:sz w:val="24"/>
                <w:szCs w:val="24"/>
                <w:highlight w:val="none"/>
                <w:lang w:val="en-US" w:eastAsia="zh-CN"/>
              </w:rPr>
              <w:t>风量1</w:t>
            </w:r>
            <w:r>
              <w:rPr>
                <w:rFonts w:hint="eastAsia"/>
                <w:color w:val="auto"/>
                <w:sz w:val="24"/>
                <w:szCs w:val="24"/>
                <w:highlight w:val="none"/>
                <w:lang w:val="en-US" w:eastAsia="zh-CN"/>
              </w:rPr>
              <w:t>8000N</w:t>
            </w:r>
            <w:r>
              <w:rPr>
                <w:rFonts w:hint="default" w:ascii="Times New Roman" w:hAnsi="Times New Roman" w:eastAsia="宋体"/>
                <w:color w:val="auto"/>
                <w:sz w:val="24"/>
                <w:szCs w:val="24"/>
                <w:highlight w:val="none"/>
                <w:lang w:val="en-US" w:eastAsia="zh-CN"/>
              </w:rPr>
              <w:t>m</w:t>
            </w:r>
            <w:r>
              <w:rPr>
                <w:rFonts w:hint="default" w:ascii="Times New Roman" w:hAnsi="Times New Roman" w:eastAsia="宋体"/>
                <w:color w:val="auto"/>
                <w:sz w:val="24"/>
                <w:szCs w:val="24"/>
                <w:highlight w:val="none"/>
                <w:vertAlign w:val="superscript"/>
                <w:lang w:val="en-US" w:eastAsia="zh-CN"/>
              </w:rPr>
              <w:t>3</w:t>
            </w:r>
            <w:r>
              <w:rPr>
                <w:rFonts w:hint="default" w:ascii="Times New Roman" w:hAnsi="Times New Roman" w:eastAsia="宋体"/>
                <w:color w:val="auto"/>
                <w:sz w:val="24"/>
                <w:szCs w:val="24"/>
                <w:highlight w:val="none"/>
                <w:lang w:val="en-US" w:eastAsia="zh-CN"/>
              </w:rPr>
              <w:t>/h</w:t>
            </w:r>
            <w:r>
              <w:rPr>
                <w:rFonts w:hint="eastAsia"/>
                <w:color w:val="auto"/>
                <w:sz w:val="24"/>
                <w:szCs w:val="24"/>
                <w:highlight w:val="none"/>
                <w:lang w:val="en-US" w:eastAsia="zh-CN"/>
              </w:rPr>
              <w:t>，</w:t>
            </w:r>
            <w:r>
              <w:rPr>
                <w:rFonts w:hint="default" w:ascii="Times New Roman" w:hAnsi="Times New Roman" w:eastAsia="宋体"/>
                <w:color w:val="auto"/>
                <w:sz w:val="24"/>
                <w:szCs w:val="24"/>
                <w:highlight w:val="none"/>
                <w:lang w:val="en-US" w:eastAsia="zh-CN"/>
              </w:rPr>
              <w:t>年运行时间按7</w:t>
            </w:r>
            <w:r>
              <w:rPr>
                <w:rFonts w:hint="eastAsia"/>
                <w:color w:val="auto"/>
                <w:sz w:val="24"/>
                <w:szCs w:val="24"/>
                <w:highlight w:val="none"/>
                <w:lang w:val="en-US" w:eastAsia="zh-CN"/>
              </w:rPr>
              <w:t>20</w:t>
            </w:r>
            <w:r>
              <w:rPr>
                <w:rFonts w:hint="default" w:ascii="Times New Roman" w:hAnsi="Times New Roman" w:eastAsia="宋体"/>
                <w:color w:val="auto"/>
                <w:sz w:val="24"/>
                <w:szCs w:val="24"/>
                <w:highlight w:val="none"/>
                <w:lang w:val="en-US" w:eastAsia="zh-CN"/>
              </w:rPr>
              <w:t>0h计），</w:t>
            </w:r>
            <w:r>
              <w:rPr>
                <w:rFonts w:hint="default" w:ascii="Times New Roman" w:hAnsi="Times New Roman" w:eastAsia="宋体" w:cs="Times New Roman"/>
                <w:color w:val="auto"/>
                <w:sz w:val="24"/>
                <w:szCs w:val="24"/>
                <w:highlight w:val="none"/>
                <w:lang w:val="en-US" w:eastAsia="zh-CN"/>
              </w:rPr>
              <w:t>处理效率以9</w:t>
            </w:r>
            <w:r>
              <w:rPr>
                <w:rFonts w:hint="eastAsia"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lang w:val="en-US" w:eastAsia="zh-CN"/>
              </w:rPr>
              <w:t>%计算</w:t>
            </w:r>
            <w:r>
              <w:rPr>
                <w:rFonts w:hint="eastAsia" w:ascii="Times New Roman" w:hAnsi="Times New Roman" w:eastAsia="宋体"/>
                <w:color w:val="auto"/>
                <w:sz w:val="24"/>
                <w:szCs w:val="24"/>
                <w:highlight w:val="none"/>
                <w:lang w:val="en-US" w:eastAsia="zh-CN"/>
              </w:rPr>
              <w:t>。</w:t>
            </w:r>
            <w:r>
              <w:rPr>
                <w:rFonts w:hint="default" w:ascii="Times New Roman" w:hAnsi="Times New Roman" w:eastAsia="宋体" w:cs="Times New Roman"/>
                <w:color w:val="auto"/>
                <w:sz w:val="24"/>
                <w:szCs w:val="24"/>
                <w:highlight w:val="none"/>
                <w:lang w:eastAsia="zh-CN"/>
              </w:rPr>
              <w:t>则</w:t>
            </w:r>
            <w:r>
              <w:rPr>
                <w:rFonts w:hint="default" w:ascii="Times New Roman" w:hAnsi="Times New Roman" w:eastAsia="宋体" w:cs="Times New Roman"/>
                <w:color w:val="auto"/>
                <w:sz w:val="24"/>
                <w:szCs w:val="24"/>
                <w:highlight w:val="none"/>
                <w:lang w:val="en-US" w:eastAsia="zh-CN"/>
              </w:rPr>
              <w:t>项目</w:t>
            </w:r>
            <w:r>
              <w:rPr>
                <w:rFonts w:hint="eastAsia" w:cs="Times New Roman"/>
                <w:color w:val="auto"/>
                <w:sz w:val="24"/>
                <w:szCs w:val="24"/>
                <w:highlight w:val="none"/>
                <w:lang w:val="en-US" w:eastAsia="zh-CN"/>
              </w:rPr>
              <w:t>淬火、回火工序</w:t>
            </w:r>
            <w:r>
              <w:rPr>
                <w:rFonts w:hint="default" w:ascii="Times New Roman" w:hAnsi="Times New Roman" w:eastAsia="宋体" w:cs="Times New Roman"/>
                <w:color w:val="auto"/>
                <w:sz w:val="24"/>
                <w:szCs w:val="24"/>
                <w:highlight w:val="none"/>
                <w:lang w:val="en-US" w:eastAsia="zh-CN"/>
              </w:rPr>
              <w:t>有组织</w:t>
            </w:r>
            <w:r>
              <w:rPr>
                <w:rFonts w:hint="eastAsia" w:cs="Times New Roman"/>
                <w:color w:val="auto"/>
                <w:sz w:val="24"/>
                <w:szCs w:val="24"/>
                <w:highlight w:val="none"/>
                <w:lang w:val="en-US" w:eastAsia="zh-CN"/>
              </w:rPr>
              <w:t>挥发性有机物</w:t>
            </w:r>
            <w:r>
              <w:rPr>
                <w:rFonts w:hint="default" w:ascii="Times New Roman" w:hAnsi="Times New Roman" w:eastAsia="宋体" w:cs="Times New Roman"/>
                <w:color w:val="auto"/>
                <w:sz w:val="24"/>
                <w:szCs w:val="24"/>
                <w:highlight w:val="none"/>
                <w:lang w:val="en-US" w:eastAsia="zh-CN"/>
              </w:rPr>
              <w:t>产生量约</w:t>
            </w:r>
            <w:r>
              <w:rPr>
                <w:rFonts w:hint="default" w:cs="Times New Roman"/>
                <w:b w:val="0"/>
                <w:bCs/>
                <w:color w:val="auto"/>
                <w:sz w:val="24"/>
                <w:szCs w:val="24"/>
                <w:highlight w:val="none"/>
                <w:lang w:val="en-US" w:eastAsia="zh-CN"/>
              </w:rPr>
              <w:t>为</w:t>
            </w:r>
            <w:r>
              <w:rPr>
                <w:rFonts w:hint="eastAsia" w:cs="Times New Roman"/>
                <w:b w:val="0"/>
                <w:bCs/>
                <w:color w:val="auto"/>
                <w:sz w:val="24"/>
                <w:szCs w:val="24"/>
                <w:highlight w:val="none"/>
                <w:lang w:val="en-US" w:eastAsia="zh-CN"/>
              </w:rPr>
              <w:t>0.0468</w:t>
            </w:r>
            <w:r>
              <w:rPr>
                <w:rFonts w:hint="default" w:cs="Times New Roman"/>
                <w:b w:val="0"/>
                <w:bCs/>
                <w:color w:val="auto"/>
                <w:sz w:val="24"/>
                <w:szCs w:val="24"/>
                <w:highlight w:val="none"/>
                <w:lang w:val="en-US" w:eastAsia="zh-CN"/>
              </w:rPr>
              <w:t>t/a，</w:t>
            </w:r>
            <w:r>
              <w:rPr>
                <w:rFonts w:hint="eastAsia" w:cs="Times New Roman"/>
                <w:b w:val="0"/>
                <w:bCs/>
                <w:color w:val="auto"/>
                <w:sz w:val="24"/>
                <w:szCs w:val="24"/>
                <w:highlight w:val="none"/>
                <w:lang w:val="en-US" w:eastAsia="zh-CN"/>
              </w:rPr>
              <w:t>产生速率为0.0065kg/h，</w:t>
            </w:r>
            <w:r>
              <w:rPr>
                <w:rFonts w:hint="default" w:cs="Times New Roman"/>
                <w:b w:val="0"/>
                <w:bCs/>
                <w:color w:val="auto"/>
                <w:sz w:val="24"/>
                <w:szCs w:val="24"/>
                <w:highlight w:val="none"/>
                <w:lang w:val="en-US" w:eastAsia="zh-CN"/>
              </w:rPr>
              <w:t>产生浓度约为</w:t>
            </w:r>
            <w:r>
              <w:rPr>
                <w:rFonts w:hint="eastAsia" w:cs="Times New Roman"/>
                <w:b w:val="0"/>
                <w:bCs/>
                <w:color w:val="auto"/>
                <w:sz w:val="24"/>
                <w:szCs w:val="24"/>
                <w:highlight w:val="none"/>
                <w:lang w:val="en-US" w:eastAsia="zh-CN"/>
              </w:rPr>
              <w:t>0.361</w:t>
            </w:r>
            <w:r>
              <w:rPr>
                <w:rFonts w:hint="default" w:cs="Times New Roman"/>
                <w:b w:val="0"/>
                <w:bCs/>
                <w:color w:val="auto"/>
                <w:sz w:val="24"/>
                <w:szCs w:val="24"/>
                <w:highlight w:val="none"/>
                <w:lang w:val="en-US" w:eastAsia="zh-CN"/>
              </w:rPr>
              <w:t>mg/m</w:t>
            </w:r>
            <w:r>
              <w:rPr>
                <w:rFonts w:hint="default" w:cs="Times New Roman"/>
                <w:b w:val="0"/>
                <w:bCs/>
                <w:color w:val="auto"/>
                <w:sz w:val="24"/>
                <w:szCs w:val="24"/>
                <w:highlight w:val="none"/>
                <w:vertAlign w:val="superscript"/>
                <w:lang w:val="en-US" w:eastAsia="zh-CN"/>
              </w:rPr>
              <w:t>3</w:t>
            </w:r>
            <w:r>
              <w:rPr>
                <w:rFonts w:hint="eastAsia" w:cs="Times New Roman"/>
                <w:b w:val="0"/>
                <w:bCs/>
                <w:color w:val="auto"/>
                <w:sz w:val="24"/>
                <w:szCs w:val="24"/>
                <w:highlight w:val="none"/>
                <w:vertAlign w:val="baseline"/>
                <w:lang w:val="en-US" w:eastAsia="zh-CN"/>
              </w:rPr>
              <w:t>，排放量为0.0009t/a，排放速率0.000125kg/h，排放浓度0.00694mg/m</w:t>
            </w:r>
            <w:r>
              <w:rPr>
                <w:rFonts w:hint="eastAsia" w:cs="Times New Roman"/>
                <w:b w:val="0"/>
                <w:bCs/>
                <w:color w:val="auto"/>
                <w:sz w:val="24"/>
                <w:szCs w:val="24"/>
                <w:highlight w:val="none"/>
                <w:vertAlign w:val="superscript"/>
                <w:lang w:val="en-US" w:eastAsia="zh-CN"/>
              </w:rPr>
              <w:t xml:space="preserve">3 </w:t>
            </w:r>
            <w:r>
              <w:rPr>
                <w:rFonts w:hint="eastAsia" w:cs="Times New Roman"/>
                <w:b w:val="0"/>
                <w:bCs/>
                <w:color w:val="auto"/>
                <w:sz w:val="24"/>
                <w:szCs w:val="24"/>
                <w:highlight w:val="none"/>
                <w:vertAlign w:val="baseline"/>
                <w:lang w:val="en-US" w:eastAsia="zh-CN"/>
              </w:rPr>
              <w:t>。</w:t>
            </w:r>
            <w:r>
              <w:rPr>
                <w:rFonts w:hint="eastAsia" w:cs="Times New Roman"/>
                <w:b w:val="0"/>
                <w:bCs/>
                <w:color w:val="auto"/>
                <w:sz w:val="24"/>
                <w:szCs w:val="24"/>
                <w:highlight w:val="none"/>
                <w:vertAlign w:val="superscript"/>
                <w:lang w:val="en-US" w:eastAsia="zh-CN"/>
              </w:rPr>
              <w:t xml:space="preserve"> </w:t>
            </w:r>
            <w:r>
              <w:rPr>
                <w:rFonts w:hint="eastAsia" w:cs="Times New Roman"/>
                <w:b w:val="0"/>
                <w:bCs/>
                <w:color w:val="auto"/>
                <w:sz w:val="24"/>
                <w:szCs w:val="24"/>
                <w:highlight w:val="none"/>
                <w:lang w:val="en-US" w:eastAsia="zh-CN"/>
              </w:rPr>
              <w:t>淬火、回火</w:t>
            </w:r>
            <w:r>
              <w:rPr>
                <w:rFonts w:hint="default" w:cs="Times New Roman"/>
                <w:b w:val="0"/>
                <w:bCs/>
                <w:color w:val="auto"/>
                <w:sz w:val="24"/>
                <w:szCs w:val="24"/>
                <w:highlight w:val="none"/>
                <w:lang w:val="en-US" w:eastAsia="zh-CN"/>
              </w:rPr>
              <w:t>无组织</w:t>
            </w:r>
            <w:r>
              <w:rPr>
                <w:rFonts w:hint="eastAsia" w:cs="Times New Roman"/>
                <w:b w:val="0"/>
                <w:bCs/>
                <w:color w:val="auto"/>
                <w:sz w:val="24"/>
                <w:szCs w:val="24"/>
                <w:highlight w:val="none"/>
                <w:lang w:val="en-US" w:eastAsia="zh-CN"/>
              </w:rPr>
              <w:t>挥发性有机物</w:t>
            </w:r>
            <w:r>
              <w:rPr>
                <w:rFonts w:hint="default" w:cs="Times New Roman"/>
                <w:b w:val="0"/>
                <w:bCs/>
                <w:color w:val="auto"/>
                <w:sz w:val="24"/>
                <w:szCs w:val="24"/>
                <w:highlight w:val="none"/>
                <w:lang w:val="en-US" w:eastAsia="zh-CN"/>
              </w:rPr>
              <w:t>排放量为</w:t>
            </w:r>
            <w:r>
              <w:rPr>
                <w:rFonts w:hint="eastAsia" w:cs="Times New Roman"/>
                <w:b w:val="0"/>
                <w:bCs/>
                <w:color w:val="auto"/>
                <w:sz w:val="24"/>
                <w:szCs w:val="24"/>
                <w:highlight w:val="none"/>
                <w:lang w:val="en-US" w:eastAsia="zh-CN"/>
              </w:rPr>
              <w:t>0.0052</w:t>
            </w:r>
            <w:r>
              <w:rPr>
                <w:rFonts w:hint="default" w:cs="Times New Roman"/>
                <w:b w:val="0"/>
                <w:bCs/>
                <w:color w:val="auto"/>
                <w:sz w:val="24"/>
                <w:szCs w:val="24"/>
                <w:highlight w:val="none"/>
                <w:lang w:val="en-US" w:eastAsia="zh-CN"/>
              </w:rPr>
              <w:t>t/a</w:t>
            </w:r>
            <w:r>
              <w:rPr>
                <w:rFonts w:hint="eastAsia" w:cs="Times New Roman"/>
                <w:b w:val="0"/>
                <w:bCs/>
                <w:color w:val="auto"/>
                <w:sz w:val="24"/>
                <w:szCs w:val="24"/>
                <w:highlight w:val="none"/>
                <w:lang w:val="en-US" w:eastAsia="zh-CN"/>
              </w:rPr>
              <w:t>，</w:t>
            </w:r>
            <w:r>
              <w:rPr>
                <w:rFonts w:hint="default" w:cs="Times New Roman"/>
                <w:b w:val="0"/>
                <w:bCs/>
                <w:color w:val="auto"/>
                <w:sz w:val="24"/>
                <w:szCs w:val="24"/>
                <w:highlight w:val="none"/>
                <w:lang w:val="en-US" w:eastAsia="zh-CN"/>
              </w:rPr>
              <w:t>排放速率为</w:t>
            </w:r>
            <w:r>
              <w:rPr>
                <w:rFonts w:hint="eastAsia" w:cs="Times New Roman"/>
                <w:b w:val="0"/>
                <w:bCs/>
                <w:color w:val="auto"/>
                <w:sz w:val="24"/>
                <w:szCs w:val="24"/>
                <w:highlight w:val="none"/>
                <w:lang w:val="en-US" w:eastAsia="zh-CN"/>
              </w:rPr>
              <w:t>0.000722</w:t>
            </w:r>
            <w:r>
              <w:rPr>
                <w:rFonts w:hint="default" w:cs="Times New Roman"/>
                <w:b w:val="0"/>
                <w:bCs/>
                <w:color w:val="auto"/>
                <w:sz w:val="24"/>
                <w:szCs w:val="24"/>
                <w:highlight w:val="none"/>
                <w:lang w:val="en-US" w:eastAsia="zh-CN"/>
              </w:rPr>
              <w:t>kg/h</w:t>
            </w:r>
            <w:r>
              <w:rPr>
                <w:rFonts w:hint="eastAsia" w:cs="Times New Roman"/>
                <w:b w:val="0"/>
                <w:bCs/>
                <w:color w:val="auto"/>
                <w:sz w:val="24"/>
                <w:szCs w:val="24"/>
                <w:highlight w:val="none"/>
                <w:lang w:val="en-US" w:eastAsia="zh-CN"/>
              </w:rPr>
              <w:t>。</w:t>
            </w:r>
          </w:p>
          <w:p>
            <w:pPr>
              <w:pStyle w:val="37"/>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outlineLvl w:val="9"/>
              <w:rPr>
                <w:rFonts w:hint="default" w:cs="Times New Roman"/>
                <w:b w:val="0"/>
                <w:bCs/>
                <w:color w:val="auto"/>
                <w:sz w:val="24"/>
                <w:szCs w:val="24"/>
                <w:lang w:val="en-US" w:eastAsia="zh-CN"/>
              </w:rPr>
            </w:pPr>
            <w:r>
              <w:rPr>
                <w:rFonts w:hint="default" w:cs="Times New Roman"/>
                <w:b w:val="0"/>
                <w:bCs/>
                <w:color w:val="auto"/>
                <w:sz w:val="24"/>
                <w:szCs w:val="24"/>
                <w:lang w:val="en-US" w:eastAsia="zh-CN"/>
              </w:rPr>
              <w:t>按照《环境工程设计手册》中的有关公式，根据类似项目实际治理工程的情况以及结合本项目的设备规模，需要收集有机废气的设备，按照以下经验公式计算得出各设备所需的风量Q。</w:t>
            </w:r>
          </w:p>
          <w:p>
            <w:pPr>
              <w:pageBreakBefore w:val="0"/>
              <w:widowControl/>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bCs/>
                <w:color w:val="auto"/>
                <w:sz w:val="24"/>
                <w:szCs w:val="24"/>
                <w:highlight w:val="none"/>
                <w:lang w:val="en-US"/>
              </w:rPr>
            </w:pPr>
            <w:r>
              <w:rPr>
                <w:rFonts w:hint="default" w:ascii="Times New Roman" w:hAnsi="Times New Roman" w:eastAsia="宋体" w:cs="Times New Roman"/>
                <w:bCs/>
                <w:color w:val="auto"/>
                <w:sz w:val="24"/>
                <w:szCs w:val="24"/>
                <w:highlight w:val="none"/>
                <w:lang w:val="en-US" w:eastAsia="zh-CN"/>
              </w:rPr>
              <w:t>集气罩</w:t>
            </w:r>
            <w:r>
              <w:rPr>
                <w:rFonts w:hint="default" w:ascii="Times New Roman" w:hAnsi="Times New Roman" w:eastAsia="宋体" w:cs="Times New Roman"/>
                <w:bCs/>
                <w:color w:val="auto"/>
                <w:sz w:val="24"/>
                <w:szCs w:val="24"/>
                <w:highlight w:val="none"/>
              </w:rPr>
              <w:t>集气风量计算公式：Q=</w:t>
            </w:r>
            <w:r>
              <w:rPr>
                <w:rFonts w:hint="default" w:ascii="Times New Roman" w:hAnsi="Times New Roman" w:eastAsia="宋体" w:cs="Times New Roman"/>
                <w:bCs/>
                <w:color w:val="auto"/>
                <w:sz w:val="24"/>
                <w:szCs w:val="24"/>
                <w:highlight w:val="none"/>
                <w:lang w:val="en-US" w:eastAsia="zh-CN"/>
              </w:rPr>
              <w:t>3600（5X</w:t>
            </w:r>
            <w:r>
              <w:rPr>
                <w:rFonts w:hint="default" w:ascii="Times New Roman" w:hAnsi="Times New Roman" w:eastAsia="宋体" w:cs="Times New Roman"/>
                <w:bCs/>
                <w:color w:val="auto"/>
                <w:sz w:val="24"/>
                <w:szCs w:val="24"/>
                <w:highlight w:val="none"/>
                <w:vertAlign w:val="superscript"/>
                <w:lang w:val="en-US" w:eastAsia="zh-CN"/>
              </w:rPr>
              <w:t>2</w:t>
            </w:r>
            <w:r>
              <w:rPr>
                <w:rFonts w:hint="default" w:ascii="Times New Roman" w:hAnsi="Times New Roman" w:eastAsia="宋体" w:cs="Times New Roman"/>
                <w:bCs/>
                <w:color w:val="auto"/>
                <w:sz w:val="24"/>
                <w:szCs w:val="24"/>
                <w:highlight w:val="none"/>
                <w:lang w:val="en-US" w:eastAsia="zh-CN"/>
              </w:rPr>
              <w:t>+F）*Vx</w:t>
            </w:r>
          </w:p>
          <w:p>
            <w:pPr>
              <w:pageBreakBefore w:val="0"/>
              <w:widowControl/>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式中：Q：为集气风量，单位为m</w:t>
            </w:r>
            <w:r>
              <w:rPr>
                <w:rFonts w:hint="default" w:ascii="Times New Roman" w:hAnsi="Times New Roman" w:eastAsia="宋体" w:cs="Times New Roman"/>
                <w:bCs/>
                <w:color w:val="auto"/>
                <w:sz w:val="24"/>
                <w:szCs w:val="24"/>
                <w:highlight w:val="none"/>
                <w:vertAlign w:val="superscript"/>
              </w:rPr>
              <w:t>3</w:t>
            </w:r>
            <w:r>
              <w:rPr>
                <w:rFonts w:hint="default" w:ascii="Times New Roman" w:hAnsi="Times New Roman" w:eastAsia="宋体" w:cs="Times New Roman"/>
                <w:bCs/>
                <w:color w:val="auto"/>
                <w:sz w:val="24"/>
                <w:szCs w:val="24"/>
                <w:highlight w:val="none"/>
              </w:rPr>
              <w:t>/h；</w:t>
            </w:r>
          </w:p>
          <w:p>
            <w:pPr>
              <w:pageBreakBefore w:val="0"/>
              <w:widowControl/>
              <w:kinsoku/>
              <w:wordWrap/>
              <w:overflowPunct/>
              <w:topLinePunct w:val="0"/>
              <w:autoSpaceDE/>
              <w:autoSpaceDN/>
              <w:bidi w:val="0"/>
              <w:adjustRightInd/>
              <w:snapToGrid/>
              <w:spacing w:line="360" w:lineRule="auto"/>
              <w:ind w:leftChars="0" w:firstLine="1200" w:firstLineChars="500"/>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X：集气罩至污染源的距离（取0.2m）；</w:t>
            </w:r>
          </w:p>
          <w:p>
            <w:pPr>
              <w:pStyle w:val="6"/>
              <w:pageBreakBefore w:val="0"/>
              <w:numPr>
                <w:ilvl w:val="3"/>
                <w:numId w:val="0"/>
              </w:numPr>
              <w:kinsoku/>
              <w:wordWrap/>
              <w:overflowPunct/>
              <w:topLinePunct w:val="0"/>
              <w:autoSpaceDE/>
              <w:autoSpaceDN/>
              <w:bidi w:val="0"/>
              <w:adjustRightInd/>
              <w:snapToGrid/>
              <w:spacing w:before="0" w:after="0" w:line="360" w:lineRule="auto"/>
              <w:ind w:leftChars="0" w:firstLine="1200" w:firstLineChars="5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F：集气罩口面积（根据设备口径尺寸取</w:t>
            </w:r>
            <w:r>
              <w:rPr>
                <w:rFonts w:hint="eastAsia" w:ascii="Times New Roman" w:hAnsi="Times New Roman" w:eastAsia="宋体" w:cs="Times New Roman"/>
                <w:b w:val="0"/>
                <w:bCs w:val="0"/>
                <w:color w:val="auto"/>
                <w:sz w:val="24"/>
                <w:szCs w:val="24"/>
                <w:highlight w:val="none"/>
                <w:lang w:val="en-US" w:eastAsia="zh-CN"/>
              </w:rPr>
              <w:t>0.5</w:t>
            </w:r>
            <w:r>
              <w:rPr>
                <w:rFonts w:hint="default" w:ascii="Times New Roman" w:hAnsi="Times New Roman" w:eastAsia="宋体" w:cs="Times New Roman"/>
                <w:b w:val="0"/>
                <w:bCs w:val="0"/>
                <w:color w:val="auto"/>
                <w:sz w:val="24"/>
                <w:szCs w:val="24"/>
                <w:highlight w:val="none"/>
                <w:lang w:val="en-US" w:eastAsia="zh-CN"/>
              </w:rPr>
              <w:t>m*0.5m）；</w:t>
            </w:r>
          </w:p>
          <w:p>
            <w:pPr>
              <w:pageBreakBefore w:val="0"/>
              <w:widowControl/>
              <w:kinsoku/>
              <w:wordWrap/>
              <w:overflowPunct/>
              <w:topLinePunct w:val="0"/>
              <w:autoSpaceDE/>
              <w:autoSpaceDN/>
              <w:bidi w:val="0"/>
              <w:adjustRightInd/>
              <w:snapToGrid/>
              <w:spacing w:line="360" w:lineRule="auto"/>
              <w:ind w:leftChars="0" w:firstLine="1200" w:firstLineChars="5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Vx：控制风量（取0.6m/s）。</w:t>
            </w:r>
          </w:p>
          <w:p>
            <w:pPr>
              <w:keepNext w:val="0"/>
              <w:keepLines w:val="0"/>
              <w:pageBreakBefore w:val="0"/>
              <w:widowControl/>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本项目淬火、回火工序设备</w:t>
            </w:r>
            <w:r>
              <w:rPr>
                <w:rFonts w:hint="eastAsia" w:cs="Times New Roman"/>
                <w:color w:val="auto"/>
                <w:sz w:val="24"/>
                <w:szCs w:val="24"/>
                <w:lang w:val="en-US" w:eastAsia="zh-CN"/>
              </w:rPr>
              <w:t>18台</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bCs/>
                <w:color w:val="auto"/>
                <w:sz w:val="24"/>
                <w:szCs w:val="24"/>
                <w:highlight w:val="none"/>
                <w:lang w:val="en-US" w:eastAsia="zh-CN"/>
              </w:rPr>
              <w:t>则单个集气罩风量为</w:t>
            </w:r>
            <w:r>
              <w:rPr>
                <w:rFonts w:hint="eastAsia" w:cs="Times New Roman"/>
                <w:bCs/>
                <w:color w:val="auto"/>
                <w:sz w:val="24"/>
                <w:szCs w:val="24"/>
                <w:highlight w:val="none"/>
                <w:lang w:val="en-US" w:eastAsia="zh-CN"/>
              </w:rPr>
              <w:t>97</w:t>
            </w:r>
            <w:r>
              <w:rPr>
                <w:rFonts w:hint="default" w:ascii="Times New Roman" w:hAnsi="Times New Roman" w:eastAsia="宋体" w:cs="Times New Roman"/>
                <w:bCs/>
                <w:color w:val="auto"/>
                <w:sz w:val="24"/>
                <w:szCs w:val="24"/>
                <w:highlight w:val="none"/>
                <w:lang w:val="en-US" w:eastAsia="zh-CN"/>
              </w:rPr>
              <w:t>2</w:t>
            </w:r>
            <w:r>
              <w:rPr>
                <w:rFonts w:hint="default" w:ascii="Times New Roman" w:hAnsi="Times New Roman" w:eastAsia="宋体" w:cs="Times New Roman"/>
                <w:bCs/>
                <w:color w:val="auto"/>
                <w:sz w:val="24"/>
                <w:szCs w:val="24"/>
                <w:highlight w:val="none"/>
              </w:rPr>
              <w:t>m</w:t>
            </w:r>
            <w:r>
              <w:rPr>
                <w:rFonts w:hint="default" w:ascii="Times New Roman" w:hAnsi="Times New Roman" w:eastAsia="宋体" w:cs="Times New Roman"/>
                <w:bCs/>
                <w:color w:val="auto"/>
                <w:sz w:val="24"/>
                <w:szCs w:val="24"/>
                <w:highlight w:val="none"/>
                <w:vertAlign w:val="superscript"/>
              </w:rPr>
              <w:t>3</w:t>
            </w:r>
            <w:r>
              <w:rPr>
                <w:rFonts w:hint="default" w:ascii="Times New Roman" w:hAnsi="Times New Roman" w:eastAsia="宋体" w:cs="Times New Roman"/>
                <w:bCs/>
                <w:color w:val="auto"/>
                <w:sz w:val="24"/>
                <w:szCs w:val="24"/>
                <w:highlight w:val="none"/>
              </w:rPr>
              <w:t>/h</w:t>
            </w:r>
            <w:r>
              <w:rPr>
                <w:rFonts w:hint="default" w:ascii="Times New Roman" w:hAnsi="Times New Roman" w:eastAsia="宋体" w:cs="Times New Roman"/>
                <w:bCs/>
                <w:color w:val="auto"/>
                <w:sz w:val="24"/>
                <w:szCs w:val="24"/>
                <w:highlight w:val="none"/>
                <w:lang w:eastAsia="zh-CN"/>
              </w:rPr>
              <w:t>，</w:t>
            </w:r>
            <w:r>
              <w:rPr>
                <w:rFonts w:hint="eastAsia" w:cs="Times New Roman"/>
                <w:bCs/>
                <w:color w:val="auto"/>
                <w:sz w:val="24"/>
                <w:szCs w:val="24"/>
                <w:highlight w:val="none"/>
                <w:lang w:eastAsia="zh-CN"/>
              </w:rPr>
              <w:t>考虑风阻，</w:t>
            </w:r>
            <w:r>
              <w:rPr>
                <w:rFonts w:hint="default" w:ascii="Times New Roman" w:hAnsi="Times New Roman" w:eastAsia="宋体" w:cs="Times New Roman"/>
                <w:bCs/>
                <w:color w:val="auto"/>
                <w:sz w:val="24"/>
                <w:szCs w:val="24"/>
                <w:highlight w:val="none"/>
                <w:lang w:val="en-US" w:eastAsia="zh-CN"/>
              </w:rPr>
              <w:t>本环评</w:t>
            </w:r>
            <w:r>
              <w:rPr>
                <w:rFonts w:hint="eastAsia" w:cs="Times New Roman"/>
                <w:bCs/>
                <w:color w:val="auto"/>
                <w:sz w:val="24"/>
                <w:szCs w:val="24"/>
                <w:highlight w:val="none"/>
                <w:lang w:eastAsia="zh-CN"/>
              </w:rPr>
              <w:t>淬火、回火工序</w:t>
            </w:r>
            <w:r>
              <w:rPr>
                <w:rFonts w:hint="default" w:ascii="Times New Roman" w:hAnsi="Times New Roman" w:eastAsia="宋体" w:cs="Times New Roman"/>
                <w:bCs/>
                <w:color w:val="auto"/>
                <w:sz w:val="24"/>
                <w:szCs w:val="24"/>
                <w:highlight w:val="none"/>
                <w:lang w:val="en-US" w:eastAsia="zh-CN"/>
              </w:rPr>
              <w:t>总风量为</w:t>
            </w:r>
            <w:r>
              <w:rPr>
                <w:rFonts w:hint="eastAsia" w:cs="Times New Roman"/>
                <w:bCs/>
                <w:color w:val="auto"/>
                <w:sz w:val="24"/>
                <w:szCs w:val="24"/>
                <w:highlight w:val="none"/>
                <w:lang w:val="en-US" w:eastAsia="zh-CN"/>
              </w:rPr>
              <w:t>18000</w:t>
            </w:r>
            <w:r>
              <w:rPr>
                <w:rFonts w:hint="default" w:ascii="Times New Roman" w:hAnsi="Times New Roman" w:eastAsia="宋体" w:cs="Times New Roman"/>
                <w:bCs/>
                <w:color w:val="auto"/>
                <w:sz w:val="24"/>
                <w:szCs w:val="24"/>
                <w:highlight w:val="none"/>
              </w:rPr>
              <w:t>m</w:t>
            </w:r>
            <w:r>
              <w:rPr>
                <w:rFonts w:hint="default" w:ascii="Times New Roman" w:hAnsi="Times New Roman" w:eastAsia="宋体" w:cs="Times New Roman"/>
                <w:bCs/>
                <w:color w:val="auto"/>
                <w:sz w:val="24"/>
                <w:szCs w:val="24"/>
                <w:highlight w:val="none"/>
                <w:vertAlign w:val="superscript"/>
              </w:rPr>
              <w:t>3</w:t>
            </w:r>
            <w:r>
              <w:rPr>
                <w:rFonts w:hint="default" w:ascii="Times New Roman" w:hAnsi="Times New Roman" w:eastAsia="宋体" w:cs="Times New Roman"/>
                <w:bCs/>
                <w:color w:val="auto"/>
                <w:sz w:val="24"/>
                <w:szCs w:val="24"/>
                <w:highlight w:val="none"/>
              </w:rPr>
              <w:t>/h</w:t>
            </w:r>
            <w:r>
              <w:rPr>
                <w:rFonts w:hint="default" w:ascii="Times New Roman" w:hAnsi="Times New Roman" w:eastAsia="宋体" w:cs="Times New Roman"/>
                <w:bCs/>
                <w:color w:val="auto"/>
                <w:sz w:val="24"/>
                <w:szCs w:val="24"/>
                <w:highlight w:val="none"/>
                <w:lang w:eastAsia="zh-CN"/>
              </w:rPr>
              <w:t>。</w:t>
            </w:r>
          </w:p>
          <w:p>
            <w:pPr>
              <w:pStyle w:val="37"/>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w:t>
            </w:r>
            <w:r>
              <w:rPr>
                <w:rFonts w:hint="default" w:ascii="Times New Roman" w:hAnsi="Times New Roman" w:cs="Times New Roman"/>
                <w:color w:val="auto"/>
                <w:sz w:val="24"/>
                <w:szCs w:val="24"/>
                <w:lang w:val="en-US" w:eastAsia="zh-CN"/>
              </w:rPr>
              <w:t xml:space="preserve"> </w:t>
            </w:r>
            <w:r>
              <w:rPr>
                <w:rFonts w:hint="default" w:ascii="Times New Roman" w:hAnsi="Times New Roman" w:cs="Times New Roman"/>
                <w:b w:val="0"/>
                <w:bCs/>
                <w:color w:val="auto"/>
                <w:sz w:val="24"/>
                <w:szCs w:val="24"/>
                <w:lang w:val="en-US" w:eastAsia="zh-CN"/>
              </w:rPr>
              <w:t>淬火尾气燃烧废气</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本项目淬火工序中，使用甲醇用于</w:t>
            </w:r>
            <w:r>
              <w:rPr>
                <w:rFonts w:hint="eastAsia" w:cs="Times New Roman"/>
                <w:color w:val="auto"/>
                <w:sz w:val="24"/>
                <w:szCs w:val="24"/>
                <w:lang w:val="en-US" w:eastAsia="zh-CN"/>
              </w:rPr>
              <w:t>保护钢球表面防止脱碳</w:t>
            </w:r>
            <w:r>
              <w:rPr>
                <w:rFonts w:hint="default" w:ascii="Times New Roman" w:hAnsi="Times New Roman" w:eastAsia="宋体" w:cs="Times New Roman"/>
                <w:color w:val="auto"/>
                <w:sz w:val="24"/>
                <w:szCs w:val="24"/>
                <w:lang w:val="en-US" w:eastAsia="zh-CN"/>
              </w:rPr>
              <w:t>，经热处理炉体管道收集，经自带燃烧装置，点燃排气口，气体在空气中充分燃烧，燃烧气体主要成分为CO</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val="en-US" w:eastAsia="zh-CN"/>
              </w:rPr>
              <w:t>、H</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val="en-US" w:eastAsia="zh-CN"/>
              </w:rPr>
              <w:t>O。CO</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val="en-US" w:eastAsia="zh-CN"/>
              </w:rPr>
              <w:t>为空气主要成分，H</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val="en-US" w:eastAsia="zh-CN"/>
              </w:rPr>
              <w:t>O无毒无味，因此，本报告中淬火尾气燃烧废气不列入废气进行统计分析。</w:t>
            </w:r>
          </w:p>
          <w:p>
            <w:pPr>
              <w:pStyle w:val="37"/>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outlineLvl w:val="9"/>
              <w:rPr>
                <w:rFonts w:hint="eastAsia" w:ascii="Times New Roman" w:hAnsi="Times New Roman" w:eastAsia="宋体" w:cs="Times New Roman"/>
                <w:color w:val="auto"/>
                <w:kern w:val="2"/>
                <w:sz w:val="24"/>
                <w:szCs w:val="24"/>
                <w:lang w:val="en-US" w:eastAsia="zh-CN" w:bidi="ar-SA"/>
              </w:rPr>
            </w:pPr>
            <w:r>
              <w:rPr>
                <w:rFonts w:hint="eastAsia" w:ascii="宋体" w:hAnsi="宋体" w:eastAsia="宋体" w:cs="宋体"/>
                <w:color w:val="auto"/>
                <w:sz w:val="24"/>
                <w:szCs w:val="24"/>
                <w:lang w:val="en-US" w:eastAsia="zh-CN"/>
              </w:rPr>
              <w:t xml:space="preserve">③ </w:t>
            </w:r>
            <w:r>
              <w:rPr>
                <w:rFonts w:hint="default" w:ascii="Times New Roman" w:hAnsi="Times New Roman" w:eastAsia="宋体" w:cs="Times New Roman"/>
                <w:color w:val="auto"/>
                <w:sz w:val="24"/>
                <w:szCs w:val="24"/>
                <w:lang w:val="en-US" w:eastAsia="zh-CN"/>
              </w:rPr>
              <w:t>清洗废气</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cs="Times New Roman"/>
                <w:color w:val="0000FF"/>
                <w:sz w:val="24"/>
                <w:szCs w:val="24"/>
                <w:lang w:val="en-US" w:eastAsia="zh-CN"/>
              </w:rPr>
            </w:pPr>
            <w:r>
              <w:rPr>
                <w:rFonts w:hint="eastAsia" w:ascii="Times New Roman" w:hAnsi="Times New Roman" w:eastAsia="宋体" w:cs="Times New Roman"/>
                <w:color w:val="auto"/>
                <w:kern w:val="2"/>
                <w:sz w:val="24"/>
                <w:szCs w:val="24"/>
                <w:lang w:val="en-US" w:eastAsia="zh-CN" w:bidi="ar-SA"/>
              </w:rPr>
              <w:t>本项目</w:t>
            </w:r>
            <w:r>
              <w:rPr>
                <w:rFonts w:hint="eastAsia" w:ascii="Times New Roman" w:hAnsi="Times New Roman" w:eastAsia="宋体" w:cs="Times New Roman"/>
                <w:color w:val="auto"/>
                <w:sz w:val="24"/>
                <w:szCs w:val="24"/>
                <w:lang w:val="en-US" w:eastAsia="zh-CN"/>
              </w:rPr>
              <w:t>在利用工业白油对钢球进行清洗时，工业白油挥发产生的</w:t>
            </w:r>
            <w:r>
              <w:rPr>
                <w:rFonts w:hint="eastAsia" w:cs="Times New Roman"/>
                <w:color w:val="auto"/>
                <w:sz w:val="24"/>
                <w:szCs w:val="24"/>
                <w:lang w:val="en-US" w:eastAsia="zh-CN"/>
              </w:rPr>
              <w:t>挥发性有机物</w:t>
            </w:r>
            <w:r>
              <w:rPr>
                <w:rFonts w:hint="eastAsia" w:ascii="Times New Roman" w:hAnsi="Times New Roman" w:eastAsia="宋体" w:cs="Times New Roman"/>
                <w:color w:val="auto"/>
                <w:sz w:val="24"/>
                <w:szCs w:val="24"/>
                <w:lang w:val="en-US" w:eastAsia="zh-CN"/>
              </w:rPr>
              <w:t>，清洗主要是洗去其表面的钢屑等杂质，工业白油循环使用，定期添加，清洗机为封闭式，但清洗过程中有极少量的工业白油经清洗机进、出口挥发于空气中。本项目清洗废气</w:t>
            </w:r>
            <w:r>
              <w:rPr>
                <w:rFonts w:hint="default" w:ascii="Times New Roman" w:hAnsi="Times New Roman" w:eastAsia="宋体" w:cs="Times New Roman"/>
                <w:color w:val="auto"/>
                <w:sz w:val="24"/>
                <w:szCs w:val="24"/>
                <w:lang w:val="en-US" w:eastAsia="zh-CN"/>
              </w:rPr>
              <w:t>类比《邢台飞达轴承有限公司薄壁轴承生产线项目环境影响报告表》（临环表</w:t>
            </w:r>
            <w:r>
              <w:rPr>
                <w:rFonts w:hint="eastAsia" w:ascii="Times New Roman" w:hAnsi="Times New Roman" w:cs="Times New Roman"/>
                <w:color w:val="auto"/>
                <w:sz w:val="24"/>
                <w:szCs w:val="24"/>
              </w:rPr>
              <w:t>【20</w:t>
            </w:r>
            <w:r>
              <w:rPr>
                <w:rFonts w:hint="eastAsia" w:ascii="Times New Roman" w:hAnsi="Times New Roman" w:cs="Times New Roman"/>
                <w:color w:val="auto"/>
                <w:sz w:val="24"/>
                <w:szCs w:val="24"/>
                <w:lang w:val="en-US" w:eastAsia="zh-CN"/>
              </w:rPr>
              <w:t>18</w:t>
            </w:r>
            <w:r>
              <w:rPr>
                <w:rFonts w:hint="eastAsia" w:ascii="Times New Roman" w:hAnsi="Times New Roman" w:cs="Times New Roman"/>
                <w:color w:val="auto"/>
                <w:sz w:val="24"/>
                <w:szCs w:val="24"/>
              </w:rPr>
              <w:t>】</w:t>
            </w:r>
            <w:r>
              <w:rPr>
                <w:rFonts w:hint="eastAsia" w:cs="Times New Roman"/>
                <w:color w:val="auto"/>
                <w:sz w:val="24"/>
                <w:szCs w:val="24"/>
                <w:lang w:val="en-US" w:eastAsia="zh-CN"/>
              </w:rPr>
              <w:t>101</w:t>
            </w:r>
            <w:r>
              <w:rPr>
                <w:rFonts w:hint="eastAsia" w:ascii="Times New Roman" w:hAnsi="Times New Roman" w:cs="Times New Roman"/>
                <w:color w:val="auto"/>
                <w:sz w:val="24"/>
                <w:szCs w:val="24"/>
              </w:rPr>
              <w:t>号</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邢台飞达轴承有限公司</w:t>
            </w:r>
            <w:r>
              <w:rPr>
                <w:rFonts w:hint="eastAsia" w:ascii="Times New Roman" w:hAnsi="Times New Roman" w:eastAsia="宋体" w:cs="Times New Roman"/>
                <w:color w:val="auto"/>
                <w:sz w:val="24"/>
                <w:szCs w:val="24"/>
                <w:lang w:val="en-US" w:eastAsia="zh-CN"/>
              </w:rPr>
              <w:t>以毛坯球为原料，经光球、淬火、回火、硬磨、初研、精研、清洗、外观检测、防锈涂油等工序生产钢球，</w:t>
            </w:r>
            <w:r>
              <w:rPr>
                <w:rFonts w:hint="eastAsia" w:cs="Times New Roman"/>
                <w:color w:val="auto"/>
                <w:sz w:val="24"/>
                <w:szCs w:val="24"/>
                <w:lang w:val="en-US" w:eastAsia="zh-CN"/>
              </w:rPr>
              <w:t>本项目直接以轴承钢丝为原料，经冷镦、</w:t>
            </w:r>
            <w:r>
              <w:rPr>
                <w:rFonts w:hint="eastAsia" w:ascii="Times New Roman" w:hAnsi="Times New Roman" w:eastAsia="宋体" w:cs="Times New Roman"/>
                <w:color w:val="auto"/>
                <w:sz w:val="24"/>
                <w:szCs w:val="24"/>
                <w:lang w:val="en-US" w:eastAsia="zh-CN"/>
              </w:rPr>
              <w:t>光球、淬火、回火、</w:t>
            </w:r>
            <w:r>
              <w:rPr>
                <w:rFonts w:hint="eastAsia" w:cs="Times New Roman"/>
                <w:color w:val="auto"/>
                <w:sz w:val="24"/>
                <w:szCs w:val="24"/>
                <w:lang w:val="en-US" w:eastAsia="zh-CN"/>
              </w:rPr>
              <w:t>除油、硬磨、</w:t>
            </w:r>
            <w:r>
              <w:rPr>
                <w:rFonts w:hint="eastAsia" w:ascii="Times New Roman" w:hAnsi="Times New Roman" w:eastAsia="宋体" w:cs="Times New Roman"/>
                <w:color w:val="auto"/>
                <w:sz w:val="24"/>
                <w:szCs w:val="24"/>
                <w:lang w:val="en-US" w:eastAsia="zh-CN"/>
              </w:rPr>
              <w:t>强化、初研、精研、清洗、</w:t>
            </w:r>
            <w:r>
              <w:rPr>
                <w:rFonts w:hint="eastAsia" w:cs="Times New Roman"/>
                <w:b w:val="0"/>
                <w:bCs w:val="0"/>
                <w:color w:val="auto"/>
                <w:sz w:val="24"/>
                <w:szCs w:val="24"/>
                <w:lang w:val="en-US" w:eastAsia="zh-CN"/>
              </w:rPr>
              <w:t>成品检验</w:t>
            </w:r>
            <w:r>
              <w:rPr>
                <w:rFonts w:hint="eastAsia" w:ascii="Times New Roman" w:hAnsi="Times New Roman" w:eastAsia="宋体" w:cs="Times New Roman"/>
                <w:color w:val="auto"/>
                <w:sz w:val="24"/>
                <w:szCs w:val="24"/>
                <w:lang w:val="en-US" w:eastAsia="zh-CN"/>
              </w:rPr>
              <w:t>、</w:t>
            </w:r>
            <w:r>
              <w:rPr>
                <w:rFonts w:hint="eastAsia" w:cs="Times New Roman"/>
                <w:b w:val="0"/>
                <w:bCs w:val="0"/>
                <w:color w:val="auto"/>
                <w:sz w:val="24"/>
                <w:szCs w:val="24"/>
                <w:lang w:val="en-US" w:eastAsia="zh-CN"/>
              </w:rPr>
              <w:t>涂油</w:t>
            </w:r>
            <w:r>
              <w:rPr>
                <w:rFonts w:hint="default" w:ascii="Times New Roman" w:hAnsi="Times New Roman" w:eastAsia="宋体" w:cs="Times New Roman"/>
                <w:b w:val="0"/>
                <w:bCs w:val="0"/>
                <w:color w:val="auto"/>
                <w:sz w:val="24"/>
                <w:szCs w:val="24"/>
                <w:lang w:val="en-US" w:eastAsia="zh-CN"/>
              </w:rPr>
              <w:t>包装</w:t>
            </w:r>
            <w:r>
              <w:rPr>
                <w:rFonts w:hint="eastAsia" w:ascii="Times New Roman" w:hAnsi="Times New Roman" w:eastAsia="宋体" w:cs="Times New Roman"/>
                <w:color w:val="auto"/>
                <w:sz w:val="24"/>
                <w:szCs w:val="24"/>
                <w:lang w:val="en-US" w:eastAsia="zh-CN"/>
              </w:rPr>
              <w:t>等工序生产钢球</w:t>
            </w:r>
            <w:r>
              <w:rPr>
                <w:rFonts w:hint="eastAsia" w:cs="Times New Roman"/>
                <w:color w:val="auto"/>
                <w:sz w:val="24"/>
                <w:szCs w:val="24"/>
                <w:lang w:val="en-US" w:eastAsia="zh-CN"/>
              </w:rPr>
              <w:t>，其中清洗均为油性作业，清洗均采用</w:t>
            </w:r>
            <w:r>
              <w:rPr>
                <w:rFonts w:hint="default" w:ascii="Times New Roman" w:hAnsi="Times New Roman" w:eastAsia="宋体" w:cs="Times New Roman"/>
                <w:b w:val="0"/>
                <w:bCs w:val="0"/>
                <w:color w:val="auto"/>
                <w:sz w:val="24"/>
                <w:szCs w:val="24"/>
                <w:lang w:val="en-US" w:eastAsia="zh-CN"/>
              </w:rPr>
              <w:t>清洗油</w:t>
            </w:r>
            <w:r>
              <w:rPr>
                <w:rFonts w:hint="eastAsia" w:cs="Times New Roman"/>
                <w:color w:val="auto"/>
                <w:sz w:val="24"/>
                <w:szCs w:val="24"/>
                <w:lang w:val="en-US" w:eastAsia="zh-CN"/>
              </w:rPr>
              <w:t>清洗，因此具有可类比性。</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cs="Times New Roman"/>
                <w:color w:val="auto"/>
                <w:sz w:val="24"/>
                <w:szCs w:val="24"/>
                <w:lang w:val="en-US" w:eastAsia="zh-CN"/>
              </w:rPr>
            </w:pPr>
            <w:r>
              <w:rPr>
                <w:rFonts w:hint="eastAsia"/>
                <w:color w:val="auto"/>
                <w:sz w:val="24"/>
                <w:szCs w:val="24"/>
                <w:lang w:val="en-US" w:eastAsia="zh-CN"/>
              </w:rPr>
              <w:t>同时根据《</w:t>
            </w:r>
            <w:r>
              <w:rPr>
                <w:rFonts w:hint="eastAsia" w:cs="Times New Roman"/>
                <w:color w:val="auto"/>
                <w:sz w:val="24"/>
                <w:szCs w:val="24"/>
                <w:lang w:val="en-US" w:eastAsia="zh-CN"/>
              </w:rPr>
              <w:t>邢台飞达轴承有限公司薄壁轴承生产线项目阶段性竣工环境保护验收监测报告》（2020年9月）中河北亘盛环境科技有限公司所出具的监测报告（报告编号：GS-WT2020090703）如下：</w:t>
            </w:r>
          </w:p>
          <w:p>
            <w:pPr>
              <w:pStyle w:val="37"/>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eastAsia"/>
                <w:b/>
                <w:bCs/>
                <w:color w:val="auto"/>
                <w:lang w:val="en-US" w:eastAsia="zh-CN"/>
              </w:rPr>
            </w:pPr>
            <w:r>
              <w:rPr>
                <w:rFonts w:hint="eastAsia" w:cs="Times New Roman"/>
                <w:b/>
                <w:bCs/>
                <w:color w:val="auto"/>
                <w:szCs w:val="24"/>
                <w:lang w:val="en-US" w:eastAsia="zh-CN"/>
              </w:rPr>
              <w:t>表4.3  邢台飞达轴承有限公司验收检测结果</w:t>
            </w:r>
          </w:p>
          <w:tbl>
            <w:tblPr>
              <w:tblStyle w:val="26"/>
              <w:tblW w:w="83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6"/>
              <w:gridCol w:w="1302"/>
              <w:gridCol w:w="964"/>
              <w:gridCol w:w="1170"/>
              <w:gridCol w:w="976"/>
              <w:gridCol w:w="1142"/>
              <w:gridCol w:w="1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6" w:type="dxa"/>
                  <w:vMerge w:val="restart"/>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采样点位及时间</w:t>
                  </w:r>
                </w:p>
              </w:tc>
              <w:tc>
                <w:tcPr>
                  <w:tcW w:w="1302" w:type="dxa"/>
                  <w:vMerge w:val="restart"/>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检测项目</w:t>
                  </w:r>
                </w:p>
              </w:tc>
              <w:tc>
                <w:tcPr>
                  <w:tcW w:w="964" w:type="dxa"/>
                  <w:vMerge w:val="restart"/>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单位</w:t>
                  </w:r>
                </w:p>
              </w:tc>
              <w:tc>
                <w:tcPr>
                  <w:tcW w:w="4390" w:type="dxa"/>
                  <w:gridSpan w:val="4"/>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检测结果（mg/m</w:t>
                  </w:r>
                  <w:r>
                    <w:rPr>
                      <w:rFonts w:hint="eastAsia"/>
                      <w:b w:val="0"/>
                      <w:bCs w:val="0"/>
                      <w:color w:val="auto"/>
                      <w:sz w:val="21"/>
                      <w:szCs w:val="21"/>
                      <w:vertAlign w:val="superscript"/>
                      <w:lang w:val="en-US" w:eastAsia="zh-CN"/>
                    </w:rPr>
                    <w:t>3</w:t>
                  </w:r>
                  <w:r>
                    <w:rPr>
                      <w:rFonts w:hint="eastAsia"/>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6" w:type="dxa"/>
                  <w:vMerge w:val="continue"/>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val="0"/>
                      <w:bCs w:val="0"/>
                      <w:color w:val="auto"/>
                      <w:sz w:val="21"/>
                      <w:szCs w:val="21"/>
                      <w:vertAlign w:val="baseline"/>
                      <w:lang w:val="en-US" w:eastAsia="zh-CN"/>
                    </w:rPr>
                  </w:pPr>
                </w:p>
              </w:tc>
              <w:tc>
                <w:tcPr>
                  <w:tcW w:w="1302" w:type="dxa"/>
                  <w:vMerge w:val="continue"/>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val="0"/>
                      <w:bCs w:val="0"/>
                      <w:color w:val="auto"/>
                      <w:sz w:val="21"/>
                      <w:szCs w:val="21"/>
                      <w:vertAlign w:val="baseline"/>
                      <w:lang w:val="en-US" w:eastAsia="zh-CN"/>
                    </w:rPr>
                  </w:pPr>
                </w:p>
              </w:tc>
              <w:tc>
                <w:tcPr>
                  <w:tcW w:w="964" w:type="dxa"/>
                  <w:vMerge w:val="continue"/>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val="0"/>
                      <w:bCs w:val="0"/>
                      <w:color w:val="auto"/>
                      <w:sz w:val="21"/>
                      <w:szCs w:val="21"/>
                      <w:vertAlign w:val="baseline"/>
                      <w:lang w:val="en-US" w:eastAsia="zh-CN"/>
                    </w:rPr>
                  </w:pPr>
                </w:p>
              </w:tc>
              <w:tc>
                <w:tcPr>
                  <w:tcW w:w="1170"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1</w:t>
                  </w:r>
                </w:p>
              </w:tc>
              <w:tc>
                <w:tcPr>
                  <w:tcW w:w="976"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2</w:t>
                  </w:r>
                </w:p>
              </w:tc>
              <w:tc>
                <w:tcPr>
                  <w:tcW w:w="1142"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3</w:t>
                  </w:r>
                </w:p>
              </w:tc>
              <w:tc>
                <w:tcPr>
                  <w:tcW w:w="1102"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平均值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6" w:type="dxa"/>
                  <w:vMerge w:val="restart"/>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零件清洗工序废气处理设施进口</w:t>
                  </w:r>
                </w:p>
                <w:p>
                  <w:pPr>
                    <w:pStyle w:val="37"/>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2020.09.07</w:t>
                  </w:r>
                </w:p>
              </w:tc>
              <w:tc>
                <w:tcPr>
                  <w:tcW w:w="1302"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标杆流量</w:t>
                  </w:r>
                </w:p>
              </w:tc>
              <w:tc>
                <w:tcPr>
                  <w:tcW w:w="964"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m</w:t>
                  </w:r>
                  <w:r>
                    <w:rPr>
                      <w:rFonts w:hint="eastAsia"/>
                      <w:b w:val="0"/>
                      <w:bCs w:val="0"/>
                      <w:color w:val="auto"/>
                      <w:sz w:val="21"/>
                      <w:szCs w:val="21"/>
                      <w:vertAlign w:val="superscript"/>
                      <w:lang w:val="en-US" w:eastAsia="zh-CN"/>
                    </w:rPr>
                    <w:t>3</w:t>
                  </w:r>
                  <w:r>
                    <w:rPr>
                      <w:rFonts w:hint="eastAsia"/>
                      <w:b w:val="0"/>
                      <w:bCs w:val="0"/>
                      <w:color w:val="auto"/>
                      <w:sz w:val="21"/>
                      <w:szCs w:val="21"/>
                      <w:vertAlign w:val="baseline"/>
                      <w:lang w:val="en-US" w:eastAsia="zh-CN"/>
                    </w:rPr>
                    <w:t>/h</w:t>
                  </w:r>
                </w:p>
              </w:tc>
              <w:tc>
                <w:tcPr>
                  <w:tcW w:w="1170"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5720</w:t>
                  </w:r>
                </w:p>
              </w:tc>
              <w:tc>
                <w:tcPr>
                  <w:tcW w:w="976"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6070</w:t>
                  </w:r>
                </w:p>
              </w:tc>
              <w:tc>
                <w:tcPr>
                  <w:tcW w:w="1142"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5833</w:t>
                  </w:r>
                </w:p>
              </w:tc>
              <w:tc>
                <w:tcPr>
                  <w:tcW w:w="1102"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5874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6" w:type="dxa"/>
                  <w:vMerge w:val="continue"/>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p>
              </w:tc>
              <w:tc>
                <w:tcPr>
                  <w:tcW w:w="1302"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挥发性有机物</w:t>
                  </w:r>
                </w:p>
              </w:tc>
              <w:tc>
                <w:tcPr>
                  <w:tcW w:w="964"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mg/m</w:t>
                  </w:r>
                  <w:r>
                    <w:rPr>
                      <w:rFonts w:hint="eastAsia"/>
                      <w:b w:val="0"/>
                      <w:bCs w:val="0"/>
                      <w:color w:val="auto"/>
                      <w:sz w:val="21"/>
                      <w:szCs w:val="21"/>
                      <w:vertAlign w:val="superscript"/>
                      <w:lang w:val="en-US" w:eastAsia="zh-CN"/>
                    </w:rPr>
                    <w:t>3</w:t>
                  </w:r>
                </w:p>
              </w:tc>
              <w:tc>
                <w:tcPr>
                  <w:tcW w:w="1170"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17.4</w:t>
                  </w:r>
                </w:p>
              </w:tc>
              <w:tc>
                <w:tcPr>
                  <w:tcW w:w="976"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16.0</w:t>
                  </w:r>
                </w:p>
              </w:tc>
              <w:tc>
                <w:tcPr>
                  <w:tcW w:w="1142"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19.0</w:t>
                  </w:r>
                </w:p>
              </w:tc>
              <w:tc>
                <w:tcPr>
                  <w:tcW w:w="1102"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6" w:type="dxa"/>
                  <w:vMerge w:val="restart"/>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零件清洗工序废气排气筒出口</w:t>
                  </w:r>
                </w:p>
                <w:p>
                  <w:pPr>
                    <w:pStyle w:val="37"/>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eastAsia"/>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2020.09.07</w:t>
                  </w:r>
                </w:p>
              </w:tc>
              <w:tc>
                <w:tcPr>
                  <w:tcW w:w="1302"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b w:val="0"/>
                      <w:bCs w:val="0"/>
                      <w:color w:val="auto"/>
                      <w:sz w:val="21"/>
                      <w:szCs w:val="21"/>
                      <w:vertAlign w:val="baseline"/>
                      <w:lang w:val="en-US" w:eastAsia="zh-CN"/>
                    </w:rPr>
                    <w:t>标杆流量</w:t>
                  </w:r>
                </w:p>
              </w:tc>
              <w:tc>
                <w:tcPr>
                  <w:tcW w:w="964"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m</w:t>
                  </w:r>
                  <w:r>
                    <w:rPr>
                      <w:rFonts w:hint="eastAsia"/>
                      <w:b w:val="0"/>
                      <w:bCs w:val="0"/>
                      <w:color w:val="auto"/>
                      <w:sz w:val="21"/>
                      <w:szCs w:val="21"/>
                      <w:vertAlign w:val="superscript"/>
                      <w:lang w:val="en-US" w:eastAsia="zh-CN"/>
                    </w:rPr>
                    <w:t>3</w:t>
                  </w:r>
                  <w:r>
                    <w:rPr>
                      <w:rFonts w:hint="eastAsia"/>
                      <w:b w:val="0"/>
                      <w:bCs w:val="0"/>
                      <w:color w:val="auto"/>
                      <w:sz w:val="21"/>
                      <w:szCs w:val="21"/>
                      <w:vertAlign w:val="baseline"/>
                      <w:lang w:val="en-US" w:eastAsia="zh-CN"/>
                    </w:rPr>
                    <w:t>/h</w:t>
                  </w:r>
                </w:p>
              </w:tc>
              <w:tc>
                <w:tcPr>
                  <w:tcW w:w="1170"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6667</w:t>
                  </w:r>
                </w:p>
              </w:tc>
              <w:tc>
                <w:tcPr>
                  <w:tcW w:w="976"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6403</w:t>
                  </w:r>
                </w:p>
              </w:tc>
              <w:tc>
                <w:tcPr>
                  <w:tcW w:w="1142"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6250</w:t>
                  </w:r>
                </w:p>
              </w:tc>
              <w:tc>
                <w:tcPr>
                  <w:tcW w:w="1102"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6" w:type="dxa"/>
                  <w:vMerge w:val="continue"/>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val="0"/>
                      <w:bCs w:val="0"/>
                      <w:color w:val="auto"/>
                      <w:sz w:val="21"/>
                      <w:szCs w:val="21"/>
                      <w:vertAlign w:val="baseline"/>
                      <w:lang w:val="en-US" w:eastAsia="zh-CN"/>
                    </w:rPr>
                  </w:pPr>
                </w:p>
              </w:tc>
              <w:tc>
                <w:tcPr>
                  <w:tcW w:w="1302"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b w:val="0"/>
                      <w:bCs w:val="0"/>
                      <w:color w:val="auto"/>
                      <w:sz w:val="21"/>
                      <w:szCs w:val="21"/>
                      <w:vertAlign w:val="baseline"/>
                      <w:lang w:val="en-US" w:eastAsia="zh-CN"/>
                    </w:rPr>
                    <w:t>挥发性有机物</w:t>
                  </w:r>
                </w:p>
              </w:tc>
              <w:tc>
                <w:tcPr>
                  <w:tcW w:w="964"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mg/m</w:t>
                  </w:r>
                  <w:r>
                    <w:rPr>
                      <w:rFonts w:hint="eastAsia"/>
                      <w:b w:val="0"/>
                      <w:bCs w:val="0"/>
                      <w:color w:val="auto"/>
                      <w:sz w:val="21"/>
                      <w:szCs w:val="21"/>
                      <w:vertAlign w:val="superscript"/>
                      <w:lang w:val="en-US" w:eastAsia="zh-CN"/>
                    </w:rPr>
                    <w:t>3</w:t>
                  </w:r>
                </w:p>
              </w:tc>
              <w:tc>
                <w:tcPr>
                  <w:tcW w:w="1170"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5.70</w:t>
                  </w:r>
                </w:p>
              </w:tc>
              <w:tc>
                <w:tcPr>
                  <w:tcW w:w="976"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6.20</w:t>
                  </w:r>
                </w:p>
              </w:tc>
              <w:tc>
                <w:tcPr>
                  <w:tcW w:w="1142"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6.68</w:t>
                  </w:r>
                </w:p>
              </w:tc>
              <w:tc>
                <w:tcPr>
                  <w:tcW w:w="1102"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6" w:type="dxa"/>
                  <w:vMerge w:val="restart"/>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零件清洗工序废气处理设施进口</w:t>
                  </w:r>
                </w:p>
                <w:p>
                  <w:pPr>
                    <w:pStyle w:val="37"/>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2020.09.08</w:t>
                  </w:r>
                </w:p>
              </w:tc>
              <w:tc>
                <w:tcPr>
                  <w:tcW w:w="1302"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标杆流量</w:t>
                  </w:r>
                </w:p>
              </w:tc>
              <w:tc>
                <w:tcPr>
                  <w:tcW w:w="964"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m</w:t>
                  </w:r>
                  <w:r>
                    <w:rPr>
                      <w:rFonts w:hint="eastAsia"/>
                      <w:b w:val="0"/>
                      <w:bCs w:val="0"/>
                      <w:color w:val="auto"/>
                      <w:sz w:val="21"/>
                      <w:szCs w:val="21"/>
                      <w:vertAlign w:val="superscript"/>
                      <w:lang w:val="en-US" w:eastAsia="zh-CN"/>
                    </w:rPr>
                    <w:t>3</w:t>
                  </w:r>
                  <w:r>
                    <w:rPr>
                      <w:rFonts w:hint="eastAsia"/>
                      <w:b w:val="0"/>
                      <w:bCs w:val="0"/>
                      <w:color w:val="auto"/>
                      <w:sz w:val="21"/>
                      <w:szCs w:val="21"/>
                      <w:vertAlign w:val="baseline"/>
                      <w:lang w:val="en-US" w:eastAsia="zh-CN"/>
                    </w:rPr>
                    <w:t>/h</w:t>
                  </w:r>
                </w:p>
              </w:tc>
              <w:tc>
                <w:tcPr>
                  <w:tcW w:w="1170"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5836</w:t>
                  </w:r>
                </w:p>
              </w:tc>
              <w:tc>
                <w:tcPr>
                  <w:tcW w:w="976"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5633</w:t>
                  </w:r>
                </w:p>
              </w:tc>
              <w:tc>
                <w:tcPr>
                  <w:tcW w:w="1142"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5786</w:t>
                  </w:r>
                </w:p>
              </w:tc>
              <w:tc>
                <w:tcPr>
                  <w:tcW w:w="1102"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5752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6" w:type="dxa"/>
                  <w:vMerge w:val="continue"/>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2"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挥发性有机物</w:t>
                  </w:r>
                </w:p>
              </w:tc>
              <w:tc>
                <w:tcPr>
                  <w:tcW w:w="964"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mg/m</w:t>
                  </w:r>
                  <w:r>
                    <w:rPr>
                      <w:rFonts w:hint="eastAsia"/>
                      <w:b w:val="0"/>
                      <w:bCs w:val="0"/>
                      <w:color w:val="auto"/>
                      <w:sz w:val="21"/>
                      <w:szCs w:val="21"/>
                      <w:vertAlign w:val="superscript"/>
                      <w:lang w:val="en-US" w:eastAsia="zh-CN"/>
                    </w:rPr>
                    <w:t>3</w:t>
                  </w:r>
                </w:p>
              </w:tc>
              <w:tc>
                <w:tcPr>
                  <w:tcW w:w="1170"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17.1</w:t>
                  </w:r>
                </w:p>
              </w:tc>
              <w:tc>
                <w:tcPr>
                  <w:tcW w:w="976"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19.8</w:t>
                  </w:r>
                </w:p>
              </w:tc>
              <w:tc>
                <w:tcPr>
                  <w:tcW w:w="1142"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16.4</w:t>
                  </w:r>
                </w:p>
              </w:tc>
              <w:tc>
                <w:tcPr>
                  <w:tcW w:w="1102"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6" w:type="dxa"/>
                  <w:vMerge w:val="restart"/>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零件清洗工序废气排气筒出口</w:t>
                  </w:r>
                </w:p>
                <w:p>
                  <w:pPr>
                    <w:pStyle w:val="37"/>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2020.09.08</w:t>
                  </w:r>
                </w:p>
              </w:tc>
              <w:tc>
                <w:tcPr>
                  <w:tcW w:w="1302"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标杆流量</w:t>
                  </w:r>
                </w:p>
              </w:tc>
              <w:tc>
                <w:tcPr>
                  <w:tcW w:w="964"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m</w:t>
                  </w:r>
                  <w:r>
                    <w:rPr>
                      <w:rFonts w:hint="eastAsia"/>
                      <w:b w:val="0"/>
                      <w:bCs w:val="0"/>
                      <w:color w:val="auto"/>
                      <w:sz w:val="21"/>
                      <w:szCs w:val="21"/>
                      <w:vertAlign w:val="superscript"/>
                      <w:lang w:val="en-US" w:eastAsia="zh-CN"/>
                    </w:rPr>
                    <w:t>3</w:t>
                  </w:r>
                  <w:r>
                    <w:rPr>
                      <w:rFonts w:hint="eastAsia"/>
                      <w:b w:val="0"/>
                      <w:bCs w:val="0"/>
                      <w:color w:val="auto"/>
                      <w:sz w:val="21"/>
                      <w:szCs w:val="21"/>
                      <w:vertAlign w:val="baseline"/>
                      <w:lang w:val="en-US" w:eastAsia="zh-CN"/>
                    </w:rPr>
                    <w:t>/h</w:t>
                  </w:r>
                </w:p>
              </w:tc>
              <w:tc>
                <w:tcPr>
                  <w:tcW w:w="1170"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6357</w:t>
                  </w:r>
                </w:p>
              </w:tc>
              <w:tc>
                <w:tcPr>
                  <w:tcW w:w="976"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6221</w:t>
                  </w:r>
                </w:p>
              </w:tc>
              <w:tc>
                <w:tcPr>
                  <w:tcW w:w="1142"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6456</w:t>
                  </w:r>
                </w:p>
              </w:tc>
              <w:tc>
                <w:tcPr>
                  <w:tcW w:w="1102"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6" w:type="dxa"/>
                  <w:vMerge w:val="continue"/>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2"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挥发性有机物</w:t>
                  </w:r>
                </w:p>
              </w:tc>
              <w:tc>
                <w:tcPr>
                  <w:tcW w:w="964"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mg/m</w:t>
                  </w:r>
                  <w:r>
                    <w:rPr>
                      <w:rFonts w:hint="eastAsia"/>
                      <w:b w:val="0"/>
                      <w:bCs w:val="0"/>
                      <w:color w:val="auto"/>
                      <w:sz w:val="21"/>
                      <w:szCs w:val="21"/>
                      <w:vertAlign w:val="superscript"/>
                      <w:lang w:val="en-US" w:eastAsia="zh-CN"/>
                    </w:rPr>
                    <w:t>3</w:t>
                  </w:r>
                </w:p>
              </w:tc>
              <w:tc>
                <w:tcPr>
                  <w:tcW w:w="1170"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6.38</w:t>
                  </w:r>
                </w:p>
              </w:tc>
              <w:tc>
                <w:tcPr>
                  <w:tcW w:w="976"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6.72</w:t>
                  </w:r>
                </w:p>
              </w:tc>
              <w:tc>
                <w:tcPr>
                  <w:tcW w:w="1142"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5.77</w:t>
                  </w:r>
                </w:p>
              </w:tc>
              <w:tc>
                <w:tcPr>
                  <w:tcW w:w="1102"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6.29</w:t>
                  </w:r>
                </w:p>
              </w:tc>
            </w:tr>
          </w:tbl>
          <w:p>
            <w:pPr>
              <w:pStyle w:val="37"/>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480" w:firstLineChars="200"/>
              <w:jc w:val="both"/>
              <w:textAlignment w:val="auto"/>
              <w:outlineLvl w:val="9"/>
              <w:rPr>
                <w:rFonts w:hint="default"/>
                <w:color w:val="auto"/>
                <w:lang w:val="en-US" w:eastAsia="zh-CN"/>
              </w:rPr>
            </w:pPr>
            <w:r>
              <w:rPr>
                <w:rFonts w:hint="eastAsia"/>
                <w:color w:val="auto"/>
                <w:lang w:val="en-US" w:eastAsia="zh-CN"/>
              </w:rPr>
              <w:t>根据监测结果可知，</w:t>
            </w:r>
            <w:r>
              <w:rPr>
                <w:rFonts w:hint="default" w:ascii="Times New Roman" w:hAnsi="Times New Roman" w:eastAsia="宋体" w:cs="Times New Roman"/>
                <w:color w:val="auto"/>
                <w:sz w:val="24"/>
                <w:szCs w:val="24"/>
                <w:lang w:val="en-US" w:eastAsia="zh-CN"/>
              </w:rPr>
              <w:t>邢台飞达轴承有限公司薄壁轴承生产线项目清洗工序</w:t>
            </w:r>
            <w:r>
              <w:rPr>
                <w:rFonts w:hint="eastAsia" w:ascii="Times New Roman" w:hAnsi="Times New Roman" w:eastAsia="宋体" w:cs="Times New Roman"/>
                <w:color w:val="auto"/>
                <w:sz w:val="24"/>
                <w:szCs w:val="24"/>
                <w:lang w:val="en-US" w:eastAsia="zh-CN"/>
              </w:rPr>
              <w:t>清洗油使用量为1.3t/a，</w:t>
            </w:r>
            <w:r>
              <w:rPr>
                <w:rFonts w:hint="eastAsia" w:cs="Times New Roman"/>
                <w:color w:val="auto"/>
                <w:sz w:val="24"/>
                <w:szCs w:val="24"/>
                <w:lang w:val="en-US" w:eastAsia="zh-CN"/>
              </w:rPr>
              <w:t>挥发性有机物</w:t>
            </w:r>
            <w:r>
              <w:rPr>
                <w:rFonts w:hint="eastAsia" w:ascii="Times New Roman" w:hAnsi="Times New Roman" w:eastAsia="宋体" w:cs="Times New Roman"/>
                <w:color w:val="auto"/>
                <w:sz w:val="24"/>
                <w:szCs w:val="24"/>
                <w:lang w:val="en-US" w:eastAsia="zh-CN"/>
              </w:rPr>
              <w:t>产生量约为</w:t>
            </w:r>
            <w:r>
              <w:rPr>
                <w:rFonts w:hint="eastAsia" w:cs="Times New Roman"/>
                <w:color w:val="auto"/>
                <w:sz w:val="24"/>
                <w:szCs w:val="24"/>
                <w:lang w:val="en-US" w:eastAsia="zh-CN"/>
              </w:rPr>
              <w:t>0.25</w:t>
            </w:r>
            <w:r>
              <w:rPr>
                <w:rFonts w:hint="eastAsia" w:ascii="Times New Roman" w:hAnsi="Times New Roman" w:eastAsia="宋体" w:cs="Times New Roman"/>
                <w:color w:val="auto"/>
                <w:sz w:val="24"/>
                <w:szCs w:val="24"/>
                <w:lang w:val="en-US" w:eastAsia="zh-CN"/>
              </w:rPr>
              <w:t>t/a。本项目年使用清洗油（工业白油）</w:t>
            </w:r>
            <w:r>
              <w:rPr>
                <w:rFonts w:hint="eastAsia" w:cs="Times New Roman"/>
                <w:color w:val="auto"/>
                <w:sz w:val="24"/>
                <w:szCs w:val="24"/>
                <w:lang w:val="en-US" w:eastAsia="zh-CN"/>
              </w:rPr>
              <w:t>20</w:t>
            </w:r>
            <w:r>
              <w:rPr>
                <w:rFonts w:hint="eastAsia" w:ascii="Times New Roman" w:hAnsi="Times New Roman" w:eastAsia="宋体" w:cs="Times New Roman"/>
                <w:color w:val="auto"/>
                <w:sz w:val="24"/>
                <w:szCs w:val="24"/>
                <w:lang w:val="en-US" w:eastAsia="zh-CN"/>
              </w:rPr>
              <w:t>t，类比可知本项目清洗工序</w:t>
            </w:r>
            <w:r>
              <w:rPr>
                <w:rFonts w:hint="eastAsia" w:cs="Times New Roman"/>
                <w:color w:val="auto"/>
                <w:sz w:val="24"/>
                <w:szCs w:val="24"/>
                <w:lang w:val="en-US" w:eastAsia="zh-CN"/>
              </w:rPr>
              <w:t>挥发性有机物</w:t>
            </w:r>
            <w:r>
              <w:rPr>
                <w:rFonts w:hint="eastAsia" w:ascii="Times New Roman" w:hAnsi="Times New Roman" w:eastAsia="宋体" w:cs="Times New Roman"/>
                <w:color w:val="auto"/>
                <w:sz w:val="24"/>
                <w:szCs w:val="24"/>
                <w:lang w:val="en-US" w:eastAsia="zh-CN"/>
              </w:rPr>
              <w:t>产生量约为</w:t>
            </w:r>
            <w:r>
              <w:rPr>
                <w:rFonts w:hint="eastAsia" w:cs="Times New Roman"/>
                <w:color w:val="auto"/>
                <w:sz w:val="24"/>
                <w:szCs w:val="24"/>
                <w:lang w:val="en-US" w:eastAsia="zh-CN"/>
              </w:rPr>
              <w:t>3.85</w:t>
            </w:r>
            <w:r>
              <w:rPr>
                <w:rFonts w:hint="eastAsia" w:ascii="Times New Roman" w:hAnsi="Times New Roman" w:eastAsia="宋体" w:cs="Times New Roman"/>
                <w:color w:val="auto"/>
                <w:sz w:val="24"/>
                <w:szCs w:val="24"/>
                <w:lang w:val="en-US" w:eastAsia="zh-CN"/>
              </w:rPr>
              <w:t>t/a。</w:t>
            </w:r>
          </w:p>
          <w:p>
            <w:pPr>
              <w:pStyle w:val="37"/>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outlineLvl w:val="9"/>
              <w:rPr>
                <w:rFonts w:hint="default" w:cs="Times New Roman"/>
                <w:b w:val="0"/>
                <w:bCs/>
                <w:color w:val="auto"/>
                <w:sz w:val="24"/>
                <w:szCs w:val="24"/>
                <w:lang w:val="en-US" w:eastAsia="zh-CN"/>
              </w:rPr>
            </w:pPr>
            <w:r>
              <w:rPr>
                <w:rFonts w:hint="default" w:cs="Times New Roman"/>
                <w:b w:val="0"/>
                <w:bCs/>
                <w:color w:val="auto"/>
                <w:sz w:val="24"/>
                <w:szCs w:val="24"/>
                <w:lang w:val="en-US" w:eastAsia="zh-CN"/>
              </w:rPr>
              <w:t>企业拟将清洗机加盖密闭，废气</w:t>
            </w:r>
            <w:r>
              <w:rPr>
                <w:rFonts w:hint="eastAsia" w:cs="Times New Roman"/>
                <w:b w:val="0"/>
                <w:bCs/>
                <w:color w:val="auto"/>
                <w:sz w:val="24"/>
                <w:szCs w:val="24"/>
                <w:lang w:val="en-US" w:eastAsia="zh-CN"/>
              </w:rPr>
              <w:t>经集气罩</w:t>
            </w:r>
            <w:r>
              <w:rPr>
                <w:rFonts w:hint="default" w:cs="Times New Roman"/>
                <w:b w:val="0"/>
                <w:bCs/>
                <w:color w:val="auto"/>
                <w:sz w:val="24"/>
                <w:szCs w:val="24"/>
                <w:lang w:val="en-US" w:eastAsia="zh-CN"/>
              </w:rPr>
              <w:t>收集</w:t>
            </w:r>
            <w:r>
              <w:rPr>
                <w:rFonts w:hint="eastAsia" w:cs="Times New Roman"/>
                <w:b w:val="0"/>
                <w:bCs/>
                <w:color w:val="auto"/>
                <w:sz w:val="24"/>
                <w:szCs w:val="24"/>
                <w:lang w:val="en-US" w:eastAsia="zh-CN"/>
              </w:rPr>
              <w:t>通过“</w:t>
            </w:r>
            <w:r>
              <w:rPr>
                <w:rFonts w:hint="eastAsia" w:ascii="宋体" w:hAnsi="宋体" w:cs="宋体"/>
                <w:color w:val="auto"/>
                <w:sz w:val="24"/>
                <w:szCs w:val="24"/>
                <w:lang w:val="en-US" w:eastAsia="zh-CN"/>
              </w:rPr>
              <w:t>活性炭纤维毡</w:t>
            </w:r>
            <w:r>
              <w:rPr>
                <w:rFonts w:hint="eastAsia" w:cs="Times New Roman"/>
                <w:b w:val="0"/>
                <w:bCs/>
                <w:color w:val="auto"/>
                <w:sz w:val="24"/>
                <w:szCs w:val="24"/>
                <w:lang w:val="en-US" w:eastAsia="zh-CN"/>
              </w:rPr>
              <w:t>”</w:t>
            </w:r>
            <w:r>
              <w:rPr>
                <w:rFonts w:hint="default" w:cs="Times New Roman"/>
                <w:b w:val="0"/>
                <w:bCs/>
                <w:color w:val="auto"/>
                <w:sz w:val="24"/>
                <w:szCs w:val="24"/>
                <w:lang w:val="en-US" w:eastAsia="zh-CN"/>
              </w:rPr>
              <w:t>处理后经过15m高排气筒（DA002）排放（</w:t>
            </w:r>
            <w:r>
              <w:rPr>
                <w:rFonts w:hint="eastAsia" w:cs="Times New Roman"/>
                <w:b w:val="0"/>
                <w:bCs/>
                <w:color w:val="auto"/>
                <w:sz w:val="24"/>
                <w:szCs w:val="24"/>
                <w:lang w:val="en-US" w:eastAsia="zh-CN"/>
              </w:rPr>
              <w:t>设计</w:t>
            </w:r>
            <w:r>
              <w:rPr>
                <w:rFonts w:hint="default" w:cs="Times New Roman"/>
                <w:b w:val="0"/>
                <w:bCs/>
                <w:color w:val="auto"/>
                <w:sz w:val="24"/>
                <w:szCs w:val="24"/>
                <w:lang w:val="en-US" w:eastAsia="zh-CN"/>
              </w:rPr>
              <w:t>风量</w:t>
            </w:r>
            <w:r>
              <w:rPr>
                <w:rFonts w:hint="eastAsia" w:cs="Times New Roman"/>
                <w:b w:val="0"/>
                <w:bCs/>
                <w:color w:val="auto"/>
                <w:sz w:val="24"/>
                <w:szCs w:val="24"/>
                <w:lang w:val="en-US" w:eastAsia="zh-CN"/>
              </w:rPr>
              <w:t>9000N</w:t>
            </w:r>
            <w:r>
              <w:rPr>
                <w:rFonts w:hint="default" w:cs="Times New Roman"/>
                <w:b w:val="0"/>
                <w:bCs/>
                <w:color w:val="auto"/>
                <w:sz w:val="24"/>
                <w:szCs w:val="24"/>
                <w:lang w:val="en-US" w:eastAsia="zh-CN"/>
              </w:rPr>
              <w:t>m</w:t>
            </w:r>
            <w:r>
              <w:rPr>
                <w:rFonts w:hint="default" w:cs="Times New Roman"/>
                <w:b w:val="0"/>
                <w:bCs/>
                <w:color w:val="auto"/>
                <w:sz w:val="24"/>
                <w:szCs w:val="24"/>
                <w:vertAlign w:val="superscript"/>
                <w:lang w:val="en-US" w:eastAsia="zh-CN"/>
              </w:rPr>
              <w:t>3</w:t>
            </w:r>
            <w:r>
              <w:rPr>
                <w:rFonts w:hint="default" w:cs="Times New Roman"/>
                <w:b w:val="0"/>
                <w:bCs/>
                <w:color w:val="auto"/>
                <w:sz w:val="24"/>
                <w:szCs w:val="24"/>
                <w:lang w:val="en-US" w:eastAsia="zh-CN"/>
              </w:rPr>
              <w:t>/h，年运行时间按</w:t>
            </w:r>
            <w:r>
              <w:rPr>
                <w:rFonts w:hint="eastAsia" w:cs="Times New Roman"/>
                <w:b w:val="0"/>
                <w:bCs/>
                <w:color w:val="auto"/>
                <w:sz w:val="24"/>
                <w:szCs w:val="24"/>
                <w:lang w:val="en-US" w:eastAsia="zh-CN"/>
              </w:rPr>
              <w:t>72</w:t>
            </w:r>
            <w:r>
              <w:rPr>
                <w:rFonts w:hint="default" w:cs="Times New Roman"/>
                <w:b w:val="0"/>
                <w:bCs/>
                <w:color w:val="auto"/>
                <w:sz w:val="24"/>
                <w:szCs w:val="24"/>
                <w:lang w:val="en-US" w:eastAsia="zh-CN"/>
              </w:rPr>
              <w:t>00h计），本项目收集效率取90%，</w:t>
            </w:r>
            <w:r>
              <w:rPr>
                <w:rFonts w:hint="eastAsia" w:cs="Times New Roman"/>
                <w:b w:val="0"/>
                <w:bCs/>
                <w:color w:val="auto"/>
                <w:sz w:val="24"/>
                <w:szCs w:val="24"/>
                <w:lang w:val="en-US" w:eastAsia="zh-CN"/>
              </w:rPr>
              <w:t>处理</w:t>
            </w:r>
            <w:r>
              <w:rPr>
                <w:rFonts w:hint="default" w:cs="Times New Roman"/>
                <w:b w:val="0"/>
                <w:bCs/>
                <w:color w:val="auto"/>
                <w:sz w:val="24"/>
                <w:szCs w:val="24"/>
                <w:lang w:val="en-US" w:eastAsia="zh-CN"/>
              </w:rPr>
              <w:t>效率以</w:t>
            </w:r>
            <w:r>
              <w:rPr>
                <w:rFonts w:hint="eastAsia" w:cs="Times New Roman"/>
                <w:b w:val="0"/>
                <w:bCs/>
                <w:color w:val="auto"/>
                <w:sz w:val="24"/>
                <w:szCs w:val="24"/>
                <w:lang w:val="en-US" w:eastAsia="zh-CN"/>
              </w:rPr>
              <w:t>90</w:t>
            </w:r>
            <w:r>
              <w:rPr>
                <w:rFonts w:hint="default" w:cs="Times New Roman"/>
                <w:b w:val="0"/>
                <w:bCs/>
                <w:color w:val="auto"/>
                <w:sz w:val="24"/>
                <w:szCs w:val="24"/>
                <w:lang w:val="en-US" w:eastAsia="zh-CN"/>
              </w:rPr>
              <w:t>%计，则</w:t>
            </w:r>
            <w:r>
              <w:rPr>
                <w:rFonts w:hint="eastAsia" w:cs="Times New Roman"/>
                <w:b w:val="0"/>
                <w:bCs/>
                <w:color w:val="auto"/>
                <w:sz w:val="24"/>
                <w:szCs w:val="24"/>
                <w:lang w:val="en-US" w:eastAsia="zh-CN"/>
              </w:rPr>
              <w:t>挥发性有机物</w:t>
            </w:r>
            <w:r>
              <w:rPr>
                <w:rFonts w:hint="default" w:cs="Times New Roman"/>
                <w:b w:val="0"/>
                <w:bCs/>
                <w:color w:val="auto"/>
                <w:sz w:val="24"/>
                <w:szCs w:val="24"/>
                <w:lang w:val="en-US" w:eastAsia="zh-CN"/>
              </w:rPr>
              <w:t>有组织产生量为</w:t>
            </w:r>
            <w:r>
              <w:rPr>
                <w:rFonts w:hint="eastAsia" w:cs="Times New Roman"/>
                <w:b w:val="0"/>
                <w:bCs/>
                <w:color w:val="auto"/>
                <w:sz w:val="24"/>
                <w:szCs w:val="24"/>
                <w:lang w:val="en-US" w:eastAsia="zh-CN"/>
              </w:rPr>
              <w:t>3.47</w:t>
            </w:r>
            <w:r>
              <w:rPr>
                <w:rFonts w:hint="default" w:cs="Times New Roman"/>
                <w:b w:val="0"/>
                <w:bCs/>
                <w:color w:val="auto"/>
                <w:sz w:val="24"/>
                <w:szCs w:val="24"/>
                <w:lang w:val="en-US" w:eastAsia="zh-CN"/>
              </w:rPr>
              <w:t>t/a，</w:t>
            </w:r>
            <w:r>
              <w:rPr>
                <w:rFonts w:hint="eastAsia" w:cs="Times New Roman"/>
                <w:b w:val="0"/>
                <w:bCs/>
                <w:color w:val="auto"/>
                <w:sz w:val="24"/>
                <w:szCs w:val="24"/>
                <w:lang w:val="en-US" w:eastAsia="zh-CN"/>
              </w:rPr>
              <w:t>产生速率为0.482kg/h，</w:t>
            </w:r>
            <w:r>
              <w:rPr>
                <w:rFonts w:hint="default" w:cs="Times New Roman"/>
                <w:b w:val="0"/>
                <w:bCs/>
                <w:color w:val="auto"/>
                <w:sz w:val="24"/>
                <w:szCs w:val="24"/>
                <w:lang w:val="en-US" w:eastAsia="zh-CN"/>
              </w:rPr>
              <w:t>产生浓度约为</w:t>
            </w:r>
            <w:r>
              <w:rPr>
                <w:rFonts w:hint="eastAsia" w:cs="Times New Roman"/>
                <w:b w:val="0"/>
                <w:bCs/>
                <w:color w:val="auto"/>
                <w:sz w:val="24"/>
                <w:szCs w:val="24"/>
                <w:lang w:val="en-US" w:eastAsia="zh-CN"/>
              </w:rPr>
              <w:t>53.5</w:t>
            </w:r>
            <w:r>
              <w:rPr>
                <w:rFonts w:hint="default" w:cs="Times New Roman"/>
                <w:b w:val="0"/>
                <w:bCs/>
                <w:color w:val="auto"/>
                <w:sz w:val="24"/>
                <w:szCs w:val="24"/>
                <w:lang w:val="en-US" w:eastAsia="zh-CN"/>
              </w:rPr>
              <w:t>mg/m</w:t>
            </w:r>
            <w:r>
              <w:rPr>
                <w:rFonts w:hint="default" w:cs="Times New Roman"/>
                <w:b w:val="0"/>
                <w:bCs/>
                <w:color w:val="auto"/>
                <w:sz w:val="24"/>
                <w:szCs w:val="24"/>
                <w:vertAlign w:val="superscript"/>
                <w:lang w:val="en-US" w:eastAsia="zh-CN"/>
              </w:rPr>
              <w:t>3</w:t>
            </w:r>
            <w:r>
              <w:rPr>
                <w:rFonts w:hint="default" w:cs="Times New Roman"/>
                <w:b w:val="0"/>
                <w:bCs/>
                <w:color w:val="auto"/>
                <w:sz w:val="24"/>
                <w:szCs w:val="24"/>
                <w:lang w:val="en-US" w:eastAsia="zh-CN"/>
              </w:rPr>
              <w:t>；经活性炭纤维毡处理后</w:t>
            </w:r>
            <w:r>
              <w:rPr>
                <w:rFonts w:hint="eastAsia" w:cs="Times New Roman"/>
                <w:b w:val="0"/>
                <w:bCs/>
                <w:color w:val="auto"/>
                <w:sz w:val="24"/>
                <w:szCs w:val="24"/>
                <w:lang w:val="en-US" w:eastAsia="zh-CN"/>
              </w:rPr>
              <w:t>挥发性有机物</w:t>
            </w:r>
            <w:r>
              <w:rPr>
                <w:rFonts w:hint="default" w:cs="Times New Roman"/>
                <w:b w:val="0"/>
                <w:bCs/>
                <w:color w:val="auto"/>
                <w:sz w:val="24"/>
                <w:szCs w:val="24"/>
                <w:lang w:val="en-US" w:eastAsia="zh-CN"/>
              </w:rPr>
              <w:t>排放量为</w:t>
            </w:r>
            <w:r>
              <w:rPr>
                <w:rFonts w:hint="eastAsia" w:cs="Times New Roman"/>
                <w:b w:val="0"/>
                <w:bCs/>
                <w:color w:val="auto"/>
                <w:sz w:val="24"/>
                <w:szCs w:val="24"/>
                <w:lang w:val="en-US" w:eastAsia="zh-CN"/>
              </w:rPr>
              <w:t>0.347</w:t>
            </w:r>
            <w:r>
              <w:rPr>
                <w:rFonts w:hint="default" w:cs="Times New Roman"/>
                <w:b w:val="0"/>
                <w:bCs/>
                <w:color w:val="auto"/>
                <w:sz w:val="24"/>
                <w:szCs w:val="24"/>
                <w:lang w:val="en-US" w:eastAsia="zh-CN"/>
              </w:rPr>
              <w:t>t/a，排放速率为</w:t>
            </w:r>
            <w:r>
              <w:rPr>
                <w:rFonts w:hint="eastAsia" w:cs="Times New Roman"/>
                <w:b w:val="0"/>
                <w:bCs/>
                <w:color w:val="auto"/>
                <w:sz w:val="24"/>
                <w:szCs w:val="24"/>
                <w:lang w:val="en-US" w:eastAsia="zh-CN"/>
              </w:rPr>
              <w:t>0.0482</w:t>
            </w:r>
            <w:r>
              <w:rPr>
                <w:rFonts w:hint="default" w:cs="Times New Roman"/>
                <w:b w:val="0"/>
                <w:bCs/>
                <w:color w:val="auto"/>
                <w:sz w:val="24"/>
                <w:szCs w:val="24"/>
                <w:lang w:val="en-US" w:eastAsia="zh-CN"/>
              </w:rPr>
              <w:t>kg/h，排放浓度约为</w:t>
            </w:r>
            <w:r>
              <w:rPr>
                <w:rFonts w:hint="eastAsia" w:cs="Times New Roman"/>
                <w:b w:val="0"/>
                <w:bCs/>
                <w:color w:val="auto"/>
                <w:sz w:val="24"/>
                <w:szCs w:val="24"/>
                <w:lang w:val="en-US" w:eastAsia="zh-CN"/>
              </w:rPr>
              <w:t>5.36</w:t>
            </w:r>
            <w:r>
              <w:rPr>
                <w:rFonts w:hint="default" w:cs="Times New Roman"/>
                <w:b w:val="0"/>
                <w:bCs/>
                <w:color w:val="auto"/>
                <w:sz w:val="24"/>
                <w:szCs w:val="24"/>
                <w:lang w:val="en-US" w:eastAsia="zh-CN"/>
              </w:rPr>
              <w:t>mg/m</w:t>
            </w:r>
            <w:r>
              <w:rPr>
                <w:rFonts w:hint="default" w:cs="Times New Roman"/>
                <w:b w:val="0"/>
                <w:bCs/>
                <w:color w:val="auto"/>
                <w:sz w:val="24"/>
                <w:szCs w:val="24"/>
                <w:vertAlign w:val="superscript"/>
                <w:lang w:val="en-US" w:eastAsia="zh-CN"/>
              </w:rPr>
              <w:t>3</w:t>
            </w:r>
            <w:r>
              <w:rPr>
                <w:rFonts w:hint="default" w:cs="Times New Roman"/>
                <w:b w:val="0"/>
                <w:bCs/>
                <w:color w:val="auto"/>
                <w:sz w:val="24"/>
                <w:szCs w:val="24"/>
                <w:lang w:val="en-US" w:eastAsia="zh-CN"/>
              </w:rPr>
              <w:t>。</w:t>
            </w:r>
          </w:p>
          <w:p>
            <w:pPr>
              <w:pStyle w:val="37"/>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outlineLvl w:val="9"/>
              <w:rPr>
                <w:rFonts w:hint="default" w:cs="Times New Roman"/>
                <w:b w:val="0"/>
                <w:bCs/>
                <w:color w:val="auto"/>
                <w:sz w:val="24"/>
                <w:szCs w:val="24"/>
                <w:lang w:val="en-US" w:eastAsia="zh-CN"/>
              </w:rPr>
            </w:pPr>
            <w:r>
              <w:rPr>
                <w:rFonts w:hint="default" w:cs="Times New Roman"/>
                <w:b w:val="0"/>
                <w:bCs/>
                <w:color w:val="auto"/>
                <w:sz w:val="24"/>
                <w:szCs w:val="24"/>
                <w:lang w:val="en-US" w:eastAsia="zh-CN"/>
              </w:rPr>
              <w:t>无组织</w:t>
            </w:r>
            <w:r>
              <w:rPr>
                <w:rFonts w:hint="eastAsia" w:cs="Times New Roman"/>
                <w:b w:val="0"/>
                <w:bCs/>
                <w:color w:val="auto"/>
                <w:sz w:val="24"/>
                <w:szCs w:val="24"/>
                <w:lang w:val="en-US" w:eastAsia="zh-CN"/>
              </w:rPr>
              <w:t>挥发性有机物</w:t>
            </w:r>
            <w:r>
              <w:rPr>
                <w:rFonts w:hint="default" w:cs="Times New Roman"/>
                <w:b w:val="0"/>
                <w:bCs/>
                <w:color w:val="auto"/>
                <w:sz w:val="24"/>
                <w:szCs w:val="24"/>
                <w:lang w:val="en-US" w:eastAsia="zh-CN"/>
              </w:rPr>
              <w:t>排放量为</w:t>
            </w:r>
            <w:r>
              <w:rPr>
                <w:rFonts w:hint="eastAsia" w:cs="Times New Roman"/>
                <w:b w:val="0"/>
                <w:bCs/>
                <w:color w:val="auto"/>
                <w:sz w:val="24"/>
                <w:szCs w:val="24"/>
                <w:lang w:val="en-US" w:eastAsia="zh-CN"/>
              </w:rPr>
              <w:t>0.385</w:t>
            </w:r>
            <w:r>
              <w:rPr>
                <w:rFonts w:hint="default" w:cs="Times New Roman"/>
                <w:b w:val="0"/>
                <w:bCs/>
                <w:color w:val="auto"/>
                <w:sz w:val="24"/>
                <w:szCs w:val="24"/>
                <w:lang w:val="en-US" w:eastAsia="zh-CN"/>
              </w:rPr>
              <w:t>t/a，排放速率为0.0</w:t>
            </w:r>
            <w:r>
              <w:rPr>
                <w:rFonts w:hint="eastAsia" w:cs="Times New Roman"/>
                <w:b w:val="0"/>
                <w:bCs/>
                <w:color w:val="auto"/>
                <w:sz w:val="24"/>
                <w:szCs w:val="24"/>
                <w:lang w:val="en-US" w:eastAsia="zh-CN"/>
              </w:rPr>
              <w:t>535</w:t>
            </w:r>
            <w:r>
              <w:rPr>
                <w:rFonts w:hint="default" w:cs="Times New Roman"/>
                <w:b w:val="0"/>
                <w:bCs/>
                <w:color w:val="auto"/>
                <w:sz w:val="24"/>
                <w:szCs w:val="24"/>
                <w:lang w:val="en-US" w:eastAsia="zh-CN"/>
              </w:rPr>
              <w:t>kg/h。</w:t>
            </w:r>
          </w:p>
          <w:p>
            <w:pPr>
              <w:pStyle w:val="37"/>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outlineLvl w:val="9"/>
              <w:rPr>
                <w:rFonts w:hint="default" w:cs="Times New Roman"/>
                <w:b w:val="0"/>
                <w:bCs/>
                <w:color w:val="auto"/>
                <w:sz w:val="24"/>
                <w:szCs w:val="24"/>
                <w:lang w:val="en-US" w:eastAsia="zh-CN"/>
              </w:rPr>
            </w:pPr>
            <w:r>
              <w:rPr>
                <w:rFonts w:hint="default" w:cs="Times New Roman"/>
                <w:b w:val="0"/>
                <w:bCs/>
                <w:color w:val="auto"/>
                <w:sz w:val="24"/>
                <w:szCs w:val="24"/>
                <w:lang w:val="en-US" w:eastAsia="zh-CN"/>
              </w:rPr>
              <w:t>按照《环境工程设计手册》中的有关公式，根据类似项目实际治理工程的情况以及结合本项目的设备规模，需要收集有机废气的设备，按照以下经验公式计算得出各设备所需的风量Q。</w:t>
            </w:r>
          </w:p>
          <w:p>
            <w:pPr>
              <w:pStyle w:val="37"/>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outlineLvl w:val="9"/>
              <w:rPr>
                <w:rFonts w:hint="default" w:cs="Times New Roman"/>
                <w:b w:val="0"/>
                <w:bCs/>
                <w:color w:val="auto"/>
                <w:sz w:val="24"/>
                <w:szCs w:val="24"/>
                <w:lang w:val="en-US" w:eastAsia="zh-CN"/>
              </w:rPr>
            </w:pPr>
            <w:r>
              <w:rPr>
                <w:rFonts w:hint="default" w:cs="Times New Roman"/>
                <w:b w:val="0"/>
                <w:bCs/>
                <w:color w:val="auto"/>
                <w:sz w:val="24"/>
                <w:szCs w:val="24"/>
                <w:lang w:val="en-US" w:eastAsia="zh-CN"/>
              </w:rPr>
              <w:t>集气罩集气风量计算公式：Q=3600（5X</w:t>
            </w:r>
            <w:r>
              <w:rPr>
                <w:rFonts w:hint="default" w:cs="Times New Roman"/>
                <w:b w:val="0"/>
                <w:bCs/>
                <w:color w:val="auto"/>
                <w:sz w:val="24"/>
                <w:szCs w:val="24"/>
                <w:vertAlign w:val="superscript"/>
                <w:lang w:val="en-US" w:eastAsia="zh-CN"/>
              </w:rPr>
              <w:t>2</w:t>
            </w:r>
            <w:r>
              <w:rPr>
                <w:rFonts w:hint="default" w:cs="Times New Roman"/>
                <w:b w:val="0"/>
                <w:bCs/>
                <w:color w:val="auto"/>
                <w:sz w:val="24"/>
                <w:szCs w:val="24"/>
                <w:lang w:val="en-US" w:eastAsia="zh-CN"/>
              </w:rPr>
              <w:t>+F）*Vx</w:t>
            </w:r>
          </w:p>
          <w:p>
            <w:pPr>
              <w:pStyle w:val="37"/>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outlineLvl w:val="9"/>
              <w:rPr>
                <w:rFonts w:hint="default" w:cs="Times New Roman"/>
                <w:b w:val="0"/>
                <w:bCs/>
                <w:color w:val="auto"/>
                <w:sz w:val="24"/>
                <w:szCs w:val="24"/>
                <w:lang w:val="en-US" w:eastAsia="zh-CN"/>
              </w:rPr>
            </w:pPr>
            <w:r>
              <w:rPr>
                <w:rFonts w:hint="default" w:cs="Times New Roman"/>
                <w:b w:val="0"/>
                <w:bCs/>
                <w:color w:val="auto"/>
                <w:sz w:val="24"/>
                <w:szCs w:val="24"/>
                <w:lang w:val="en-US" w:eastAsia="zh-CN"/>
              </w:rPr>
              <w:t>式中：Q：为集气风量，单位为m</w:t>
            </w:r>
            <w:r>
              <w:rPr>
                <w:rFonts w:hint="default" w:cs="Times New Roman"/>
                <w:b w:val="0"/>
                <w:bCs/>
                <w:color w:val="auto"/>
                <w:sz w:val="24"/>
                <w:szCs w:val="24"/>
                <w:vertAlign w:val="superscript"/>
                <w:lang w:val="en-US" w:eastAsia="zh-CN"/>
              </w:rPr>
              <w:t>3</w:t>
            </w:r>
            <w:r>
              <w:rPr>
                <w:rFonts w:hint="default" w:cs="Times New Roman"/>
                <w:b w:val="0"/>
                <w:bCs/>
                <w:color w:val="auto"/>
                <w:sz w:val="24"/>
                <w:szCs w:val="24"/>
                <w:lang w:val="en-US" w:eastAsia="zh-CN"/>
              </w:rPr>
              <w:t>/h；</w:t>
            </w:r>
          </w:p>
          <w:p>
            <w:pPr>
              <w:pStyle w:val="37"/>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outlineLvl w:val="9"/>
              <w:rPr>
                <w:rFonts w:hint="default" w:cs="Times New Roman"/>
                <w:b w:val="0"/>
                <w:bCs/>
                <w:color w:val="auto"/>
                <w:sz w:val="24"/>
                <w:szCs w:val="24"/>
                <w:lang w:val="en-US" w:eastAsia="zh-CN"/>
              </w:rPr>
            </w:pPr>
            <w:r>
              <w:rPr>
                <w:rFonts w:hint="default" w:cs="Times New Roman"/>
                <w:b w:val="0"/>
                <w:bCs/>
                <w:color w:val="auto"/>
                <w:sz w:val="24"/>
                <w:szCs w:val="24"/>
                <w:lang w:val="en-US" w:eastAsia="zh-CN"/>
              </w:rPr>
              <w:t>X：集气罩至污染源的距离（取0.2m）；</w:t>
            </w:r>
          </w:p>
          <w:p>
            <w:pPr>
              <w:pStyle w:val="37"/>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outlineLvl w:val="9"/>
              <w:rPr>
                <w:rFonts w:hint="default" w:cs="Times New Roman"/>
                <w:b w:val="0"/>
                <w:bCs/>
                <w:color w:val="auto"/>
                <w:sz w:val="24"/>
                <w:szCs w:val="24"/>
                <w:lang w:val="en-US" w:eastAsia="zh-CN"/>
              </w:rPr>
            </w:pPr>
            <w:r>
              <w:rPr>
                <w:rFonts w:hint="default" w:cs="Times New Roman"/>
                <w:b w:val="0"/>
                <w:bCs/>
                <w:color w:val="auto"/>
                <w:sz w:val="24"/>
                <w:szCs w:val="24"/>
                <w:lang w:val="en-US" w:eastAsia="zh-CN"/>
              </w:rPr>
              <w:t>F：集气罩口面积（根据设备口径尺寸取</w:t>
            </w:r>
            <w:r>
              <w:rPr>
                <w:rFonts w:hint="eastAsia" w:cs="Times New Roman"/>
                <w:b w:val="0"/>
                <w:bCs/>
                <w:color w:val="auto"/>
                <w:sz w:val="24"/>
                <w:szCs w:val="24"/>
                <w:lang w:val="en-US" w:eastAsia="zh-CN"/>
              </w:rPr>
              <w:t>1</w:t>
            </w:r>
            <w:r>
              <w:rPr>
                <w:rFonts w:hint="default" w:cs="Times New Roman"/>
                <w:b w:val="0"/>
                <w:bCs/>
                <w:color w:val="auto"/>
                <w:sz w:val="24"/>
                <w:szCs w:val="24"/>
                <w:lang w:val="en-US" w:eastAsia="zh-CN"/>
              </w:rPr>
              <w:t>m*</w:t>
            </w:r>
            <w:r>
              <w:rPr>
                <w:rFonts w:hint="eastAsia" w:cs="Times New Roman"/>
                <w:b w:val="0"/>
                <w:bCs/>
                <w:color w:val="auto"/>
                <w:sz w:val="24"/>
                <w:szCs w:val="24"/>
                <w:lang w:val="en-US" w:eastAsia="zh-CN"/>
              </w:rPr>
              <w:t>1</w:t>
            </w:r>
            <w:r>
              <w:rPr>
                <w:rFonts w:hint="default" w:cs="Times New Roman"/>
                <w:b w:val="0"/>
                <w:bCs/>
                <w:color w:val="auto"/>
                <w:sz w:val="24"/>
                <w:szCs w:val="24"/>
                <w:lang w:val="en-US" w:eastAsia="zh-CN"/>
              </w:rPr>
              <w:t>m）；</w:t>
            </w:r>
          </w:p>
          <w:p>
            <w:pPr>
              <w:pStyle w:val="37"/>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outlineLvl w:val="9"/>
              <w:rPr>
                <w:rFonts w:hint="default" w:cs="Times New Roman"/>
                <w:b w:val="0"/>
                <w:bCs/>
                <w:color w:val="auto"/>
                <w:sz w:val="24"/>
                <w:szCs w:val="24"/>
                <w:lang w:val="en-US" w:eastAsia="zh-CN"/>
              </w:rPr>
            </w:pPr>
            <w:r>
              <w:rPr>
                <w:rFonts w:hint="default" w:cs="Times New Roman"/>
                <w:b w:val="0"/>
                <w:bCs/>
                <w:color w:val="auto"/>
                <w:sz w:val="24"/>
                <w:szCs w:val="24"/>
                <w:lang w:val="en-US" w:eastAsia="zh-CN"/>
              </w:rPr>
              <w:t>Vx：控制风量（取0.6m/s）。</w:t>
            </w:r>
          </w:p>
          <w:p>
            <w:pPr>
              <w:pStyle w:val="37"/>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outlineLvl w:val="9"/>
              <w:rPr>
                <w:rFonts w:hint="eastAsia" w:cs="Times New Roman"/>
                <w:b w:val="0"/>
                <w:bCs/>
                <w:color w:val="auto"/>
                <w:sz w:val="24"/>
                <w:szCs w:val="24"/>
                <w:lang w:val="en-US" w:eastAsia="zh-CN"/>
              </w:rPr>
            </w:pPr>
            <w:r>
              <w:rPr>
                <w:rFonts w:hint="eastAsia" w:cs="Times New Roman"/>
                <w:b w:val="0"/>
                <w:bCs/>
                <w:color w:val="auto"/>
                <w:sz w:val="24"/>
                <w:szCs w:val="24"/>
                <w:highlight w:val="none"/>
                <w:lang w:val="en-US" w:eastAsia="zh-CN"/>
              </w:rPr>
              <w:t>本项目清洗工序设备3台，</w:t>
            </w:r>
            <w:r>
              <w:rPr>
                <w:rFonts w:hint="default" w:cs="Times New Roman"/>
                <w:b w:val="0"/>
                <w:bCs/>
                <w:color w:val="auto"/>
                <w:sz w:val="24"/>
                <w:szCs w:val="24"/>
                <w:highlight w:val="none"/>
                <w:lang w:val="en-US" w:eastAsia="zh-CN"/>
              </w:rPr>
              <w:t>则单个集气罩风量为</w:t>
            </w:r>
            <w:r>
              <w:rPr>
                <w:rFonts w:hint="eastAsia" w:cs="Times New Roman"/>
                <w:b w:val="0"/>
                <w:bCs/>
                <w:color w:val="auto"/>
                <w:sz w:val="24"/>
                <w:szCs w:val="24"/>
                <w:highlight w:val="none"/>
                <w:lang w:val="en-US" w:eastAsia="zh-CN"/>
              </w:rPr>
              <w:t>2592</w:t>
            </w:r>
            <w:r>
              <w:rPr>
                <w:rFonts w:hint="default" w:cs="Times New Roman"/>
                <w:b w:val="0"/>
                <w:bCs/>
                <w:color w:val="auto"/>
                <w:sz w:val="24"/>
                <w:szCs w:val="24"/>
                <w:highlight w:val="none"/>
                <w:lang w:val="en-US" w:eastAsia="zh-CN"/>
              </w:rPr>
              <w:t>m</w:t>
            </w:r>
            <w:r>
              <w:rPr>
                <w:rFonts w:hint="default" w:cs="Times New Roman"/>
                <w:b w:val="0"/>
                <w:bCs/>
                <w:color w:val="auto"/>
                <w:sz w:val="24"/>
                <w:szCs w:val="24"/>
                <w:highlight w:val="none"/>
                <w:vertAlign w:val="superscript"/>
                <w:lang w:val="en-US" w:eastAsia="zh-CN"/>
              </w:rPr>
              <w:t>3</w:t>
            </w:r>
            <w:r>
              <w:rPr>
                <w:rFonts w:hint="default" w:cs="Times New Roman"/>
                <w:b w:val="0"/>
                <w:bCs/>
                <w:color w:val="auto"/>
                <w:sz w:val="24"/>
                <w:szCs w:val="24"/>
                <w:highlight w:val="none"/>
                <w:lang w:val="en-US" w:eastAsia="zh-CN"/>
              </w:rPr>
              <w:t>/h，</w:t>
            </w:r>
            <w:r>
              <w:rPr>
                <w:rFonts w:hint="eastAsia" w:cs="Times New Roman"/>
                <w:b w:val="0"/>
                <w:bCs/>
                <w:color w:val="auto"/>
                <w:sz w:val="24"/>
                <w:szCs w:val="24"/>
                <w:lang w:val="en-US" w:eastAsia="zh-CN"/>
              </w:rPr>
              <w:t>考虑风阻，</w:t>
            </w:r>
            <w:r>
              <w:rPr>
                <w:rFonts w:hint="default" w:cs="Times New Roman"/>
                <w:b w:val="0"/>
                <w:bCs/>
                <w:color w:val="auto"/>
                <w:sz w:val="24"/>
                <w:szCs w:val="24"/>
                <w:lang w:val="en-US" w:eastAsia="zh-CN"/>
              </w:rPr>
              <w:t>本环评</w:t>
            </w:r>
            <w:r>
              <w:rPr>
                <w:rFonts w:hint="eastAsia" w:cs="Times New Roman"/>
                <w:b w:val="0"/>
                <w:bCs/>
                <w:color w:val="auto"/>
                <w:sz w:val="24"/>
                <w:szCs w:val="24"/>
                <w:lang w:val="en-US" w:eastAsia="zh-CN"/>
              </w:rPr>
              <w:t>清洗废气总风量</w:t>
            </w:r>
            <w:r>
              <w:rPr>
                <w:rFonts w:hint="default" w:cs="Times New Roman"/>
                <w:b w:val="0"/>
                <w:bCs/>
                <w:color w:val="auto"/>
                <w:sz w:val="24"/>
                <w:szCs w:val="24"/>
                <w:lang w:val="en-US" w:eastAsia="zh-CN"/>
              </w:rPr>
              <w:t>取</w:t>
            </w:r>
            <w:r>
              <w:rPr>
                <w:rFonts w:hint="eastAsia" w:cs="Times New Roman"/>
                <w:b w:val="0"/>
                <w:bCs/>
                <w:color w:val="auto"/>
                <w:sz w:val="24"/>
                <w:szCs w:val="24"/>
                <w:lang w:val="en-US" w:eastAsia="zh-CN"/>
              </w:rPr>
              <w:t>9000</w:t>
            </w:r>
            <w:r>
              <w:rPr>
                <w:rFonts w:hint="default" w:cs="Times New Roman"/>
                <w:b w:val="0"/>
                <w:bCs/>
                <w:color w:val="auto"/>
                <w:sz w:val="24"/>
                <w:szCs w:val="24"/>
                <w:lang w:val="en-US" w:eastAsia="zh-CN"/>
              </w:rPr>
              <w:t>m</w:t>
            </w:r>
            <w:r>
              <w:rPr>
                <w:rFonts w:hint="default" w:cs="Times New Roman"/>
                <w:b w:val="0"/>
                <w:bCs/>
                <w:color w:val="auto"/>
                <w:sz w:val="24"/>
                <w:szCs w:val="24"/>
                <w:vertAlign w:val="superscript"/>
                <w:lang w:val="en-US" w:eastAsia="zh-CN"/>
              </w:rPr>
              <w:t>3</w:t>
            </w:r>
            <w:r>
              <w:rPr>
                <w:rFonts w:hint="default" w:cs="Times New Roman"/>
                <w:b w:val="0"/>
                <w:bCs/>
                <w:color w:val="auto"/>
                <w:sz w:val="24"/>
                <w:szCs w:val="24"/>
                <w:lang w:val="en-US" w:eastAsia="zh-CN"/>
              </w:rPr>
              <w:t>/h。</w:t>
            </w:r>
          </w:p>
          <w:p>
            <w:pPr>
              <w:pStyle w:val="37"/>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outlineLvl w:val="9"/>
              <w:rPr>
                <w:rFonts w:hint="eastAsia" w:cs="Times New Roman"/>
                <w:b w:val="0"/>
                <w:bCs/>
                <w:color w:val="auto"/>
                <w:sz w:val="24"/>
                <w:szCs w:val="24"/>
                <w:lang w:val="en-US" w:eastAsia="zh-CN"/>
              </w:rPr>
            </w:pPr>
            <w:r>
              <w:rPr>
                <w:rFonts w:hint="eastAsia" w:cs="Times New Roman"/>
                <w:b w:val="0"/>
                <w:bCs/>
                <w:color w:val="auto"/>
                <w:sz w:val="24"/>
                <w:szCs w:val="24"/>
                <w:lang w:val="en-US" w:eastAsia="zh-CN"/>
              </w:rPr>
              <w:t>废气收集处理排放情况见下图4.1：</w:t>
            </w:r>
          </w:p>
          <w:p>
            <w:pPr>
              <w:pStyle w:val="43"/>
              <w:keepNext w:val="0"/>
              <w:keepLines w:val="0"/>
              <w:pageBreakBefore w:val="0"/>
              <w:kinsoku/>
              <w:wordWrap/>
              <w:overflowPunct/>
              <w:topLinePunct w:val="0"/>
              <w:bidi w:val="0"/>
              <w:adjustRightInd w:val="0"/>
              <w:snapToGrid w:val="0"/>
              <w:spacing w:line="360" w:lineRule="auto"/>
              <w:ind w:left="0" w:leftChars="0" w:firstLine="0" w:firstLineChars="0"/>
              <w:jc w:val="center"/>
              <w:textAlignment w:val="auto"/>
              <w:rPr>
                <w:rFonts w:hint="eastAsia" w:ascii="Times New Roman" w:hAnsi="Times New Roman" w:eastAsia="宋体"/>
                <w:b/>
                <w:bCs/>
                <w:color w:val="0000FF"/>
                <w:sz w:val="24"/>
                <w:szCs w:val="24"/>
                <w:lang w:val="en-US" w:eastAsia="zh-CN"/>
              </w:rPr>
            </w:pPr>
            <w:r>
              <w:rPr>
                <w:rFonts w:hint="eastAsia" w:ascii="Times New Roman" w:hAnsi="Times New Roman" w:eastAsia="宋体"/>
                <w:b/>
                <w:bCs/>
                <w:color w:val="0000FF"/>
                <w:sz w:val="24"/>
                <w:szCs w:val="24"/>
                <w:lang w:val="en-US" w:eastAsia="zh-CN"/>
              </w:rPr>
              <w:object>
                <v:shape id="_x0000_i1027" o:spt="75" type="#_x0000_t75" style="height:196.7pt;width:389.8pt;" o:ole="t" filled="f" o:preferrelative="t" stroked="f" coordsize="21600,21600">
                  <v:path/>
                  <v:fill on="f" focussize="0,0"/>
                  <v:stroke on="f"/>
                  <v:imagedata r:id="rId12" o:title=""/>
                  <o:lock v:ext="edit" aspectratio="f"/>
                  <w10:wrap type="none"/>
                  <w10:anchorlock/>
                </v:shape>
                <o:OLEObject Type="Embed" ProgID="Visio.Drawing.11" ShapeID="_x0000_i1027" DrawAspect="Content" ObjectID="_1468075727" r:id="rId11">
                  <o:LockedField>false</o:LockedField>
                </o:OLEObject>
              </w:object>
            </w:r>
          </w:p>
          <w:p>
            <w:pPr>
              <w:pStyle w:val="43"/>
              <w:keepNext w:val="0"/>
              <w:keepLines w:val="0"/>
              <w:pageBreakBefore w:val="0"/>
              <w:kinsoku/>
              <w:wordWrap/>
              <w:overflowPunct/>
              <w:topLinePunct w:val="0"/>
              <w:bidi w:val="0"/>
              <w:adjustRightInd w:val="0"/>
              <w:snapToGrid w:val="0"/>
              <w:spacing w:line="360" w:lineRule="auto"/>
              <w:ind w:left="0" w:leftChars="0" w:firstLine="0" w:firstLineChars="0"/>
              <w:jc w:val="center"/>
              <w:textAlignment w:val="auto"/>
              <w:rPr>
                <w:rFonts w:hint="eastAsia" w:ascii="Times New Roman" w:hAnsi="Times New Roman" w:eastAsia="宋体"/>
                <w:b/>
                <w:bCs/>
                <w:color w:val="auto"/>
                <w:sz w:val="24"/>
                <w:szCs w:val="24"/>
                <w:highlight w:val="none"/>
                <w:lang w:val="en-US" w:eastAsia="zh-CN"/>
              </w:rPr>
            </w:pPr>
            <w:r>
              <w:rPr>
                <w:rFonts w:hint="eastAsia" w:ascii="Times New Roman" w:hAnsi="Times New Roman" w:eastAsia="宋体"/>
                <w:b/>
                <w:bCs/>
                <w:color w:val="auto"/>
                <w:sz w:val="24"/>
                <w:szCs w:val="24"/>
                <w:highlight w:val="none"/>
                <w:lang w:val="en-US" w:eastAsia="zh-CN"/>
              </w:rPr>
              <w:t>图4.1   废气收集处理排放情况</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eastAsia" w:ascii="Times New Roman" w:hAnsi="Times New Roman" w:cs="Times New Roman"/>
                <w:bCs/>
                <w:color w:val="0000FF"/>
                <w:spacing w:val="-10"/>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eastAsia" w:ascii="Times New Roman" w:hAnsi="Times New Roman" w:cs="Times New Roman"/>
                <w:bCs/>
                <w:color w:val="0000FF"/>
                <w:spacing w:val="-10"/>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eastAsia" w:ascii="Times New Roman" w:hAnsi="Times New Roman" w:cs="Times New Roman"/>
                <w:bCs/>
                <w:color w:val="0000FF"/>
                <w:spacing w:val="-10"/>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eastAsia" w:ascii="Times New Roman" w:hAnsi="Times New Roman" w:cs="Times New Roman"/>
                <w:bCs/>
                <w:color w:val="0000FF"/>
                <w:spacing w:val="-10"/>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eastAsia" w:ascii="Times New Roman" w:hAnsi="Times New Roman" w:cs="Times New Roman"/>
                <w:bCs/>
                <w:color w:val="0000FF"/>
                <w:spacing w:val="-10"/>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eastAsia" w:ascii="Times New Roman" w:hAnsi="Times New Roman" w:cs="Times New Roman"/>
                <w:bCs/>
                <w:color w:val="0000FF"/>
                <w:spacing w:val="-10"/>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eastAsia" w:cs="Times New Roman"/>
                <w:bCs/>
                <w:color w:val="0000FF"/>
                <w:spacing w:val="-10"/>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eastAsia" w:cs="Times New Roman"/>
                <w:bCs/>
                <w:color w:val="0000FF"/>
                <w:spacing w:val="-10"/>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eastAsia" w:cs="Times New Roman"/>
                <w:bCs/>
                <w:color w:val="0000FF"/>
                <w:spacing w:val="-10"/>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eastAsia" w:cs="Times New Roman"/>
                <w:bCs/>
                <w:color w:val="0000FF"/>
                <w:spacing w:val="-10"/>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eastAsia" w:cs="Times New Roman"/>
                <w:bCs/>
                <w:color w:val="0000FF"/>
                <w:spacing w:val="-10"/>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eastAsia" w:cs="Times New Roman"/>
                <w:bCs/>
                <w:color w:val="0000FF"/>
                <w:spacing w:val="-10"/>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eastAsia" w:cs="Times New Roman"/>
                <w:bCs/>
                <w:color w:val="0000FF"/>
                <w:spacing w:val="-10"/>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eastAsia" w:cs="Times New Roman"/>
                <w:bCs/>
                <w:color w:val="0000FF"/>
                <w:spacing w:val="-10"/>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eastAsia" w:cs="Times New Roman"/>
                <w:bCs/>
                <w:color w:val="0000FF"/>
                <w:spacing w:val="-10"/>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bCs/>
                <w:color w:val="0000FF"/>
                <w:spacing w:val="-10"/>
                <w:szCs w:val="21"/>
              </w:rPr>
            </w:pPr>
          </w:p>
          <w:p>
            <w:pPr>
              <w:pStyle w:val="2"/>
              <w:rPr>
                <w:rFonts w:hint="default"/>
              </w:rPr>
            </w:pPr>
          </w:p>
        </w:tc>
      </w:tr>
    </w:tbl>
    <w:p>
      <w:pPr>
        <w:rPr>
          <w:color w:val="0000FF"/>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6"/>
        <w:tblW w:w="1344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12"/>
        <w:gridCol w:w="129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97" w:hRule="atLeast"/>
          <w:jc w:val="center"/>
        </w:trPr>
        <w:tc>
          <w:tcPr>
            <w:tcW w:w="512"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both"/>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运营</w:t>
            </w:r>
          </w:p>
          <w:p>
            <w:pPr>
              <w:keepNext w:val="0"/>
              <w:keepLines w:val="0"/>
              <w:pageBreakBefore w:val="0"/>
              <w:widowControl w:val="0"/>
              <w:kinsoku/>
              <w:wordWrap/>
              <w:overflowPunct/>
              <w:topLinePunct w:val="0"/>
              <w:bidi w:val="0"/>
              <w:adjustRightInd w:val="0"/>
              <w:snapToGrid w:val="0"/>
              <w:spacing w:line="240" w:lineRule="auto"/>
              <w:jc w:val="both"/>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期环</w:t>
            </w:r>
          </w:p>
          <w:p>
            <w:pPr>
              <w:keepNext w:val="0"/>
              <w:keepLines w:val="0"/>
              <w:pageBreakBefore w:val="0"/>
              <w:widowControl w:val="0"/>
              <w:kinsoku/>
              <w:wordWrap/>
              <w:overflowPunct/>
              <w:topLinePunct w:val="0"/>
              <w:bidi w:val="0"/>
              <w:adjustRightInd w:val="0"/>
              <w:snapToGrid w:val="0"/>
              <w:spacing w:line="240" w:lineRule="auto"/>
              <w:jc w:val="both"/>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境影</w:t>
            </w:r>
          </w:p>
          <w:p>
            <w:pPr>
              <w:keepNext w:val="0"/>
              <w:keepLines w:val="0"/>
              <w:pageBreakBefore w:val="0"/>
              <w:widowControl w:val="0"/>
              <w:kinsoku/>
              <w:wordWrap/>
              <w:overflowPunct/>
              <w:topLinePunct w:val="0"/>
              <w:bidi w:val="0"/>
              <w:adjustRightInd w:val="0"/>
              <w:snapToGrid w:val="0"/>
              <w:spacing w:line="240" w:lineRule="auto"/>
              <w:jc w:val="both"/>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和</w:t>
            </w:r>
          </w:p>
          <w:p>
            <w:pPr>
              <w:keepNext w:val="0"/>
              <w:keepLines w:val="0"/>
              <w:pageBreakBefore w:val="0"/>
              <w:widowControl w:val="0"/>
              <w:kinsoku/>
              <w:wordWrap/>
              <w:overflowPunct/>
              <w:topLinePunct w:val="0"/>
              <w:bidi w:val="0"/>
              <w:adjustRightInd w:val="0"/>
              <w:snapToGrid w:val="0"/>
              <w:spacing w:line="240" w:lineRule="auto"/>
              <w:jc w:val="both"/>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保护</w:t>
            </w:r>
          </w:p>
          <w:p>
            <w:pPr>
              <w:pStyle w:val="37"/>
              <w:keepNext w:val="0"/>
              <w:keepLines w:val="0"/>
              <w:pageBreakBefore w:val="0"/>
              <w:widowControl w:val="0"/>
              <w:kinsoku/>
              <w:wordWrap/>
              <w:overflowPunct/>
              <w:topLinePunct w:val="0"/>
              <w:bidi w:val="0"/>
              <w:adjustRightInd w:val="0"/>
              <w:snapToGrid w:val="0"/>
              <w:spacing w:line="240" w:lineRule="auto"/>
              <w:jc w:val="both"/>
              <w:textAlignment w:val="auto"/>
              <w:rPr>
                <w:rFonts w:hint="default" w:ascii="Times New Roman" w:hAnsi="Times New Roman" w:eastAsia="宋体" w:cs="Times New Roman"/>
                <w:color w:val="0000FF"/>
                <w:vertAlign w:val="baseline"/>
              </w:rPr>
            </w:pPr>
            <w:r>
              <w:rPr>
                <w:rFonts w:hint="default" w:ascii="Times New Roman" w:hAnsi="Times New Roman" w:eastAsia="宋体" w:cs="Times New Roman"/>
                <w:b w:val="0"/>
                <w:bCs w:val="0"/>
                <w:color w:val="auto"/>
                <w:sz w:val="24"/>
                <w:szCs w:val="24"/>
              </w:rPr>
              <w:t>措施</w:t>
            </w:r>
          </w:p>
        </w:tc>
        <w:tc>
          <w:tcPr>
            <w:tcW w:w="12931"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bCs/>
                <w:sz w:val="24"/>
                <w:szCs w:val="24"/>
                <w:lang w:val="en-US" w:eastAsia="zh-CN"/>
              </w:rPr>
            </w:pPr>
            <w:r>
              <w:rPr>
                <w:rFonts w:hint="default" w:ascii="Times New Roman" w:hAnsi="Times New Roman" w:cs="Times New Roman" w:eastAsiaTheme="minorEastAsia"/>
                <w:b/>
                <w:bCs/>
                <w:sz w:val="24"/>
                <w:szCs w:val="24"/>
                <w:lang w:val="en-US" w:eastAsia="zh-CN"/>
              </w:rPr>
              <w:t>表4.3  废气产排污情况一览表</w:t>
            </w:r>
          </w:p>
          <w:tbl>
            <w:tblPr>
              <w:tblStyle w:val="26"/>
              <w:tblW w:w="127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
              <w:gridCol w:w="726"/>
              <w:gridCol w:w="837"/>
              <w:gridCol w:w="875"/>
              <w:gridCol w:w="870"/>
              <w:gridCol w:w="1452"/>
              <w:gridCol w:w="870"/>
              <w:gridCol w:w="675"/>
              <w:gridCol w:w="810"/>
              <w:gridCol w:w="915"/>
              <w:gridCol w:w="859"/>
              <w:gridCol w:w="892"/>
              <w:gridCol w:w="819"/>
              <w:gridCol w:w="1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6" w:type="dxa"/>
                  <w:vMerge w:val="restar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产排污环节</w:t>
                  </w:r>
                </w:p>
              </w:tc>
              <w:tc>
                <w:tcPr>
                  <w:tcW w:w="726" w:type="dxa"/>
                  <w:vMerge w:val="restar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污染物种类</w:t>
                  </w:r>
                </w:p>
              </w:tc>
              <w:tc>
                <w:tcPr>
                  <w:tcW w:w="1712" w:type="dxa"/>
                  <w:gridSpan w:val="2"/>
                  <w:noWrap w:val="0"/>
                  <w:vAlign w:val="center"/>
                </w:tcPr>
                <w:p>
                  <w:pPr>
                    <w:pStyle w:val="37"/>
                    <w:keepNext w:val="0"/>
                    <w:keepLines w:val="0"/>
                    <w:pageBreakBefore w:val="0"/>
                    <w:kinsoku/>
                    <w:wordWrap/>
                    <w:overflowPunct/>
                    <w:topLinePunct w:val="0"/>
                    <w:bidi w:val="0"/>
                    <w:adjustRightInd w:val="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污染物产生情况</w:t>
                  </w:r>
                </w:p>
              </w:tc>
              <w:tc>
                <w:tcPr>
                  <w:tcW w:w="870" w:type="dxa"/>
                  <w:vMerge w:val="restar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排放</w:t>
                  </w:r>
                </w:p>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形式</w:t>
                  </w:r>
                </w:p>
              </w:tc>
              <w:tc>
                <w:tcPr>
                  <w:tcW w:w="4722" w:type="dxa"/>
                  <w:gridSpan w:val="5"/>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主要污染治理设施</w:t>
                  </w:r>
                </w:p>
              </w:tc>
              <w:tc>
                <w:tcPr>
                  <w:tcW w:w="2570" w:type="dxa"/>
                  <w:gridSpan w:val="3"/>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污染物排放情况</w:t>
                  </w:r>
                </w:p>
              </w:tc>
              <w:tc>
                <w:tcPr>
                  <w:tcW w:w="1269"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6" w:type="dxa"/>
                  <w:vMerge w:val="continue"/>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lang w:val="en-US" w:eastAsia="zh-CN"/>
                    </w:rPr>
                  </w:pPr>
                </w:p>
              </w:tc>
              <w:tc>
                <w:tcPr>
                  <w:tcW w:w="726" w:type="dxa"/>
                  <w:vMerge w:val="continue"/>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lang w:val="en-US" w:eastAsia="zh-CN"/>
                    </w:rPr>
                  </w:pPr>
                </w:p>
              </w:tc>
              <w:tc>
                <w:tcPr>
                  <w:tcW w:w="837"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产生量</w:t>
                  </w:r>
                  <w:r>
                    <w:rPr>
                      <w:rFonts w:hint="default" w:ascii="Times New Roman" w:hAnsi="Times New Roman" w:eastAsia="宋体" w:cs="Times New Roman"/>
                      <w:sz w:val="21"/>
                      <w:szCs w:val="21"/>
                      <w:lang w:eastAsia="zh-CN"/>
                    </w:rPr>
                    <w:t>t/a</w:t>
                  </w:r>
                </w:p>
              </w:tc>
              <w:tc>
                <w:tcPr>
                  <w:tcW w:w="875"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产生</w:t>
                  </w:r>
                </w:p>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浓度mg/m</w:t>
                  </w:r>
                  <w:r>
                    <w:rPr>
                      <w:rFonts w:hint="default" w:ascii="Times New Roman" w:hAnsi="Times New Roman" w:eastAsia="宋体" w:cs="Times New Roman"/>
                      <w:sz w:val="21"/>
                      <w:szCs w:val="21"/>
                      <w:vertAlign w:val="superscript"/>
                      <w:lang w:val="en-US" w:eastAsia="zh-CN"/>
                    </w:rPr>
                    <w:t>3</w:t>
                  </w:r>
                </w:p>
              </w:tc>
              <w:tc>
                <w:tcPr>
                  <w:tcW w:w="870" w:type="dxa"/>
                  <w:vMerge w:val="continue"/>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lang w:val="en-US" w:eastAsia="zh-CN"/>
                    </w:rPr>
                  </w:pPr>
                </w:p>
              </w:tc>
              <w:tc>
                <w:tcPr>
                  <w:tcW w:w="1452"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治理措施</w:t>
                  </w:r>
                </w:p>
              </w:tc>
              <w:tc>
                <w:tcPr>
                  <w:tcW w:w="870"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处理</w:t>
                  </w:r>
                </w:p>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能力m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lang w:val="en-US" w:eastAsia="zh-CN"/>
                    </w:rPr>
                    <w:t>/h</w:t>
                  </w:r>
                </w:p>
              </w:tc>
              <w:tc>
                <w:tcPr>
                  <w:tcW w:w="675"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收集效率%</w:t>
                  </w:r>
                </w:p>
              </w:tc>
              <w:tc>
                <w:tcPr>
                  <w:tcW w:w="810"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去除效率</w:t>
                  </w:r>
                </w:p>
              </w:tc>
              <w:tc>
                <w:tcPr>
                  <w:tcW w:w="915"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是否为可行技术</w:t>
                  </w:r>
                </w:p>
              </w:tc>
              <w:tc>
                <w:tcPr>
                  <w:tcW w:w="859"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排放量</w:t>
                  </w:r>
                  <w:r>
                    <w:rPr>
                      <w:rFonts w:hint="default" w:ascii="Times New Roman" w:hAnsi="Times New Roman" w:eastAsia="宋体" w:cs="Times New Roman"/>
                      <w:sz w:val="21"/>
                      <w:szCs w:val="21"/>
                      <w:lang w:eastAsia="zh-CN"/>
                    </w:rPr>
                    <w:t>t/a</w:t>
                  </w:r>
                </w:p>
              </w:tc>
              <w:tc>
                <w:tcPr>
                  <w:tcW w:w="892"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排放速率kg/h</w:t>
                  </w:r>
                </w:p>
              </w:tc>
              <w:tc>
                <w:tcPr>
                  <w:tcW w:w="819"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排放浓度mg/m</w:t>
                  </w:r>
                  <w:r>
                    <w:rPr>
                      <w:rFonts w:hint="default" w:ascii="Times New Roman" w:hAnsi="Times New Roman" w:eastAsia="宋体" w:cs="Times New Roman"/>
                      <w:sz w:val="21"/>
                      <w:szCs w:val="21"/>
                      <w:vertAlign w:val="superscript"/>
                      <w:lang w:val="en-US" w:eastAsia="zh-CN"/>
                    </w:rPr>
                    <w:t>3</w:t>
                  </w:r>
                </w:p>
              </w:tc>
              <w:tc>
                <w:tcPr>
                  <w:tcW w:w="1269"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浓度限值mg/m</w:t>
                  </w:r>
                  <w:r>
                    <w:rPr>
                      <w:rFonts w:hint="default" w:ascii="Times New Roman" w:hAnsi="Times New Roman" w:eastAsia="宋体" w:cs="Times New Roman"/>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6" w:type="dxa"/>
                  <w:vMerge w:val="restar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冷镦废气</w:t>
                  </w:r>
                </w:p>
              </w:tc>
              <w:tc>
                <w:tcPr>
                  <w:tcW w:w="726"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挥发性有机物</w:t>
                  </w:r>
                </w:p>
              </w:tc>
              <w:tc>
                <w:tcPr>
                  <w:tcW w:w="837"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1.71</w:t>
                  </w:r>
                </w:p>
              </w:tc>
              <w:tc>
                <w:tcPr>
                  <w:tcW w:w="875"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5.29</w:t>
                  </w:r>
                </w:p>
              </w:tc>
              <w:tc>
                <w:tcPr>
                  <w:tcW w:w="870"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有组织</w:t>
                  </w:r>
                </w:p>
              </w:tc>
              <w:tc>
                <w:tcPr>
                  <w:tcW w:w="1452"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集气罩</w:t>
                  </w:r>
                  <w:r>
                    <w:rPr>
                      <w:rFonts w:hint="eastAsia" w:cs="Times New Roman"/>
                      <w:sz w:val="21"/>
                      <w:szCs w:val="21"/>
                      <w:highlight w:val="none"/>
                      <w:lang w:val="en-US" w:eastAsia="zh-CN"/>
                    </w:rPr>
                    <w:t>+活性炭纤维毡</w:t>
                  </w:r>
                  <w:r>
                    <w:rPr>
                      <w:rFonts w:hint="default" w:ascii="Times New Roman" w:hAnsi="Times New Roman" w:eastAsia="宋体" w:cs="Times New Roman"/>
                      <w:sz w:val="21"/>
                      <w:szCs w:val="21"/>
                      <w:highlight w:val="none"/>
                      <w:lang w:val="en-US" w:eastAsia="zh-CN"/>
                    </w:rPr>
                    <w:t>+15m高排气筒（DA001）</w:t>
                  </w:r>
                </w:p>
              </w:tc>
              <w:tc>
                <w:tcPr>
                  <w:tcW w:w="870"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45000</w:t>
                  </w:r>
                </w:p>
              </w:tc>
              <w:tc>
                <w:tcPr>
                  <w:tcW w:w="675"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90</w:t>
                  </w:r>
                </w:p>
              </w:tc>
              <w:tc>
                <w:tcPr>
                  <w:tcW w:w="810"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90</w:t>
                  </w:r>
                </w:p>
              </w:tc>
              <w:tc>
                <w:tcPr>
                  <w:tcW w:w="915" w:type="dxa"/>
                  <w:vMerge w:val="restar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是</w:t>
                  </w:r>
                </w:p>
              </w:tc>
              <w:tc>
                <w:tcPr>
                  <w:tcW w:w="859"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0.171</w:t>
                  </w:r>
                </w:p>
              </w:tc>
              <w:tc>
                <w:tcPr>
                  <w:tcW w:w="892"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0.0238</w:t>
                  </w:r>
                </w:p>
              </w:tc>
              <w:tc>
                <w:tcPr>
                  <w:tcW w:w="819"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0.529</w:t>
                  </w:r>
                </w:p>
              </w:tc>
              <w:tc>
                <w:tcPr>
                  <w:tcW w:w="1269"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6" w:type="dxa"/>
                  <w:vMerge w:val="continue"/>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p>
              </w:tc>
              <w:tc>
                <w:tcPr>
                  <w:tcW w:w="726"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highlight w:val="none"/>
                      <w:lang w:val="en-US" w:eastAsia="zh-CN"/>
                    </w:rPr>
                  </w:pPr>
                </w:p>
              </w:tc>
              <w:tc>
                <w:tcPr>
                  <w:tcW w:w="837"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0.19</w:t>
                  </w:r>
                </w:p>
              </w:tc>
              <w:tc>
                <w:tcPr>
                  <w:tcW w:w="875"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870"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无组织</w:t>
                  </w:r>
                </w:p>
              </w:tc>
              <w:tc>
                <w:tcPr>
                  <w:tcW w:w="1452"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车间通风</w:t>
                  </w:r>
                </w:p>
              </w:tc>
              <w:tc>
                <w:tcPr>
                  <w:tcW w:w="870"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w:t>
                  </w:r>
                </w:p>
              </w:tc>
              <w:tc>
                <w:tcPr>
                  <w:tcW w:w="675"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w:t>
                  </w:r>
                </w:p>
              </w:tc>
              <w:tc>
                <w:tcPr>
                  <w:tcW w:w="810"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w:t>
                  </w:r>
                </w:p>
              </w:tc>
              <w:tc>
                <w:tcPr>
                  <w:tcW w:w="915" w:type="dxa"/>
                  <w:vMerge w:val="continue"/>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p>
              </w:tc>
              <w:tc>
                <w:tcPr>
                  <w:tcW w:w="859"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0.19</w:t>
                  </w:r>
                </w:p>
              </w:tc>
              <w:tc>
                <w:tcPr>
                  <w:tcW w:w="892"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0.0264</w:t>
                  </w:r>
                </w:p>
              </w:tc>
              <w:tc>
                <w:tcPr>
                  <w:tcW w:w="819"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1269"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6" w:type="dxa"/>
                  <w:vMerge w:val="restar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淬火回火废气</w:t>
                  </w:r>
                </w:p>
              </w:tc>
              <w:tc>
                <w:tcPr>
                  <w:tcW w:w="726"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highlight w:val="none"/>
                      <w:lang w:val="en-US" w:eastAsia="zh-CN"/>
                    </w:rPr>
                  </w:pPr>
                </w:p>
              </w:tc>
              <w:tc>
                <w:tcPr>
                  <w:tcW w:w="837"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0.0468</w:t>
                  </w:r>
                </w:p>
              </w:tc>
              <w:tc>
                <w:tcPr>
                  <w:tcW w:w="875"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0.361</w:t>
                  </w:r>
                </w:p>
              </w:tc>
              <w:tc>
                <w:tcPr>
                  <w:tcW w:w="870"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有组织</w:t>
                  </w:r>
                </w:p>
              </w:tc>
              <w:tc>
                <w:tcPr>
                  <w:tcW w:w="1452"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集气罩</w:t>
                  </w:r>
                  <w:r>
                    <w:rPr>
                      <w:rFonts w:hint="eastAsia" w:cs="Times New Roman"/>
                      <w:sz w:val="21"/>
                      <w:szCs w:val="21"/>
                      <w:highlight w:val="none"/>
                      <w:lang w:val="en-US" w:eastAsia="zh-CN"/>
                    </w:rPr>
                    <w:t>+活性炭纤维毡</w:t>
                  </w:r>
                  <w:r>
                    <w:rPr>
                      <w:rFonts w:hint="default" w:ascii="Times New Roman" w:hAnsi="Times New Roman" w:eastAsia="宋体" w:cs="Times New Roman"/>
                      <w:sz w:val="21"/>
                      <w:szCs w:val="21"/>
                      <w:highlight w:val="none"/>
                      <w:lang w:val="en-US" w:eastAsia="zh-CN"/>
                    </w:rPr>
                    <w:t>+15m高排气筒（DA001）</w:t>
                  </w:r>
                </w:p>
              </w:tc>
              <w:tc>
                <w:tcPr>
                  <w:tcW w:w="870"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18000</w:t>
                  </w:r>
                </w:p>
              </w:tc>
              <w:tc>
                <w:tcPr>
                  <w:tcW w:w="675"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90</w:t>
                  </w:r>
                </w:p>
              </w:tc>
              <w:tc>
                <w:tcPr>
                  <w:tcW w:w="810"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98</w:t>
                  </w:r>
                </w:p>
              </w:tc>
              <w:tc>
                <w:tcPr>
                  <w:tcW w:w="915" w:type="dxa"/>
                  <w:vMerge w:val="restar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是</w:t>
                  </w:r>
                </w:p>
              </w:tc>
              <w:tc>
                <w:tcPr>
                  <w:tcW w:w="859"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0.0009</w:t>
                  </w:r>
                </w:p>
              </w:tc>
              <w:tc>
                <w:tcPr>
                  <w:tcW w:w="892"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0.000125</w:t>
                  </w:r>
                </w:p>
              </w:tc>
              <w:tc>
                <w:tcPr>
                  <w:tcW w:w="819"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0.00694</w:t>
                  </w:r>
                </w:p>
              </w:tc>
              <w:tc>
                <w:tcPr>
                  <w:tcW w:w="1269"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6" w:type="dxa"/>
                  <w:vMerge w:val="continue"/>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p>
              </w:tc>
              <w:tc>
                <w:tcPr>
                  <w:tcW w:w="726"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highlight w:val="none"/>
                      <w:lang w:val="en-US" w:eastAsia="zh-CN"/>
                    </w:rPr>
                  </w:pPr>
                </w:p>
              </w:tc>
              <w:tc>
                <w:tcPr>
                  <w:tcW w:w="837"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0.0052</w:t>
                  </w:r>
                </w:p>
              </w:tc>
              <w:tc>
                <w:tcPr>
                  <w:tcW w:w="875"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870"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无组织</w:t>
                  </w:r>
                </w:p>
              </w:tc>
              <w:tc>
                <w:tcPr>
                  <w:tcW w:w="1452"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车间通风</w:t>
                  </w:r>
                </w:p>
              </w:tc>
              <w:tc>
                <w:tcPr>
                  <w:tcW w:w="870"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w:t>
                  </w:r>
                </w:p>
              </w:tc>
              <w:tc>
                <w:tcPr>
                  <w:tcW w:w="675"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w:t>
                  </w:r>
                </w:p>
              </w:tc>
              <w:tc>
                <w:tcPr>
                  <w:tcW w:w="810"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w:t>
                  </w:r>
                </w:p>
              </w:tc>
              <w:tc>
                <w:tcPr>
                  <w:tcW w:w="915" w:type="dxa"/>
                  <w:vMerge w:val="continue"/>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p>
              </w:tc>
              <w:tc>
                <w:tcPr>
                  <w:tcW w:w="859"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0.0052</w:t>
                  </w:r>
                </w:p>
              </w:tc>
              <w:tc>
                <w:tcPr>
                  <w:tcW w:w="892"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0.000722</w:t>
                  </w:r>
                </w:p>
              </w:tc>
              <w:tc>
                <w:tcPr>
                  <w:tcW w:w="819"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1269"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6" w:type="dxa"/>
                  <w:vMerge w:val="continue"/>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p>
              </w:tc>
              <w:tc>
                <w:tcPr>
                  <w:tcW w:w="726"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颗粒物</w:t>
                  </w:r>
                </w:p>
              </w:tc>
              <w:tc>
                <w:tcPr>
                  <w:tcW w:w="837"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2.16</w:t>
                  </w:r>
                </w:p>
              </w:tc>
              <w:tc>
                <w:tcPr>
                  <w:tcW w:w="875"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16.7</w:t>
                  </w:r>
                </w:p>
              </w:tc>
              <w:tc>
                <w:tcPr>
                  <w:tcW w:w="870"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有组织</w:t>
                  </w:r>
                </w:p>
              </w:tc>
              <w:tc>
                <w:tcPr>
                  <w:tcW w:w="1452"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集气罩</w:t>
                  </w:r>
                  <w:r>
                    <w:rPr>
                      <w:rFonts w:hint="eastAsia" w:cs="Times New Roman"/>
                      <w:sz w:val="21"/>
                      <w:szCs w:val="21"/>
                      <w:highlight w:val="none"/>
                      <w:lang w:val="en-US" w:eastAsia="zh-CN"/>
                    </w:rPr>
                    <w:t>+油雾静电捕集器</w:t>
                  </w:r>
                  <w:r>
                    <w:rPr>
                      <w:rFonts w:hint="default" w:ascii="Times New Roman" w:hAnsi="Times New Roman" w:eastAsia="宋体" w:cs="Times New Roman"/>
                      <w:sz w:val="21"/>
                      <w:szCs w:val="21"/>
                      <w:highlight w:val="none"/>
                      <w:lang w:val="en-US" w:eastAsia="zh-CN"/>
                    </w:rPr>
                    <w:t>+15m高排气筒（DA001）</w:t>
                  </w:r>
                </w:p>
              </w:tc>
              <w:tc>
                <w:tcPr>
                  <w:tcW w:w="870"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18000</w:t>
                  </w:r>
                </w:p>
              </w:tc>
              <w:tc>
                <w:tcPr>
                  <w:tcW w:w="675"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90</w:t>
                  </w:r>
                </w:p>
              </w:tc>
              <w:tc>
                <w:tcPr>
                  <w:tcW w:w="810"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90</w:t>
                  </w:r>
                </w:p>
              </w:tc>
              <w:tc>
                <w:tcPr>
                  <w:tcW w:w="915" w:type="dxa"/>
                  <w:vMerge w:val="restar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是</w:t>
                  </w:r>
                </w:p>
              </w:tc>
              <w:tc>
                <w:tcPr>
                  <w:tcW w:w="859"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0.216</w:t>
                  </w:r>
                </w:p>
              </w:tc>
              <w:tc>
                <w:tcPr>
                  <w:tcW w:w="892"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0.03</w:t>
                  </w:r>
                </w:p>
              </w:tc>
              <w:tc>
                <w:tcPr>
                  <w:tcW w:w="819"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1.67</w:t>
                  </w:r>
                </w:p>
              </w:tc>
              <w:tc>
                <w:tcPr>
                  <w:tcW w:w="1269"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6" w:type="dxa"/>
                  <w:vMerge w:val="continue"/>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p>
              </w:tc>
              <w:tc>
                <w:tcPr>
                  <w:tcW w:w="726"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highlight w:val="none"/>
                      <w:lang w:val="en-US" w:eastAsia="zh-CN"/>
                    </w:rPr>
                  </w:pPr>
                </w:p>
              </w:tc>
              <w:tc>
                <w:tcPr>
                  <w:tcW w:w="837"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0.24</w:t>
                  </w:r>
                </w:p>
              </w:tc>
              <w:tc>
                <w:tcPr>
                  <w:tcW w:w="875"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w:t>
                  </w:r>
                </w:p>
              </w:tc>
              <w:tc>
                <w:tcPr>
                  <w:tcW w:w="870"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无组织</w:t>
                  </w:r>
                </w:p>
              </w:tc>
              <w:tc>
                <w:tcPr>
                  <w:tcW w:w="1452"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车间通风</w:t>
                  </w:r>
                </w:p>
              </w:tc>
              <w:tc>
                <w:tcPr>
                  <w:tcW w:w="870"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w:t>
                  </w:r>
                </w:p>
              </w:tc>
              <w:tc>
                <w:tcPr>
                  <w:tcW w:w="675"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w:t>
                  </w:r>
                </w:p>
              </w:tc>
              <w:tc>
                <w:tcPr>
                  <w:tcW w:w="810"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w:t>
                  </w:r>
                </w:p>
              </w:tc>
              <w:tc>
                <w:tcPr>
                  <w:tcW w:w="915" w:type="dxa"/>
                  <w:vMerge w:val="continue"/>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p>
              </w:tc>
              <w:tc>
                <w:tcPr>
                  <w:tcW w:w="859"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0.24</w:t>
                  </w:r>
                </w:p>
              </w:tc>
              <w:tc>
                <w:tcPr>
                  <w:tcW w:w="892"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0.0333</w:t>
                  </w:r>
                </w:p>
              </w:tc>
              <w:tc>
                <w:tcPr>
                  <w:tcW w:w="819"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w:t>
                  </w:r>
                </w:p>
              </w:tc>
              <w:tc>
                <w:tcPr>
                  <w:tcW w:w="1269"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6" w:type="dxa"/>
                  <w:vMerge w:val="restar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清洗废气</w:t>
                  </w:r>
                </w:p>
              </w:tc>
              <w:tc>
                <w:tcPr>
                  <w:tcW w:w="726" w:type="dxa"/>
                  <w:vMerge w:val="restar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eastAsia="zh-CN"/>
                    </w:rPr>
                    <w:t>挥发性有机物</w:t>
                  </w:r>
                </w:p>
              </w:tc>
              <w:tc>
                <w:tcPr>
                  <w:tcW w:w="837"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3.47</w:t>
                  </w:r>
                </w:p>
              </w:tc>
              <w:tc>
                <w:tcPr>
                  <w:tcW w:w="875"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160.6</w:t>
                  </w:r>
                </w:p>
              </w:tc>
              <w:tc>
                <w:tcPr>
                  <w:tcW w:w="870"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有组织</w:t>
                  </w:r>
                </w:p>
              </w:tc>
              <w:tc>
                <w:tcPr>
                  <w:tcW w:w="1452"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集气罩</w:t>
                  </w:r>
                  <w:r>
                    <w:rPr>
                      <w:rFonts w:hint="eastAsia" w:cs="Times New Roman"/>
                      <w:sz w:val="21"/>
                      <w:szCs w:val="21"/>
                      <w:highlight w:val="none"/>
                      <w:lang w:val="en-US" w:eastAsia="zh-CN"/>
                    </w:rPr>
                    <w:t>+活性炭纤维毡</w:t>
                  </w:r>
                  <w:r>
                    <w:rPr>
                      <w:rFonts w:hint="default" w:ascii="Times New Roman" w:hAnsi="Times New Roman" w:eastAsia="宋体" w:cs="Times New Roman"/>
                      <w:sz w:val="21"/>
                      <w:szCs w:val="21"/>
                      <w:highlight w:val="none"/>
                      <w:lang w:val="en-US" w:eastAsia="zh-CN"/>
                    </w:rPr>
                    <w:t>+15m高排气筒（DA00</w:t>
                  </w:r>
                  <w:r>
                    <w:rPr>
                      <w:rFonts w:hint="eastAsia" w:cs="Times New Roman"/>
                      <w:sz w:val="21"/>
                      <w:szCs w:val="21"/>
                      <w:highlight w:val="none"/>
                      <w:lang w:val="en-US" w:eastAsia="zh-CN"/>
                    </w:rPr>
                    <w:t>2</w:t>
                  </w:r>
                  <w:r>
                    <w:rPr>
                      <w:rFonts w:hint="default" w:ascii="Times New Roman" w:hAnsi="Times New Roman" w:eastAsia="宋体" w:cs="Times New Roman"/>
                      <w:sz w:val="21"/>
                      <w:szCs w:val="21"/>
                      <w:highlight w:val="none"/>
                      <w:lang w:val="en-US" w:eastAsia="zh-CN"/>
                    </w:rPr>
                    <w:t>）</w:t>
                  </w:r>
                </w:p>
              </w:tc>
              <w:tc>
                <w:tcPr>
                  <w:tcW w:w="870"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3000</w:t>
                  </w:r>
                </w:p>
              </w:tc>
              <w:tc>
                <w:tcPr>
                  <w:tcW w:w="675"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90</w:t>
                  </w:r>
                </w:p>
              </w:tc>
              <w:tc>
                <w:tcPr>
                  <w:tcW w:w="810"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90</w:t>
                  </w:r>
                </w:p>
              </w:tc>
              <w:tc>
                <w:tcPr>
                  <w:tcW w:w="915" w:type="dxa"/>
                  <w:vMerge w:val="restar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是</w:t>
                  </w:r>
                </w:p>
              </w:tc>
              <w:tc>
                <w:tcPr>
                  <w:tcW w:w="859"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0.347</w:t>
                  </w:r>
                </w:p>
              </w:tc>
              <w:tc>
                <w:tcPr>
                  <w:tcW w:w="892"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0.0482</w:t>
                  </w:r>
                </w:p>
              </w:tc>
              <w:tc>
                <w:tcPr>
                  <w:tcW w:w="819"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16.1</w:t>
                  </w:r>
                </w:p>
              </w:tc>
              <w:tc>
                <w:tcPr>
                  <w:tcW w:w="1269"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6" w:type="dxa"/>
                  <w:vMerge w:val="continue"/>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p>
              </w:tc>
              <w:tc>
                <w:tcPr>
                  <w:tcW w:w="726" w:type="dxa"/>
                  <w:vMerge w:val="continue"/>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p>
              </w:tc>
              <w:tc>
                <w:tcPr>
                  <w:tcW w:w="837"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0.385</w:t>
                  </w:r>
                </w:p>
              </w:tc>
              <w:tc>
                <w:tcPr>
                  <w:tcW w:w="875"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870"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无组织</w:t>
                  </w:r>
                </w:p>
              </w:tc>
              <w:tc>
                <w:tcPr>
                  <w:tcW w:w="1452"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车间通风</w:t>
                  </w:r>
                </w:p>
              </w:tc>
              <w:tc>
                <w:tcPr>
                  <w:tcW w:w="870"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w:t>
                  </w:r>
                </w:p>
              </w:tc>
              <w:tc>
                <w:tcPr>
                  <w:tcW w:w="675"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w:t>
                  </w:r>
                </w:p>
              </w:tc>
              <w:tc>
                <w:tcPr>
                  <w:tcW w:w="810"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w:t>
                  </w:r>
                </w:p>
              </w:tc>
              <w:tc>
                <w:tcPr>
                  <w:tcW w:w="915" w:type="dxa"/>
                  <w:vMerge w:val="continue"/>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p>
              </w:tc>
              <w:tc>
                <w:tcPr>
                  <w:tcW w:w="859"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0.385</w:t>
                  </w:r>
                </w:p>
              </w:tc>
              <w:tc>
                <w:tcPr>
                  <w:tcW w:w="892"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0.0535</w:t>
                  </w:r>
                </w:p>
              </w:tc>
              <w:tc>
                <w:tcPr>
                  <w:tcW w:w="819"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1269"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4.0</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20" w:firstLineChars="200"/>
              <w:jc w:val="both"/>
              <w:textAlignment w:val="auto"/>
              <w:rPr>
                <w:rFonts w:hint="default"/>
                <w:lang w:val="en-US" w:eastAsia="zh-CN"/>
              </w:rPr>
            </w:pPr>
            <w:r>
              <w:rPr>
                <w:rFonts w:hint="eastAsia"/>
                <w:lang w:val="en-US" w:eastAsia="zh-CN"/>
              </w:rPr>
              <w:t>（2）排气口设置及监测计划</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根据《排污单位自行监测技术指南 总则》（HJ819-2017），制定本项目大气监测计划：</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b/>
                <w:bCs/>
                <w:sz w:val="24"/>
                <w:szCs w:val="24"/>
                <w:lang w:val="en-US" w:eastAsia="zh-CN"/>
              </w:rPr>
            </w:pPr>
            <w:r>
              <w:rPr>
                <w:rFonts w:hint="default" w:ascii="Times New Roman" w:hAnsi="Times New Roman" w:cs="Times New Roman" w:eastAsiaTheme="minorEastAsia"/>
                <w:b/>
                <w:bCs/>
                <w:sz w:val="24"/>
                <w:szCs w:val="24"/>
                <w:lang w:val="en-US" w:eastAsia="zh-CN"/>
              </w:rPr>
              <w:t>表4.4  废气排放口设置及大气污染物监测计划</w:t>
            </w:r>
          </w:p>
          <w:tbl>
            <w:tblPr>
              <w:tblStyle w:val="26"/>
              <w:tblW w:w="127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0"/>
              <w:gridCol w:w="1299"/>
              <w:gridCol w:w="882"/>
              <w:gridCol w:w="931"/>
              <w:gridCol w:w="912"/>
              <w:gridCol w:w="2448"/>
              <w:gridCol w:w="1373"/>
              <w:gridCol w:w="1299"/>
              <w:gridCol w:w="1501"/>
              <w:gridCol w:w="1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40"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污染源类别</w:t>
                  </w:r>
                </w:p>
              </w:tc>
              <w:tc>
                <w:tcPr>
                  <w:tcW w:w="1299"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排放口编号及名称</w:t>
                  </w:r>
                </w:p>
              </w:tc>
              <w:tc>
                <w:tcPr>
                  <w:tcW w:w="6546" w:type="dxa"/>
                  <w:gridSpan w:val="5"/>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排放口基本情况</w:t>
                  </w:r>
                </w:p>
              </w:tc>
              <w:tc>
                <w:tcPr>
                  <w:tcW w:w="3920"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监测要求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4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p>
              </w:tc>
              <w:tc>
                <w:tcPr>
                  <w:tcW w:w="1299"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p>
              </w:tc>
              <w:tc>
                <w:tcPr>
                  <w:tcW w:w="882"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高度/m</w:t>
                  </w:r>
                </w:p>
              </w:tc>
              <w:tc>
                <w:tcPr>
                  <w:tcW w:w="931"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内径/m</w:t>
                  </w:r>
                </w:p>
              </w:tc>
              <w:tc>
                <w:tcPr>
                  <w:tcW w:w="912"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温度℃</w:t>
                  </w:r>
                </w:p>
              </w:tc>
              <w:tc>
                <w:tcPr>
                  <w:tcW w:w="2448"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坐标</w:t>
                  </w:r>
                </w:p>
              </w:tc>
              <w:tc>
                <w:tcPr>
                  <w:tcW w:w="1373"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类型</w:t>
                  </w:r>
                </w:p>
              </w:tc>
              <w:tc>
                <w:tcPr>
                  <w:tcW w:w="1299"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监测点位</w:t>
                  </w:r>
                </w:p>
              </w:tc>
              <w:tc>
                <w:tcPr>
                  <w:tcW w:w="1501"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监测因子</w:t>
                  </w:r>
                </w:p>
              </w:tc>
              <w:tc>
                <w:tcPr>
                  <w:tcW w:w="1120"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40"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有组织</w:t>
                  </w:r>
                </w:p>
              </w:tc>
              <w:tc>
                <w:tcPr>
                  <w:tcW w:w="1299"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DA001</w:t>
                  </w:r>
                </w:p>
              </w:tc>
              <w:tc>
                <w:tcPr>
                  <w:tcW w:w="882"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15</w:t>
                  </w:r>
                </w:p>
              </w:tc>
              <w:tc>
                <w:tcPr>
                  <w:tcW w:w="931"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0.4</w:t>
                  </w:r>
                </w:p>
              </w:tc>
              <w:tc>
                <w:tcPr>
                  <w:tcW w:w="912"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25</w:t>
                  </w:r>
                </w:p>
              </w:tc>
              <w:tc>
                <w:tcPr>
                  <w:tcW w:w="2448"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 xml:space="preserve">  E117°32′4</w:t>
                  </w:r>
                  <w:r>
                    <w:rPr>
                      <w:rFonts w:hint="eastAsia" w:cs="Times New Roman" w:eastAsiaTheme="minorEastAsia"/>
                      <w:sz w:val="21"/>
                      <w:szCs w:val="21"/>
                      <w:lang w:val="en-US" w:eastAsia="zh-CN"/>
                    </w:rPr>
                    <w:t>8</w:t>
                  </w:r>
                  <w:r>
                    <w:rPr>
                      <w:rFonts w:hint="default" w:ascii="Times New Roman" w:hAnsi="Times New Roman" w:cs="Times New Roman" w:eastAsiaTheme="minorEastAsia"/>
                      <w:sz w:val="21"/>
                      <w:szCs w:val="21"/>
                      <w:lang w:val="en-US" w:eastAsia="zh-CN"/>
                    </w:rPr>
                    <w:t>.</w:t>
                  </w:r>
                  <w:r>
                    <w:rPr>
                      <w:rFonts w:hint="eastAsia" w:cs="Times New Roman" w:eastAsiaTheme="minorEastAsia"/>
                      <w:sz w:val="21"/>
                      <w:szCs w:val="21"/>
                      <w:lang w:val="en-US" w:eastAsia="zh-CN"/>
                    </w:rPr>
                    <w:t>222</w:t>
                  </w:r>
                  <w:r>
                    <w:rPr>
                      <w:rFonts w:hint="default" w:ascii="Times New Roman" w:hAnsi="Times New Roman" w:cs="Times New Roman" w:eastAsia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N33°36′</w:t>
                  </w:r>
                  <w:r>
                    <w:rPr>
                      <w:rFonts w:hint="eastAsia" w:cs="Times New Roman" w:eastAsiaTheme="minorEastAsia"/>
                      <w:sz w:val="21"/>
                      <w:szCs w:val="21"/>
                      <w:lang w:val="en-US" w:eastAsia="zh-CN"/>
                    </w:rPr>
                    <w:t>41.319</w:t>
                  </w:r>
                  <w:r>
                    <w:rPr>
                      <w:rFonts w:hint="default" w:ascii="Times New Roman" w:hAnsi="Times New Roman" w:cs="Times New Roman" w:eastAsiaTheme="minorEastAsia"/>
                      <w:sz w:val="21"/>
                      <w:szCs w:val="21"/>
                      <w:lang w:val="en-US" w:eastAsia="zh-CN"/>
                    </w:rPr>
                    <w:t>″</w:t>
                  </w:r>
                </w:p>
              </w:tc>
              <w:tc>
                <w:tcPr>
                  <w:tcW w:w="1373"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一般排放口</w:t>
                  </w:r>
                </w:p>
              </w:tc>
              <w:tc>
                <w:tcPr>
                  <w:tcW w:w="1299"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DA001</w:t>
                  </w:r>
                </w:p>
              </w:tc>
              <w:tc>
                <w:tcPr>
                  <w:tcW w:w="1501"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eastAsia="zh-CN"/>
                    </w:rPr>
                    <w:t>挥发性有机物</w:t>
                  </w:r>
                  <w:r>
                    <w:rPr>
                      <w:rFonts w:hint="eastAsia" w:cs="Times New Roman" w:eastAsiaTheme="minorEastAsia"/>
                      <w:sz w:val="21"/>
                      <w:szCs w:val="21"/>
                      <w:lang w:eastAsia="zh-CN"/>
                    </w:rPr>
                    <w:t>、颗粒物</w:t>
                  </w:r>
                </w:p>
              </w:tc>
              <w:tc>
                <w:tcPr>
                  <w:tcW w:w="1120"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1次/</w:t>
                  </w:r>
                  <w:r>
                    <w:rPr>
                      <w:rFonts w:hint="default" w:ascii="Times New Roman" w:hAnsi="Times New Roman" w:cs="Times New Roman" w:eastAsiaTheme="minorEastAsia"/>
                      <w:sz w:val="21"/>
                      <w:szCs w:val="21"/>
                      <w:lang w:eastAsia="zh-CN"/>
                    </w:rPr>
                    <w:t>半</w:t>
                  </w:r>
                  <w:r>
                    <w:rPr>
                      <w:rFonts w:hint="default" w:ascii="Times New Roman" w:hAnsi="Times New Roman" w:cs="Times New Roman" w:eastAsiaTheme="minorEastAsia"/>
                      <w:sz w:val="21"/>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4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p>
              </w:tc>
              <w:tc>
                <w:tcPr>
                  <w:tcW w:w="1299"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DA002</w:t>
                  </w:r>
                </w:p>
              </w:tc>
              <w:tc>
                <w:tcPr>
                  <w:tcW w:w="882"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15</w:t>
                  </w:r>
                </w:p>
              </w:tc>
              <w:tc>
                <w:tcPr>
                  <w:tcW w:w="931"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0.4</w:t>
                  </w:r>
                </w:p>
              </w:tc>
              <w:tc>
                <w:tcPr>
                  <w:tcW w:w="912"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25</w:t>
                  </w:r>
                </w:p>
              </w:tc>
              <w:tc>
                <w:tcPr>
                  <w:tcW w:w="2448"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 xml:space="preserve">  E117°32′4</w:t>
                  </w:r>
                  <w:r>
                    <w:rPr>
                      <w:rFonts w:hint="eastAsia" w:cs="Times New Roman" w:eastAsiaTheme="minorEastAsia"/>
                      <w:sz w:val="21"/>
                      <w:szCs w:val="21"/>
                      <w:lang w:val="en-US" w:eastAsia="zh-CN"/>
                    </w:rPr>
                    <w:t>3.278</w:t>
                  </w:r>
                  <w:r>
                    <w:rPr>
                      <w:rFonts w:hint="default" w:ascii="Times New Roman" w:hAnsi="Times New Roman" w:cs="Times New Roman" w:eastAsia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N33°36′</w:t>
                  </w:r>
                  <w:r>
                    <w:rPr>
                      <w:rFonts w:hint="eastAsia" w:cs="Times New Roman" w:eastAsiaTheme="minorEastAsia"/>
                      <w:sz w:val="21"/>
                      <w:szCs w:val="21"/>
                      <w:lang w:val="en-US" w:eastAsia="zh-CN"/>
                    </w:rPr>
                    <w:t>40.585</w:t>
                  </w:r>
                  <w:r>
                    <w:rPr>
                      <w:rFonts w:hint="default" w:ascii="Times New Roman" w:hAnsi="Times New Roman" w:cs="Times New Roman" w:eastAsiaTheme="minorEastAsia"/>
                      <w:sz w:val="21"/>
                      <w:szCs w:val="21"/>
                      <w:lang w:val="en-US" w:eastAsia="zh-CN"/>
                    </w:rPr>
                    <w:t>″</w:t>
                  </w:r>
                </w:p>
              </w:tc>
              <w:tc>
                <w:tcPr>
                  <w:tcW w:w="1373"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一般排放口</w:t>
                  </w:r>
                </w:p>
              </w:tc>
              <w:tc>
                <w:tcPr>
                  <w:tcW w:w="1299"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DA002</w:t>
                  </w:r>
                </w:p>
              </w:tc>
              <w:tc>
                <w:tcPr>
                  <w:tcW w:w="1501"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eastAsia="zh-CN"/>
                    </w:rPr>
                    <w:t>挥发性有机物</w:t>
                  </w:r>
                </w:p>
              </w:tc>
              <w:tc>
                <w:tcPr>
                  <w:tcW w:w="1120"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1次/年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40"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无组织</w:t>
                  </w:r>
                </w:p>
              </w:tc>
              <w:tc>
                <w:tcPr>
                  <w:tcW w:w="1299"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厂界</w:t>
                  </w:r>
                </w:p>
              </w:tc>
              <w:tc>
                <w:tcPr>
                  <w:tcW w:w="882"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p>
              </w:tc>
              <w:tc>
                <w:tcPr>
                  <w:tcW w:w="931"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p>
              </w:tc>
              <w:tc>
                <w:tcPr>
                  <w:tcW w:w="912"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p>
              </w:tc>
              <w:tc>
                <w:tcPr>
                  <w:tcW w:w="2448"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p>
              </w:tc>
              <w:tc>
                <w:tcPr>
                  <w:tcW w:w="1373"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p>
              </w:tc>
              <w:tc>
                <w:tcPr>
                  <w:tcW w:w="1299"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厂界</w:t>
                  </w:r>
                </w:p>
              </w:tc>
              <w:tc>
                <w:tcPr>
                  <w:tcW w:w="1501"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eastAsia="zh-CN"/>
                    </w:rPr>
                    <w:t>挥发性有机物</w:t>
                  </w:r>
                </w:p>
              </w:tc>
              <w:tc>
                <w:tcPr>
                  <w:tcW w:w="1120"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1次/年</w:t>
                  </w:r>
                </w:p>
              </w:tc>
            </w:tr>
          </w:tbl>
          <w:p>
            <w:pPr>
              <w:pStyle w:val="8"/>
              <w:ind w:left="0" w:leftChars="0" w:firstLine="0" w:firstLineChars="0"/>
              <w:rPr>
                <w:rFonts w:hint="default"/>
                <w:lang w:val="en-US" w:eastAsia="zh-CN"/>
              </w:rPr>
            </w:pPr>
          </w:p>
        </w:tc>
      </w:tr>
    </w:tbl>
    <w:p>
      <w:pPr>
        <w:pStyle w:val="37"/>
        <w:rPr>
          <w:color w:val="0000FF"/>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6"/>
        <w:tblW w:w="906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32"/>
        <w:gridCol w:w="86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932" w:hRule="atLeast"/>
          <w:jc w:val="center"/>
        </w:trPr>
        <w:tc>
          <w:tcPr>
            <w:tcW w:w="432"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运营</w:t>
            </w:r>
          </w:p>
          <w:p>
            <w:pPr>
              <w:adjustRightInd w:val="0"/>
              <w:snapToGrid w:val="0"/>
              <w:jc w:val="center"/>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期环</w:t>
            </w:r>
          </w:p>
          <w:p>
            <w:pPr>
              <w:adjustRightInd w:val="0"/>
              <w:snapToGrid w:val="0"/>
              <w:jc w:val="center"/>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境影</w:t>
            </w:r>
          </w:p>
          <w:p>
            <w:pPr>
              <w:adjustRightInd w:val="0"/>
              <w:snapToGrid w:val="0"/>
              <w:jc w:val="center"/>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响和</w:t>
            </w:r>
          </w:p>
          <w:p>
            <w:pPr>
              <w:adjustRightInd w:val="0"/>
              <w:snapToGrid w:val="0"/>
              <w:jc w:val="center"/>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保护</w:t>
            </w:r>
          </w:p>
          <w:p>
            <w:pPr>
              <w:pStyle w:val="37"/>
              <w:rPr>
                <w:rFonts w:hint="default" w:ascii="Times New Roman" w:hAnsi="Times New Roman" w:eastAsia="宋体" w:cs="Times New Roman"/>
                <w:color w:val="0000FF"/>
                <w:vertAlign w:val="baseline"/>
              </w:rPr>
            </w:pPr>
            <w:r>
              <w:rPr>
                <w:rFonts w:hint="default" w:ascii="Times New Roman" w:hAnsi="Times New Roman" w:eastAsia="宋体" w:cs="Times New Roman"/>
                <w:b w:val="0"/>
                <w:bCs w:val="0"/>
                <w:color w:val="auto"/>
                <w:sz w:val="24"/>
                <w:szCs w:val="24"/>
              </w:rPr>
              <w:t>措施</w:t>
            </w:r>
          </w:p>
        </w:tc>
        <w:tc>
          <w:tcPr>
            <w:tcW w:w="86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b w:val="0"/>
                <w:bCs/>
                <w:color w:val="auto"/>
                <w:sz w:val="24"/>
              </w:rPr>
            </w:pPr>
            <w:r>
              <w:rPr>
                <w:rFonts w:hint="eastAsia" w:cs="Times New Roman"/>
                <w:b w:val="0"/>
                <w:bCs/>
                <w:color w:val="auto"/>
                <w:sz w:val="24"/>
                <w:lang w:eastAsia="zh-CN"/>
              </w:rPr>
              <w:t>（</w:t>
            </w:r>
            <w:r>
              <w:rPr>
                <w:rFonts w:hint="eastAsia" w:cs="Times New Roman"/>
                <w:b w:val="0"/>
                <w:bCs/>
                <w:color w:val="auto"/>
                <w:sz w:val="24"/>
                <w:lang w:val="en-US" w:eastAsia="zh-CN"/>
              </w:rPr>
              <w:t>3）</w:t>
            </w:r>
            <w:r>
              <w:rPr>
                <w:rFonts w:hint="default" w:ascii="Times New Roman" w:hAnsi="Times New Roman" w:eastAsia="宋体" w:cs="Times New Roman"/>
                <w:b w:val="0"/>
                <w:bCs/>
                <w:color w:val="auto"/>
                <w:sz w:val="24"/>
              </w:rPr>
              <w:t>废气</w:t>
            </w:r>
            <w:r>
              <w:rPr>
                <w:rFonts w:hint="eastAsia" w:ascii="Times New Roman" w:hAnsi="Times New Roman" w:eastAsia="宋体" w:cs="Times New Roman"/>
                <w:b w:val="0"/>
                <w:bCs/>
                <w:color w:val="auto"/>
                <w:sz w:val="24"/>
                <w:lang w:val="en-US" w:eastAsia="zh-CN"/>
              </w:rPr>
              <w:t>工艺可行性</w:t>
            </w:r>
            <w:r>
              <w:rPr>
                <w:rFonts w:hint="default" w:ascii="Times New Roman" w:hAnsi="Times New Roman" w:eastAsia="宋体" w:cs="Times New Roman"/>
                <w:b w:val="0"/>
                <w:bCs/>
                <w:color w:val="auto"/>
                <w:sz w:val="24"/>
              </w:rPr>
              <w:t>分析</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color w:val="auto"/>
                <w:kern w:val="0"/>
                <w:sz w:val="24"/>
                <w:lang w:eastAsia="zh-CN"/>
              </w:rPr>
            </w:pPr>
            <w:r>
              <w:rPr>
                <w:rFonts w:hint="eastAsia"/>
                <w:color w:val="auto"/>
                <w:kern w:val="0"/>
                <w:sz w:val="24"/>
                <w:lang w:val="en-US" w:eastAsia="zh-CN"/>
              </w:rPr>
              <w:t>本项目</w:t>
            </w:r>
            <w:r>
              <w:rPr>
                <w:color w:val="auto"/>
                <w:kern w:val="0"/>
                <w:sz w:val="24"/>
              </w:rPr>
              <w:t>拟</w:t>
            </w:r>
            <w:r>
              <w:rPr>
                <w:rFonts w:hint="eastAsia"/>
                <w:color w:val="auto"/>
                <w:kern w:val="0"/>
                <w:sz w:val="24"/>
                <w:lang w:eastAsia="zh-CN"/>
              </w:rPr>
              <w:t>采用“静电过滤器”处理油雾（按挥发性有机物计）。</w:t>
            </w:r>
          </w:p>
          <w:p>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eastAsia"/>
                <w:color w:val="auto"/>
                <w:sz w:val="24"/>
              </w:rPr>
            </w:pPr>
            <w:r>
              <w:rPr>
                <w:rFonts w:hint="eastAsia"/>
                <w:b/>
                <w:bCs/>
                <w:color w:val="auto"/>
                <w:kern w:val="0"/>
                <w:sz w:val="24"/>
                <w:lang w:eastAsia="zh-CN"/>
              </w:rPr>
              <w:t>油雾静电捕集器</w:t>
            </w:r>
            <w:r>
              <w:rPr>
                <w:rFonts w:hint="eastAsia"/>
                <w:color w:val="auto"/>
                <w:kern w:val="0"/>
                <w:sz w:val="24"/>
                <w:lang w:eastAsia="zh-CN"/>
              </w:rPr>
              <w:t>：含尘油雾气体从净化器进风口进入预过滤器，大颗粒的油雾尘被分离并收集到集油槽。含细小油雾尘的污染空气从预分离器流出后，进入荷电区，通过存在大量离子及电子的空间时，离子及电子会附着在油雾尘上（附着负离子和电子的油雾尘荷负电，附着正离子和电子的油雾尘荷正电）。附着电荷的油雾尘从荷电区出来后，进入集尘区。在电场力的作用下，荷电油雾尘向其极性相反方向运动，油雾尘吸附在电极板上，细小的油雾尘被分离，洁净空气在风机负压的作用下，经风机直排入空气中。该产品电极为钢制件，无过滤滤芯，无须更换滤芯。</w:t>
            </w:r>
            <w:r>
              <w:rPr>
                <w:rFonts w:hint="eastAsia"/>
                <w:color w:val="auto"/>
                <w:kern w:val="0"/>
                <w:sz w:val="24"/>
                <w:highlight w:val="none"/>
                <w:lang w:eastAsia="zh-CN"/>
              </w:rPr>
              <w:t>高效的电离技术能够充分收集污染空气中的尘埃、油烟、油雾、乳化气雾等污染物。</w:t>
            </w:r>
            <w:r>
              <w:rPr>
                <w:rFonts w:hint="eastAsia"/>
                <w:color w:val="auto"/>
                <w:sz w:val="24"/>
                <w:highlight w:val="none"/>
              </w:rPr>
              <w:t>这种设备的投资少、占地小、无二次污染、运行费用低。由于易于捕捉粒径较小的粉尘，净化效率高，可达85~95%。</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color w:val="auto"/>
                <w:sz w:val="24"/>
              </w:rPr>
            </w:pPr>
            <w:r>
              <w:rPr>
                <w:rFonts w:hint="eastAsia"/>
                <w:color w:val="auto"/>
                <w:sz w:val="24"/>
              </w:rPr>
              <w:t>本项目</w:t>
            </w:r>
            <w:r>
              <w:rPr>
                <w:rFonts w:hint="eastAsia"/>
                <w:color w:val="auto"/>
                <w:sz w:val="24"/>
                <w:szCs w:val="24"/>
                <w:lang w:val="en-US" w:eastAsia="zh-CN"/>
              </w:rPr>
              <w:t>油雾</w:t>
            </w:r>
            <w:r>
              <w:rPr>
                <w:rFonts w:hint="eastAsia"/>
                <w:color w:val="auto"/>
                <w:sz w:val="24"/>
              </w:rPr>
              <w:t>静电</w:t>
            </w:r>
            <w:r>
              <w:rPr>
                <w:rFonts w:hint="eastAsia"/>
                <w:color w:val="auto"/>
                <w:sz w:val="24"/>
                <w:lang w:eastAsia="zh-CN"/>
              </w:rPr>
              <w:t>捕集</w:t>
            </w:r>
            <w:r>
              <w:rPr>
                <w:rFonts w:hint="eastAsia"/>
                <w:color w:val="auto"/>
                <w:sz w:val="24"/>
              </w:rPr>
              <w:t>器</w:t>
            </w:r>
            <w:r>
              <w:rPr>
                <w:rFonts w:hint="eastAsia"/>
                <w:color w:val="auto"/>
                <w:sz w:val="24"/>
                <w:lang w:eastAsia="zh-CN"/>
              </w:rPr>
              <w:t>处理效率取</w:t>
            </w:r>
            <w:r>
              <w:rPr>
                <w:rFonts w:hint="eastAsia"/>
                <w:color w:val="auto"/>
                <w:sz w:val="24"/>
                <w:lang w:val="en-US" w:eastAsia="zh-CN"/>
              </w:rPr>
              <w:t>90%，</w:t>
            </w:r>
            <w:r>
              <w:rPr>
                <w:rFonts w:hint="eastAsia" w:cs="Times New Roman"/>
                <w:b w:val="0"/>
                <w:bCs w:val="0"/>
                <w:color w:val="auto"/>
                <w:sz w:val="24"/>
                <w:szCs w:val="24"/>
                <w:lang w:val="en-US" w:eastAsia="zh-CN"/>
              </w:rPr>
              <w:t>冷镦、淬火及回火废气中和清洗废气</w:t>
            </w:r>
            <w:r>
              <w:rPr>
                <w:rFonts w:hint="default" w:ascii="Times New Roman" w:hAnsi="Times New Roman" w:eastAsia="宋体" w:cs="Times New Roman"/>
                <w:color w:val="auto"/>
                <w:sz w:val="24"/>
                <w:szCs w:val="24"/>
                <w:lang w:eastAsia="zh-CN"/>
              </w:rPr>
              <w:t>排放浓度满足</w:t>
            </w:r>
            <w:r>
              <w:rPr>
                <w:rFonts w:hint="eastAsia"/>
                <w:b w:val="0"/>
                <w:bCs/>
                <w:color w:val="auto"/>
                <w:sz w:val="24"/>
                <w:lang w:val="en-US" w:eastAsia="zh-CN"/>
              </w:rPr>
              <w:t>《大气污染物综合排放标准》（GB16297-1996）表2新污染源大气污染物排放限值</w:t>
            </w:r>
            <w:r>
              <w:rPr>
                <w:rFonts w:hint="eastAsia"/>
                <w:color w:val="auto"/>
                <w:sz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0000FF"/>
                <w:sz w:val="24"/>
                <w:szCs w:val="24"/>
                <w:lang w:eastAsia="zh-CN"/>
              </w:rPr>
            </w:pPr>
            <w:r>
              <w:rPr>
                <w:rFonts w:hint="eastAsia" w:cs="Times New Roman"/>
                <w:b w:val="0"/>
                <w:bCs w:val="0"/>
                <w:color w:val="auto"/>
                <w:sz w:val="24"/>
                <w:szCs w:val="24"/>
                <w:lang w:eastAsia="zh-CN"/>
              </w:rPr>
              <w:t>（</w:t>
            </w:r>
            <w:r>
              <w:rPr>
                <w:rFonts w:hint="eastAsia" w:cs="Times New Roman"/>
                <w:b w:val="0"/>
                <w:bCs w:val="0"/>
                <w:color w:val="auto"/>
                <w:sz w:val="24"/>
                <w:szCs w:val="24"/>
                <w:lang w:val="en-US" w:eastAsia="zh-CN"/>
              </w:rPr>
              <w:t>4）</w:t>
            </w:r>
            <w:r>
              <w:rPr>
                <w:rFonts w:hint="default" w:ascii="Times New Roman" w:hAnsi="Times New Roman" w:eastAsia="宋体" w:cs="Times New Roman"/>
                <w:b w:val="0"/>
                <w:bCs w:val="0"/>
                <w:color w:val="auto"/>
                <w:sz w:val="24"/>
                <w:szCs w:val="24"/>
                <w:lang w:eastAsia="zh-CN"/>
              </w:rPr>
              <w:t>非正常工况分析</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非正常工况是指生产运行阶段的检修、操作不正常或设备故障等引起的一般性事故排放。根据本项目的污染物特点及工程分析，</w:t>
            </w:r>
            <w:r>
              <w:rPr>
                <w:rFonts w:hint="eastAsia" w:ascii="宋体" w:hAnsi="宋体" w:eastAsia="宋体" w:cs="宋体"/>
                <w:color w:val="auto"/>
                <w:kern w:val="0"/>
                <w:sz w:val="24"/>
                <w:szCs w:val="24"/>
                <w:lang w:val="en-US" w:eastAsia="zh-CN" w:bidi="ar"/>
              </w:rPr>
              <w:t>本项目非正常工况下分析污染源主要为：</w:t>
            </w:r>
            <w:r>
              <w:rPr>
                <w:rFonts w:hint="eastAsia"/>
                <w:color w:val="auto"/>
                <w:sz w:val="24"/>
                <w:szCs w:val="24"/>
                <w:lang w:val="en-US" w:eastAsia="zh-CN"/>
              </w:rPr>
              <w:t>冷镦、淬火及回火</w:t>
            </w:r>
            <w:r>
              <w:rPr>
                <w:rFonts w:hint="eastAsia" w:ascii="Times New Roman" w:hAnsi="Times New Roman" w:eastAsia="宋体" w:cs="Times New Roman"/>
                <w:color w:val="auto"/>
                <w:sz w:val="24"/>
                <w:szCs w:val="24"/>
                <w:lang w:val="en-US" w:eastAsia="zh-CN"/>
              </w:rPr>
              <w:t>废气</w:t>
            </w:r>
            <w:r>
              <w:rPr>
                <w:rFonts w:hint="default" w:ascii="Times New Roman" w:hAnsi="Times New Roman" w:eastAsia="宋体" w:cs="Times New Roman"/>
                <w:color w:val="auto"/>
                <w:kern w:val="0"/>
                <w:sz w:val="24"/>
                <w:szCs w:val="24"/>
                <w:lang w:val="en-US" w:eastAsia="zh-CN" w:bidi="ar"/>
              </w:rPr>
              <w:t>处理的</w:t>
            </w:r>
            <w:r>
              <w:rPr>
                <w:rFonts w:hint="eastAsia" w:ascii="Times New Roman" w:hAnsi="Times New Roman" w:eastAsia="宋体" w:cs="Times New Roman"/>
                <w:color w:val="auto"/>
                <w:kern w:val="0"/>
                <w:sz w:val="24"/>
                <w:szCs w:val="24"/>
                <w:lang w:val="en-US" w:eastAsia="zh-CN" w:bidi="ar"/>
              </w:rPr>
              <w:t>“</w:t>
            </w:r>
            <w:r>
              <w:rPr>
                <w:rFonts w:hint="eastAsia" w:cs="Times New Roman"/>
                <w:color w:val="auto"/>
                <w:kern w:val="0"/>
                <w:sz w:val="24"/>
                <w:szCs w:val="24"/>
                <w:lang w:val="en-US" w:eastAsia="zh-CN" w:bidi="ar"/>
              </w:rPr>
              <w:t>油雾</w:t>
            </w:r>
            <w:r>
              <w:rPr>
                <w:rFonts w:hint="eastAsia" w:ascii="宋体" w:hAnsi="宋体" w:cs="宋体"/>
                <w:color w:val="auto"/>
                <w:sz w:val="24"/>
                <w:szCs w:val="24"/>
                <w:lang w:val="en-US" w:eastAsia="zh-CN"/>
              </w:rPr>
              <w:t>静电捕集器</w:t>
            </w:r>
            <w:r>
              <w:rPr>
                <w:rFonts w:hint="eastAsia" w:ascii="Times New Roman" w:hAnsi="Times New Roman" w:eastAsia="宋体" w:cs="Times New Roman"/>
                <w:color w:val="auto"/>
                <w:kern w:val="0"/>
                <w:sz w:val="24"/>
                <w:szCs w:val="24"/>
                <w:lang w:val="en-US" w:eastAsia="zh-CN" w:bidi="ar"/>
              </w:rPr>
              <w:t>”</w:t>
            </w:r>
            <w:r>
              <w:rPr>
                <w:rFonts w:hint="eastAsia" w:ascii="Times New Roman" w:hAnsi="Times New Roman" w:cs="Times New Roman"/>
                <w:color w:val="auto"/>
                <w:sz w:val="24"/>
                <w:szCs w:val="24"/>
                <w:lang w:eastAsia="zh-CN"/>
              </w:rPr>
              <w:t>故障</w:t>
            </w:r>
            <w:r>
              <w:rPr>
                <w:rFonts w:hint="default" w:ascii="Times New Roman" w:hAnsi="Times New Roman" w:eastAsia="宋体" w:cs="Times New Roman"/>
                <w:color w:val="auto"/>
                <w:kern w:val="0"/>
                <w:sz w:val="24"/>
                <w:szCs w:val="24"/>
                <w:lang w:val="en-US" w:eastAsia="zh-CN" w:bidi="ar"/>
              </w:rPr>
              <w:t>，引起的</w:t>
            </w:r>
            <w:r>
              <w:rPr>
                <w:rFonts w:hint="eastAsia" w:cs="Times New Roman"/>
                <w:color w:val="auto"/>
                <w:kern w:val="0"/>
                <w:sz w:val="24"/>
                <w:szCs w:val="24"/>
                <w:lang w:val="en-US" w:eastAsia="zh-CN" w:bidi="ar"/>
              </w:rPr>
              <w:t>挥发性有机物</w:t>
            </w:r>
            <w:r>
              <w:rPr>
                <w:rFonts w:hint="default" w:ascii="Times New Roman" w:hAnsi="Times New Roman" w:eastAsia="宋体" w:cs="Times New Roman"/>
                <w:color w:val="auto"/>
                <w:kern w:val="0"/>
                <w:sz w:val="24"/>
                <w:szCs w:val="24"/>
                <w:lang w:val="en-US" w:eastAsia="zh-CN" w:bidi="ar"/>
              </w:rPr>
              <w:t>事故排放</w:t>
            </w:r>
            <w:r>
              <w:rPr>
                <w:rFonts w:hint="eastAsia" w:cs="Times New Roman"/>
                <w:color w:val="auto"/>
                <w:kern w:val="0"/>
                <w:sz w:val="24"/>
                <w:szCs w:val="24"/>
                <w:lang w:val="en-US" w:eastAsia="zh-CN" w:bidi="ar"/>
              </w:rPr>
              <w:t>；清洗</w:t>
            </w:r>
            <w:r>
              <w:rPr>
                <w:rFonts w:hint="eastAsia" w:ascii="Times New Roman" w:hAnsi="Times New Roman" w:eastAsia="宋体" w:cs="Times New Roman"/>
                <w:color w:val="auto"/>
                <w:sz w:val="24"/>
                <w:szCs w:val="24"/>
                <w:lang w:val="en-US" w:eastAsia="zh-CN"/>
              </w:rPr>
              <w:t>废气</w:t>
            </w:r>
            <w:r>
              <w:rPr>
                <w:rFonts w:hint="default" w:ascii="Times New Roman" w:hAnsi="Times New Roman" w:eastAsia="宋体" w:cs="Times New Roman"/>
                <w:color w:val="auto"/>
                <w:kern w:val="0"/>
                <w:sz w:val="24"/>
                <w:szCs w:val="24"/>
                <w:lang w:val="en-US" w:eastAsia="zh-CN" w:bidi="ar"/>
              </w:rPr>
              <w:t>处理的</w:t>
            </w:r>
            <w:r>
              <w:rPr>
                <w:rFonts w:hint="eastAsia" w:ascii="Times New Roman" w:hAnsi="Times New Roman" w:eastAsia="宋体" w:cs="Times New Roman"/>
                <w:color w:val="auto"/>
                <w:kern w:val="0"/>
                <w:sz w:val="24"/>
                <w:szCs w:val="24"/>
                <w:lang w:val="en-US" w:eastAsia="zh-CN" w:bidi="ar"/>
              </w:rPr>
              <w:t>“</w:t>
            </w:r>
            <w:r>
              <w:rPr>
                <w:rFonts w:hint="eastAsia" w:ascii="宋体" w:hAnsi="宋体" w:cs="宋体"/>
                <w:color w:val="auto"/>
                <w:sz w:val="24"/>
                <w:szCs w:val="24"/>
                <w:lang w:val="en-US" w:eastAsia="zh-CN"/>
              </w:rPr>
              <w:t>油雾静电捕集器</w:t>
            </w:r>
            <w:r>
              <w:rPr>
                <w:rFonts w:hint="eastAsia" w:ascii="Times New Roman" w:hAnsi="Times New Roman" w:eastAsia="宋体" w:cs="Times New Roman"/>
                <w:color w:val="auto"/>
                <w:kern w:val="0"/>
                <w:sz w:val="24"/>
                <w:szCs w:val="24"/>
                <w:lang w:val="en-US" w:eastAsia="zh-CN" w:bidi="ar"/>
              </w:rPr>
              <w:t>”</w:t>
            </w:r>
            <w:r>
              <w:rPr>
                <w:rFonts w:hint="eastAsia" w:ascii="Times New Roman" w:hAnsi="Times New Roman" w:cs="Times New Roman"/>
                <w:color w:val="auto"/>
                <w:sz w:val="24"/>
                <w:szCs w:val="24"/>
                <w:lang w:eastAsia="zh-CN"/>
              </w:rPr>
              <w:t>故障</w:t>
            </w:r>
            <w:r>
              <w:rPr>
                <w:rFonts w:hint="default" w:ascii="Times New Roman" w:hAnsi="Times New Roman" w:eastAsia="宋体" w:cs="Times New Roman"/>
                <w:color w:val="auto"/>
                <w:kern w:val="0"/>
                <w:sz w:val="24"/>
                <w:szCs w:val="24"/>
                <w:lang w:val="en-US" w:eastAsia="zh-CN" w:bidi="ar"/>
              </w:rPr>
              <w:t>，引起的</w:t>
            </w:r>
            <w:r>
              <w:rPr>
                <w:rFonts w:hint="eastAsia" w:cs="Times New Roman"/>
                <w:color w:val="auto"/>
                <w:kern w:val="0"/>
                <w:sz w:val="24"/>
                <w:szCs w:val="24"/>
                <w:lang w:val="en-US" w:eastAsia="zh-CN" w:bidi="ar"/>
              </w:rPr>
              <w:t>挥发性有机物</w:t>
            </w:r>
            <w:r>
              <w:rPr>
                <w:rFonts w:hint="default" w:ascii="Times New Roman" w:hAnsi="Times New Roman" w:eastAsia="宋体" w:cs="Times New Roman"/>
                <w:color w:val="auto"/>
                <w:kern w:val="0"/>
                <w:sz w:val="24"/>
                <w:szCs w:val="24"/>
                <w:lang w:val="en-US" w:eastAsia="zh-CN" w:bidi="ar"/>
              </w:rPr>
              <w:t>事故排放。</w:t>
            </w:r>
            <w:r>
              <w:rPr>
                <w:rFonts w:hint="eastAsia" w:ascii="Times New Roman" w:hAnsi="Times New Roman" w:cs="Times New Roman"/>
                <w:color w:val="auto"/>
                <w:sz w:val="24"/>
                <w:szCs w:val="24"/>
                <w:lang w:val="en-US" w:eastAsia="zh-CN"/>
              </w:rPr>
              <w:t>一旦处理设备发生故障，</w:t>
            </w:r>
            <w:r>
              <w:rPr>
                <w:rFonts w:hint="default" w:ascii="Times New Roman" w:hAnsi="Times New Roman" w:eastAsia="宋体" w:cs="Times New Roman"/>
                <w:color w:val="auto"/>
                <w:sz w:val="24"/>
                <w:szCs w:val="24"/>
              </w:rPr>
              <w:t>立即停止</w:t>
            </w:r>
            <w:r>
              <w:rPr>
                <w:rFonts w:hint="eastAsia" w:ascii="Times New Roman" w:hAnsi="Times New Roman" w:eastAsia="宋体" w:cs="Times New Roman"/>
                <w:color w:val="auto"/>
                <w:sz w:val="24"/>
                <w:szCs w:val="24"/>
                <w:lang w:eastAsia="zh-CN"/>
              </w:rPr>
              <w:t>生产进行检修，</w:t>
            </w:r>
            <w:r>
              <w:rPr>
                <w:rFonts w:hint="eastAsia" w:cs="Times New Roman"/>
                <w:color w:val="auto"/>
                <w:sz w:val="24"/>
                <w:szCs w:val="24"/>
                <w:lang w:eastAsia="zh-CN"/>
              </w:rPr>
              <w:t>故不存在非正常工况。</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（5）废气影响分析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eastAsia="宋体"/>
                <w:color w:val="auto"/>
                <w:lang w:val="en-US" w:eastAsia="zh-CN"/>
              </w:rPr>
            </w:pPr>
            <w:r>
              <w:rPr>
                <w:rFonts w:hint="default" w:ascii="Times New Roman" w:hAnsi="Times New Roman" w:eastAsia="宋体" w:cs="Times New Roman"/>
                <w:b w:val="0"/>
                <w:bCs/>
                <w:color w:val="auto"/>
                <w:sz w:val="24"/>
                <w:szCs w:val="24"/>
                <w:lang w:val="en-US" w:eastAsia="zh-CN"/>
              </w:rPr>
              <w:t>本项目位于</w:t>
            </w:r>
            <w:r>
              <w:rPr>
                <w:rFonts w:hint="eastAsia" w:cs="Times New Roman"/>
                <w:b w:val="0"/>
                <w:bCs/>
                <w:color w:val="auto"/>
                <w:sz w:val="24"/>
                <w:szCs w:val="24"/>
                <w:lang w:val="en-US" w:eastAsia="zh-CN"/>
              </w:rPr>
              <w:t>安徽省宿州市灵璧县</w:t>
            </w:r>
            <w:r>
              <w:rPr>
                <w:rFonts w:hint="default" w:ascii="Times New Roman" w:hAnsi="Times New Roman" w:eastAsia="宋体" w:cs="Times New Roman"/>
                <w:b w:val="0"/>
                <w:bCs/>
                <w:color w:val="auto"/>
                <w:sz w:val="24"/>
                <w:szCs w:val="24"/>
                <w:lang w:val="en-US" w:eastAsia="zh-CN"/>
              </w:rPr>
              <w:t>灵城镇北开发区轴承产业园</w:t>
            </w:r>
            <w:r>
              <w:rPr>
                <w:rFonts w:hint="eastAsia" w:cs="Times New Roman"/>
                <w:b w:val="0"/>
                <w:bCs/>
                <w:color w:val="auto"/>
                <w:sz w:val="24"/>
                <w:szCs w:val="24"/>
                <w:lang w:val="en-US" w:eastAsia="zh-CN"/>
              </w:rPr>
              <w:t>5</w:t>
            </w:r>
            <w:r>
              <w:rPr>
                <w:rFonts w:hint="default" w:ascii="Times New Roman" w:hAnsi="Times New Roman" w:eastAsia="宋体" w:cs="Times New Roman"/>
                <w:b w:val="0"/>
                <w:bCs/>
                <w:color w:val="auto"/>
                <w:sz w:val="24"/>
                <w:szCs w:val="24"/>
                <w:lang w:val="en-US" w:eastAsia="zh-CN"/>
              </w:rPr>
              <w:t>期</w:t>
            </w:r>
            <w:r>
              <w:rPr>
                <w:rFonts w:hint="eastAsia" w:cs="Times New Roman"/>
                <w:b w:val="0"/>
                <w:bCs/>
                <w:color w:val="auto"/>
                <w:sz w:val="24"/>
                <w:szCs w:val="24"/>
                <w:lang w:val="en-US" w:eastAsia="zh-CN"/>
              </w:rPr>
              <w:t>10</w:t>
            </w:r>
            <w:r>
              <w:rPr>
                <w:rFonts w:hint="default" w:ascii="Times New Roman" w:hAnsi="Times New Roman" w:eastAsia="宋体" w:cs="Times New Roman"/>
                <w:b w:val="0"/>
                <w:bCs/>
                <w:color w:val="auto"/>
                <w:sz w:val="24"/>
                <w:szCs w:val="24"/>
                <w:lang w:val="en-US" w:eastAsia="zh-CN"/>
              </w:rPr>
              <w:t>号厂房</w:t>
            </w:r>
            <w:r>
              <w:rPr>
                <w:rFonts w:hint="eastAsia" w:cs="Times New Roman"/>
                <w:b w:val="0"/>
                <w:bCs/>
                <w:color w:val="auto"/>
                <w:sz w:val="24"/>
                <w:szCs w:val="24"/>
                <w:lang w:val="en-US" w:eastAsia="zh-CN"/>
              </w:rPr>
              <w:t>，</w:t>
            </w:r>
            <w:r>
              <w:rPr>
                <w:rFonts w:hint="eastAsia" w:ascii="宋体" w:hAnsi="宋体" w:eastAsia="宋体" w:cs="宋体"/>
                <w:color w:val="auto"/>
                <w:kern w:val="0"/>
                <w:sz w:val="24"/>
                <w:szCs w:val="24"/>
                <w:lang w:val="en-US" w:eastAsia="zh-CN" w:bidi="ar"/>
              </w:rPr>
              <w:t>根据《</w:t>
            </w:r>
            <w:r>
              <w:rPr>
                <w:rFonts w:hint="default" w:ascii="Times New Roman" w:hAnsi="Times New Roman" w:eastAsia="宋体" w:cs="Times New Roman"/>
                <w:color w:val="auto"/>
                <w:kern w:val="0"/>
                <w:sz w:val="24"/>
                <w:szCs w:val="24"/>
                <w:lang w:val="en-US" w:eastAsia="zh-CN" w:bidi="ar"/>
              </w:rPr>
              <w:t>202</w:t>
            </w:r>
            <w:r>
              <w:rPr>
                <w:rFonts w:hint="eastAsia" w:cs="Times New Roman"/>
                <w:color w:val="auto"/>
                <w:kern w:val="0"/>
                <w:sz w:val="24"/>
                <w:szCs w:val="24"/>
                <w:lang w:val="en-US" w:eastAsia="zh-CN" w:bidi="ar"/>
              </w:rPr>
              <w:t>2</w:t>
            </w:r>
            <w:r>
              <w:rPr>
                <w:rFonts w:hint="eastAsia" w:ascii="宋体" w:hAnsi="宋体" w:eastAsia="宋体" w:cs="宋体"/>
                <w:color w:val="auto"/>
                <w:kern w:val="0"/>
                <w:sz w:val="24"/>
                <w:szCs w:val="24"/>
                <w:lang w:val="en-US" w:eastAsia="zh-CN" w:bidi="ar"/>
              </w:rPr>
              <w:t>年宿州市环境质量公报》，项目所在地为大气环境空气质量不达标区</w:t>
            </w:r>
            <w:r>
              <w:rPr>
                <w:rFonts w:hint="eastAsia" w:ascii="宋体" w:hAnsi="宋体" w:eastAsia="宋体" w:cs="宋体"/>
                <w:color w:val="auto"/>
                <w:sz w:val="24"/>
                <w:szCs w:val="24"/>
              </w:rPr>
              <w:t>。</w:t>
            </w:r>
            <w:r>
              <w:rPr>
                <w:rFonts w:hint="default" w:ascii="Times New Roman" w:hAnsi="Times New Roman" w:cs="Times New Roman"/>
                <w:color w:val="auto"/>
                <w:sz w:val="24"/>
                <w:szCs w:val="24"/>
                <w:lang w:eastAsia="zh-CN"/>
              </w:rPr>
              <w:t>项目</w:t>
            </w:r>
            <w:r>
              <w:rPr>
                <w:rFonts w:hint="default" w:ascii="Times New Roman" w:hAnsi="Times New Roman" w:cs="Times New Roman"/>
                <w:color w:val="auto"/>
                <w:sz w:val="24"/>
                <w:szCs w:val="24"/>
                <w:lang w:val="en-US" w:eastAsia="zh-CN"/>
              </w:rPr>
              <w:t>500m</w:t>
            </w:r>
            <w:r>
              <w:rPr>
                <w:rFonts w:hint="eastAsia" w:ascii="Times New Roman" w:hAnsi="Times New Roman" w:cs="Times New Roman"/>
                <w:color w:val="auto"/>
                <w:sz w:val="24"/>
                <w:szCs w:val="24"/>
                <w:lang w:val="en-US" w:eastAsia="zh-CN"/>
              </w:rPr>
              <w:t>内</w:t>
            </w:r>
            <w:r>
              <w:rPr>
                <w:rFonts w:hint="eastAsia" w:cs="Times New Roman"/>
                <w:color w:val="auto"/>
                <w:sz w:val="24"/>
                <w:szCs w:val="24"/>
                <w:lang w:val="en-US" w:eastAsia="zh-CN"/>
              </w:rPr>
              <w:t>无</w:t>
            </w:r>
            <w:r>
              <w:rPr>
                <w:rFonts w:hint="eastAsia" w:ascii="Times New Roman" w:hAnsi="Times New Roman" w:eastAsia="宋体" w:cs="Times New Roman"/>
                <w:b w:val="0"/>
                <w:bCs w:val="0"/>
                <w:color w:val="auto"/>
                <w:kern w:val="0"/>
                <w:sz w:val="24"/>
                <w:szCs w:val="24"/>
                <w:lang w:val="en-US" w:eastAsia="zh-CN"/>
              </w:rPr>
              <w:t>环境空气保护目标</w:t>
            </w:r>
            <w:r>
              <w:rPr>
                <w:rFonts w:hint="eastAsia" w:cs="Times New Roman"/>
                <w:b w:val="0"/>
                <w:bCs w:val="0"/>
                <w:color w:val="auto"/>
                <w:kern w:val="0"/>
                <w:sz w:val="24"/>
                <w:szCs w:val="24"/>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cs="Times New Roman"/>
                <w:bCs/>
                <w:color w:val="auto"/>
                <w:sz w:val="24"/>
                <w:szCs w:val="24"/>
                <w:lang w:val="en-US" w:eastAsia="zh-CN"/>
              </w:rPr>
              <w:t>项目冷镦废气采用集气罩+活性炭纤维毡处理后经1根15m高排气筒（DA001）排放；淬火、回火废气采用集气罩+油雾静电捕集器+活性炭纤维毡处理后经1根15m高排气筒（DA001）排放；</w:t>
            </w:r>
            <w:r>
              <w:rPr>
                <w:rFonts w:hint="eastAsia" w:ascii="Times New Roman" w:hAnsi="Times New Roman" w:eastAsia="宋体" w:cs="Times New Roman"/>
                <w:bCs/>
                <w:color w:val="auto"/>
                <w:sz w:val="24"/>
                <w:szCs w:val="24"/>
                <w:lang w:val="en-US" w:eastAsia="zh-CN"/>
              </w:rPr>
              <w:t>清洗</w:t>
            </w:r>
            <w:r>
              <w:rPr>
                <w:rFonts w:hint="default" w:ascii="Times New Roman" w:hAnsi="Times New Roman" w:eastAsia="宋体" w:cs="Times New Roman"/>
                <w:bCs/>
                <w:color w:val="auto"/>
                <w:sz w:val="24"/>
                <w:szCs w:val="24"/>
                <w:lang w:val="en-US" w:eastAsia="zh-CN"/>
              </w:rPr>
              <w:t>废气</w:t>
            </w:r>
            <w:r>
              <w:rPr>
                <w:rFonts w:hint="eastAsia" w:cs="Times New Roman"/>
                <w:bCs/>
                <w:color w:val="auto"/>
                <w:sz w:val="24"/>
                <w:szCs w:val="24"/>
                <w:lang w:eastAsia="zh-CN"/>
              </w:rPr>
              <w:t>采用集气罩</w:t>
            </w:r>
            <w:r>
              <w:rPr>
                <w:rFonts w:hint="eastAsia" w:cs="Times New Roman"/>
                <w:bCs/>
                <w:color w:val="auto"/>
                <w:sz w:val="24"/>
                <w:szCs w:val="24"/>
                <w:lang w:val="en-US" w:eastAsia="zh-CN"/>
              </w:rPr>
              <w:t>+油雾静电捕集器+</w:t>
            </w:r>
            <w:r>
              <w:rPr>
                <w:rFonts w:hint="eastAsia" w:cs="Times New Roman"/>
                <w:bCs/>
                <w:color w:val="auto"/>
                <w:sz w:val="24"/>
                <w:szCs w:val="24"/>
                <w:lang w:eastAsia="zh-CN"/>
              </w:rPr>
              <w:t>15m高排气筒（</w:t>
            </w:r>
            <w:r>
              <w:rPr>
                <w:rFonts w:hint="eastAsia" w:cs="Times New Roman"/>
                <w:bCs/>
                <w:color w:val="auto"/>
                <w:sz w:val="24"/>
                <w:szCs w:val="24"/>
                <w:lang w:val="en-US" w:eastAsia="zh-CN"/>
              </w:rPr>
              <w:t>DA002</w:t>
            </w:r>
            <w:r>
              <w:rPr>
                <w:rFonts w:hint="eastAsia" w:cs="Times New Roman"/>
                <w:bCs/>
                <w:color w:val="auto"/>
                <w:sz w:val="24"/>
                <w:szCs w:val="24"/>
                <w:lang w:eastAsia="zh-CN"/>
              </w:rPr>
              <w:t>）；</w:t>
            </w:r>
            <w:r>
              <w:rPr>
                <w:rFonts w:hint="default" w:ascii="Times New Roman" w:hAnsi="Times New Roman" w:eastAsia="宋体" w:cs="Times New Roman"/>
                <w:color w:val="auto"/>
                <w:sz w:val="24"/>
                <w:szCs w:val="24"/>
                <w:lang w:val="zh-CN"/>
              </w:rPr>
              <w:t>排放浓度</w:t>
            </w:r>
            <w:r>
              <w:rPr>
                <w:rFonts w:hint="default" w:ascii="Times New Roman" w:hAnsi="Times New Roman" w:eastAsia="宋体" w:cs="Times New Roman"/>
                <w:color w:val="auto"/>
                <w:sz w:val="24"/>
                <w:szCs w:val="24"/>
                <w:lang w:val="en-US" w:eastAsia="zh-CN"/>
              </w:rPr>
              <w:t>满足</w:t>
            </w:r>
            <w:r>
              <w:rPr>
                <w:rFonts w:hint="default" w:ascii="Times New Roman" w:hAnsi="Times New Roman" w:cs="Times New Roman"/>
                <w:b w:val="0"/>
                <w:bCs/>
                <w:color w:val="auto"/>
                <w:sz w:val="24"/>
                <w:lang w:val="en-US" w:eastAsia="zh-CN"/>
              </w:rPr>
              <w:t>《</w:t>
            </w:r>
            <w:r>
              <w:rPr>
                <w:rFonts w:hint="default" w:ascii="Times New Roman" w:hAnsi="Times New Roman" w:cs="Times New Roman"/>
                <w:b w:val="0"/>
                <w:bCs/>
                <w:color w:val="auto"/>
                <w:sz w:val="24"/>
                <w:lang w:eastAsia="zh-CN"/>
              </w:rPr>
              <w:t>大气污染物综合排放标准</w:t>
            </w:r>
            <w:r>
              <w:rPr>
                <w:rFonts w:hint="default" w:ascii="Times New Roman" w:hAnsi="Times New Roman" w:cs="Times New Roman"/>
                <w:b w:val="0"/>
                <w:bCs/>
                <w:color w:val="auto"/>
                <w:sz w:val="24"/>
                <w:lang w:val="en-US" w:eastAsia="zh-CN"/>
              </w:rPr>
              <w:t>》（</w:t>
            </w:r>
            <w:r>
              <w:rPr>
                <w:rFonts w:hint="eastAsia" w:cs="Times New Roman"/>
                <w:b w:val="0"/>
                <w:bCs/>
                <w:color w:val="auto"/>
                <w:sz w:val="24"/>
                <w:lang w:val="en-US" w:eastAsia="zh-CN"/>
              </w:rPr>
              <w:t>GB16297-1996</w:t>
            </w:r>
            <w:r>
              <w:rPr>
                <w:rFonts w:hint="default" w:ascii="Times New Roman" w:hAnsi="Times New Roman" w:cs="Times New Roman"/>
                <w:b w:val="0"/>
                <w:bCs/>
                <w:color w:val="auto"/>
                <w:sz w:val="24"/>
                <w:lang w:val="en-US" w:eastAsia="zh-CN"/>
              </w:rPr>
              <w:t>）</w:t>
            </w:r>
            <w:r>
              <w:rPr>
                <w:rFonts w:hint="eastAsia" w:cs="Times New Roman"/>
                <w:b w:val="0"/>
                <w:bCs/>
                <w:color w:val="auto"/>
                <w:sz w:val="24"/>
                <w:lang w:val="en-US" w:eastAsia="zh-CN"/>
              </w:rPr>
              <w:t>表2新污染源大气污染物排放限值</w:t>
            </w:r>
            <w:r>
              <w:rPr>
                <w:rFonts w:hint="eastAsia" w:ascii="Times New Roman" w:hAnsi="Times New Roman" w:eastAsia="宋体" w:cs="Times New Roman"/>
                <w:color w:val="auto"/>
                <w:sz w:val="24"/>
                <w:szCs w:val="24"/>
                <w:lang w:val="en-US" w:eastAsia="zh-CN"/>
              </w:rPr>
              <w:t>；厂内</w:t>
            </w:r>
            <w:r>
              <w:rPr>
                <w:rFonts w:hint="default" w:ascii="Times New Roman" w:hAnsi="Times New Roman" w:cs="Times New Roman"/>
                <w:color w:val="auto"/>
                <w:sz w:val="24"/>
                <w:szCs w:val="24"/>
                <w:lang w:val="en-US" w:eastAsia="zh-CN"/>
              </w:rPr>
              <w:t>无组织</w:t>
            </w:r>
            <w:r>
              <w:rPr>
                <w:rFonts w:hint="eastAsia" w:cs="Times New Roman"/>
                <w:color w:val="auto"/>
                <w:sz w:val="24"/>
                <w:szCs w:val="24"/>
                <w:lang w:val="en-US" w:eastAsia="zh-CN"/>
              </w:rPr>
              <w:t>挥发性有机物</w:t>
            </w:r>
            <w:r>
              <w:rPr>
                <w:rFonts w:hint="eastAsia" w:ascii="Times New Roman" w:hAnsi="Times New Roman" w:eastAsia="宋体" w:cs="Times New Roman"/>
                <w:color w:val="auto"/>
                <w:sz w:val="24"/>
                <w:szCs w:val="24"/>
                <w:lang w:val="en-US" w:eastAsia="zh-CN"/>
              </w:rPr>
              <w:t>排放</w:t>
            </w:r>
            <w:r>
              <w:rPr>
                <w:rFonts w:hint="default" w:ascii="Times New Roman" w:hAnsi="Times New Roman" w:eastAsia="宋体" w:cs="Times New Roman"/>
                <w:color w:val="auto"/>
                <w:sz w:val="24"/>
                <w:szCs w:val="24"/>
                <w:lang w:val="zh-CN"/>
              </w:rPr>
              <w:t>浓度</w:t>
            </w:r>
            <w:r>
              <w:rPr>
                <w:rFonts w:hint="default" w:ascii="Times New Roman" w:hAnsi="Times New Roman" w:eastAsia="宋体" w:cs="Times New Roman"/>
                <w:color w:val="auto"/>
                <w:sz w:val="24"/>
                <w:szCs w:val="24"/>
                <w:lang w:val="en-US" w:eastAsia="zh-CN"/>
              </w:rPr>
              <w:t>满足</w:t>
            </w:r>
            <w:r>
              <w:rPr>
                <w:rFonts w:hint="eastAsia" w:ascii="Times New Roman" w:hAnsi="Times New Roman" w:eastAsia="宋体" w:cs="Times New Roman"/>
                <w:color w:val="auto"/>
                <w:sz w:val="24"/>
                <w:szCs w:val="24"/>
                <w:lang w:val="en-US" w:eastAsia="zh-CN"/>
              </w:rPr>
              <w:t>《挥发性有机物无组织排放控制标准》（GB37822-2019）中的特别排放限值。</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t>综上</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该项目产生的大气污染物在落实本次评价的废气防治措施后，对区域大气环境质量影响较小。</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rPr>
              <w:t>废水</w:t>
            </w:r>
          </w:p>
          <w:p>
            <w:pPr>
              <w:pStyle w:val="43"/>
              <w:keepNext w:val="0"/>
              <w:keepLines w:val="0"/>
              <w:pageBreakBefore w:val="0"/>
              <w:widowControl w:val="0"/>
              <w:tabs>
                <w:tab w:val="left" w:pos="2100"/>
              </w:tabs>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项目用排水情况：</w:t>
            </w:r>
          </w:p>
          <w:p>
            <w:pPr>
              <w:pStyle w:val="43"/>
              <w:keepNext w:val="0"/>
              <w:keepLines w:val="0"/>
              <w:pageBreakBefore w:val="0"/>
              <w:widowControl w:val="0"/>
              <w:tabs>
                <w:tab w:val="left" w:pos="2100"/>
              </w:tabs>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b/>
                <w:bCs/>
                <w:color w:val="auto"/>
                <w:sz w:val="24"/>
                <w:szCs w:val="24"/>
                <w:lang w:val="en-US" w:eastAsia="zh-CN"/>
              </w:rPr>
            </w:pPr>
            <w:r>
              <w:rPr>
                <w:rFonts w:hint="eastAsia" w:ascii="宋体" w:hAnsi="宋体" w:eastAsia="宋体" w:cs="宋体"/>
                <w:b w:val="0"/>
                <w:bCs w:val="0"/>
                <w:color w:val="auto"/>
                <w:sz w:val="24"/>
                <w:szCs w:val="24"/>
                <w:lang w:val="en-US" w:eastAsia="zh-CN"/>
              </w:rPr>
              <w:t xml:space="preserve">① </w:t>
            </w:r>
            <w:r>
              <w:rPr>
                <w:rFonts w:hint="eastAsia" w:ascii="Times New Roman" w:hAnsi="Times New Roman" w:eastAsia="宋体" w:cs="Times New Roman"/>
                <w:b w:val="0"/>
                <w:bCs w:val="0"/>
                <w:color w:val="auto"/>
                <w:sz w:val="24"/>
                <w:szCs w:val="24"/>
                <w:lang w:val="en-US" w:eastAsia="zh-CN"/>
              </w:rPr>
              <w:t>研磨</w:t>
            </w:r>
            <w:r>
              <w:rPr>
                <w:rFonts w:hint="default" w:ascii="Times New Roman" w:hAnsi="Times New Roman" w:eastAsia="宋体" w:cs="Times New Roman"/>
                <w:b w:val="0"/>
                <w:bCs w:val="0"/>
                <w:color w:val="auto"/>
                <w:sz w:val="24"/>
                <w:szCs w:val="24"/>
                <w:lang w:val="en-US" w:eastAsia="zh-CN"/>
              </w:rPr>
              <w:t>液、研磨液配置用水</w:t>
            </w:r>
          </w:p>
          <w:p>
            <w:pPr>
              <w:pStyle w:val="43"/>
              <w:keepNext w:val="0"/>
              <w:keepLines w:val="0"/>
              <w:pageBreakBefore w:val="0"/>
              <w:widowControl w:val="0"/>
              <w:tabs>
                <w:tab w:val="left" w:pos="2100"/>
              </w:tabs>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项目</w:t>
            </w:r>
            <w:r>
              <w:rPr>
                <w:rFonts w:hint="eastAsia" w:ascii="Times New Roman" w:hAnsi="Times New Roman" w:eastAsia="宋体" w:cs="Times New Roman"/>
                <w:b w:val="0"/>
                <w:bCs w:val="0"/>
                <w:color w:val="auto"/>
                <w:sz w:val="24"/>
                <w:szCs w:val="24"/>
                <w:lang w:val="en-US" w:eastAsia="zh-CN"/>
              </w:rPr>
              <w:t>精研</w:t>
            </w:r>
            <w:r>
              <w:rPr>
                <w:rFonts w:hint="default" w:ascii="Times New Roman" w:hAnsi="Times New Roman" w:eastAsia="宋体" w:cs="Times New Roman"/>
                <w:b w:val="0"/>
                <w:bCs w:val="0"/>
                <w:color w:val="auto"/>
                <w:sz w:val="24"/>
                <w:szCs w:val="24"/>
                <w:lang w:val="en-US" w:eastAsia="zh-CN"/>
              </w:rPr>
              <w:t>液、</w:t>
            </w:r>
            <w:r>
              <w:rPr>
                <w:rFonts w:hint="default" w:ascii="Times New Roman" w:hAnsi="Times New Roman" w:eastAsia="宋体" w:cs="Times New Roman"/>
                <w:color w:val="auto"/>
                <w:kern w:val="0"/>
                <w:sz w:val="24"/>
                <w:szCs w:val="28"/>
                <w:lang w:val="en-US" w:eastAsia="zh-CN" w:bidi="ar-SA"/>
              </w:rPr>
              <w:t>特磨液、循环液</w:t>
            </w:r>
            <w:r>
              <w:rPr>
                <w:rFonts w:hint="default" w:ascii="Times New Roman" w:hAnsi="Times New Roman" w:eastAsia="宋体" w:cs="Times New Roman"/>
                <w:b w:val="0"/>
                <w:bCs w:val="0"/>
                <w:color w:val="auto"/>
                <w:sz w:val="24"/>
                <w:szCs w:val="24"/>
                <w:lang w:val="en-US" w:eastAsia="zh-CN"/>
              </w:rPr>
              <w:t>实际使用过程中</w:t>
            </w:r>
            <w:r>
              <w:rPr>
                <w:rFonts w:hint="eastAsia" w:ascii="Times New Roman" w:hAnsi="Times New Roman" w:eastAsia="宋体" w:cs="Times New Roman"/>
                <w:b w:val="0"/>
                <w:bCs w:val="0"/>
                <w:color w:val="auto"/>
                <w:sz w:val="24"/>
                <w:szCs w:val="24"/>
                <w:lang w:val="en-US" w:eastAsia="zh-CN"/>
              </w:rPr>
              <w:t>与</w:t>
            </w:r>
            <w:r>
              <w:rPr>
                <w:rFonts w:hint="default" w:ascii="Times New Roman" w:hAnsi="Times New Roman" w:eastAsia="宋体" w:cs="Times New Roman"/>
                <w:b w:val="0"/>
                <w:bCs w:val="0"/>
                <w:color w:val="auto"/>
                <w:sz w:val="24"/>
                <w:szCs w:val="24"/>
                <w:lang w:val="en-US" w:eastAsia="zh-CN"/>
              </w:rPr>
              <w:t>水按照1：9的比例混合后使用，</w:t>
            </w:r>
            <w:r>
              <w:rPr>
                <w:rFonts w:hint="eastAsia" w:ascii="Times New Roman" w:hAnsi="Times New Roman" w:eastAsia="宋体" w:cs="Times New Roman"/>
                <w:b w:val="0"/>
                <w:bCs w:val="0"/>
                <w:color w:val="auto"/>
                <w:sz w:val="24"/>
                <w:szCs w:val="24"/>
                <w:lang w:val="en-US" w:eastAsia="zh-CN"/>
              </w:rPr>
              <w:t>精研</w:t>
            </w:r>
            <w:r>
              <w:rPr>
                <w:rFonts w:hint="default" w:ascii="Times New Roman" w:hAnsi="Times New Roman" w:eastAsia="宋体" w:cs="Times New Roman"/>
                <w:b w:val="0"/>
                <w:bCs w:val="0"/>
                <w:color w:val="auto"/>
                <w:sz w:val="24"/>
                <w:szCs w:val="24"/>
                <w:lang w:val="en-US" w:eastAsia="zh-CN"/>
              </w:rPr>
              <w:t>液使用量为</w:t>
            </w:r>
            <w:r>
              <w:rPr>
                <w:rFonts w:hint="eastAsia" w:ascii="Times New Roman" w:hAnsi="Times New Roman" w:eastAsia="宋体" w:cs="Times New Roman"/>
                <w:b w:val="0"/>
                <w:bCs w:val="0"/>
                <w:color w:val="auto"/>
                <w:sz w:val="24"/>
                <w:szCs w:val="24"/>
                <w:lang w:val="en-US" w:eastAsia="zh-CN"/>
              </w:rPr>
              <w:t>35</w:t>
            </w:r>
            <w:r>
              <w:rPr>
                <w:rFonts w:hint="default" w:ascii="Times New Roman" w:hAnsi="Times New Roman" w:eastAsia="宋体" w:cs="Times New Roman"/>
                <w:b w:val="0"/>
                <w:bCs w:val="0"/>
                <w:color w:val="auto"/>
                <w:sz w:val="24"/>
                <w:szCs w:val="24"/>
                <w:lang w:val="en-US" w:eastAsia="zh-CN"/>
              </w:rPr>
              <w:t>t/a，</w:t>
            </w:r>
            <w:r>
              <w:rPr>
                <w:rFonts w:hint="eastAsia" w:ascii="Times New Roman" w:hAnsi="Times New Roman" w:eastAsia="宋体" w:cs="Times New Roman"/>
                <w:b w:val="0"/>
                <w:bCs w:val="0"/>
                <w:color w:val="auto"/>
                <w:sz w:val="24"/>
                <w:szCs w:val="24"/>
                <w:lang w:val="en-US" w:eastAsia="zh-CN"/>
              </w:rPr>
              <w:t>循环液实际使用量为50t/a，特磨液实际使用量为35t/a，</w:t>
            </w:r>
            <w:r>
              <w:rPr>
                <w:rFonts w:hint="default" w:ascii="Times New Roman" w:hAnsi="Times New Roman" w:eastAsia="宋体"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经计算</w:t>
            </w:r>
            <w:r>
              <w:rPr>
                <w:rFonts w:hint="default" w:ascii="Times New Roman" w:hAnsi="Times New Roman" w:eastAsia="宋体" w:cs="Times New Roman"/>
                <w:b w:val="0"/>
                <w:bCs w:val="0"/>
                <w:color w:val="auto"/>
                <w:sz w:val="24"/>
                <w:szCs w:val="24"/>
                <w:lang w:val="en-US" w:eastAsia="zh-CN"/>
              </w:rPr>
              <w:t>配置用水</w:t>
            </w:r>
            <w:r>
              <w:rPr>
                <w:rFonts w:hint="eastAsia" w:ascii="Times New Roman" w:hAnsi="Times New Roman" w:eastAsia="宋体" w:cs="Times New Roman"/>
                <w:b w:val="0"/>
                <w:bCs w:val="0"/>
                <w:color w:val="auto"/>
                <w:sz w:val="24"/>
                <w:szCs w:val="24"/>
                <w:lang w:val="en-US" w:eastAsia="zh-CN"/>
              </w:rPr>
              <w:t>量为1080t/a，配制好的精研</w:t>
            </w:r>
            <w:r>
              <w:rPr>
                <w:rFonts w:hint="default" w:ascii="Times New Roman" w:hAnsi="Times New Roman" w:eastAsia="宋体" w:cs="Times New Roman"/>
                <w:b w:val="0"/>
                <w:bCs w:val="0"/>
                <w:color w:val="auto"/>
                <w:sz w:val="24"/>
                <w:szCs w:val="24"/>
                <w:lang w:val="en-US" w:eastAsia="zh-CN"/>
              </w:rPr>
              <w:t>液、</w:t>
            </w:r>
            <w:r>
              <w:rPr>
                <w:rFonts w:hint="eastAsia" w:ascii="Times New Roman" w:hAnsi="Times New Roman" w:eastAsia="宋体" w:cs="Times New Roman"/>
                <w:b w:val="0"/>
                <w:bCs w:val="0"/>
                <w:color w:val="auto"/>
                <w:sz w:val="24"/>
                <w:szCs w:val="24"/>
                <w:lang w:val="en-US" w:eastAsia="zh-CN"/>
              </w:rPr>
              <w:t>特磨</w:t>
            </w:r>
            <w:r>
              <w:rPr>
                <w:rFonts w:hint="default" w:ascii="Times New Roman" w:hAnsi="Times New Roman" w:eastAsia="宋体" w:cs="Times New Roman"/>
                <w:b w:val="0"/>
                <w:bCs w:val="0"/>
                <w:color w:val="auto"/>
                <w:sz w:val="24"/>
                <w:szCs w:val="24"/>
                <w:lang w:val="en-US" w:eastAsia="zh-CN"/>
              </w:rPr>
              <w:t>液</w:t>
            </w:r>
            <w:r>
              <w:rPr>
                <w:rFonts w:hint="eastAsia" w:ascii="Times New Roman" w:hAnsi="Times New Roman" w:eastAsia="宋体" w:cs="Times New Roman"/>
                <w:b w:val="0"/>
                <w:bCs w:val="0"/>
                <w:color w:val="auto"/>
                <w:sz w:val="24"/>
                <w:szCs w:val="24"/>
                <w:lang w:val="en-US" w:eastAsia="zh-CN"/>
              </w:rPr>
              <w:t>、循环液循环使用，由于钢球光球、硬磨、初研及精研工序产热而使水受热挥发损耗，平时需添加。</w:t>
            </w:r>
          </w:p>
          <w:p>
            <w:pPr>
              <w:pStyle w:val="43"/>
              <w:keepNext w:val="0"/>
              <w:keepLines w:val="0"/>
              <w:pageBreakBefore w:val="0"/>
              <w:widowControl w:val="0"/>
              <w:tabs>
                <w:tab w:val="left" w:pos="2100"/>
              </w:tabs>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宋体" w:hAnsi="宋体" w:eastAsia="宋体" w:cs="宋体"/>
                <w:b w:val="0"/>
                <w:bCs w:val="0"/>
                <w:color w:val="auto"/>
                <w:sz w:val="24"/>
                <w:szCs w:val="24"/>
                <w:lang w:val="en-US" w:eastAsia="zh-CN"/>
              </w:rPr>
              <w:t>② 生活污水</w:t>
            </w:r>
          </w:p>
          <w:p>
            <w:pPr>
              <w:pStyle w:val="43"/>
              <w:keepNext w:val="0"/>
              <w:keepLines w:val="0"/>
              <w:pageBreakBefore w:val="0"/>
              <w:widowControl w:val="0"/>
              <w:tabs>
                <w:tab w:val="left" w:pos="2100"/>
              </w:tabs>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本项目职工定员</w:t>
            </w:r>
            <w:r>
              <w:rPr>
                <w:rFonts w:hint="eastAsia" w:ascii="Times New Roman" w:hAnsi="Times New Roman" w:eastAsia="宋体" w:cs="Times New Roman"/>
                <w:color w:val="auto"/>
                <w:sz w:val="24"/>
                <w:szCs w:val="24"/>
                <w:lang w:val="en-US" w:eastAsia="zh-CN"/>
              </w:rPr>
              <w:t>100</w:t>
            </w:r>
            <w:r>
              <w:rPr>
                <w:rFonts w:hint="default" w:ascii="Times New Roman" w:hAnsi="Times New Roman" w:eastAsia="宋体" w:cs="Times New Roman"/>
                <w:color w:val="auto"/>
                <w:sz w:val="24"/>
                <w:szCs w:val="24"/>
                <w:lang w:val="en-US" w:eastAsia="zh-CN"/>
              </w:rPr>
              <w:t>人，厂区不提供食宿。根据《安徽省行业用水定额》（GB34/T679-2</w:t>
            </w:r>
            <w:r>
              <w:rPr>
                <w:rFonts w:hint="eastAsia" w:ascii="Times New Roman" w:hAnsi="Times New Roman" w:eastAsia="宋体" w:cs="Times New Roman"/>
                <w:color w:val="auto"/>
                <w:sz w:val="24"/>
                <w:szCs w:val="24"/>
                <w:lang w:val="en-US" w:eastAsia="zh-CN"/>
              </w:rPr>
              <w:t>019</w:t>
            </w:r>
            <w:r>
              <w:rPr>
                <w:rFonts w:hint="default" w:ascii="Times New Roman" w:hAnsi="Times New Roman" w:eastAsia="宋体" w:cs="Times New Roman"/>
                <w:color w:val="auto"/>
                <w:sz w:val="24"/>
                <w:szCs w:val="24"/>
                <w:lang w:val="en-US" w:eastAsia="zh-CN"/>
              </w:rPr>
              <w:t>），工作人员生活用水以</w:t>
            </w:r>
            <w:r>
              <w:rPr>
                <w:rFonts w:hint="eastAsia" w:ascii="Times New Roman" w:hAnsi="Times New Roman" w:eastAsia="宋体" w:cs="Times New Roman"/>
                <w:color w:val="auto"/>
                <w:sz w:val="24"/>
                <w:szCs w:val="24"/>
                <w:lang w:val="en-US" w:eastAsia="zh-CN"/>
              </w:rPr>
              <w:t>50</w:t>
            </w:r>
            <w:r>
              <w:rPr>
                <w:rFonts w:hint="default" w:ascii="Times New Roman" w:hAnsi="Times New Roman" w:eastAsia="宋体" w:cs="Times New Roman"/>
                <w:color w:val="auto"/>
                <w:sz w:val="24"/>
                <w:szCs w:val="24"/>
                <w:lang w:val="en-US" w:eastAsia="zh-CN"/>
              </w:rPr>
              <w:t>L/人d计，年工作时间</w:t>
            </w:r>
            <w:r>
              <w:rPr>
                <w:rFonts w:hint="eastAsia" w:ascii="Times New Roman" w:hAnsi="Times New Roman" w:eastAsia="宋体" w:cs="Times New Roman"/>
                <w:color w:val="auto"/>
                <w:sz w:val="24"/>
                <w:szCs w:val="24"/>
                <w:lang w:val="en-US" w:eastAsia="zh-CN"/>
              </w:rPr>
              <w:t>300</w:t>
            </w:r>
            <w:r>
              <w:rPr>
                <w:rFonts w:hint="default" w:ascii="Times New Roman" w:hAnsi="Times New Roman" w:eastAsia="宋体" w:cs="Times New Roman"/>
                <w:color w:val="auto"/>
                <w:sz w:val="24"/>
                <w:szCs w:val="24"/>
                <w:lang w:val="en-US" w:eastAsia="zh-CN"/>
              </w:rPr>
              <w:t>天，则生活用水量为</w:t>
            </w:r>
            <w:r>
              <w:rPr>
                <w:rFonts w:hint="eastAsia"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t/d（</w:t>
            </w:r>
            <w:r>
              <w:rPr>
                <w:rFonts w:hint="eastAsia" w:ascii="Times New Roman" w:hAnsi="Times New Roman" w:eastAsia="宋体" w:cs="Times New Roman"/>
                <w:color w:val="auto"/>
                <w:sz w:val="24"/>
                <w:szCs w:val="24"/>
                <w:lang w:val="en-US" w:eastAsia="zh-CN"/>
              </w:rPr>
              <w:t>1500</w:t>
            </w:r>
            <w:r>
              <w:rPr>
                <w:rFonts w:hint="default" w:ascii="Times New Roman" w:hAnsi="Times New Roman" w:eastAsia="宋体" w:cs="Times New Roman"/>
                <w:color w:val="auto"/>
                <w:sz w:val="24"/>
                <w:szCs w:val="24"/>
                <w:lang w:val="en-US" w:eastAsia="zh-CN"/>
              </w:rPr>
              <w:t>t/a）。生活污水量按照用水量的80%计算，则生活污水产生量约为</w:t>
            </w:r>
            <w:r>
              <w:rPr>
                <w:rFonts w:hint="eastAsia" w:ascii="Times New Roman" w:hAnsi="Times New Roman" w:eastAsia="宋体" w:cs="Times New Roman"/>
                <w:color w:val="auto"/>
                <w:sz w:val="24"/>
                <w:szCs w:val="24"/>
                <w:lang w:val="en-US" w:eastAsia="zh-CN"/>
              </w:rPr>
              <w:t>4.0</w:t>
            </w:r>
            <w:r>
              <w:rPr>
                <w:rFonts w:hint="default" w:ascii="Times New Roman" w:hAnsi="Times New Roman" w:eastAsia="宋体" w:cs="Times New Roman"/>
                <w:color w:val="auto"/>
                <w:sz w:val="24"/>
                <w:szCs w:val="24"/>
                <w:lang w:val="en-US" w:eastAsia="zh-CN"/>
              </w:rPr>
              <w:t>t/d（</w:t>
            </w:r>
            <w:r>
              <w:rPr>
                <w:rFonts w:hint="eastAsia" w:ascii="Times New Roman" w:hAnsi="Times New Roman" w:eastAsia="宋体" w:cs="Times New Roman"/>
                <w:color w:val="auto"/>
                <w:sz w:val="24"/>
                <w:szCs w:val="24"/>
                <w:lang w:val="en-US" w:eastAsia="zh-CN"/>
              </w:rPr>
              <w:t>1200</w:t>
            </w:r>
            <w:r>
              <w:rPr>
                <w:rFonts w:hint="default" w:ascii="Times New Roman" w:hAnsi="Times New Roman" w:eastAsia="宋体" w:cs="Times New Roman"/>
                <w:color w:val="auto"/>
                <w:sz w:val="24"/>
                <w:szCs w:val="24"/>
                <w:lang w:val="en-US" w:eastAsia="zh-CN"/>
              </w:rPr>
              <w:t>t/a）。本项目生活污水中主要污染指标浓度选取为：COD300mg/L、BOD</w:t>
            </w:r>
            <w:r>
              <w:rPr>
                <w:rFonts w:hint="default" w:ascii="Times New Roman" w:hAnsi="Times New Roman" w:eastAsia="宋体" w:cs="Times New Roman"/>
                <w:color w:val="auto"/>
                <w:sz w:val="24"/>
                <w:szCs w:val="24"/>
                <w:vertAlign w:val="subscript"/>
                <w:lang w:val="en-US" w:eastAsia="zh-CN"/>
              </w:rPr>
              <w:t>5</w:t>
            </w:r>
            <w:r>
              <w:rPr>
                <w:rFonts w:hint="eastAsia" w:ascii="Times New Roman" w:hAnsi="Times New Roman" w:eastAsia="宋体" w:cs="Times New Roman"/>
                <w:color w:val="auto"/>
                <w:sz w:val="24"/>
                <w:szCs w:val="24"/>
                <w:vertAlign w:val="subscript"/>
                <w:lang w:val="en-US" w:eastAsia="zh-CN"/>
              </w:rPr>
              <w:t xml:space="preserve"> </w:t>
            </w:r>
            <w:r>
              <w:rPr>
                <w:rFonts w:hint="eastAsia" w:ascii="Times New Roman" w:hAnsi="Times New Roman" w:eastAsia="宋体" w:cs="Times New Roman"/>
                <w:color w:val="auto"/>
                <w:sz w:val="24"/>
                <w:szCs w:val="24"/>
                <w:lang w:val="en-US" w:eastAsia="zh-CN"/>
              </w:rPr>
              <w:t>190</w:t>
            </w:r>
            <w:r>
              <w:rPr>
                <w:rFonts w:hint="default" w:ascii="Times New Roman" w:hAnsi="Times New Roman" w:eastAsia="宋体" w:cs="Times New Roman"/>
                <w:color w:val="auto"/>
                <w:sz w:val="24"/>
                <w:szCs w:val="24"/>
                <w:lang w:val="en-US" w:eastAsia="zh-CN"/>
              </w:rPr>
              <w:t>mg/L、SS</w:t>
            </w:r>
            <w:r>
              <w:rPr>
                <w:rFonts w:hint="eastAsia"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200mg/L、NH</w:t>
            </w:r>
            <w:r>
              <w:rPr>
                <w:rFonts w:hint="default" w:ascii="Times New Roman" w:hAnsi="Times New Roman" w:eastAsia="宋体" w:cs="Times New Roman"/>
                <w:color w:val="auto"/>
                <w:sz w:val="24"/>
                <w:szCs w:val="24"/>
                <w:vertAlign w:val="subscript"/>
                <w:lang w:val="en-US" w:eastAsia="zh-CN"/>
              </w:rPr>
              <w:t>3</w:t>
            </w:r>
            <w:r>
              <w:rPr>
                <w:rFonts w:hint="default" w:ascii="Times New Roman" w:hAnsi="Times New Roman" w:eastAsia="宋体" w:cs="Times New Roman"/>
                <w:color w:val="auto"/>
                <w:sz w:val="24"/>
                <w:szCs w:val="24"/>
                <w:lang w:val="en-US" w:eastAsia="zh-CN"/>
              </w:rPr>
              <w:t>-N</w:t>
            </w:r>
            <w:r>
              <w:rPr>
                <w:rFonts w:hint="eastAsia" w:ascii="Times New Roman" w:hAnsi="Times New Roman" w:eastAsia="宋体" w:cs="Times New Roman"/>
                <w:color w:val="auto"/>
                <w:sz w:val="24"/>
                <w:szCs w:val="24"/>
                <w:lang w:val="en-US" w:eastAsia="zh-CN"/>
              </w:rPr>
              <w:t xml:space="preserve"> 25</w:t>
            </w:r>
            <w:r>
              <w:rPr>
                <w:rFonts w:hint="default" w:ascii="Times New Roman" w:hAnsi="Times New Roman" w:eastAsia="宋体" w:cs="Times New Roman"/>
                <w:color w:val="auto"/>
                <w:sz w:val="24"/>
                <w:szCs w:val="24"/>
                <w:lang w:val="en-US" w:eastAsia="zh-CN"/>
              </w:rPr>
              <w:t>mg/L。</w:t>
            </w:r>
            <w:r>
              <w:rPr>
                <w:rFonts w:hint="default" w:ascii="Times New Roman" w:hAnsi="Times New Roman" w:eastAsia="宋体" w:cs="Times New Roman"/>
                <w:color w:val="auto"/>
                <w:kern w:val="0"/>
                <w:sz w:val="24"/>
                <w:szCs w:val="28"/>
                <w:lang w:val="en-US" w:eastAsia="zh-CN" w:bidi="ar-SA"/>
              </w:rPr>
              <w:t>生活污水</w:t>
            </w:r>
            <w:r>
              <w:rPr>
                <w:rFonts w:hint="default" w:ascii="Times New Roman" w:hAnsi="Times New Roman" w:eastAsia="宋体" w:cs="Times New Roman"/>
                <w:color w:val="auto"/>
                <w:sz w:val="24"/>
                <w:szCs w:val="24"/>
                <w:highlight w:val="none"/>
                <w:lang w:val="en-US" w:eastAsia="zh-CN"/>
              </w:rPr>
              <w:t>依托标准化厂房已建化粪池预处理</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lang w:val="en-US" w:eastAsia="zh-CN"/>
              </w:rPr>
              <w:t>达到《污水综合排放标准》（GB8978-1996）中三级排放标准及</w:t>
            </w:r>
            <w:r>
              <w:rPr>
                <w:rFonts w:hint="eastAsia" w:ascii="Times New Roman" w:hAnsi="Times New Roman" w:eastAsia="宋体" w:cs="Times New Roman"/>
                <w:color w:val="auto"/>
                <w:sz w:val="24"/>
                <w:szCs w:val="24"/>
                <w:lang w:val="en-US" w:eastAsia="zh-CN"/>
              </w:rPr>
              <w:t>灵璧经济开发区新北污水处理厂</w:t>
            </w:r>
            <w:r>
              <w:rPr>
                <w:rFonts w:hint="default" w:ascii="Times New Roman" w:hAnsi="Times New Roman" w:eastAsia="宋体" w:cs="Times New Roman"/>
                <w:color w:val="auto"/>
                <w:sz w:val="24"/>
                <w:szCs w:val="24"/>
                <w:lang w:val="en-US" w:eastAsia="zh-CN"/>
              </w:rPr>
              <w:t>的接管标准</w:t>
            </w:r>
            <w:r>
              <w:rPr>
                <w:rFonts w:hint="eastAsia" w:ascii="Times New Roman" w:hAnsi="Times New Roman" w:eastAsia="宋体" w:cs="Times New Roman"/>
                <w:color w:val="auto"/>
                <w:sz w:val="24"/>
                <w:szCs w:val="24"/>
                <w:lang w:val="en-US" w:eastAsia="zh-CN"/>
              </w:rPr>
              <w:t>后，</w:t>
            </w:r>
            <w:r>
              <w:rPr>
                <w:rFonts w:hint="default" w:ascii="Times New Roman" w:hAnsi="Times New Roman" w:eastAsia="宋体" w:cs="Times New Roman"/>
                <w:color w:val="auto"/>
                <w:sz w:val="24"/>
                <w:szCs w:val="24"/>
                <w:highlight w:val="none"/>
                <w:lang w:val="en-US" w:eastAsia="zh-CN"/>
              </w:rPr>
              <w:t>经市政污水管网排入</w:t>
            </w:r>
            <w:r>
              <w:rPr>
                <w:rFonts w:hint="eastAsia" w:ascii="Times New Roman" w:hAnsi="Times New Roman" w:eastAsia="宋体" w:cs="Times New Roman"/>
                <w:color w:val="auto"/>
                <w:sz w:val="24"/>
                <w:szCs w:val="24"/>
                <w:highlight w:val="none"/>
                <w:lang w:val="en-US" w:eastAsia="zh-CN"/>
              </w:rPr>
              <w:t>灵璧经济开发区新北污水处理厂</w:t>
            </w:r>
            <w:r>
              <w:rPr>
                <w:rFonts w:hint="eastAsia" w:ascii="Times New Roman" w:hAnsi="Times New Roman" w:eastAsia="宋体" w:cs="Times New Roman"/>
                <w:color w:val="auto"/>
                <w:sz w:val="24"/>
                <w:szCs w:val="22"/>
                <w:highlight w:val="none"/>
                <w:lang w:eastAsia="zh-CN"/>
              </w:rPr>
              <w:t>处理</w:t>
            </w:r>
            <w:r>
              <w:rPr>
                <w:rFonts w:hint="default" w:ascii="Times New Roman" w:hAnsi="Times New Roman" w:eastAsia="宋体" w:cs="Times New Roman"/>
                <w:color w:val="auto"/>
                <w:sz w:val="24"/>
                <w:szCs w:val="24"/>
                <w:lang w:val="en-US" w:eastAsia="zh-CN"/>
              </w:rPr>
              <w:t>。</w:t>
            </w:r>
          </w:p>
          <w:p>
            <w:pPr>
              <w:pStyle w:val="37"/>
              <w:jc w:val="center"/>
              <w:rPr>
                <w:rFonts w:hint="default"/>
                <w:color w:val="0000FF"/>
                <w:lang w:val="en-US" w:eastAsia="zh-CN"/>
              </w:rPr>
            </w:pPr>
          </w:p>
          <w:p>
            <w:pPr>
              <w:pStyle w:val="37"/>
              <w:jc w:val="both"/>
              <w:rPr>
                <w:rFonts w:hint="default" w:ascii="Times New Roman" w:hAnsi="Times New Roman" w:eastAsia="宋体" w:cs="Times New Roman"/>
                <w:b/>
                <w:bCs/>
                <w:color w:val="0000FF"/>
                <w:sz w:val="24"/>
                <w:szCs w:val="24"/>
              </w:rPr>
            </w:pPr>
          </w:p>
          <w:p>
            <w:pPr>
              <w:pStyle w:val="37"/>
              <w:jc w:val="center"/>
              <w:rPr>
                <w:rFonts w:hint="default" w:ascii="Times New Roman" w:hAnsi="Times New Roman" w:eastAsia="宋体" w:cs="Times New Roman"/>
                <w:b/>
                <w:bCs/>
                <w:color w:val="0000FF"/>
                <w:sz w:val="24"/>
                <w:szCs w:val="24"/>
              </w:rPr>
            </w:pPr>
          </w:p>
          <w:p>
            <w:pPr>
              <w:pStyle w:val="37"/>
              <w:jc w:val="center"/>
              <w:rPr>
                <w:rFonts w:hint="default" w:ascii="Times New Roman" w:hAnsi="Times New Roman" w:eastAsia="宋体" w:cs="Times New Roman"/>
                <w:b/>
                <w:bCs/>
                <w:color w:val="0000FF"/>
                <w:sz w:val="24"/>
                <w:szCs w:val="24"/>
              </w:rPr>
            </w:pPr>
          </w:p>
          <w:p>
            <w:pPr>
              <w:pStyle w:val="37"/>
              <w:jc w:val="center"/>
              <w:rPr>
                <w:rFonts w:hint="default" w:ascii="Times New Roman" w:hAnsi="Times New Roman" w:eastAsia="宋体" w:cs="Times New Roman"/>
                <w:b/>
                <w:bCs/>
                <w:color w:val="0000FF"/>
                <w:sz w:val="24"/>
                <w:szCs w:val="24"/>
              </w:rPr>
            </w:pPr>
          </w:p>
          <w:p>
            <w:pPr>
              <w:pStyle w:val="37"/>
              <w:jc w:val="center"/>
              <w:rPr>
                <w:rFonts w:hint="default" w:ascii="Times New Roman" w:hAnsi="Times New Roman" w:eastAsia="宋体" w:cs="Times New Roman"/>
                <w:b/>
                <w:bCs/>
                <w:color w:val="0000FF"/>
                <w:sz w:val="24"/>
                <w:szCs w:val="24"/>
              </w:rPr>
            </w:pPr>
          </w:p>
          <w:p>
            <w:pPr>
              <w:pStyle w:val="37"/>
              <w:jc w:val="center"/>
              <w:rPr>
                <w:rFonts w:hint="default" w:ascii="Times New Roman" w:hAnsi="Times New Roman" w:eastAsia="宋体" w:cs="Times New Roman"/>
                <w:b/>
                <w:bCs/>
                <w:color w:val="0000FF"/>
                <w:sz w:val="24"/>
                <w:szCs w:val="24"/>
              </w:rPr>
            </w:pPr>
          </w:p>
          <w:p>
            <w:pPr>
              <w:pStyle w:val="37"/>
              <w:jc w:val="center"/>
              <w:rPr>
                <w:rFonts w:hint="default" w:ascii="Times New Roman" w:hAnsi="Times New Roman" w:eastAsia="宋体" w:cs="Times New Roman"/>
                <w:b/>
                <w:bCs/>
                <w:color w:val="0000FF"/>
                <w:sz w:val="24"/>
                <w:szCs w:val="24"/>
              </w:rPr>
            </w:pPr>
          </w:p>
          <w:p>
            <w:pPr>
              <w:pStyle w:val="37"/>
              <w:jc w:val="both"/>
              <w:rPr>
                <w:rFonts w:hint="default" w:eastAsia="宋体"/>
                <w:color w:val="0000FF"/>
                <w:sz w:val="24"/>
                <w:szCs w:val="24"/>
                <w:lang w:val="en-US" w:eastAsia="zh-CN"/>
              </w:rPr>
            </w:pPr>
          </w:p>
          <w:p>
            <w:pPr>
              <w:pStyle w:val="7"/>
              <w:rPr>
                <w:rFonts w:hint="default" w:eastAsia="宋体"/>
                <w:color w:val="0000FF"/>
                <w:sz w:val="24"/>
                <w:szCs w:val="24"/>
                <w:lang w:val="en-US" w:eastAsia="zh-CN"/>
              </w:rPr>
            </w:pPr>
          </w:p>
          <w:p>
            <w:pPr>
              <w:rPr>
                <w:rFonts w:hint="default" w:eastAsia="宋体"/>
                <w:color w:val="0000FF"/>
                <w:sz w:val="24"/>
                <w:szCs w:val="24"/>
                <w:lang w:val="en-US" w:eastAsia="zh-CN"/>
              </w:rPr>
            </w:pPr>
          </w:p>
          <w:p>
            <w:pPr>
              <w:pStyle w:val="16"/>
              <w:rPr>
                <w:rFonts w:hint="default" w:eastAsia="宋体"/>
                <w:color w:val="0000FF"/>
                <w:sz w:val="24"/>
                <w:szCs w:val="24"/>
                <w:lang w:val="en-US" w:eastAsia="zh-CN"/>
              </w:rPr>
            </w:pPr>
          </w:p>
          <w:p>
            <w:pPr>
              <w:pStyle w:val="16"/>
              <w:rPr>
                <w:rFonts w:hint="default" w:eastAsia="宋体"/>
                <w:color w:val="0000FF"/>
                <w:sz w:val="24"/>
                <w:szCs w:val="24"/>
                <w:lang w:val="en-US" w:eastAsia="zh-CN"/>
              </w:rPr>
            </w:pPr>
          </w:p>
          <w:p>
            <w:pPr>
              <w:pStyle w:val="16"/>
              <w:rPr>
                <w:rFonts w:hint="default" w:eastAsia="宋体"/>
                <w:color w:val="0000FF"/>
                <w:sz w:val="24"/>
                <w:szCs w:val="24"/>
                <w:lang w:val="en-US" w:eastAsia="zh-CN"/>
              </w:rPr>
            </w:pPr>
          </w:p>
        </w:tc>
      </w:tr>
    </w:tbl>
    <w:p>
      <w:pPr>
        <w:adjustRightInd w:val="0"/>
        <w:snapToGrid w:val="0"/>
        <w:jc w:val="center"/>
        <w:rPr>
          <w:rFonts w:hint="default" w:ascii="Times New Roman" w:hAnsi="Times New Roman" w:eastAsia="宋体" w:cs="Times New Roman"/>
          <w:b w:val="0"/>
          <w:bCs w:val="0"/>
          <w:color w:val="0000FF"/>
          <w:sz w:val="24"/>
          <w:szCs w:val="24"/>
        </w:rPr>
        <w:sectPr>
          <w:pgSz w:w="11906" w:h="16838"/>
          <w:pgMar w:top="1440" w:right="1803" w:bottom="1440" w:left="1803"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6"/>
        <w:tblW w:w="1354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56"/>
        <w:gridCol w:w="1308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932" w:hRule="atLeast"/>
        </w:trPr>
        <w:tc>
          <w:tcPr>
            <w:tcW w:w="456"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运营</w:t>
            </w:r>
          </w:p>
          <w:p>
            <w:pPr>
              <w:adjustRightInd w:val="0"/>
              <w:snapToGrid w:val="0"/>
              <w:jc w:val="center"/>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期环</w:t>
            </w:r>
          </w:p>
          <w:p>
            <w:pPr>
              <w:adjustRightInd w:val="0"/>
              <w:snapToGrid w:val="0"/>
              <w:jc w:val="center"/>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境影</w:t>
            </w:r>
          </w:p>
          <w:p>
            <w:pPr>
              <w:adjustRightInd w:val="0"/>
              <w:snapToGrid w:val="0"/>
              <w:jc w:val="center"/>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响和</w:t>
            </w:r>
          </w:p>
          <w:p>
            <w:pPr>
              <w:adjustRightInd w:val="0"/>
              <w:snapToGrid w:val="0"/>
              <w:jc w:val="center"/>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保护</w:t>
            </w:r>
          </w:p>
          <w:p>
            <w:pPr>
              <w:pStyle w:val="37"/>
              <w:rPr>
                <w:rFonts w:hint="default" w:ascii="Times New Roman" w:hAnsi="Times New Roman" w:eastAsia="宋体" w:cs="Times New Roman"/>
                <w:color w:val="auto"/>
                <w:vertAlign w:val="baseline"/>
              </w:rPr>
            </w:pPr>
            <w:r>
              <w:rPr>
                <w:rFonts w:hint="default" w:ascii="Times New Roman" w:hAnsi="Times New Roman" w:eastAsia="宋体" w:cs="Times New Roman"/>
                <w:b w:val="0"/>
                <w:bCs w:val="0"/>
                <w:color w:val="auto"/>
                <w:sz w:val="24"/>
                <w:szCs w:val="24"/>
              </w:rPr>
              <w:t>措施</w:t>
            </w:r>
          </w:p>
        </w:tc>
        <w:tc>
          <w:tcPr>
            <w:tcW w:w="13088"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rPr>
              <w:t>表</w:t>
            </w:r>
            <w:r>
              <w:rPr>
                <w:rFonts w:hint="default" w:ascii="Times New Roman" w:hAnsi="Times New Roman" w:eastAsia="宋体" w:cs="Times New Roman"/>
                <w:b/>
                <w:bCs/>
                <w:color w:val="auto"/>
                <w:sz w:val="24"/>
                <w:szCs w:val="24"/>
                <w:lang w:val="en-US" w:eastAsia="zh-CN"/>
              </w:rPr>
              <w:t>4.</w:t>
            </w:r>
            <w:r>
              <w:rPr>
                <w:rFonts w:hint="eastAsia" w:cs="Times New Roman"/>
                <w:b/>
                <w:bCs/>
                <w:color w:val="auto"/>
                <w:sz w:val="24"/>
                <w:szCs w:val="24"/>
                <w:lang w:val="en-US" w:eastAsia="zh-CN"/>
              </w:rPr>
              <w:t>5</w:t>
            </w:r>
            <w:r>
              <w:rPr>
                <w:rFonts w:hint="eastAsia"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lang w:val="en-US" w:eastAsia="zh-CN"/>
              </w:rPr>
              <w:t xml:space="preserve"> </w:t>
            </w:r>
            <w:r>
              <w:rPr>
                <w:rFonts w:hint="eastAsia" w:ascii="Times New Roman" w:hAnsi="Times New Roman" w:eastAsia="宋体" w:cs="Times New Roman"/>
                <w:b/>
                <w:bCs/>
                <w:color w:val="auto"/>
                <w:sz w:val="24"/>
                <w:szCs w:val="24"/>
                <w:lang w:val="en-US" w:eastAsia="zh-CN"/>
              </w:rPr>
              <w:t>本项目</w:t>
            </w:r>
            <w:r>
              <w:rPr>
                <w:rFonts w:hint="default" w:ascii="Times New Roman" w:hAnsi="Times New Roman" w:eastAsia="宋体" w:cs="Times New Roman"/>
                <w:b/>
                <w:bCs/>
                <w:color w:val="auto"/>
                <w:sz w:val="24"/>
                <w:szCs w:val="24"/>
                <w:lang w:val="en-US" w:eastAsia="zh-CN"/>
              </w:rPr>
              <w:t>废水</w:t>
            </w:r>
            <w:r>
              <w:rPr>
                <w:rFonts w:hint="eastAsia" w:ascii="Times New Roman" w:hAnsi="Times New Roman" w:eastAsia="宋体" w:cs="Times New Roman"/>
                <w:b/>
                <w:bCs/>
                <w:color w:val="auto"/>
                <w:sz w:val="24"/>
                <w:szCs w:val="24"/>
                <w:lang w:val="en-US" w:eastAsia="zh-CN"/>
              </w:rPr>
              <w:t>产排</w:t>
            </w:r>
            <w:r>
              <w:rPr>
                <w:rFonts w:hint="default" w:ascii="Times New Roman" w:hAnsi="Times New Roman" w:eastAsia="宋体" w:cs="Times New Roman"/>
                <w:b/>
                <w:bCs/>
                <w:color w:val="auto"/>
                <w:sz w:val="24"/>
                <w:szCs w:val="24"/>
                <w:lang w:val="en-US" w:eastAsia="zh-CN"/>
              </w:rPr>
              <w:t>情况一览表</w:t>
            </w:r>
          </w:p>
          <w:tbl>
            <w:tblPr>
              <w:tblStyle w:val="26"/>
              <w:tblW w:w="128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
              <w:gridCol w:w="888"/>
              <w:gridCol w:w="914"/>
              <w:gridCol w:w="917"/>
              <w:gridCol w:w="916"/>
              <w:gridCol w:w="1031"/>
              <w:gridCol w:w="904"/>
              <w:gridCol w:w="855"/>
              <w:gridCol w:w="1011"/>
              <w:gridCol w:w="894"/>
              <w:gridCol w:w="918"/>
              <w:gridCol w:w="922"/>
              <w:gridCol w:w="893"/>
              <w:gridCol w:w="9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9" w:type="dxa"/>
                  <w:vMerge w:val="restart"/>
                  <w:noWrap w:val="0"/>
                  <w:vAlign w:val="center"/>
                </w:tcPr>
                <w:p>
                  <w:pPr>
                    <w:adjustRightInd w:val="0"/>
                    <w:snapToGrid w:val="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产排污环节</w:t>
                  </w:r>
                </w:p>
              </w:tc>
              <w:tc>
                <w:tcPr>
                  <w:tcW w:w="888" w:type="dxa"/>
                  <w:vMerge w:val="restart"/>
                  <w:noWrap w:val="0"/>
                  <w:vAlign w:val="center"/>
                </w:tcPr>
                <w:p>
                  <w:pPr>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废水</w:t>
                  </w:r>
                </w:p>
                <w:p>
                  <w:pPr>
                    <w:adjustRightInd w:val="0"/>
                    <w:snapToGrid w:val="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类别</w:t>
                  </w:r>
                </w:p>
              </w:tc>
              <w:tc>
                <w:tcPr>
                  <w:tcW w:w="914" w:type="dxa"/>
                  <w:vMerge w:val="restart"/>
                  <w:noWrap w:val="0"/>
                  <w:vAlign w:val="center"/>
                </w:tcPr>
                <w:p>
                  <w:pPr>
                    <w:pStyle w:val="5"/>
                    <w:keepNext w:val="0"/>
                    <w:keepLines/>
                    <w:pageBreakBefore w:val="0"/>
                    <w:widowControl w:val="0"/>
                    <w:kinsoku/>
                    <w:wordWrap/>
                    <w:overflowPunct/>
                    <w:topLinePunct w:val="0"/>
                    <w:autoSpaceDE/>
                    <w:autoSpaceDN/>
                    <w:bidi w:val="0"/>
                    <w:adjustRightInd w:val="0"/>
                    <w:snapToGrid w:val="0"/>
                    <w:spacing w:before="63" w:beforeLines="20" w:after="0" w:afterLines="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排放量</w:t>
                  </w:r>
                </w:p>
                <w:p>
                  <w:pPr>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（t/</w:t>
                  </w:r>
                  <w:r>
                    <w:rPr>
                      <w:rFonts w:hint="eastAsia" w:cs="Times New Roman"/>
                      <w:b w:val="0"/>
                      <w:bCs w:val="0"/>
                      <w:color w:val="auto"/>
                      <w:sz w:val="21"/>
                      <w:szCs w:val="21"/>
                      <w:highlight w:val="none"/>
                      <w:vertAlign w:val="baseline"/>
                      <w:lang w:val="en-US" w:eastAsia="zh-CN"/>
                    </w:rPr>
                    <w:t>a</w:t>
                  </w: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917" w:type="dxa"/>
                  <w:vMerge w:val="restart"/>
                  <w:noWrap w:val="0"/>
                  <w:vAlign w:val="center"/>
                </w:tcPr>
                <w:p>
                  <w:pPr>
                    <w:adjustRightInd w:val="0"/>
                    <w:snapToGrid w:val="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污染物种类</w:t>
                  </w:r>
                </w:p>
              </w:tc>
              <w:tc>
                <w:tcPr>
                  <w:tcW w:w="1947" w:type="dxa"/>
                  <w:gridSpan w:val="2"/>
                  <w:noWrap w:val="0"/>
                  <w:vAlign w:val="center"/>
                </w:tcPr>
                <w:p>
                  <w:pPr>
                    <w:adjustRightInd w:val="0"/>
                    <w:snapToGrid w:val="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污染物产生情况</w:t>
                  </w:r>
                </w:p>
              </w:tc>
              <w:tc>
                <w:tcPr>
                  <w:tcW w:w="3664" w:type="dxa"/>
                  <w:gridSpan w:val="4"/>
                  <w:noWrap w:val="0"/>
                  <w:vAlign w:val="center"/>
                </w:tcPr>
                <w:p>
                  <w:pPr>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治理设施</w:t>
                  </w:r>
                </w:p>
              </w:tc>
              <w:tc>
                <w:tcPr>
                  <w:tcW w:w="1840" w:type="dxa"/>
                  <w:gridSpan w:val="2"/>
                  <w:noWrap w:val="0"/>
                  <w:vAlign w:val="center"/>
                </w:tcPr>
                <w:p>
                  <w:pPr>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污染物排放情况</w:t>
                  </w:r>
                </w:p>
              </w:tc>
              <w:tc>
                <w:tcPr>
                  <w:tcW w:w="893" w:type="dxa"/>
                  <w:vMerge w:val="restart"/>
                  <w:noWrap w:val="0"/>
                  <w:vAlign w:val="center"/>
                </w:tcPr>
                <w:p>
                  <w:pPr>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排放方式</w:t>
                  </w:r>
                </w:p>
              </w:tc>
              <w:tc>
                <w:tcPr>
                  <w:tcW w:w="915" w:type="dxa"/>
                  <w:vMerge w:val="restart"/>
                  <w:noWrap w:val="0"/>
                  <w:vAlign w:val="center"/>
                </w:tcPr>
                <w:p>
                  <w:pPr>
                    <w:adjustRightInd w:val="0"/>
                    <w:snapToGri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9" w:type="dxa"/>
                  <w:vMerge w:val="continue"/>
                  <w:noWrap w:val="0"/>
                  <w:vAlign w:val="center"/>
                </w:tcPr>
                <w:p>
                  <w:pPr>
                    <w:adjustRightInd w:val="0"/>
                    <w:snapToGrid w:val="0"/>
                    <w:jc w:val="center"/>
                    <w:rPr>
                      <w:rFonts w:hint="default" w:ascii="Times New Roman" w:hAnsi="Times New Roman" w:eastAsia="宋体" w:cs="Times New Roman"/>
                      <w:color w:val="auto"/>
                      <w:lang w:val="en-US" w:eastAsia="zh-CN"/>
                    </w:rPr>
                  </w:pPr>
                </w:p>
              </w:tc>
              <w:tc>
                <w:tcPr>
                  <w:tcW w:w="888" w:type="dxa"/>
                  <w:vMerge w:val="continue"/>
                  <w:noWrap w:val="0"/>
                  <w:vAlign w:val="center"/>
                </w:tcPr>
                <w:p>
                  <w:pPr>
                    <w:adjustRightInd w:val="0"/>
                    <w:snapToGrid w:val="0"/>
                    <w:jc w:val="center"/>
                    <w:rPr>
                      <w:rFonts w:hint="default" w:ascii="Times New Roman" w:hAnsi="Times New Roman" w:eastAsia="宋体" w:cs="Times New Roman"/>
                      <w:color w:val="auto"/>
                      <w:lang w:val="en-US" w:eastAsia="zh-CN"/>
                    </w:rPr>
                  </w:pPr>
                </w:p>
              </w:tc>
              <w:tc>
                <w:tcPr>
                  <w:tcW w:w="914" w:type="dxa"/>
                  <w:vMerge w:val="continue"/>
                  <w:noWrap w:val="0"/>
                  <w:vAlign w:val="center"/>
                </w:tcPr>
                <w:p>
                  <w:pPr>
                    <w:adjustRightInd w:val="0"/>
                    <w:snapToGrid w:val="0"/>
                    <w:jc w:val="center"/>
                    <w:rPr>
                      <w:rFonts w:hint="default" w:ascii="Times New Roman" w:hAnsi="Times New Roman" w:eastAsia="宋体" w:cs="Times New Roman"/>
                      <w:color w:val="auto"/>
                      <w:lang w:val="en-US" w:eastAsia="zh-CN"/>
                    </w:rPr>
                  </w:pPr>
                </w:p>
              </w:tc>
              <w:tc>
                <w:tcPr>
                  <w:tcW w:w="917" w:type="dxa"/>
                  <w:vMerge w:val="continue"/>
                  <w:noWrap w:val="0"/>
                  <w:vAlign w:val="center"/>
                </w:tcPr>
                <w:p>
                  <w:pPr>
                    <w:adjustRightInd w:val="0"/>
                    <w:snapToGrid w:val="0"/>
                    <w:jc w:val="center"/>
                    <w:rPr>
                      <w:rFonts w:hint="default" w:ascii="Times New Roman" w:hAnsi="Times New Roman" w:eastAsia="宋体" w:cs="Times New Roman"/>
                      <w:color w:val="auto"/>
                      <w:lang w:val="en-US" w:eastAsia="zh-CN"/>
                    </w:rPr>
                  </w:pPr>
                </w:p>
              </w:tc>
              <w:tc>
                <w:tcPr>
                  <w:tcW w:w="916" w:type="dxa"/>
                  <w:noWrap w:val="0"/>
                  <w:vAlign w:val="center"/>
                </w:tcPr>
                <w:p>
                  <w:pPr>
                    <w:adjustRightInd w:val="0"/>
                    <w:snapToGrid w:val="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产生量</w:t>
                  </w:r>
                  <w:r>
                    <w:rPr>
                      <w:rFonts w:hint="default" w:ascii="Times New Roman" w:hAnsi="Times New Roman" w:eastAsia="宋体" w:cs="Times New Roman"/>
                      <w:color w:val="auto"/>
                      <w:lang w:eastAsia="zh-CN"/>
                    </w:rPr>
                    <w:t>t/a</w:t>
                  </w:r>
                </w:p>
              </w:tc>
              <w:tc>
                <w:tcPr>
                  <w:tcW w:w="1031" w:type="dxa"/>
                  <w:noWrap w:val="0"/>
                  <w:vAlign w:val="center"/>
                </w:tcPr>
                <w:p>
                  <w:pPr>
                    <w:adjustRightInd w:val="0"/>
                    <w:snapToGrid w:val="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sz w:val="21"/>
                      <w:szCs w:val="21"/>
                      <w:lang w:val="en-US" w:eastAsia="zh-CN"/>
                    </w:rPr>
                    <w:t>浓度</w:t>
                  </w:r>
                  <w:r>
                    <w:rPr>
                      <w:rFonts w:hint="default" w:ascii="Times New Roman" w:hAnsi="Times New Roman" w:eastAsia="宋体" w:cs="Times New Roman"/>
                      <w:color w:val="auto"/>
                      <w:lang w:val="en-US" w:eastAsia="zh-CN"/>
                    </w:rPr>
                    <w:t>mg/L</w:t>
                  </w:r>
                </w:p>
              </w:tc>
              <w:tc>
                <w:tcPr>
                  <w:tcW w:w="904" w:type="dxa"/>
                  <w:noWrap w:val="0"/>
                  <w:vAlign w:val="center"/>
                </w:tcPr>
                <w:p>
                  <w:pPr>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工艺</w:t>
                  </w:r>
                </w:p>
              </w:tc>
              <w:tc>
                <w:tcPr>
                  <w:tcW w:w="855" w:type="dxa"/>
                  <w:noWrap w:val="0"/>
                  <w:vAlign w:val="center"/>
                </w:tcPr>
                <w:p>
                  <w:pPr>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处理能力</w:t>
                  </w:r>
                </w:p>
              </w:tc>
              <w:tc>
                <w:tcPr>
                  <w:tcW w:w="1011" w:type="dxa"/>
                  <w:noWrap w:val="0"/>
                  <w:vAlign w:val="center"/>
                </w:tcPr>
                <w:p>
                  <w:pPr>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治理效率</w:t>
                  </w:r>
                </w:p>
              </w:tc>
              <w:tc>
                <w:tcPr>
                  <w:tcW w:w="894" w:type="dxa"/>
                  <w:noWrap w:val="0"/>
                  <w:vAlign w:val="center"/>
                </w:tcPr>
                <w:p>
                  <w:pPr>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是否为可行技术</w:t>
                  </w:r>
                </w:p>
              </w:tc>
              <w:tc>
                <w:tcPr>
                  <w:tcW w:w="918" w:type="dxa"/>
                  <w:noWrap w:val="0"/>
                  <w:vAlign w:val="center"/>
                </w:tcPr>
                <w:p>
                  <w:pPr>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排放量</w:t>
                  </w:r>
                  <w:r>
                    <w:rPr>
                      <w:rFonts w:hint="default" w:ascii="Times New Roman" w:hAnsi="Times New Roman" w:eastAsia="宋体" w:cs="Times New Roman"/>
                      <w:color w:val="auto"/>
                      <w:lang w:eastAsia="zh-CN"/>
                    </w:rPr>
                    <w:t>t/a</w:t>
                  </w:r>
                </w:p>
              </w:tc>
              <w:tc>
                <w:tcPr>
                  <w:tcW w:w="922" w:type="dxa"/>
                  <w:noWrap w:val="0"/>
                  <w:vAlign w:val="center"/>
                </w:tcPr>
                <w:p>
                  <w:pPr>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排放浓度mg/L</w:t>
                  </w:r>
                </w:p>
              </w:tc>
              <w:tc>
                <w:tcPr>
                  <w:tcW w:w="893" w:type="dxa"/>
                  <w:vMerge w:val="continue"/>
                  <w:noWrap w:val="0"/>
                  <w:vAlign w:val="center"/>
                </w:tcPr>
                <w:p>
                  <w:pPr>
                    <w:adjustRightInd w:val="0"/>
                    <w:snapToGrid w:val="0"/>
                    <w:jc w:val="center"/>
                    <w:rPr>
                      <w:rFonts w:hint="default" w:ascii="Times New Roman" w:hAnsi="Times New Roman" w:eastAsia="宋体" w:cs="Times New Roman"/>
                      <w:color w:val="auto"/>
                      <w:lang w:val="en-US" w:eastAsia="zh-CN"/>
                    </w:rPr>
                  </w:pPr>
                </w:p>
              </w:tc>
              <w:tc>
                <w:tcPr>
                  <w:tcW w:w="915" w:type="dxa"/>
                  <w:vMerge w:val="continue"/>
                  <w:noWrap w:val="0"/>
                  <w:vAlign w:val="center"/>
                </w:tcPr>
                <w:p>
                  <w:pPr>
                    <w:adjustRightInd w:val="0"/>
                    <w:snapToGrid w:val="0"/>
                    <w:jc w:val="center"/>
                    <w:rPr>
                      <w:rFonts w:hint="default" w:ascii="Times New Roman" w:hAnsi="Times New Roman" w:eastAsia="宋体" w:cs="Times New Roman"/>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9" w:type="dxa"/>
                  <w:vMerge w:val="restart"/>
                  <w:noWrap w:val="0"/>
                  <w:vAlign w:val="center"/>
                </w:tcPr>
                <w:p>
                  <w:pPr>
                    <w:adjustRightInd w:val="0"/>
                    <w:snapToGri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职工</w:t>
                  </w:r>
                </w:p>
                <w:p>
                  <w:pPr>
                    <w:adjustRightInd w:val="0"/>
                    <w:snapToGri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生活</w:t>
                  </w:r>
                </w:p>
              </w:tc>
              <w:tc>
                <w:tcPr>
                  <w:tcW w:w="888" w:type="dxa"/>
                  <w:vMerge w:val="restart"/>
                  <w:noWrap w:val="0"/>
                  <w:vAlign w:val="center"/>
                </w:tcPr>
                <w:p>
                  <w:pPr>
                    <w:adjustRightInd w:val="0"/>
                    <w:snapToGri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生活</w:t>
                  </w:r>
                </w:p>
                <w:p>
                  <w:pPr>
                    <w:adjustRightInd w:val="0"/>
                    <w:snapToGri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污水</w:t>
                  </w:r>
                </w:p>
              </w:tc>
              <w:tc>
                <w:tcPr>
                  <w:tcW w:w="914" w:type="dxa"/>
                  <w:vMerge w:val="restart"/>
                  <w:noWrap w:val="0"/>
                  <w:vAlign w:val="center"/>
                </w:tcPr>
                <w:p>
                  <w:pPr>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1200</w:t>
                  </w:r>
                </w:p>
              </w:tc>
              <w:tc>
                <w:tcPr>
                  <w:tcW w:w="917" w:type="dxa"/>
                  <w:noWrap w:val="0"/>
                  <w:vAlign w:val="center"/>
                </w:tcPr>
                <w:p>
                  <w:pPr>
                    <w:adjustRightInd w:val="0"/>
                    <w:snapToGrid w:val="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COD</w:t>
                  </w:r>
                </w:p>
              </w:tc>
              <w:tc>
                <w:tcPr>
                  <w:tcW w:w="916" w:type="dxa"/>
                  <w:noWrap w:val="0"/>
                  <w:vAlign w:val="center"/>
                </w:tcPr>
                <w:p>
                  <w:pPr>
                    <w:adjustRightInd w:val="0"/>
                    <w:snapToGrid w:val="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0.36</w:t>
                  </w:r>
                </w:p>
              </w:tc>
              <w:tc>
                <w:tcPr>
                  <w:tcW w:w="1031" w:type="dxa"/>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300</w:t>
                  </w:r>
                </w:p>
              </w:tc>
              <w:tc>
                <w:tcPr>
                  <w:tcW w:w="904" w:type="dxa"/>
                  <w:vMerge w:val="restart"/>
                  <w:noWrap w:val="0"/>
                  <w:vAlign w:val="center"/>
                </w:tcPr>
                <w:p>
                  <w:pPr>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b w:val="0"/>
                      <w:bCs w:val="0"/>
                      <w:color w:val="auto"/>
                      <w:sz w:val="21"/>
                      <w:szCs w:val="21"/>
                      <w:vertAlign w:val="baseline"/>
                      <w:lang w:val="en-US" w:eastAsia="zh-CN"/>
                    </w:rPr>
                    <w:t>化粪池</w:t>
                  </w:r>
                </w:p>
              </w:tc>
              <w:tc>
                <w:tcPr>
                  <w:tcW w:w="855" w:type="dxa"/>
                  <w:vMerge w:val="restart"/>
                  <w:noWrap w:val="0"/>
                  <w:vAlign w:val="center"/>
                </w:tcPr>
                <w:p>
                  <w:pPr>
                    <w:adjustRightInd w:val="0"/>
                    <w:snapToGri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1011" w:type="dxa"/>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15%</w:t>
                  </w:r>
                </w:p>
              </w:tc>
              <w:tc>
                <w:tcPr>
                  <w:tcW w:w="894" w:type="dxa"/>
                  <w:vMerge w:val="restart"/>
                  <w:noWrap w:val="0"/>
                  <w:vAlign w:val="center"/>
                </w:tcPr>
                <w:p>
                  <w:pPr>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是</w:t>
                  </w:r>
                </w:p>
              </w:tc>
              <w:tc>
                <w:tcPr>
                  <w:tcW w:w="918" w:type="dxa"/>
                  <w:noWrap w:val="0"/>
                  <w:vAlign w:val="center"/>
                </w:tcPr>
                <w:p>
                  <w:pPr>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0.306</w:t>
                  </w:r>
                </w:p>
              </w:tc>
              <w:tc>
                <w:tcPr>
                  <w:tcW w:w="922" w:type="dxa"/>
                  <w:noWrap w:val="0"/>
                  <w:vAlign w:val="center"/>
                </w:tcPr>
                <w:p>
                  <w:pPr>
                    <w:adjustRightInd w:val="0"/>
                    <w:snapToGri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255</w:t>
                  </w:r>
                </w:p>
              </w:tc>
              <w:tc>
                <w:tcPr>
                  <w:tcW w:w="893" w:type="dxa"/>
                  <w:vMerge w:val="restart"/>
                  <w:noWrap w:val="0"/>
                  <w:vAlign w:val="center"/>
                </w:tcPr>
                <w:p>
                  <w:pPr>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间接排放</w:t>
                  </w:r>
                </w:p>
              </w:tc>
              <w:tc>
                <w:tcPr>
                  <w:tcW w:w="915" w:type="dxa"/>
                  <w:noWrap w:val="0"/>
                  <w:vAlign w:val="center"/>
                </w:tcPr>
                <w:p>
                  <w:pPr>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9" w:type="dxa"/>
                  <w:vMerge w:val="continue"/>
                  <w:noWrap w:val="0"/>
                  <w:vAlign w:val="center"/>
                </w:tcPr>
                <w:p>
                  <w:pPr>
                    <w:adjustRightInd w:val="0"/>
                    <w:snapToGrid w:val="0"/>
                    <w:jc w:val="center"/>
                    <w:rPr>
                      <w:rFonts w:hint="default" w:ascii="Times New Roman" w:hAnsi="Times New Roman" w:eastAsia="宋体" w:cs="Times New Roman"/>
                      <w:color w:val="auto"/>
                      <w:lang w:val="en-US" w:eastAsia="zh-CN"/>
                    </w:rPr>
                  </w:pPr>
                </w:p>
              </w:tc>
              <w:tc>
                <w:tcPr>
                  <w:tcW w:w="888" w:type="dxa"/>
                  <w:vMerge w:val="continue"/>
                  <w:noWrap w:val="0"/>
                  <w:vAlign w:val="center"/>
                </w:tcPr>
                <w:p>
                  <w:pPr>
                    <w:adjustRightInd w:val="0"/>
                    <w:snapToGrid w:val="0"/>
                    <w:jc w:val="center"/>
                    <w:rPr>
                      <w:rFonts w:hint="default" w:ascii="Times New Roman" w:hAnsi="Times New Roman" w:eastAsia="宋体" w:cs="Times New Roman"/>
                      <w:color w:val="auto"/>
                      <w:lang w:val="en-US" w:eastAsia="zh-CN"/>
                    </w:rPr>
                  </w:pPr>
                </w:p>
              </w:tc>
              <w:tc>
                <w:tcPr>
                  <w:tcW w:w="914" w:type="dxa"/>
                  <w:vMerge w:val="continue"/>
                  <w:noWrap w:val="0"/>
                  <w:vAlign w:val="center"/>
                </w:tcPr>
                <w:p>
                  <w:pPr>
                    <w:adjustRightInd w:val="0"/>
                    <w:snapToGrid w:val="0"/>
                    <w:jc w:val="center"/>
                    <w:rPr>
                      <w:rFonts w:hint="default" w:ascii="Times New Roman" w:hAnsi="Times New Roman" w:eastAsia="宋体" w:cs="Times New Roman"/>
                      <w:color w:val="auto"/>
                      <w:lang w:val="en-US" w:eastAsia="zh-CN"/>
                    </w:rPr>
                  </w:pPr>
                </w:p>
              </w:tc>
              <w:tc>
                <w:tcPr>
                  <w:tcW w:w="917" w:type="dxa"/>
                  <w:noWrap w:val="0"/>
                  <w:vAlign w:val="center"/>
                </w:tcPr>
                <w:p>
                  <w:pPr>
                    <w:adjustRightInd w:val="0"/>
                    <w:snapToGrid w:val="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SS</w:t>
                  </w:r>
                </w:p>
              </w:tc>
              <w:tc>
                <w:tcPr>
                  <w:tcW w:w="916" w:type="dxa"/>
                  <w:noWrap w:val="0"/>
                  <w:vAlign w:val="center"/>
                </w:tcPr>
                <w:p>
                  <w:pPr>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0.24</w:t>
                  </w:r>
                </w:p>
              </w:tc>
              <w:tc>
                <w:tcPr>
                  <w:tcW w:w="1031" w:type="dxa"/>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200</w:t>
                  </w:r>
                </w:p>
              </w:tc>
              <w:tc>
                <w:tcPr>
                  <w:tcW w:w="904" w:type="dxa"/>
                  <w:vMerge w:val="continue"/>
                  <w:noWrap w:val="0"/>
                  <w:vAlign w:val="center"/>
                </w:tcPr>
                <w:p>
                  <w:pPr>
                    <w:adjustRightInd w:val="0"/>
                    <w:snapToGrid w:val="0"/>
                    <w:jc w:val="center"/>
                    <w:rPr>
                      <w:rFonts w:hint="default" w:ascii="Times New Roman" w:hAnsi="Times New Roman" w:eastAsia="宋体" w:cs="Times New Roman"/>
                      <w:color w:val="auto"/>
                      <w:lang w:val="en-US" w:eastAsia="zh-CN"/>
                    </w:rPr>
                  </w:pPr>
                </w:p>
              </w:tc>
              <w:tc>
                <w:tcPr>
                  <w:tcW w:w="855" w:type="dxa"/>
                  <w:vMerge w:val="continue"/>
                  <w:noWrap w:val="0"/>
                  <w:vAlign w:val="center"/>
                </w:tcPr>
                <w:p>
                  <w:pPr>
                    <w:adjustRightInd w:val="0"/>
                    <w:snapToGrid w:val="0"/>
                    <w:jc w:val="center"/>
                    <w:rPr>
                      <w:rFonts w:hint="default" w:ascii="Times New Roman" w:hAnsi="Times New Roman" w:eastAsia="宋体" w:cs="Times New Roman"/>
                      <w:color w:val="auto"/>
                      <w:lang w:val="en-US" w:eastAsia="zh-CN"/>
                    </w:rPr>
                  </w:pPr>
                </w:p>
              </w:tc>
              <w:tc>
                <w:tcPr>
                  <w:tcW w:w="1011" w:type="dxa"/>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30</w:t>
                  </w:r>
                  <w:r>
                    <w:rPr>
                      <w:rFonts w:hint="default" w:ascii="Times New Roman" w:hAnsi="Times New Roman" w:eastAsia="宋体" w:cs="Times New Roman"/>
                      <w:b w:val="0"/>
                      <w:bCs w:val="0"/>
                      <w:color w:val="auto"/>
                      <w:sz w:val="21"/>
                      <w:szCs w:val="21"/>
                      <w:vertAlign w:val="baseline"/>
                      <w:lang w:val="en-US" w:eastAsia="zh-CN"/>
                    </w:rPr>
                    <w:t>%</w:t>
                  </w:r>
                </w:p>
              </w:tc>
              <w:tc>
                <w:tcPr>
                  <w:tcW w:w="894" w:type="dxa"/>
                  <w:vMerge w:val="continue"/>
                  <w:noWrap w:val="0"/>
                  <w:vAlign w:val="center"/>
                </w:tcPr>
                <w:p>
                  <w:pPr>
                    <w:adjustRightInd w:val="0"/>
                    <w:snapToGrid w:val="0"/>
                    <w:jc w:val="center"/>
                    <w:rPr>
                      <w:rFonts w:hint="default" w:ascii="Times New Roman" w:hAnsi="Times New Roman" w:eastAsia="宋体" w:cs="Times New Roman"/>
                      <w:color w:val="auto"/>
                      <w:lang w:val="en-US" w:eastAsia="zh-CN"/>
                    </w:rPr>
                  </w:pPr>
                </w:p>
              </w:tc>
              <w:tc>
                <w:tcPr>
                  <w:tcW w:w="918" w:type="dxa"/>
                  <w:noWrap w:val="0"/>
                  <w:vAlign w:val="center"/>
                </w:tcPr>
                <w:p>
                  <w:pPr>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0.168</w:t>
                  </w:r>
                </w:p>
              </w:tc>
              <w:tc>
                <w:tcPr>
                  <w:tcW w:w="922" w:type="dxa"/>
                  <w:noWrap w:val="0"/>
                  <w:vAlign w:val="center"/>
                </w:tcPr>
                <w:p>
                  <w:pPr>
                    <w:adjustRightInd w:val="0"/>
                    <w:snapToGri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140</w:t>
                  </w:r>
                </w:p>
              </w:tc>
              <w:tc>
                <w:tcPr>
                  <w:tcW w:w="893" w:type="dxa"/>
                  <w:vMerge w:val="continue"/>
                  <w:noWrap w:val="0"/>
                  <w:vAlign w:val="center"/>
                </w:tcPr>
                <w:p>
                  <w:pPr>
                    <w:adjustRightInd w:val="0"/>
                    <w:snapToGrid w:val="0"/>
                    <w:jc w:val="center"/>
                    <w:rPr>
                      <w:rFonts w:hint="default" w:ascii="Times New Roman" w:hAnsi="Times New Roman" w:eastAsia="宋体" w:cs="Times New Roman"/>
                      <w:color w:val="auto"/>
                      <w:lang w:val="en-US" w:eastAsia="zh-CN"/>
                    </w:rPr>
                  </w:pPr>
                </w:p>
              </w:tc>
              <w:tc>
                <w:tcPr>
                  <w:tcW w:w="915" w:type="dxa"/>
                  <w:noWrap w:val="0"/>
                  <w:vAlign w:val="center"/>
                </w:tcPr>
                <w:p>
                  <w:pPr>
                    <w:adjustRightInd w:val="0"/>
                    <w:snapToGri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9" w:type="dxa"/>
                  <w:vMerge w:val="continue"/>
                  <w:noWrap w:val="0"/>
                  <w:vAlign w:val="center"/>
                </w:tcPr>
                <w:p>
                  <w:pPr>
                    <w:adjustRightInd w:val="0"/>
                    <w:snapToGrid w:val="0"/>
                    <w:jc w:val="center"/>
                    <w:rPr>
                      <w:rFonts w:hint="default" w:ascii="Times New Roman" w:hAnsi="Times New Roman" w:eastAsia="宋体" w:cs="Times New Roman"/>
                      <w:color w:val="auto"/>
                      <w:lang w:val="en-US" w:eastAsia="zh-CN"/>
                    </w:rPr>
                  </w:pPr>
                </w:p>
              </w:tc>
              <w:tc>
                <w:tcPr>
                  <w:tcW w:w="888" w:type="dxa"/>
                  <w:vMerge w:val="continue"/>
                  <w:noWrap w:val="0"/>
                  <w:vAlign w:val="center"/>
                </w:tcPr>
                <w:p>
                  <w:pPr>
                    <w:adjustRightInd w:val="0"/>
                    <w:snapToGrid w:val="0"/>
                    <w:jc w:val="center"/>
                    <w:rPr>
                      <w:rFonts w:hint="default" w:ascii="Times New Roman" w:hAnsi="Times New Roman" w:eastAsia="宋体" w:cs="Times New Roman"/>
                      <w:color w:val="auto"/>
                      <w:lang w:val="en-US" w:eastAsia="zh-CN"/>
                    </w:rPr>
                  </w:pPr>
                </w:p>
              </w:tc>
              <w:tc>
                <w:tcPr>
                  <w:tcW w:w="914" w:type="dxa"/>
                  <w:vMerge w:val="continue"/>
                  <w:noWrap w:val="0"/>
                  <w:vAlign w:val="center"/>
                </w:tcPr>
                <w:p>
                  <w:pPr>
                    <w:adjustRightInd w:val="0"/>
                    <w:snapToGrid w:val="0"/>
                    <w:jc w:val="center"/>
                    <w:rPr>
                      <w:rFonts w:hint="default" w:ascii="Times New Roman" w:hAnsi="Times New Roman" w:eastAsia="宋体" w:cs="Times New Roman"/>
                      <w:color w:val="auto"/>
                      <w:lang w:val="en-US" w:eastAsia="zh-CN"/>
                    </w:rPr>
                  </w:pPr>
                </w:p>
              </w:tc>
              <w:tc>
                <w:tcPr>
                  <w:tcW w:w="917" w:type="dxa"/>
                  <w:noWrap w:val="0"/>
                  <w:vAlign w:val="center"/>
                </w:tcPr>
                <w:p>
                  <w:pPr>
                    <w:adjustRightInd w:val="0"/>
                    <w:snapToGrid w:val="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BOD</w:t>
                  </w:r>
                  <w:r>
                    <w:rPr>
                      <w:rFonts w:hint="default" w:ascii="Times New Roman" w:hAnsi="Times New Roman" w:eastAsia="宋体" w:cs="Times New Roman"/>
                      <w:color w:val="auto"/>
                      <w:vertAlign w:val="subscript"/>
                      <w:lang w:val="en-US" w:eastAsia="zh-CN"/>
                    </w:rPr>
                    <w:t>5</w:t>
                  </w:r>
                </w:p>
              </w:tc>
              <w:tc>
                <w:tcPr>
                  <w:tcW w:w="916" w:type="dxa"/>
                  <w:noWrap w:val="0"/>
                  <w:vAlign w:val="center"/>
                </w:tcPr>
                <w:p>
                  <w:pPr>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0.228</w:t>
                  </w:r>
                </w:p>
              </w:tc>
              <w:tc>
                <w:tcPr>
                  <w:tcW w:w="1031" w:type="dxa"/>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kern w:val="2"/>
                      <w:sz w:val="21"/>
                      <w:szCs w:val="21"/>
                      <w:vertAlign w:val="baseline"/>
                      <w:lang w:val="en-US" w:eastAsia="zh-CN" w:bidi="ar-SA"/>
                    </w:rPr>
                    <w:t>190</w:t>
                  </w:r>
                </w:p>
              </w:tc>
              <w:tc>
                <w:tcPr>
                  <w:tcW w:w="904" w:type="dxa"/>
                  <w:vMerge w:val="continue"/>
                  <w:noWrap w:val="0"/>
                  <w:vAlign w:val="center"/>
                </w:tcPr>
                <w:p>
                  <w:pPr>
                    <w:adjustRightInd w:val="0"/>
                    <w:snapToGrid w:val="0"/>
                    <w:jc w:val="center"/>
                    <w:rPr>
                      <w:rFonts w:hint="default" w:ascii="Times New Roman" w:hAnsi="Times New Roman" w:eastAsia="宋体" w:cs="Times New Roman"/>
                      <w:color w:val="auto"/>
                      <w:lang w:val="en-US" w:eastAsia="zh-CN"/>
                    </w:rPr>
                  </w:pPr>
                </w:p>
              </w:tc>
              <w:tc>
                <w:tcPr>
                  <w:tcW w:w="855" w:type="dxa"/>
                  <w:vMerge w:val="continue"/>
                  <w:noWrap w:val="0"/>
                  <w:vAlign w:val="center"/>
                </w:tcPr>
                <w:p>
                  <w:pPr>
                    <w:adjustRightInd w:val="0"/>
                    <w:snapToGrid w:val="0"/>
                    <w:jc w:val="center"/>
                    <w:rPr>
                      <w:rFonts w:hint="default" w:ascii="Times New Roman" w:hAnsi="Times New Roman" w:eastAsia="宋体" w:cs="Times New Roman"/>
                      <w:color w:val="auto"/>
                      <w:lang w:val="en-US" w:eastAsia="zh-CN"/>
                    </w:rPr>
                  </w:pPr>
                </w:p>
              </w:tc>
              <w:tc>
                <w:tcPr>
                  <w:tcW w:w="1011" w:type="dxa"/>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9</w:t>
                  </w:r>
                  <w:r>
                    <w:rPr>
                      <w:rFonts w:hint="default" w:ascii="Times New Roman" w:hAnsi="Times New Roman" w:eastAsia="宋体" w:cs="Times New Roman"/>
                      <w:b w:val="0"/>
                      <w:bCs w:val="0"/>
                      <w:color w:val="auto"/>
                      <w:sz w:val="21"/>
                      <w:szCs w:val="21"/>
                      <w:vertAlign w:val="baseline"/>
                      <w:lang w:val="en-US" w:eastAsia="zh-CN"/>
                    </w:rPr>
                    <w:t>%</w:t>
                  </w:r>
                </w:p>
              </w:tc>
              <w:tc>
                <w:tcPr>
                  <w:tcW w:w="894" w:type="dxa"/>
                  <w:vMerge w:val="continue"/>
                  <w:noWrap w:val="0"/>
                  <w:vAlign w:val="center"/>
                </w:tcPr>
                <w:p>
                  <w:pPr>
                    <w:adjustRightInd w:val="0"/>
                    <w:snapToGrid w:val="0"/>
                    <w:jc w:val="center"/>
                    <w:rPr>
                      <w:rFonts w:hint="default" w:ascii="Times New Roman" w:hAnsi="Times New Roman" w:eastAsia="宋体" w:cs="Times New Roman"/>
                      <w:color w:val="auto"/>
                      <w:lang w:val="en-US" w:eastAsia="zh-CN"/>
                    </w:rPr>
                  </w:pPr>
                </w:p>
              </w:tc>
              <w:tc>
                <w:tcPr>
                  <w:tcW w:w="918" w:type="dxa"/>
                  <w:noWrap w:val="0"/>
                  <w:vAlign w:val="center"/>
                </w:tcPr>
                <w:p>
                  <w:pPr>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0.207</w:t>
                  </w:r>
                </w:p>
              </w:tc>
              <w:tc>
                <w:tcPr>
                  <w:tcW w:w="922" w:type="dxa"/>
                  <w:noWrap w:val="0"/>
                  <w:vAlign w:val="center"/>
                </w:tcPr>
                <w:p>
                  <w:pPr>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172.9</w:t>
                  </w:r>
                </w:p>
              </w:tc>
              <w:tc>
                <w:tcPr>
                  <w:tcW w:w="893" w:type="dxa"/>
                  <w:vMerge w:val="continue"/>
                  <w:noWrap w:val="0"/>
                  <w:vAlign w:val="center"/>
                </w:tcPr>
                <w:p>
                  <w:pPr>
                    <w:adjustRightInd w:val="0"/>
                    <w:snapToGrid w:val="0"/>
                    <w:jc w:val="center"/>
                    <w:rPr>
                      <w:rFonts w:hint="default" w:ascii="Times New Roman" w:hAnsi="Times New Roman" w:eastAsia="宋体" w:cs="Times New Roman"/>
                      <w:color w:val="auto"/>
                      <w:lang w:val="en-US" w:eastAsia="zh-CN"/>
                    </w:rPr>
                  </w:pPr>
                </w:p>
              </w:tc>
              <w:tc>
                <w:tcPr>
                  <w:tcW w:w="915" w:type="dxa"/>
                  <w:noWrap w:val="0"/>
                  <w:vAlign w:val="center"/>
                </w:tcPr>
                <w:p>
                  <w:pPr>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9" w:type="dxa"/>
                  <w:vMerge w:val="continue"/>
                  <w:noWrap w:val="0"/>
                  <w:vAlign w:val="center"/>
                </w:tcPr>
                <w:p>
                  <w:pPr>
                    <w:adjustRightInd w:val="0"/>
                    <w:snapToGrid w:val="0"/>
                    <w:jc w:val="center"/>
                    <w:rPr>
                      <w:rFonts w:hint="default" w:ascii="Times New Roman" w:hAnsi="Times New Roman" w:cs="Times New Roman"/>
                      <w:color w:val="auto"/>
                      <w:sz w:val="21"/>
                      <w:szCs w:val="21"/>
                    </w:rPr>
                  </w:pPr>
                </w:p>
              </w:tc>
              <w:tc>
                <w:tcPr>
                  <w:tcW w:w="888" w:type="dxa"/>
                  <w:vMerge w:val="continue"/>
                  <w:noWrap w:val="0"/>
                  <w:vAlign w:val="center"/>
                </w:tcPr>
                <w:p>
                  <w:pPr>
                    <w:adjustRightInd w:val="0"/>
                    <w:snapToGrid w:val="0"/>
                    <w:jc w:val="center"/>
                    <w:rPr>
                      <w:rFonts w:hint="default" w:ascii="Times New Roman" w:hAnsi="Times New Roman" w:cs="Times New Roman"/>
                      <w:color w:val="auto"/>
                      <w:sz w:val="21"/>
                      <w:szCs w:val="21"/>
                    </w:rPr>
                  </w:pPr>
                </w:p>
              </w:tc>
              <w:tc>
                <w:tcPr>
                  <w:tcW w:w="914" w:type="dxa"/>
                  <w:vMerge w:val="continue"/>
                  <w:noWrap w:val="0"/>
                  <w:vAlign w:val="center"/>
                </w:tcPr>
                <w:p>
                  <w:pPr>
                    <w:adjustRightInd w:val="0"/>
                    <w:snapToGrid w:val="0"/>
                    <w:jc w:val="center"/>
                    <w:rPr>
                      <w:rFonts w:hint="default" w:ascii="Times New Roman" w:hAnsi="Times New Roman" w:cs="Times New Roman"/>
                      <w:color w:val="auto"/>
                      <w:sz w:val="21"/>
                      <w:szCs w:val="21"/>
                    </w:rPr>
                  </w:pPr>
                </w:p>
              </w:tc>
              <w:tc>
                <w:tcPr>
                  <w:tcW w:w="917" w:type="dxa"/>
                  <w:noWrap w:val="0"/>
                  <w:vAlign w:val="center"/>
                </w:tcPr>
                <w:p>
                  <w:pPr>
                    <w:adjustRightInd w:val="0"/>
                    <w:snapToGrid w:val="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-N</w:t>
                  </w:r>
                </w:p>
              </w:tc>
              <w:tc>
                <w:tcPr>
                  <w:tcW w:w="916" w:type="dxa"/>
                  <w:noWrap w:val="0"/>
                  <w:vAlign w:val="center"/>
                </w:tcPr>
                <w:p>
                  <w:pPr>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0.03</w:t>
                  </w:r>
                </w:p>
              </w:tc>
              <w:tc>
                <w:tcPr>
                  <w:tcW w:w="1031" w:type="dxa"/>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kern w:val="2"/>
                      <w:sz w:val="21"/>
                      <w:szCs w:val="21"/>
                      <w:vertAlign w:val="baseline"/>
                      <w:lang w:val="en-US" w:eastAsia="zh-CN" w:bidi="ar-SA"/>
                    </w:rPr>
                    <w:t>25</w:t>
                  </w:r>
                </w:p>
              </w:tc>
              <w:tc>
                <w:tcPr>
                  <w:tcW w:w="904" w:type="dxa"/>
                  <w:vMerge w:val="continue"/>
                  <w:noWrap w:val="0"/>
                  <w:vAlign w:val="center"/>
                </w:tcPr>
                <w:p>
                  <w:pPr>
                    <w:adjustRightInd w:val="0"/>
                    <w:snapToGrid w:val="0"/>
                    <w:jc w:val="center"/>
                    <w:rPr>
                      <w:rFonts w:hint="default" w:ascii="Times New Roman" w:hAnsi="Times New Roman" w:eastAsia="宋体" w:cs="Times New Roman"/>
                      <w:color w:val="auto"/>
                      <w:lang w:val="en-US" w:eastAsia="zh-CN"/>
                    </w:rPr>
                  </w:pPr>
                </w:p>
              </w:tc>
              <w:tc>
                <w:tcPr>
                  <w:tcW w:w="855" w:type="dxa"/>
                  <w:vMerge w:val="continue"/>
                  <w:noWrap w:val="0"/>
                  <w:vAlign w:val="center"/>
                </w:tcPr>
                <w:p>
                  <w:pPr>
                    <w:adjustRightInd w:val="0"/>
                    <w:snapToGrid w:val="0"/>
                    <w:jc w:val="center"/>
                    <w:rPr>
                      <w:rFonts w:hint="default" w:ascii="Times New Roman" w:hAnsi="Times New Roman" w:eastAsia="宋体" w:cs="Times New Roman"/>
                      <w:color w:val="auto"/>
                      <w:lang w:val="en-US" w:eastAsia="zh-CN"/>
                    </w:rPr>
                  </w:pPr>
                </w:p>
              </w:tc>
              <w:tc>
                <w:tcPr>
                  <w:tcW w:w="1011" w:type="dxa"/>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b w:val="0"/>
                      <w:bCs w:val="0"/>
                      <w:color w:val="auto"/>
                      <w:sz w:val="21"/>
                      <w:szCs w:val="21"/>
                      <w:vertAlign w:val="baseline"/>
                      <w:lang w:val="en-US" w:eastAsia="zh-CN"/>
                    </w:rPr>
                    <w:t>3</w:t>
                  </w:r>
                  <w:r>
                    <w:rPr>
                      <w:rFonts w:hint="default" w:ascii="Times New Roman" w:hAnsi="Times New Roman" w:eastAsia="宋体" w:cs="Times New Roman"/>
                      <w:b w:val="0"/>
                      <w:bCs w:val="0"/>
                      <w:color w:val="auto"/>
                      <w:sz w:val="21"/>
                      <w:szCs w:val="21"/>
                      <w:vertAlign w:val="baseline"/>
                      <w:lang w:val="en-US" w:eastAsia="zh-CN"/>
                    </w:rPr>
                    <w:t>%</w:t>
                  </w:r>
                </w:p>
              </w:tc>
              <w:tc>
                <w:tcPr>
                  <w:tcW w:w="894" w:type="dxa"/>
                  <w:vMerge w:val="continue"/>
                  <w:noWrap w:val="0"/>
                  <w:vAlign w:val="center"/>
                </w:tcPr>
                <w:p>
                  <w:pPr>
                    <w:adjustRightInd w:val="0"/>
                    <w:snapToGrid w:val="0"/>
                    <w:jc w:val="center"/>
                    <w:rPr>
                      <w:rFonts w:hint="default" w:ascii="Times New Roman" w:hAnsi="Times New Roman" w:eastAsia="宋体" w:cs="Times New Roman"/>
                      <w:color w:val="auto"/>
                      <w:lang w:val="en-US" w:eastAsia="zh-CN"/>
                    </w:rPr>
                  </w:pPr>
                </w:p>
              </w:tc>
              <w:tc>
                <w:tcPr>
                  <w:tcW w:w="918" w:type="dxa"/>
                  <w:noWrap w:val="0"/>
                  <w:vAlign w:val="center"/>
                </w:tcPr>
                <w:p>
                  <w:pPr>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0.0292</w:t>
                  </w:r>
                </w:p>
              </w:tc>
              <w:tc>
                <w:tcPr>
                  <w:tcW w:w="922" w:type="dxa"/>
                  <w:noWrap w:val="0"/>
                  <w:vAlign w:val="center"/>
                </w:tcPr>
                <w:p>
                  <w:pPr>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24.3</w:t>
                  </w:r>
                </w:p>
              </w:tc>
              <w:tc>
                <w:tcPr>
                  <w:tcW w:w="893" w:type="dxa"/>
                  <w:vMerge w:val="continue"/>
                  <w:noWrap w:val="0"/>
                  <w:vAlign w:val="center"/>
                </w:tcPr>
                <w:p>
                  <w:pPr>
                    <w:adjustRightInd w:val="0"/>
                    <w:snapToGrid w:val="0"/>
                    <w:jc w:val="center"/>
                    <w:rPr>
                      <w:rFonts w:hint="default" w:ascii="Times New Roman" w:hAnsi="Times New Roman" w:eastAsia="宋体" w:cs="Times New Roman"/>
                      <w:color w:val="auto"/>
                      <w:lang w:val="en-US" w:eastAsia="zh-CN"/>
                    </w:rPr>
                  </w:pPr>
                </w:p>
              </w:tc>
              <w:tc>
                <w:tcPr>
                  <w:tcW w:w="915" w:type="dxa"/>
                  <w:noWrap w:val="0"/>
                  <w:vAlign w:val="center"/>
                </w:tcPr>
                <w:p>
                  <w:pPr>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25</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color w:val="auto"/>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eastAsia="宋体"/>
                <w:color w:val="auto"/>
                <w:sz w:val="24"/>
                <w:szCs w:val="24"/>
                <w:lang w:val="en-US" w:eastAsia="zh-CN"/>
              </w:rPr>
            </w:pPr>
          </w:p>
        </w:tc>
      </w:tr>
    </w:tbl>
    <w:p>
      <w:pPr>
        <w:pStyle w:val="15"/>
        <w:ind w:left="0" w:leftChars="0" w:firstLine="0" w:firstLineChars="0"/>
        <w:rPr>
          <w:rFonts w:hint="default"/>
          <w:color w:val="0000FF"/>
        </w:rPr>
        <w:sectPr>
          <w:pgSz w:w="16838" w:h="11906" w:orient="landscape"/>
          <w:pgMar w:top="1803" w:right="1440" w:bottom="1803" w:left="1440"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5"/>
        <w:tblW w:w="898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93"/>
        <w:gridCol w:w="858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39" w:hRule="atLeast"/>
          <w:jc w:val="center"/>
        </w:trPr>
        <w:tc>
          <w:tcPr>
            <w:tcW w:w="393" w:type="dxa"/>
            <w:tcBorders>
              <w:tl2br w:val="nil"/>
              <w:tr2bl w:val="nil"/>
            </w:tcBorders>
            <w:noWrap w:val="0"/>
            <w:tcMar>
              <w:left w:w="28" w:type="dxa"/>
              <w:right w:w="28" w:type="dxa"/>
            </w:tcMar>
            <w:vAlign w:val="center"/>
          </w:tcPr>
          <w:p>
            <w:pPr>
              <w:adjustRightInd w:val="0"/>
              <w:snapToGrid w:val="0"/>
              <w:jc w:val="center"/>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运营</w:t>
            </w:r>
          </w:p>
          <w:p>
            <w:pPr>
              <w:adjustRightInd w:val="0"/>
              <w:snapToGrid w:val="0"/>
              <w:jc w:val="center"/>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期环</w:t>
            </w:r>
          </w:p>
          <w:p>
            <w:pPr>
              <w:adjustRightInd w:val="0"/>
              <w:snapToGrid w:val="0"/>
              <w:jc w:val="center"/>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境影</w:t>
            </w:r>
          </w:p>
          <w:p>
            <w:pPr>
              <w:adjustRightInd w:val="0"/>
              <w:snapToGrid w:val="0"/>
              <w:jc w:val="center"/>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响和</w:t>
            </w:r>
          </w:p>
          <w:p>
            <w:pPr>
              <w:adjustRightInd w:val="0"/>
              <w:snapToGrid w:val="0"/>
              <w:jc w:val="center"/>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保护</w:t>
            </w:r>
          </w:p>
          <w:p>
            <w:pPr>
              <w:pStyle w:val="23"/>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r>
              <w:rPr>
                <w:rFonts w:hint="default" w:ascii="Times New Roman" w:hAnsi="Times New Roman" w:eastAsia="宋体" w:cs="Times New Roman"/>
                <w:b w:val="0"/>
                <w:bCs w:val="0"/>
                <w:color w:val="auto"/>
                <w:sz w:val="24"/>
                <w:szCs w:val="24"/>
              </w:rPr>
              <w:t>措施</w:t>
            </w:r>
          </w:p>
        </w:tc>
        <w:tc>
          <w:tcPr>
            <w:tcW w:w="8588" w:type="dxa"/>
            <w:tcBorders>
              <w:tl2br w:val="nil"/>
              <w:tr2bl w:val="nil"/>
            </w:tcBorders>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jc w:val="center"/>
              <w:textAlignment w:val="auto"/>
              <w:rPr>
                <w:rFonts w:hint="default" w:ascii="Times New Roman" w:hAnsi="Times New Roman" w:cs="Times New Roman"/>
                <w:b/>
                <w:bCs w:val="0"/>
                <w:color w:val="auto"/>
                <w:sz w:val="24"/>
                <w:szCs w:val="24"/>
                <w:lang w:val="en-US" w:eastAsia="zh-CN"/>
              </w:rPr>
            </w:pPr>
            <w:r>
              <w:rPr>
                <w:rFonts w:hint="default" w:ascii="Times New Roman" w:hAnsi="Times New Roman" w:cs="Times New Roman"/>
                <w:b/>
                <w:bCs w:val="0"/>
                <w:color w:val="auto"/>
                <w:sz w:val="24"/>
                <w:szCs w:val="24"/>
                <w:lang w:val="en-US" w:eastAsia="zh-CN"/>
              </w:rPr>
              <w:t>表</w:t>
            </w:r>
            <w:r>
              <w:rPr>
                <w:rFonts w:hint="eastAsia" w:ascii="Times New Roman" w:hAnsi="Times New Roman" w:cs="Times New Roman"/>
                <w:b/>
                <w:bCs w:val="0"/>
                <w:color w:val="auto"/>
                <w:sz w:val="24"/>
                <w:szCs w:val="24"/>
                <w:lang w:val="en-US" w:eastAsia="zh-CN"/>
              </w:rPr>
              <w:t>4.</w:t>
            </w:r>
            <w:r>
              <w:rPr>
                <w:rFonts w:hint="eastAsia" w:cs="Times New Roman"/>
                <w:b/>
                <w:bCs w:val="0"/>
                <w:color w:val="auto"/>
                <w:sz w:val="24"/>
                <w:szCs w:val="24"/>
                <w:lang w:val="en-US" w:eastAsia="zh-CN"/>
              </w:rPr>
              <w:t>6</w:t>
            </w:r>
            <w:r>
              <w:rPr>
                <w:rFonts w:hint="default" w:ascii="Times New Roman" w:hAnsi="Times New Roman" w:cs="Times New Roman"/>
                <w:b/>
                <w:bCs w:val="0"/>
                <w:color w:val="auto"/>
                <w:sz w:val="24"/>
                <w:szCs w:val="24"/>
                <w:lang w:val="en-US" w:eastAsia="zh-CN"/>
              </w:rPr>
              <w:t xml:space="preserve">  废水间接排放口基本情况表</w:t>
            </w:r>
          </w:p>
          <w:tbl>
            <w:tblPr>
              <w:tblStyle w:val="26"/>
              <w:tblW w:w="83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3"/>
              <w:gridCol w:w="834"/>
              <w:gridCol w:w="834"/>
              <w:gridCol w:w="834"/>
              <w:gridCol w:w="835"/>
              <w:gridCol w:w="835"/>
              <w:gridCol w:w="835"/>
              <w:gridCol w:w="836"/>
              <w:gridCol w:w="836"/>
              <w:gridCol w:w="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3" w:type="dxa"/>
                  <w:vMerge w:val="restart"/>
                  <w:noWrap w:val="0"/>
                  <w:vAlign w:val="center"/>
                </w:tcPr>
                <w:p>
                  <w:pPr>
                    <w:pStyle w:val="5"/>
                    <w:keepNext w:val="0"/>
                    <w:keepLines/>
                    <w:pageBreakBefore w:val="0"/>
                    <w:widowControl w:val="0"/>
                    <w:kinsoku/>
                    <w:wordWrap/>
                    <w:overflowPunct/>
                    <w:topLinePunct w:val="0"/>
                    <w:autoSpaceDE/>
                    <w:autoSpaceDN/>
                    <w:bidi w:val="0"/>
                    <w:adjustRightInd w:val="0"/>
                    <w:snapToGrid w:val="0"/>
                    <w:spacing w:before="63" w:beforeLines="20" w:after="0" w:afterLines="0" w:line="240" w:lineRule="auto"/>
                    <w:ind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序号</w:t>
                  </w:r>
                </w:p>
              </w:tc>
              <w:tc>
                <w:tcPr>
                  <w:tcW w:w="834" w:type="dxa"/>
                  <w:vMerge w:val="restart"/>
                  <w:noWrap w:val="0"/>
                  <w:vAlign w:val="center"/>
                </w:tcPr>
                <w:p>
                  <w:pPr>
                    <w:pStyle w:val="5"/>
                    <w:keepNext w:val="0"/>
                    <w:keepLines/>
                    <w:pageBreakBefore w:val="0"/>
                    <w:widowControl w:val="0"/>
                    <w:kinsoku/>
                    <w:wordWrap/>
                    <w:overflowPunct/>
                    <w:topLinePunct w:val="0"/>
                    <w:autoSpaceDE/>
                    <w:autoSpaceDN/>
                    <w:bidi w:val="0"/>
                    <w:adjustRightInd w:val="0"/>
                    <w:snapToGrid w:val="0"/>
                    <w:spacing w:before="63" w:beforeLines="20" w:after="0" w:afterLines="0" w:line="240" w:lineRule="auto"/>
                    <w:ind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排放口编号</w:t>
                  </w:r>
                </w:p>
              </w:tc>
              <w:tc>
                <w:tcPr>
                  <w:tcW w:w="1668" w:type="dxa"/>
                  <w:gridSpan w:val="2"/>
                  <w:noWrap w:val="0"/>
                  <w:vAlign w:val="center"/>
                </w:tcPr>
                <w:p>
                  <w:pPr>
                    <w:pStyle w:val="5"/>
                    <w:keepNext w:val="0"/>
                    <w:keepLines/>
                    <w:pageBreakBefore w:val="0"/>
                    <w:widowControl w:val="0"/>
                    <w:kinsoku/>
                    <w:wordWrap/>
                    <w:overflowPunct/>
                    <w:topLinePunct w:val="0"/>
                    <w:autoSpaceDE/>
                    <w:autoSpaceDN/>
                    <w:bidi w:val="0"/>
                    <w:adjustRightInd w:val="0"/>
                    <w:snapToGrid w:val="0"/>
                    <w:spacing w:before="63" w:beforeLines="20" w:after="0" w:afterLines="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排放口地理坐标</w:t>
                  </w:r>
                </w:p>
              </w:tc>
              <w:tc>
                <w:tcPr>
                  <w:tcW w:w="835" w:type="dxa"/>
                  <w:vMerge w:val="restart"/>
                  <w:noWrap w:val="0"/>
                  <w:vAlign w:val="center"/>
                </w:tcPr>
                <w:p>
                  <w:pPr>
                    <w:pStyle w:val="5"/>
                    <w:keepNext w:val="0"/>
                    <w:keepLines/>
                    <w:pageBreakBefore w:val="0"/>
                    <w:widowControl w:val="0"/>
                    <w:kinsoku/>
                    <w:wordWrap/>
                    <w:overflowPunct/>
                    <w:topLinePunct w:val="0"/>
                    <w:autoSpaceDE/>
                    <w:autoSpaceDN/>
                    <w:bidi w:val="0"/>
                    <w:adjustRightInd w:val="0"/>
                    <w:snapToGrid w:val="0"/>
                    <w:spacing w:before="63" w:beforeLines="20" w:after="0" w:afterLines="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排放量</w:t>
                  </w:r>
                </w:p>
                <w:p>
                  <w:pPr>
                    <w:pStyle w:val="5"/>
                    <w:keepNext w:val="0"/>
                    <w:keepLines/>
                    <w:pageBreakBefore w:val="0"/>
                    <w:widowControl w:val="0"/>
                    <w:kinsoku/>
                    <w:wordWrap/>
                    <w:overflowPunct/>
                    <w:topLinePunct w:val="0"/>
                    <w:autoSpaceDE/>
                    <w:autoSpaceDN/>
                    <w:bidi w:val="0"/>
                    <w:adjustRightInd w:val="0"/>
                    <w:snapToGrid w:val="0"/>
                    <w:spacing w:before="63" w:beforeLines="20" w:after="0" w:afterLines="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（t/d）</w:t>
                  </w:r>
                </w:p>
              </w:tc>
              <w:tc>
                <w:tcPr>
                  <w:tcW w:w="835" w:type="dxa"/>
                  <w:vMerge w:val="restart"/>
                  <w:noWrap w:val="0"/>
                  <w:vAlign w:val="center"/>
                </w:tcPr>
                <w:p>
                  <w:pPr>
                    <w:pStyle w:val="5"/>
                    <w:keepNext w:val="0"/>
                    <w:keepLines/>
                    <w:pageBreakBefore w:val="0"/>
                    <w:widowControl w:val="0"/>
                    <w:kinsoku/>
                    <w:wordWrap/>
                    <w:overflowPunct/>
                    <w:topLinePunct w:val="0"/>
                    <w:autoSpaceDE/>
                    <w:autoSpaceDN/>
                    <w:bidi w:val="0"/>
                    <w:adjustRightInd w:val="0"/>
                    <w:snapToGrid w:val="0"/>
                    <w:spacing w:before="63" w:beforeLines="20" w:after="0" w:afterLines="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排放去向</w:t>
                  </w:r>
                </w:p>
              </w:tc>
              <w:tc>
                <w:tcPr>
                  <w:tcW w:w="835" w:type="dxa"/>
                  <w:vMerge w:val="restart"/>
                  <w:noWrap w:val="0"/>
                  <w:vAlign w:val="center"/>
                </w:tcPr>
                <w:p>
                  <w:pPr>
                    <w:pStyle w:val="5"/>
                    <w:keepNext w:val="0"/>
                    <w:keepLines/>
                    <w:pageBreakBefore w:val="0"/>
                    <w:widowControl w:val="0"/>
                    <w:kinsoku/>
                    <w:wordWrap/>
                    <w:overflowPunct/>
                    <w:topLinePunct w:val="0"/>
                    <w:autoSpaceDE/>
                    <w:autoSpaceDN/>
                    <w:bidi w:val="0"/>
                    <w:adjustRightInd w:val="0"/>
                    <w:snapToGrid w:val="0"/>
                    <w:spacing w:before="63" w:beforeLines="20" w:after="0" w:afterLines="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排放规律</w:t>
                  </w:r>
                </w:p>
              </w:tc>
              <w:tc>
                <w:tcPr>
                  <w:tcW w:w="2508" w:type="dxa"/>
                  <w:gridSpan w:val="3"/>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ind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受纳污水处理厂信息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3" w:type="dxa"/>
                  <w:vMerge w:val="continue"/>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ind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p>
              </w:tc>
              <w:tc>
                <w:tcPr>
                  <w:tcW w:w="834" w:type="dxa"/>
                  <w:vMerge w:val="continue"/>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ind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p>
              </w:tc>
              <w:tc>
                <w:tcPr>
                  <w:tcW w:w="834" w:type="dxa"/>
                  <w:noWrap w:val="0"/>
                  <w:vAlign w:val="center"/>
                </w:tcPr>
                <w:p>
                  <w:pPr>
                    <w:pStyle w:val="5"/>
                    <w:keepNext w:val="0"/>
                    <w:keepLines/>
                    <w:pageBreakBefore w:val="0"/>
                    <w:widowControl w:val="0"/>
                    <w:kinsoku/>
                    <w:wordWrap/>
                    <w:overflowPunct/>
                    <w:topLinePunct w:val="0"/>
                    <w:autoSpaceDE/>
                    <w:autoSpaceDN/>
                    <w:bidi w:val="0"/>
                    <w:adjustRightInd w:val="0"/>
                    <w:snapToGrid w:val="0"/>
                    <w:spacing w:before="63" w:beforeLines="20" w:after="0" w:afterLines="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经度</w:t>
                  </w:r>
                </w:p>
              </w:tc>
              <w:tc>
                <w:tcPr>
                  <w:tcW w:w="834" w:type="dxa"/>
                  <w:noWrap w:val="0"/>
                  <w:vAlign w:val="center"/>
                </w:tcPr>
                <w:p>
                  <w:pPr>
                    <w:pStyle w:val="5"/>
                    <w:keepNext w:val="0"/>
                    <w:keepLines/>
                    <w:pageBreakBefore w:val="0"/>
                    <w:widowControl w:val="0"/>
                    <w:kinsoku/>
                    <w:wordWrap/>
                    <w:overflowPunct/>
                    <w:topLinePunct w:val="0"/>
                    <w:autoSpaceDE/>
                    <w:autoSpaceDN/>
                    <w:bidi w:val="0"/>
                    <w:adjustRightInd w:val="0"/>
                    <w:snapToGrid w:val="0"/>
                    <w:spacing w:before="63" w:beforeLines="20" w:after="0" w:afterLines="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纬度</w:t>
                  </w:r>
                </w:p>
              </w:tc>
              <w:tc>
                <w:tcPr>
                  <w:tcW w:w="835" w:type="dxa"/>
                  <w:vMerge w:val="continue"/>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ind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p>
              </w:tc>
              <w:tc>
                <w:tcPr>
                  <w:tcW w:w="835" w:type="dxa"/>
                  <w:vMerge w:val="continue"/>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ind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p>
              </w:tc>
              <w:tc>
                <w:tcPr>
                  <w:tcW w:w="835" w:type="dxa"/>
                  <w:vMerge w:val="continue"/>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ind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p>
              </w:tc>
              <w:tc>
                <w:tcPr>
                  <w:tcW w:w="836" w:type="dxa"/>
                  <w:noWrap w:val="0"/>
                  <w:vAlign w:val="center"/>
                </w:tcPr>
                <w:p>
                  <w:pPr>
                    <w:pStyle w:val="5"/>
                    <w:keepNext w:val="0"/>
                    <w:keepLines/>
                    <w:pageBreakBefore w:val="0"/>
                    <w:widowControl w:val="0"/>
                    <w:kinsoku/>
                    <w:wordWrap/>
                    <w:overflowPunct/>
                    <w:topLinePunct w:val="0"/>
                    <w:autoSpaceDE/>
                    <w:autoSpaceDN/>
                    <w:bidi w:val="0"/>
                    <w:adjustRightInd w:val="0"/>
                    <w:snapToGrid w:val="0"/>
                    <w:spacing w:before="63" w:beforeLines="20" w:after="0" w:afterLines="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名称</w:t>
                  </w:r>
                </w:p>
              </w:tc>
              <w:tc>
                <w:tcPr>
                  <w:tcW w:w="836" w:type="dxa"/>
                  <w:noWrap w:val="0"/>
                  <w:vAlign w:val="center"/>
                </w:tcPr>
                <w:p>
                  <w:pPr>
                    <w:pStyle w:val="5"/>
                    <w:keepNext w:val="0"/>
                    <w:keepLines/>
                    <w:pageBreakBefore w:val="0"/>
                    <w:widowControl w:val="0"/>
                    <w:kinsoku/>
                    <w:wordWrap/>
                    <w:overflowPunct/>
                    <w:topLinePunct w:val="0"/>
                    <w:autoSpaceDE/>
                    <w:autoSpaceDN/>
                    <w:bidi w:val="0"/>
                    <w:adjustRightInd w:val="0"/>
                    <w:snapToGrid w:val="0"/>
                    <w:spacing w:before="63" w:beforeLines="20" w:after="0" w:afterLines="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污染物种类</w:t>
                  </w:r>
                </w:p>
              </w:tc>
              <w:tc>
                <w:tcPr>
                  <w:tcW w:w="836" w:type="dxa"/>
                  <w:noWrap w:val="0"/>
                  <w:vAlign w:val="center"/>
                </w:tcPr>
                <w:p>
                  <w:pPr>
                    <w:pStyle w:val="5"/>
                    <w:keepNext w:val="0"/>
                    <w:keepLines/>
                    <w:pageBreakBefore w:val="0"/>
                    <w:widowControl w:val="0"/>
                    <w:kinsoku/>
                    <w:wordWrap/>
                    <w:overflowPunct/>
                    <w:topLinePunct w:val="0"/>
                    <w:autoSpaceDE/>
                    <w:autoSpaceDN/>
                    <w:bidi w:val="0"/>
                    <w:adjustRightInd w:val="0"/>
                    <w:snapToGrid w:val="0"/>
                    <w:spacing w:before="63" w:beforeLines="20" w:after="0" w:afterLines="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GB18918-2002 一级A标准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3" w:type="dxa"/>
                  <w:vMerge w:val="restart"/>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ind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1</w:t>
                  </w:r>
                </w:p>
              </w:tc>
              <w:tc>
                <w:tcPr>
                  <w:tcW w:w="834" w:type="dxa"/>
                  <w:vMerge w:val="restart"/>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ind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w:t>
                  </w:r>
                </w:p>
              </w:tc>
              <w:tc>
                <w:tcPr>
                  <w:tcW w:w="834" w:type="dxa"/>
                  <w:vMerge w:val="restart"/>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ind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w:t>
                  </w:r>
                </w:p>
              </w:tc>
              <w:tc>
                <w:tcPr>
                  <w:tcW w:w="834" w:type="dxa"/>
                  <w:vMerge w:val="restart"/>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ind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w:t>
                  </w:r>
                </w:p>
              </w:tc>
              <w:tc>
                <w:tcPr>
                  <w:tcW w:w="835" w:type="dxa"/>
                  <w:vMerge w:val="restart"/>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ind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4.0</w:t>
                  </w:r>
                </w:p>
              </w:tc>
              <w:tc>
                <w:tcPr>
                  <w:tcW w:w="835" w:type="dxa"/>
                  <w:vMerge w:val="restart"/>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ind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灵璧经济开发区新北污水处理厂</w:t>
                  </w:r>
                </w:p>
              </w:tc>
              <w:tc>
                <w:tcPr>
                  <w:tcW w:w="835" w:type="dxa"/>
                  <w:vMerge w:val="restart"/>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ind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连续</w:t>
                  </w:r>
                </w:p>
              </w:tc>
              <w:tc>
                <w:tcPr>
                  <w:tcW w:w="836" w:type="dxa"/>
                  <w:vMerge w:val="restart"/>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ind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灵璧经济开发区新北污水处理厂</w:t>
                  </w:r>
                </w:p>
              </w:tc>
              <w:tc>
                <w:tcPr>
                  <w:tcW w:w="836" w:type="dxa"/>
                  <w:noWrap w:val="0"/>
                  <w:vAlign w:val="center"/>
                </w:tcPr>
                <w:p>
                  <w:pPr>
                    <w:pStyle w:val="5"/>
                    <w:keepNext w:val="0"/>
                    <w:keepLines/>
                    <w:pageBreakBefore w:val="0"/>
                    <w:widowControl w:val="0"/>
                    <w:kinsoku/>
                    <w:wordWrap/>
                    <w:overflowPunct/>
                    <w:topLinePunct w:val="0"/>
                    <w:autoSpaceDE/>
                    <w:autoSpaceDN/>
                    <w:bidi w:val="0"/>
                    <w:adjustRightInd w:val="0"/>
                    <w:snapToGrid w:val="0"/>
                    <w:spacing w:before="63" w:beforeLines="20" w:after="0" w:afterLines="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pH</w:t>
                  </w:r>
                </w:p>
              </w:tc>
              <w:tc>
                <w:tcPr>
                  <w:tcW w:w="836" w:type="dxa"/>
                  <w:noWrap w:val="0"/>
                  <w:vAlign w:val="center"/>
                </w:tcPr>
                <w:p>
                  <w:pPr>
                    <w:pStyle w:val="5"/>
                    <w:keepNext w:val="0"/>
                    <w:keepLines/>
                    <w:pageBreakBefore w:val="0"/>
                    <w:widowControl w:val="0"/>
                    <w:kinsoku/>
                    <w:wordWrap/>
                    <w:overflowPunct/>
                    <w:topLinePunct w:val="0"/>
                    <w:autoSpaceDE/>
                    <w:autoSpaceDN/>
                    <w:bidi w:val="0"/>
                    <w:adjustRightInd w:val="0"/>
                    <w:snapToGrid w:val="0"/>
                    <w:spacing w:before="63" w:beforeLines="20" w:after="0" w:afterLines="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3" w:type="dxa"/>
                  <w:vMerge w:val="continue"/>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ind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p>
              </w:tc>
              <w:tc>
                <w:tcPr>
                  <w:tcW w:w="834" w:type="dxa"/>
                  <w:vMerge w:val="continue"/>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ind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p>
              </w:tc>
              <w:tc>
                <w:tcPr>
                  <w:tcW w:w="834" w:type="dxa"/>
                  <w:vMerge w:val="continue"/>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ind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p>
              </w:tc>
              <w:tc>
                <w:tcPr>
                  <w:tcW w:w="834" w:type="dxa"/>
                  <w:vMerge w:val="continue"/>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ind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p>
              </w:tc>
              <w:tc>
                <w:tcPr>
                  <w:tcW w:w="835" w:type="dxa"/>
                  <w:vMerge w:val="continue"/>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ind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p>
              </w:tc>
              <w:tc>
                <w:tcPr>
                  <w:tcW w:w="835" w:type="dxa"/>
                  <w:vMerge w:val="continue"/>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ind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p>
              </w:tc>
              <w:tc>
                <w:tcPr>
                  <w:tcW w:w="835" w:type="dxa"/>
                  <w:vMerge w:val="continue"/>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ind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p>
              </w:tc>
              <w:tc>
                <w:tcPr>
                  <w:tcW w:w="836" w:type="dxa"/>
                  <w:vMerge w:val="continue"/>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ind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p>
              </w:tc>
              <w:tc>
                <w:tcPr>
                  <w:tcW w:w="836" w:type="dxa"/>
                  <w:noWrap w:val="0"/>
                  <w:vAlign w:val="center"/>
                </w:tcPr>
                <w:p>
                  <w:pPr>
                    <w:pStyle w:val="5"/>
                    <w:keepNext w:val="0"/>
                    <w:keepLines/>
                    <w:pageBreakBefore w:val="0"/>
                    <w:widowControl w:val="0"/>
                    <w:kinsoku/>
                    <w:wordWrap/>
                    <w:overflowPunct/>
                    <w:topLinePunct w:val="0"/>
                    <w:autoSpaceDE/>
                    <w:autoSpaceDN/>
                    <w:bidi w:val="0"/>
                    <w:adjustRightInd w:val="0"/>
                    <w:snapToGrid w:val="0"/>
                    <w:spacing w:before="63" w:beforeLines="20" w:after="0" w:afterLines="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COD</w:t>
                  </w:r>
                </w:p>
              </w:tc>
              <w:tc>
                <w:tcPr>
                  <w:tcW w:w="836" w:type="dxa"/>
                  <w:noWrap w:val="0"/>
                  <w:vAlign w:val="center"/>
                </w:tcPr>
                <w:p>
                  <w:pPr>
                    <w:pStyle w:val="5"/>
                    <w:keepNext w:val="0"/>
                    <w:keepLines/>
                    <w:pageBreakBefore w:val="0"/>
                    <w:widowControl w:val="0"/>
                    <w:kinsoku/>
                    <w:wordWrap/>
                    <w:overflowPunct/>
                    <w:topLinePunct w:val="0"/>
                    <w:autoSpaceDE/>
                    <w:autoSpaceDN/>
                    <w:bidi w:val="0"/>
                    <w:adjustRightInd w:val="0"/>
                    <w:snapToGrid w:val="0"/>
                    <w:spacing w:before="63" w:beforeLines="20" w:after="0" w:afterLines="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3" w:type="dxa"/>
                  <w:vMerge w:val="continue"/>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ind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p>
              </w:tc>
              <w:tc>
                <w:tcPr>
                  <w:tcW w:w="834" w:type="dxa"/>
                  <w:vMerge w:val="continue"/>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ind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p>
              </w:tc>
              <w:tc>
                <w:tcPr>
                  <w:tcW w:w="834" w:type="dxa"/>
                  <w:vMerge w:val="continue"/>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ind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p>
              </w:tc>
              <w:tc>
                <w:tcPr>
                  <w:tcW w:w="834" w:type="dxa"/>
                  <w:vMerge w:val="continue"/>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ind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p>
              </w:tc>
              <w:tc>
                <w:tcPr>
                  <w:tcW w:w="835" w:type="dxa"/>
                  <w:vMerge w:val="continue"/>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ind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p>
              </w:tc>
              <w:tc>
                <w:tcPr>
                  <w:tcW w:w="835" w:type="dxa"/>
                  <w:vMerge w:val="continue"/>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ind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p>
              </w:tc>
              <w:tc>
                <w:tcPr>
                  <w:tcW w:w="835" w:type="dxa"/>
                  <w:vMerge w:val="continue"/>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ind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p>
              </w:tc>
              <w:tc>
                <w:tcPr>
                  <w:tcW w:w="836" w:type="dxa"/>
                  <w:vMerge w:val="continue"/>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ind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p>
              </w:tc>
              <w:tc>
                <w:tcPr>
                  <w:tcW w:w="836" w:type="dxa"/>
                  <w:noWrap w:val="0"/>
                  <w:vAlign w:val="center"/>
                </w:tcPr>
                <w:p>
                  <w:pPr>
                    <w:pStyle w:val="5"/>
                    <w:keepNext w:val="0"/>
                    <w:keepLines/>
                    <w:pageBreakBefore w:val="0"/>
                    <w:widowControl w:val="0"/>
                    <w:kinsoku/>
                    <w:wordWrap/>
                    <w:overflowPunct/>
                    <w:topLinePunct w:val="0"/>
                    <w:autoSpaceDE/>
                    <w:autoSpaceDN/>
                    <w:bidi w:val="0"/>
                    <w:adjustRightInd w:val="0"/>
                    <w:snapToGrid w:val="0"/>
                    <w:spacing w:before="63" w:beforeLines="20" w:after="0" w:afterLines="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BOD</w:t>
                  </w:r>
                  <w:r>
                    <w:rPr>
                      <w:rFonts w:hint="default" w:ascii="Times New Roman" w:hAnsi="Times New Roman" w:eastAsia="宋体" w:cs="Times New Roman"/>
                      <w:b w:val="0"/>
                      <w:bCs w:val="0"/>
                      <w:color w:val="auto"/>
                      <w:sz w:val="21"/>
                      <w:szCs w:val="21"/>
                      <w:highlight w:val="none"/>
                      <w:vertAlign w:val="subscript"/>
                      <w:lang w:val="en-US" w:eastAsia="zh-CN"/>
                    </w:rPr>
                    <w:t>5</w:t>
                  </w:r>
                </w:p>
              </w:tc>
              <w:tc>
                <w:tcPr>
                  <w:tcW w:w="836" w:type="dxa"/>
                  <w:noWrap w:val="0"/>
                  <w:vAlign w:val="center"/>
                </w:tcPr>
                <w:p>
                  <w:pPr>
                    <w:pStyle w:val="5"/>
                    <w:keepNext w:val="0"/>
                    <w:keepLines/>
                    <w:pageBreakBefore w:val="0"/>
                    <w:widowControl w:val="0"/>
                    <w:kinsoku/>
                    <w:wordWrap/>
                    <w:overflowPunct/>
                    <w:topLinePunct w:val="0"/>
                    <w:autoSpaceDE/>
                    <w:autoSpaceDN/>
                    <w:bidi w:val="0"/>
                    <w:adjustRightInd w:val="0"/>
                    <w:snapToGrid w:val="0"/>
                    <w:spacing w:before="63" w:beforeLines="20" w:after="0" w:afterLines="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3" w:type="dxa"/>
                  <w:vMerge w:val="continue"/>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ind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p>
              </w:tc>
              <w:tc>
                <w:tcPr>
                  <w:tcW w:w="834" w:type="dxa"/>
                  <w:vMerge w:val="continue"/>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ind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p>
              </w:tc>
              <w:tc>
                <w:tcPr>
                  <w:tcW w:w="834" w:type="dxa"/>
                  <w:vMerge w:val="continue"/>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ind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p>
              </w:tc>
              <w:tc>
                <w:tcPr>
                  <w:tcW w:w="834" w:type="dxa"/>
                  <w:vMerge w:val="continue"/>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ind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p>
              </w:tc>
              <w:tc>
                <w:tcPr>
                  <w:tcW w:w="835" w:type="dxa"/>
                  <w:vMerge w:val="continue"/>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ind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p>
              </w:tc>
              <w:tc>
                <w:tcPr>
                  <w:tcW w:w="835" w:type="dxa"/>
                  <w:vMerge w:val="continue"/>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ind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p>
              </w:tc>
              <w:tc>
                <w:tcPr>
                  <w:tcW w:w="835" w:type="dxa"/>
                  <w:vMerge w:val="continue"/>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ind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p>
              </w:tc>
              <w:tc>
                <w:tcPr>
                  <w:tcW w:w="836" w:type="dxa"/>
                  <w:vMerge w:val="continue"/>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ind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p>
              </w:tc>
              <w:tc>
                <w:tcPr>
                  <w:tcW w:w="836" w:type="dxa"/>
                  <w:noWrap w:val="0"/>
                  <w:vAlign w:val="center"/>
                </w:tcPr>
                <w:p>
                  <w:pPr>
                    <w:pStyle w:val="5"/>
                    <w:keepNext w:val="0"/>
                    <w:keepLines/>
                    <w:pageBreakBefore w:val="0"/>
                    <w:widowControl w:val="0"/>
                    <w:kinsoku/>
                    <w:wordWrap/>
                    <w:overflowPunct/>
                    <w:topLinePunct w:val="0"/>
                    <w:autoSpaceDE/>
                    <w:autoSpaceDN/>
                    <w:bidi w:val="0"/>
                    <w:adjustRightInd w:val="0"/>
                    <w:snapToGrid w:val="0"/>
                    <w:spacing w:before="63" w:beforeLines="20" w:after="0" w:afterLines="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SS</w:t>
                  </w:r>
                </w:p>
              </w:tc>
              <w:tc>
                <w:tcPr>
                  <w:tcW w:w="836" w:type="dxa"/>
                  <w:noWrap w:val="0"/>
                  <w:vAlign w:val="center"/>
                </w:tcPr>
                <w:p>
                  <w:pPr>
                    <w:pStyle w:val="5"/>
                    <w:keepNext w:val="0"/>
                    <w:keepLines/>
                    <w:pageBreakBefore w:val="0"/>
                    <w:widowControl w:val="0"/>
                    <w:kinsoku/>
                    <w:wordWrap/>
                    <w:overflowPunct/>
                    <w:topLinePunct w:val="0"/>
                    <w:autoSpaceDE/>
                    <w:autoSpaceDN/>
                    <w:bidi w:val="0"/>
                    <w:adjustRightInd w:val="0"/>
                    <w:snapToGrid w:val="0"/>
                    <w:spacing w:before="63" w:beforeLines="20" w:after="0" w:afterLines="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cs="Times New Roman"/>
                      <w:b w:val="0"/>
                      <w:bCs w:val="0"/>
                      <w:color w:val="auto"/>
                      <w:kern w:val="2"/>
                      <w:sz w:val="21"/>
                      <w:szCs w:val="21"/>
                      <w:highlight w:val="none"/>
                      <w:vertAlign w:val="baseline"/>
                      <w:lang w:val="en-US" w:eastAsia="zh-CN" w:bidi="ar-S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3" w:type="dxa"/>
                  <w:vMerge w:val="continue"/>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ind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p>
              </w:tc>
              <w:tc>
                <w:tcPr>
                  <w:tcW w:w="834" w:type="dxa"/>
                  <w:vMerge w:val="continue"/>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ind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p>
              </w:tc>
              <w:tc>
                <w:tcPr>
                  <w:tcW w:w="834" w:type="dxa"/>
                  <w:vMerge w:val="continue"/>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ind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p>
              </w:tc>
              <w:tc>
                <w:tcPr>
                  <w:tcW w:w="834" w:type="dxa"/>
                  <w:vMerge w:val="continue"/>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ind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p>
              </w:tc>
              <w:tc>
                <w:tcPr>
                  <w:tcW w:w="835" w:type="dxa"/>
                  <w:vMerge w:val="continue"/>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ind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p>
              </w:tc>
              <w:tc>
                <w:tcPr>
                  <w:tcW w:w="835" w:type="dxa"/>
                  <w:vMerge w:val="continue"/>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ind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p>
              </w:tc>
              <w:tc>
                <w:tcPr>
                  <w:tcW w:w="835" w:type="dxa"/>
                  <w:vMerge w:val="continue"/>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ind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p>
              </w:tc>
              <w:tc>
                <w:tcPr>
                  <w:tcW w:w="836" w:type="dxa"/>
                  <w:vMerge w:val="continue"/>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ind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p>
              </w:tc>
              <w:tc>
                <w:tcPr>
                  <w:tcW w:w="836" w:type="dxa"/>
                  <w:noWrap w:val="0"/>
                  <w:vAlign w:val="center"/>
                </w:tcPr>
                <w:p>
                  <w:pPr>
                    <w:pStyle w:val="5"/>
                    <w:keepNext w:val="0"/>
                    <w:keepLines/>
                    <w:pageBreakBefore w:val="0"/>
                    <w:widowControl w:val="0"/>
                    <w:kinsoku/>
                    <w:wordWrap/>
                    <w:overflowPunct/>
                    <w:topLinePunct w:val="0"/>
                    <w:autoSpaceDE/>
                    <w:autoSpaceDN/>
                    <w:bidi w:val="0"/>
                    <w:adjustRightInd w:val="0"/>
                    <w:snapToGrid w:val="0"/>
                    <w:spacing w:before="63" w:beforeLines="20" w:after="0" w:afterLines="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NH</w:t>
                  </w:r>
                  <w:r>
                    <w:rPr>
                      <w:rFonts w:hint="default" w:ascii="Times New Roman" w:hAnsi="Times New Roman" w:eastAsia="宋体" w:cs="Times New Roman"/>
                      <w:b w:val="0"/>
                      <w:bCs w:val="0"/>
                      <w:color w:val="auto"/>
                      <w:sz w:val="21"/>
                      <w:szCs w:val="21"/>
                      <w:highlight w:val="none"/>
                      <w:vertAlign w:val="subscript"/>
                      <w:lang w:val="en-US" w:eastAsia="zh-CN"/>
                    </w:rPr>
                    <w:t>3</w:t>
                  </w:r>
                  <w:r>
                    <w:rPr>
                      <w:rFonts w:hint="default" w:ascii="Times New Roman" w:hAnsi="Times New Roman" w:eastAsia="宋体" w:cs="Times New Roman"/>
                      <w:b w:val="0"/>
                      <w:bCs w:val="0"/>
                      <w:color w:val="auto"/>
                      <w:sz w:val="21"/>
                      <w:szCs w:val="21"/>
                      <w:highlight w:val="none"/>
                      <w:vertAlign w:val="baseline"/>
                      <w:lang w:val="en-US" w:eastAsia="zh-CN"/>
                    </w:rPr>
                    <w:t>-N</w:t>
                  </w:r>
                </w:p>
              </w:tc>
              <w:tc>
                <w:tcPr>
                  <w:tcW w:w="836" w:type="dxa"/>
                  <w:noWrap w:val="0"/>
                  <w:vAlign w:val="center"/>
                </w:tcPr>
                <w:p>
                  <w:pPr>
                    <w:pStyle w:val="5"/>
                    <w:keepNext w:val="0"/>
                    <w:keepLines/>
                    <w:pageBreakBefore w:val="0"/>
                    <w:widowControl w:val="0"/>
                    <w:kinsoku/>
                    <w:wordWrap/>
                    <w:overflowPunct/>
                    <w:topLinePunct w:val="0"/>
                    <w:autoSpaceDE/>
                    <w:autoSpaceDN/>
                    <w:bidi w:val="0"/>
                    <w:adjustRightInd w:val="0"/>
                    <w:snapToGrid w:val="0"/>
                    <w:spacing w:before="63" w:beforeLines="20" w:after="0" w:afterLines="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8（5）</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jc w:val="both"/>
              <w:textAlignment w:val="auto"/>
              <w:rPr>
                <w:rFonts w:hint="eastAsia" w:ascii="Times New Roman" w:hAnsi="Times New Roman" w:eastAsia="宋体" w:cs="Times New Roman"/>
                <w:color w:val="auto"/>
                <w:sz w:val="24"/>
                <w:szCs w:val="24"/>
                <w:lang w:val="en-US" w:eastAsia="zh-CN"/>
              </w:rPr>
            </w:pPr>
            <w:r>
              <w:rPr>
                <w:rFonts w:hint="eastAsia"/>
                <w:b/>
                <w:bCs/>
                <w:color w:val="auto"/>
                <w:sz w:val="24"/>
                <w:szCs w:val="24"/>
                <w:lang w:val="en-US" w:eastAsia="zh-CN"/>
              </w:rPr>
              <w:t>排放口设置及监测计划</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color w:val="auto"/>
                <w:sz w:val="24"/>
                <w:szCs w:val="24"/>
                <w:lang w:val="en-US" w:eastAsia="zh-CN"/>
              </w:rPr>
            </w:pPr>
            <w:r>
              <w:rPr>
                <w:rFonts w:hint="eastAsia"/>
                <w:color w:val="auto"/>
                <w:sz w:val="24"/>
                <w:szCs w:val="24"/>
                <w:lang w:val="en-US" w:eastAsia="zh-CN"/>
              </w:rPr>
              <w:t>根据《排污单位自行监测技术指南 总则》（HJ819-2017），制定本项目废水监测计划：</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b/>
                <w:bCs/>
                <w:color w:val="auto"/>
                <w:sz w:val="24"/>
                <w:szCs w:val="24"/>
                <w:lang w:val="en-US" w:eastAsia="zh-CN"/>
              </w:rPr>
            </w:pPr>
            <w:r>
              <w:rPr>
                <w:rFonts w:hint="default"/>
                <w:b/>
                <w:bCs/>
                <w:color w:val="auto"/>
                <w:sz w:val="24"/>
                <w:szCs w:val="24"/>
                <w:lang w:val="en-US" w:eastAsia="zh-CN"/>
              </w:rPr>
              <w:t>表4.</w:t>
            </w:r>
            <w:r>
              <w:rPr>
                <w:rFonts w:hint="eastAsia"/>
                <w:b/>
                <w:bCs/>
                <w:color w:val="auto"/>
                <w:sz w:val="24"/>
                <w:szCs w:val="24"/>
                <w:lang w:val="en-US" w:eastAsia="zh-CN"/>
              </w:rPr>
              <w:t xml:space="preserve">7 </w:t>
            </w:r>
            <w:r>
              <w:rPr>
                <w:rFonts w:hint="default"/>
                <w:b/>
                <w:bCs/>
                <w:color w:val="auto"/>
                <w:sz w:val="24"/>
                <w:szCs w:val="24"/>
                <w:lang w:val="en-US" w:eastAsia="zh-CN"/>
              </w:rPr>
              <w:t xml:space="preserve"> 废</w:t>
            </w:r>
            <w:r>
              <w:rPr>
                <w:rFonts w:hint="eastAsia"/>
                <w:b/>
                <w:bCs/>
                <w:color w:val="auto"/>
                <w:sz w:val="24"/>
                <w:szCs w:val="24"/>
                <w:lang w:val="en-US" w:eastAsia="zh-CN"/>
              </w:rPr>
              <w:t>水</w:t>
            </w:r>
            <w:r>
              <w:rPr>
                <w:rFonts w:hint="default"/>
                <w:b/>
                <w:bCs/>
                <w:color w:val="auto"/>
                <w:sz w:val="24"/>
                <w:szCs w:val="24"/>
                <w:lang w:val="en-US" w:eastAsia="zh-CN"/>
              </w:rPr>
              <w:t>排放口</w:t>
            </w:r>
            <w:r>
              <w:rPr>
                <w:rFonts w:hint="eastAsia"/>
                <w:b/>
                <w:bCs/>
                <w:color w:val="auto"/>
                <w:sz w:val="24"/>
                <w:szCs w:val="24"/>
                <w:lang w:val="en-US" w:eastAsia="zh-CN"/>
              </w:rPr>
              <w:t>设置及</w:t>
            </w:r>
            <w:r>
              <w:rPr>
                <w:rFonts w:hint="default"/>
                <w:b/>
                <w:bCs/>
                <w:color w:val="auto"/>
                <w:sz w:val="24"/>
                <w:szCs w:val="24"/>
                <w:lang w:val="en-US" w:eastAsia="zh-CN"/>
              </w:rPr>
              <w:t>废</w:t>
            </w:r>
            <w:r>
              <w:rPr>
                <w:rFonts w:hint="eastAsia"/>
                <w:b/>
                <w:bCs/>
                <w:color w:val="auto"/>
                <w:sz w:val="24"/>
                <w:szCs w:val="24"/>
                <w:lang w:val="en-US" w:eastAsia="zh-CN"/>
              </w:rPr>
              <w:t>水污染物监测计划</w:t>
            </w:r>
          </w:p>
          <w:tbl>
            <w:tblPr>
              <w:tblStyle w:val="26"/>
              <w:tblW w:w="83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8"/>
              <w:gridCol w:w="4501"/>
              <w:gridCol w:w="2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8" w:type="dxa"/>
                  <w:noWrap w:val="0"/>
                  <w:vAlign w:val="center"/>
                </w:tcPr>
                <w:p>
                  <w:pPr>
                    <w:adjustRightInd w:val="0"/>
                    <w:snapToGrid w:val="0"/>
                    <w:jc w:val="center"/>
                    <w:rPr>
                      <w:rFonts w:hint="default"/>
                      <w:color w:val="auto"/>
                      <w:lang w:val="en-US" w:eastAsia="zh-CN"/>
                    </w:rPr>
                  </w:pPr>
                  <w:r>
                    <w:rPr>
                      <w:rFonts w:hint="eastAsia"/>
                      <w:color w:val="auto"/>
                      <w:lang w:val="en-US" w:eastAsia="zh-CN"/>
                    </w:rPr>
                    <w:t>监测点位</w:t>
                  </w:r>
                </w:p>
              </w:tc>
              <w:tc>
                <w:tcPr>
                  <w:tcW w:w="4501" w:type="dxa"/>
                  <w:noWrap w:val="0"/>
                  <w:vAlign w:val="center"/>
                </w:tcPr>
                <w:p>
                  <w:pPr>
                    <w:adjustRightInd w:val="0"/>
                    <w:snapToGrid w:val="0"/>
                    <w:jc w:val="center"/>
                    <w:rPr>
                      <w:rFonts w:hint="default"/>
                      <w:color w:val="auto"/>
                      <w:lang w:val="en-US" w:eastAsia="zh-CN"/>
                    </w:rPr>
                  </w:pPr>
                  <w:r>
                    <w:rPr>
                      <w:rFonts w:hint="eastAsia"/>
                      <w:color w:val="auto"/>
                      <w:lang w:val="en-US" w:eastAsia="zh-CN"/>
                    </w:rPr>
                    <w:t>监测因子</w:t>
                  </w:r>
                </w:p>
              </w:tc>
              <w:tc>
                <w:tcPr>
                  <w:tcW w:w="2358" w:type="dxa"/>
                  <w:noWrap w:val="0"/>
                  <w:vAlign w:val="center"/>
                </w:tcPr>
                <w:p>
                  <w:pPr>
                    <w:adjustRightInd w:val="0"/>
                    <w:snapToGrid w:val="0"/>
                    <w:jc w:val="center"/>
                    <w:rPr>
                      <w:rFonts w:hint="default"/>
                      <w:color w:val="auto"/>
                      <w:lang w:val="en-US" w:eastAsia="zh-CN"/>
                    </w:rPr>
                  </w:pPr>
                  <w:r>
                    <w:rPr>
                      <w:rFonts w:hint="eastAsia"/>
                      <w:color w:val="auto"/>
                      <w:lang w:val="en-US" w:eastAsia="zh-CN"/>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488" w:type="dxa"/>
                  <w:noWrap w:val="0"/>
                  <w:vAlign w:val="center"/>
                </w:tcPr>
                <w:p>
                  <w:pPr>
                    <w:adjustRightInd w:val="0"/>
                    <w:snapToGrid w:val="0"/>
                    <w:jc w:val="center"/>
                    <w:rPr>
                      <w:rFonts w:hint="default"/>
                      <w:color w:val="auto"/>
                      <w:kern w:val="2"/>
                      <w:sz w:val="21"/>
                      <w:szCs w:val="24"/>
                      <w:lang w:val="en-US" w:eastAsia="zh-CN" w:bidi="ar-SA"/>
                    </w:rPr>
                  </w:pPr>
                  <w:r>
                    <w:rPr>
                      <w:rFonts w:hint="eastAsia"/>
                      <w:color w:val="auto"/>
                      <w:lang w:val="en-US" w:eastAsia="zh-CN"/>
                    </w:rPr>
                    <w:t>污水处理设施排放口</w:t>
                  </w:r>
                </w:p>
              </w:tc>
              <w:tc>
                <w:tcPr>
                  <w:tcW w:w="4501" w:type="dxa"/>
                  <w:noWrap w:val="0"/>
                  <w:vAlign w:val="center"/>
                </w:tcPr>
                <w:p>
                  <w:pPr>
                    <w:adjustRightInd w:val="0"/>
                    <w:snapToGrid w:val="0"/>
                    <w:jc w:val="center"/>
                    <w:rPr>
                      <w:rFonts w:hint="default"/>
                      <w:color w:val="auto"/>
                      <w:kern w:val="2"/>
                      <w:sz w:val="21"/>
                      <w:szCs w:val="24"/>
                      <w:lang w:val="en-US" w:eastAsia="zh-CN" w:bidi="ar-SA"/>
                    </w:rPr>
                  </w:pPr>
                  <w:r>
                    <w:rPr>
                      <w:rFonts w:hint="default"/>
                      <w:color w:val="auto"/>
                      <w:kern w:val="2"/>
                      <w:sz w:val="21"/>
                      <w:szCs w:val="24"/>
                      <w:lang w:val="en-US" w:eastAsia="zh-CN" w:bidi="ar-SA"/>
                    </w:rPr>
                    <w:t>pH值、化学需氧量、</w:t>
                  </w:r>
                  <w:r>
                    <w:rPr>
                      <w:rFonts w:hint="eastAsia"/>
                      <w:color w:val="auto"/>
                      <w:kern w:val="2"/>
                      <w:sz w:val="21"/>
                      <w:szCs w:val="24"/>
                      <w:lang w:val="en-US" w:eastAsia="zh-CN" w:bidi="ar-SA"/>
                    </w:rPr>
                    <w:t>氨氮、</w:t>
                  </w:r>
                  <w:r>
                    <w:rPr>
                      <w:rFonts w:hint="default"/>
                      <w:color w:val="auto"/>
                      <w:kern w:val="2"/>
                      <w:sz w:val="21"/>
                      <w:szCs w:val="24"/>
                      <w:lang w:val="en-US" w:eastAsia="zh-CN" w:bidi="ar-SA"/>
                    </w:rPr>
                    <w:t>悬浮物</w:t>
                  </w:r>
                  <w:r>
                    <w:rPr>
                      <w:rFonts w:hint="eastAsia"/>
                      <w:color w:val="auto"/>
                      <w:kern w:val="2"/>
                      <w:sz w:val="21"/>
                      <w:szCs w:val="24"/>
                      <w:lang w:val="en-US" w:eastAsia="zh-CN" w:bidi="ar-SA"/>
                    </w:rPr>
                    <w:t>等</w:t>
                  </w:r>
                </w:p>
              </w:tc>
              <w:tc>
                <w:tcPr>
                  <w:tcW w:w="2358" w:type="dxa"/>
                  <w:noWrap w:val="0"/>
                  <w:vAlign w:val="center"/>
                </w:tcPr>
                <w:p>
                  <w:pPr>
                    <w:adjustRightInd w:val="0"/>
                    <w:snapToGrid w:val="0"/>
                    <w:jc w:val="center"/>
                    <w:rPr>
                      <w:rFonts w:hint="default"/>
                      <w:color w:val="auto"/>
                      <w:kern w:val="2"/>
                      <w:sz w:val="21"/>
                      <w:szCs w:val="24"/>
                      <w:lang w:val="en-US" w:eastAsia="zh-CN" w:bidi="ar-SA"/>
                    </w:rPr>
                  </w:pPr>
                  <w:r>
                    <w:rPr>
                      <w:rFonts w:hint="eastAsia"/>
                      <w:color w:val="auto"/>
                      <w:lang w:val="en-US" w:eastAsia="zh-CN"/>
                    </w:rPr>
                    <w:t>1次/年</w:t>
                  </w:r>
                </w:p>
              </w:tc>
            </w:tr>
          </w:tbl>
          <w:p>
            <w:pPr>
              <w:pStyle w:val="37"/>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482" w:firstLineChars="200"/>
              <w:textAlignment w:val="auto"/>
              <w:rPr>
                <w:rFonts w:hint="eastAsia"/>
                <w:b/>
                <w:bCs/>
                <w:color w:val="auto"/>
                <w:sz w:val="24"/>
                <w:szCs w:val="24"/>
                <w:lang w:val="en-US" w:eastAsia="zh-CN"/>
              </w:rPr>
            </w:pPr>
            <w:r>
              <w:rPr>
                <w:rFonts w:hint="eastAsia"/>
                <w:b/>
                <w:bCs/>
                <w:color w:val="auto"/>
                <w:sz w:val="24"/>
                <w:szCs w:val="24"/>
                <w:lang w:val="en-US" w:eastAsia="zh-CN"/>
              </w:rPr>
              <w:t>废水进入灵璧经济开发区新北污水处理厂的可行性分析</w:t>
            </w:r>
          </w:p>
          <w:p>
            <w:pPr>
              <w:pStyle w:val="37"/>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color w:val="auto"/>
                <w:sz w:val="24"/>
                <w:szCs w:val="24"/>
                <w:lang w:val="en-US" w:eastAsia="zh-CN"/>
              </w:rPr>
            </w:pPr>
            <w:r>
              <w:rPr>
                <w:rFonts w:hint="eastAsia"/>
                <w:color w:val="auto"/>
                <w:sz w:val="24"/>
                <w:szCs w:val="24"/>
                <w:lang w:val="en-US" w:eastAsia="zh-CN"/>
              </w:rPr>
              <w:t>（1）废水达标排放可行性</w:t>
            </w:r>
          </w:p>
          <w:p>
            <w:pPr>
              <w:pStyle w:val="37"/>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color w:val="auto"/>
                <w:sz w:val="24"/>
                <w:szCs w:val="24"/>
                <w:lang w:val="en-US" w:eastAsia="zh-CN"/>
              </w:rPr>
            </w:pPr>
            <w:r>
              <w:rPr>
                <w:rFonts w:hint="eastAsia"/>
                <w:color w:val="auto"/>
                <w:sz w:val="24"/>
                <w:szCs w:val="24"/>
                <w:lang w:val="en-US" w:eastAsia="zh-CN"/>
              </w:rPr>
              <w:t>根据工程分析，</w:t>
            </w:r>
            <w:r>
              <w:rPr>
                <w:rFonts w:hint="default" w:ascii="Times New Roman" w:hAnsi="Times New Roman" w:cs="Times New Roman"/>
                <w:color w:val="auto"/>
                <w:sz w:val="24"/>
                <w:szCs w:val="24"/>
                <w:lang w:val="en-US" w:eastAsia="zh-CN"/>
              </w:rPr>
              <w:t>项目</w:t>
            </w:r>
            <w:r>
              <w:rPr>
                <w:rFonts w:hint="eastAsia" w:cs="Times New Roman"/>
                <w:color w:val="auto"/>
                <w:sz w:val="24"/>
                <w:szCs w:val="24"/>
                <w:lang w:val="en-US" w:eastAsia="zh-CN"/>
              </w:rPr>
              <w:t>职工生活污水排放量</w:t>
            </w:r>
            <w:r>
              <w:rPr>
                <w:rFonts w:hint="default" w:ascii="Times New Roman" w:hAnsi="Times New Roman" w:cs="Times New Roman"/>
                <w:color w:val="auto"/>
                <w:sz w:val="24"/>
                <w:szCs w:val="24"/>
                <w:lang w:val="en-US" w:eastAsia="zh-CN"/>
              </w:rPr>
              <w:t>为</w:t>
            </w:r>
            <w:r>
              <w:rPr>
                <w:rFonts w:hint="eastAsia" w:cs="Times New Roman"/>
                <w:color w:val="auto"/>
                <w:sz w:val="24"/>
                <w:szCs w:val="24"/>
                <w:lang w:val="en-US" w:eastAsia="zh-CN"/>
              </w:rPr>
              <w:t>4.0</w:t>
            </w:r>
            <w:r>
              <w:rPr>
                <w:rFonts w:hint="default" w:ascii="Times New Roman" w:hAnsi="Times New Roman" w:cs="Times New Roman"/>
                <w:color w:val="auto"/>
                <w:sz w:val="24"/>
                <w:szCs w:val="24"/>
                <w:lang w:val="en-US" w:eastAsia="zh-CN"/>
              </w:rPr>
              <w:t>t/d</w:t>
            </w:r>
            <w:r>
              <w:rPr>
                <w:rFonts w:hint="eastAsia" w:cs="Times New Roman"/>
                <w:color w:val="auto"/>
                <w:sz w:val="24"/>
                <w:szCs w:val="24"/>
                <w:lang w:val="en-US" w:eastAsia="zh-CN"/>
              </w:rPr>
              <w:t>（1200</w:t>
            </w:r>
            <w:r>
              <w:rPr>
                <w:rFonts w:hint="default" w:ascii="Times New Roman" w:hAnsi="Times New Roman" w:cs="Times New Roman"/>
                <w:color w:val="auto"/>
                <w:sz w:val="24"/>
                <w:szCs w:val="24"/>
                <w:lang w:val="en-US" w:eastAsia="zh-CN"/>
              </w:rPr>
              <w:t>t/a</w:t>
            </w:r>
            <w:r>
              <w:rPr>
                <w:rFonts w:hint="eastAsia" w:cs="Times New Roman"/>
                <w:color w:val="auto"/>
                <w:sz w:val="24"/>
                <w:szCs w:val="24"/>
                <w:lang w:val="en-US" w:eastAsia="zh-CN"/>
              </w:rPr>
              <w:t>），</w:t>
            </w:r>
            <w:r>
              <w:rPr>
                <w:rFonts w:hint="eastAsia"/>
                <w:color w:val="auto"/>
                <w:sz w:val="24"/>
                <w:szCs w:val="24"/>
                <w:lang w:val="en-US" w:eastAsia="zh-CN"/>
              </w:rPr>
              <w:t>主要污染物为COD、NH</w:t>
            </w:r>
            <w:r>
              <w:rPr>
                <w:rFonts w:hint="eastAsia"/>
                <w:color w:val="auto"/>
                <w:sz w:val="24"/>
                <w:szCs w:val="24"/>
                <w:vertAlign w:val="subscript"/>
                <w:lang w:val="en-US" w:eastAsia="zh-CN"/>
              </w:rPr>
              <w:t>3</w:t>
            </w:r>
            <w:r>
              <w:rPr>
                <w:rFonts w:hint="eastAsia"/>
                <w:color w:val="auto"/>
                <w:sz w:val="24"/>
                <w:szCs w:val="24"/>
                <w:lang w:val="en-US" w:eastAsia="zh-CN"/>
              </w:rPr>
              <w:t>-N、SS、BOD</w:t>
            </w:r>
            <w:r>
              <w:rPr>
                <w:rFonts w:hint="eastAsia"/>
                <w:color w:val="auto"/>
                <w:sz w:val="24"/>
                <w:szCs w:val="24"/>
                <w:vertAlign w:val="subscript"/>
                <w:lang w:val="en-US" w:eastAsia="zh-CN"/>
              </w:rPr>
              <w:t>5</w:t>
            </w:r>
            <w:r>
              <w:rPr>
                <w:rFonts w:hint="eastAsia"/>
                <w:color w:val="auto"/>
                <w:sz w:val="24"/>
                <w:szCs w:val="24"/>
                <w:lang w:val="en-US" w:eastAsia="zh-CN"/>
              </w:rPr>
              <w:t>。该部分生活废水依托标准化厂房已建化粪池预处理后排放浓度能够满足《污水综合排放标准》（GB8978-1996）中三级排放标准及灵璧经济开发区新北污水处理厂的接管标准。</w:t>
            </w:r>
          </w:p>
          <w:p>
            <w:pPr>
              <w:pStyle w:val="37"/>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（2）</w:t>
            </w:r>
            <w:r>
              <w:rPr>
                <w:rFonts w:hint="eastAsia" w:cs="Times New Roman"/>
                <w:color w:val="auto"/>
                <w:sz w:val="24"/>
                <w:szCs w:val="24"/>
                <w:lang w:val="en-US" w:eastAsia="zh-CN"/>
              </w:rPr>
              <w:t>灵璧经济开发区新北污水处理厂</w:t>
            </w:r>
            <w:r>
              <w:rPr>
                <w:rFonts w:hint="eastAsia"/>
                <w:color w:val="auto"/>
                <w:sz w:val="24"/>
                <w:szCs w:val="24"/>
                <w:lang w:val="en-US" w:eastAsia="zh-CN"/>
              </w:rPr>
              <w:t>简介</w:t>
            </w:r>
          </w:p>
          <w:p>
            <w:pPr>
              <w:keepNext w:val="0"/>
              <w:keepLines w:val="0"/>
              <w:pageBreakBefore w:val="0"/>
              <w:widowControl w:val="0"/>
              <w:kinsoku/>
              <w:wordWrap/>
              <w:overflowPunct/>
              <w:topLinePunct w:val="0"/>
              <w:autoSpaceDE/>
              <w:autoSpaceDN/>
              <w:bidi w:val="0"/>
              <w:adjustRightInd w:val="0"/>
              <w:snapToGrid w:val="0"/>
              <w:spacing w:line="360" w:lineRule="auto"/>
              <w:ind w:firstLine="480"/>
              <w:jc w:val="both"/>
              <w:textAlignment w:val="auto"/>
              <w:rPr>
                <w:rFonts w:hint="eastAsia" w:ascii="Times New Roman" w:hAnsi="Times New Roman" w:cs="Times New Roman"/>
                <w:color w:val="auto"/>
                <w:sz w:val="24"/>
                <w:szCs w:val="24"/>
                <w:highlight w:val="none"/>
                <w:lang w:val="en-US" w:eastAsia="zh-CN"/>
              </w:rPr>
            </w:pPr>
            <w:r>
              <w:rPr>
                <w:rFonts w:hint="eastAsia" w:cs="Times New Roman"/>
                <w:color w:val="auto"/>
                <w:sz w:val="24"/>
                <w:highlight w:val="none"/>
                <w:lang w:eastAsia="zh-CN"/>
              </w:rPr>
              <w:t>灵璧经济开发区新北污水处理厂</w:t>
            </w:r>
            <w:r>
              <w:rPr>
                <w:rFonts w:hint="default" w:ascii="Times New Roman" w:hAnsi="Times New Roman" w:cs="Times New Roman"/>
                <w:color w:val="auto"/>
                <w:sz w:val="24"/>
                <w:szCs w:val="24"/>
              </w:rPr>
              <w:t>服务范围为整个北部新区服务区域。规划建设用地面积为1906.55ha，服务人口约27.3万人。近期启动区范围为工业区和站前综合区组团，建设用地面积为6.57km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，服务人口约5.5万人</w:t>
            </w:r>
            <w:r>
              <w:rPr>
                <w:rFonts w:hint="eastAsia" w:cs="Times New Roman"/>
                <w:color w:val="auto"/>
                <w:sz w:val="24"/>
                <w:szCs w:val="24"/>
                <w:lang w:eastAsia="zh-CN"/>
              </w:rPr>
              <w:t>，</w:t>
            </w:r>
            <w:r>
              <w:rPr>
                <w:rFonts w:hint="default" w:ascii="Times New Roman" w:hAnsi="Times New Roman" w:eastAsia="宋体" w:cs="Times New Roman"/>
                <w:color w:val="auto"/>
                <w:sz w:val="24"/>
              </w:rPr>
              <w:t>污水处理厂处理规模为</w:t>
            </w:r>
            <w:r>
              <w:rPr>
                <w:rFonts w:hint="eastAsia" w:ascii="Times New Roman" w:hAnsi="Times New Roman" w:eastAsia="宋体" w:cs="Times New Roman"/>
                <w:color w:val="auto"/>
                <w:sz w:val="24"/>
                <w:lang w:val="en-US" w:eastAsia="zh-CN"/>
              </w:rPr>
              <w:t>6</w:t>
            </w:r>
            <w:r>
              <w:rPr>
                <w:rFonts w:hint="default" w:ascii="Times New Roman" w:hAnsi="Times New Roman" w:eastAsia="宋体" w:cs="Times New Roman"/>
                <w:color w:val="auto"/>
                <w:sz w:val="24"/>
              </w:rPr>
              <w:t>万m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/d</w:t>
            </w:r>
            <w:r>
              <w:rPr>
                <w:rFonts w:hint="default" w:ascii="Times New Roman" w:hAnsi="Times New Roman" w:eastAsia="宋体" w:cs="Times New Roman"/>
                <w:color w:val="auto"/>
                <w:sz w:val="24"/>
                <w:lang w:eastAsia="zh-CN"/>
              </w:rPr>
              <w:t>。</w:t>
            </w:r>
            <w:r>
              <w:rPr>
                <w:rFonts w:hint="default" w:ascii="Times New Roman" w:hAnsi="Times New Roman" w:cs="Times New Roman"/>
                <w:color w:val="auto"/>
                <w:sz w:val="24"/>
                <w:szCs w:val="24"/>
              </w:rPr>
              <w:t>采用</w:t>
            </w:r>
            <w:r>
              <w:rPr>
                <w:rFonts w:hint="eastAsia" w:cs="Times New Roman"/>
                <w:color w:val="auto"/>
                <w:sz w:val="24"/>
                <w:szCs w:val="24"/>
                <w:lang w:eastAsia="zh-CN"/>
              </w:rPr>
              <w:t>“</w:t>
            </w:r>
            <w:r>
              <w:rPr>
                <w:rFonts w:hint="default" w:ascii="Times New Roman" w:hAnsi="Times New Roman" w:cs="Times New Roman"/>
                <w:color w:val="auto"/>
                <w:sz w:val="24"/>
                <w:szCs w:val="24"/>
              </w:rPr>
              <w:t>污水预处理+氧化沟二级生化+深度处理+消毒处理</w:t>
            </w:r>
            <w:r>
              <w:rPr>
                <w:rFonts w:hint="eastAsia" w:cs="Times New Roman"/>
                <w:color w:val="auto"/>
                <w:sz w:val="24"/>
                <w:szCs w:val="24"/>
                <w:lang w:eastAsia="zh-CN"/>
              </w:rPr>
              <w:t>”</w:t>
            </w:r>
            <w:r>
              <w:rPr>
                <w:rFonts w:hint="default" w:ascii="Times New Roman" w:hAnsi="Times New Roman" w:cs="Times New Roman"/>
                <w:color w:val="auto"/>
                <w:sz w:val="24"/>
                <w:szCs w:val="24"/>
              </w:rPr>
              <w:t>工艺，淤泥采用机械浓缩脱水处理工艺，污水经污水处理厂处理达到《城镇污水处理厂污染物排放标准》（GB18918-2002）中一级A标准值后，尾水排入阎河。</w:t>
            </w:r>
          </w:p>
          <w:p>
            <w:pPr>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（3）纳管可行性分析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Courier New" w:hAnsi="Courier New" w:eastAsia="Courier New" w:cs="Courier New"/>
                <w:color w:val="auto"/>
                <w:sz w:val="24"/>
                <w:szCs w:val="24"/>
                <w:lang w:val="en-US" w:eastAsia="zh-CN" w:bidi="ar-SA"/>
              </w:rPr>
            </w:pPr>
            <w:r>
              <w:rPr>
                <w:rFonts w:hint="eastAsia" w:ascii="Courier New" w:hAnsi="Courier New" w:eastAsia="Courier New" w:cs="Courier New"/>
                <w:color w:val="auto"/>
                <w:sz w:val="24"/>
                <w:szCs w:val="24"/>
                <w:lang w:val="en-US" w:eastAsia="zh-CN" w:bidi="ar-SA"/>
              </w:rPr>
              <w:t>① 水质可行性分析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Courier New" w:cs="Times New Roman"/>
                <w:color w:val="auto"/>
                <w:sz w:val="24"/>
                <w:szCs w:val="24"/>
                <w:lang w:val="en-US" w:eastAsia="zh-CN" w:bidi="ar-SA"/>
              </w:rPr>
            </w:pPr>
            <w:r>
              <w:rPr>
                <w:rFonts w:hint="eastAsia" w:ascii="Courier New" w:hAnsi="Courier New" w:eastAsia="Courier New" w:cs="Courier New"/>
                <w:color w:val="auto"/>
                <w:sz w:val="24"/>
                <w:szCs w:val="24"/>
                <w:lang w:val="en-US" w:eastAsia="zh-CN" w:bidi="ar-SA"/>
              </w:rPr>
              <w:t>由工程分析可知，该项目废水为职工生活污水，水质简单，水污染为常规因子，在总排口水质可以达到灵璧经济开发区新北污水处理厂接管要求，不会对区域地表水环境产生不利影响，项目废水水质不会对污水处理厂处理工艺造成冲击。</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Courier New" w:cs="Times New Roman"/>
                <w:color w:val="auto"/>
                <w:sz w:val="24"/>
                <w:szCs w:val="24"/>
                <w:lang w:val="en-US" w:eastAsia="zh-CN" w:bidi="ar-SA"/>
              </w:rPr>
            </w:pPr>
            <w:r>
              <w:rPr>
                <w:rFonts w:hint="eastAsia" w:ascii="Times New Roman" w:hAnsi="Times New Roman" w:eastAsia="Courier New" w:cs="Times New Roman"/>
                <w:color w:val="auto"/>
                <w:sz w:val="24"/>
                <w:szCs w:val="24"/>
                <w:lang w:val="en-US" w:eastAsia="zh-CN" w:bidi="ar-SA"/>
              </w:rPr>
              <w:t>② 水量可行性</w:t>
            </w:r>
            <w:r>
              <w:rPr>
                <w:rFonts w:hint="eastAsia" w:ascii="Courier New" w:hAnsi="Courier New" w:eastAsia="Courier New" w:cs="Courier New"/>
                <w:color w:val="auto"/>
                <w:sz w:val="24"/>
                <w:szCs w:val="24"/>
                <w:lang w:val="en-US" w:eastAsia="zh-CN" w:bidi="ar-SA"/>
              </w:rPr>
              <w:t>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Courier New" w:cs="Times New Roman"/>
                <w:color w:val="auto"/>
                <w:sz w:val="24"/>
                <w:szCs w:val="24"/>
                <w:highlight w:val="none"/>
                <w:lang w:val="en-US" w:eastAsia="zh-CN" w:bidi="ar-SA"/>
              </w:rPr>
            </w:pPr>
            <w:r>
              <w:rPr>
                <w:rFonts w:hint="eastAsia" w:ascii="Times New Roman" w:hAnsi="Times New Roman" w:eastAsia="Courier New" w:cs="Times New Roman"/>
                <w:color w:val="auto"/>
                <w:sz w:val="24"/>
                <w:szCs w:val="24"/>
                <w:lang w:val="en-US" w:eastAsia="zh-CN" w:bidi="ar-SA"/>
              </w:rPr>
              <w:t>项目废水量</w:t>
            </w:r>
            <w:r>
              <w:rPr>
                <w:rFonts w:hint="eastAsia" w:eastAsia="Courier New" w:cs="Times New Roman"/>
                <w:color w:val="auto"/>
                <w:sz w:val="24"/>
                <w:szCs w:val="24"/>
                <w:lang w:val="en-US" w:eastAsia="zh-CN" w:bidi="ar-SA"/>
              </w:rPr>
              <w:t>4.0</w:t>
            </w:r>
            <w:r>
              <w:rPr>
                <w:rFonts w:hint="eastAsia" w:ascii="Times New Roman" w:hAnsi="Times New Roman" w:eastAsia="Courier New" w:cs="Times New Roman"/>
                <w:color w:val="auto"/>
                <w:sz w:val="24"/>
                <w:szCs w:val="24"/>
                <w:lang w:val="en-US" w:eastAsia="zh-CN" w:bidi="ar-SA"/>
              </w:rPr>
              <w:t>t/d，占</w:t>
            </w:r>
            <w:r>
              <w:rPr>
                <w:rFonts w:hint="eastAsia" w:eastAsia="Courier New" w:cs="Times New Roman"/>
                <w:color w:val="auto"/>
                <w:sz w:val="24"/>
                <w:szCs w:val="24"/>
                <w:lang w:val="en-US" w:eastAsia="zh-CN" w:bidi="ar-SA"/>
              </w:rPr>
              <w:t>灵璧经济开发区新北污水处理厂</w:t>
            </w:r>
            <w:r>
              <w:rPr>
                <w:rFonts w:hint="eastAsia" w:ascii="Times New Roman" w:hAnsi="Times New Roman" w:eastAsia="Courier New" w:cs="Times New Roman"/>
                <w:color w:val="auto"/>
                <w:sz w:val="24"/>
                <w:szCs w:val="24"/>
                <w:lang w:val="en-US" w:eastAsia="zh-CN" w:bidi="ar-SA"/>
              </w:rPr>
              <w:t xml:space="preserve">当前总处理规模的 </w:t>
            </w:r>
            <w:r>
              <w:rPr>
                <w:rFonts w:hint="eastAsia" w:eastAsia="Courier New" w:cs="Times New Roman"/>
                <w:color w:val="auto"/>
                <w:sz w:val="24"/>
                <w:szCs w:val="24"/>
                <w:lang w:val="en-US" w:eastAsia="zh-CN" w:bidi="ar-SA"/>
              </w:rPr>
              <w:t>0.00667</w:t>
            </w:r>
            <w:r>
              <w:rPr>
                <w:rFonts w:hint="eastAsia" w:ascii="Times New Roman" w:hAnsi="Times New Roman" w:eastAsia="Courier New" w:cs="Times New Roman"/>
                <w:color w:val="auto"/>
                <w:sz w:val="24"/>
                <w:szCs w:val="24"/>
                <w:lang w:val="en-US" w:eastAsia="zh-CN" w:bidi="ar-SA"/>
              </w:rPr>
              <w:t>%。项目建成后，</w:t>
            </w:r>
            <w:r>
              <w:rPr>
                <w:rFonts w:hint="eastAsia" w:eastAsia="Courier New" w:cs="Times New Roman"/>
                <w:color w:val="auto"/>
                <w:sz w:val="24"/>
                <w:szCs w:val="24"/>
                <w:lang w:val="en-US" w:eastAsia="zh-CN" w:bidi="ar-SA"/>
              </w:rPr>
              <w:t>灵璧经济开发区新北污水处理厂</w:t>
            </w:r>
            <w:r>
              <w:rPr>
                <w:rFonts w:hint="eastAsia" w:ascii="Times New Roman" w:hAnsi="Times New Roman" w:eastAsia="Courier New" w:cs="Times New Roman"/>
                <w:color w:val="auto"/>
                <w:sz w:val="24"/>
                <w:szCs w:val="24"/>
                <w:lang w:val="en-US" w:eastAsia="zh-CN" w:bidi="ar-SA"/>
              </w:rPr>
              <w:t>完全有能力接收本项目废水，在水量上不会对污水处理厂造成冲击，可确保本项目接管处理的废水得到有效处理。</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Courier New" w:cs="Times New Roman"/>
                <w:color w:val="auto"/>
                <w:sz w:val="24"/>
                <w:szCs w:val="24"/>
                <w:highlight w:val="none"/>
                <w:lang w:val="en-US" w:eastAsia="zh-CN" w:bidi="ar-SA"/>
              </w:rPr>
            </w:pPr>
            <w:r>
              <w:rPr>
                <w:rFonts w:hint="eastAsia" w:ascii="Times New Roman" w:hAnsi="Times New Roman" w:eastAsia="Courier New" w:cs="Times New Roman"/>
                <w:color w:val="auto"/>
                <w:sz w:val="24"/>
                <w:szCs w:val="24"/>
                <w:highlight w:val="none"/>
                <w:lang w:val="en-US" w:eastAsia="zh-CN" w:bidi="ar-SA"/>
              </w:rPr>
              <w:t>③ 管道范围可行性</w:t>
            </w:r>
          </w:p>
          <w:p>
            <w:pPr>
              <w:keepNext w:val="0"/>
              <w:keepLines w:val="0"/>
              <w:pageBreakBefore w:val="0"/>
              <w:widowControl w:val="0"/>
              <w:kinsoku/>
              <w:wordWrap/>
              <w:overflowPunct/>
              <w:topLinePunct w:val="0"/>
              <w:bidi w:val="0"/>
              <w:adjustRightInd w:val="0"/>
              <w:snapToGrid w:val="0"/>
              <w:spacing w:line="360" w:lineRule="auto"/>
              <w:ind w:firstLine="480" w:firstLineChars="200"/>
              <w:jc w:val="both"/>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根据对项目厂区雨污水管网的建设调查和分析，目前雨污分流式污水主干管网的建设已基本实现了全覆盖。根据管网敷设范围，项目处于其收水范围内，目前已接通。</w:t>
            </w:r>
          </w:p>
          <w:p>
            <w:pPr>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rPr>
                <w:rFonts w:hint="eastAsia" w:ascii="Times New Roman" w:hAnsi="Times New Roman" w:cs="Times New Roman"/>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④</w:t>
            </w:r>
            <w:r>
              <w:rPr>
                <w:rFonts w:hint="eastAsia" w:ascii="Times New Roman" w:hAnsi="Times New Roman" w:cs="Times New Roman"/>
                <w:color w:val="auto"/>
                <w:sz w:val="24"/>
                <w:szCs w:val="24"/>
                <w:highlight w:val="none"/>
                <w:lang w:val="en-US" w:eastAsia="zh-CN"/>
              </w:rPr>
              <w:t xml:space="preserve"> 处理工艺可行性</w:t>
            </w:r>
          </w:p>
          <w:p>
            <w:pPr>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rPr>
                <w:rFonts w:hint="eastAsia"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灵璧经济开发区新北污水处理厂</w:t>
            </w:r>
            <w:r>
              <w:rPr>
                <w:rFonts w:hint="eastAsia" w:ascii="Times New Roman" w:hAnsi="Times New Roman" w:cs="Times New Roman"/>
                <w:color w:val="auto"/>
                <w:sz w:val="24"/>
                <w:szCs w:val="24"/>
                <w:highlight w:val="none"/>
                <w:lang w:val="en-US" w:eastAsia="zh-CN"/>
              </w:rPr>
              <w:t>目前总处理规模为</w:t>
            </w:r>
            <w:r>
              <w:rPr>
                <w:rFonts w:hint="eastAsia" w:ascii="Times New Roman" w:hAnsi="Times New Roman" w:eastAsia="宋体" w:cs="Times New Roman"/>
                <w:color w:val="auto"/>
                <w:sz w:val="24"/>
                <w:lang w:val="en-US" w:eastAsia="zh-CN"/>
              </w:rPr>
              <w:t>6</w:t>
            </w:r>
            <w:r>
              <w:rPr>
                <w:rFonts w:hint="default" w:ascii="Times New Roman" w:hAnsi="Times New Roman" w:eastAsia="宋体" w:cs="Times New Roman"/>
                <w:color w:val="auto"/>
                <w:sz w:val="24"/>
              </w:rPr>
              <w:t>万</w:t>
            </w:r>
            <w:r>
              <w:rPr>
                <w:rFonts w:hint="eastAsia" w:ascii="Times New Roman" w:hAnsi="Times New Roman" w:cs="Times New Roman"/>
                <w:color w:val="auto"/>
                <w:sz w:val="24"/>
                <w:szCs w:val="24"/>
                <w:highlight w:val="none"/>
                <w:lang w:val="en-US" w:eastAsia="zh-CN"/>
              </w:rPr>
              <w:t>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lang w:val="en-US" w:eastAsia="zh-CN"/>
              </w:rPr>
              <w:t>/d，主要去除COD、BOD</w:t>
            </w:r>
            <w:r>
              <w:rPr>
                <w:rFonts w:hint="eastAsia" w:ascii="Times New Roman" w:hAnsi="Times New Roman" w:cs="Times New Roman"/>
                <w:color w:val="auto"/>
                <w:sz w:val="24"/>
                <w:szCs w:val="24"/>
                <w:highlight w:val="none"/>
                <w:vertAlign w:val="subscript"/>
                <w:lang w:val="en-US" w:eastAsia="zh-CN"/>
              </w:rPr>
              <w:t>5</w:t>
            </w:r>
            <w:r>
              <w:rPr>
                <w:rFonts w:hint="eastAsia" w:ascii="Times New Roman" w:hAnsi="Times New Roman" w:cs="Times New Roman"/>
                <w:color w:val="auto"/>
                <w:sz w:val="24"/>
                <w:szCs w:val="24"/>
                <w:highlight w:val="none"/>
                <w:lang w:val="en-US" w:eastAsia="zh-CN"/>
              </w:rPr>
              <w:t>、氨氮和总磷、石油类。本项目废水量小、水质简单，项目区的废水预处理效果完全在</w:t>
            </w:r>
            <w:r>
              <w:rPr>
                <w:rFonts w:hint="eastAsia" w:cs="Times New Roman"/>
                <w:color w:val="auto"/>
                <w:sz w:val="24"/>
                <w:szCs w:val="24"/>
                <w:highlight w:val="none"/>
                <w:lang w:val="en-US" w:eastAsia="zh-CN"/>
              </w:rPr>
              <w:t>灵璧经济开发区新北污水处理厂</w:t>
            </w:r>
            <w:r>
              <w:rPr>
                <w:rFonts w:hint="eastAsia" w:ascii="Times New Roman" w:hAnsi="Times New Roman" w:cs="Times New Roman"/>
                <w:color w:val="auto"/>
                <w:sz w:val="24"/>
                <w:szCs w:val="24"/>
                <w:highlight w:val="none"/>
                <w:lang w:val="en-US" w:eastAsia="zh-CN"/>
              </w:rPr>
              <w:t>的进水水质范围内，完全可采用污水处理厂的处理工艺进行处理，不会对其工艺造成冲击。因此，本项目废水经厂区预处理后进入</w:t>
            </w:r>
            <w:r>
              <w:rPr>
                <w:rFonts w:hint="eastAsia" w:cs="Times New Roman"/>
                <w:color w:val="auto"/>
                <w:sz w:val="24"/>
                <w:szCs w:val="24"/>
                <w:highlight w:val="none"/>
                <w:lang w:val="en-US" w:eastAsia="zh-CN"/>
              </w:rPr>
              <w:t>灵璧经济开发区新北污水处理厂</w:t>
            </w:r>
            <w:r>
              <w:rPr>
                <w:rFonts w:hint="eastAsia" w:ascii="Times New Roman" w:hAnsi="Times New Roman" w:cs="Times New Roman"/>
                <w:color w:val="auto"/>
                <w:sz w:val="24"/>
                <w:szCs w:val="24"/>
                <w:highlight w:val="none"/>
                <w:lang w:val="en-US" w:eastAsia="zh-CN"/>
              </w:rPr>
              <w:t>进一步处理，达标排入</w:t>
            </w:r>
            <w:r>
              <w:rPr>
                <w:rFonts w:hint="eastAsia" w:cs="Times New Roman"/>
                <w:color w:val="auto"/>
                <w:sz w:val="24"/>
                <w:szCs w:val="24"/>
                <w:highlight w:val="none"/>
                <w:lang w:val="en-US" w:eastAsia="zh-CN"/>
              </w:rPr>
              <w:t>阎河</w:t>
            </w:r>
            <w:r>
              <w:rPr>
                <w:rFonts w:hint="eastAsia" w:ascii="Times New Roman" w:hAnsi="Times New Roman" w:cs="Times New Roman"/>
                <w:color w:val="auto"/>
                <w:sz w:val="24"/>
                <w:szCs w:val="24"/>
                <w:highlight w:val="none"/>
                <w:lang w:val="en-US" w:eastAsia="zh-CN"/>
              </w:rPr>
              <w:t>，对周边环境影响较小。</w:t>
            </w:r>
          </w:p>
          <w:p>
            <w:pPr>
              <w:pStyle w:val="49"/>
              <w:keepNext w:val="0"/>
              <w:keepLines w:val="0"/>
              <w:pageBreakBefore w:val="0"/>
              <w:widowControl w:val="0"/>
              <w:kinsoku/>
              <w:wordWrap/>
              <w:overflowPunct/>
              <w:topLinePunct w:val="0"/>
              <w:bidi w:val="0"/>
              <w:adjustRightInd w:val="0"/>
              <w:snapToGrid w:val="0"/>
              <w:spacing w:line="360" w:lineRule="auto"/>
              <w:ind w:firstLine="480"/>
              <w:textAlignment w:val="auto"/>
              <w:rPr>
                <w:rFonts w:hint="default"/>
                <w:color w:val="auto"/>
                <w:lang w:eastAsia="zh-CN"/>
              </w:rPr>
            </w:pPr>
            <w:r>
              <w:rPr>
                <w:rFonts w:hint="eastAsia" w:ascii="Times New Roman" w:hAnsi="Times New Roman" w:cs="Times New Roman"/>
                <w:color w:val="auto"/>
                <w:sz w:val="24"/>
                <w:szCs w:val="24"/>
                <w:highlight w:val="none"/>
                <w:lang w:val="en-US" w:eastAsia="zh-CN"/>
              </w:rPr>
              <w:t>综上，本项目外排废水水质、水量均满足</w:t>
            </w:r>
            <w:r>
              <w:rPr>
                <w:rFonts w:hint="eastAsia" w:cs="Times New Roman"/>
                <w:color w:val="auto"/>
                <w:sz w:val="24"/>
                <w:szCs w:val="24"/>
                <w:highlight w:val="none"/>
                <w:lang w:val="en-US" w:eastAsia="zh-CN"/>
              </w:rPr>
              <w:t>灵璧经济开发区新北污水处理厂</w:t>
            </w:r>
            <w:r>
              <w:rPr>
                <w:rFonts w:hint="eastAsia" w:ascii="Times New Roman" w:hAnsi="Times New Roman" w:cs="Times New Roman"/>
                <w:color w:val="auto"/>
                <w:sz w:val="24"/>
                <w:szCs w:val="24"/>
                <w:highlight w:val="none"/>
                <w:lang w:val="en-US" w:eastAsia="zh-CN"/>
              </w:rPr>
              <w:t>接管要求，不会对污水处理厂造成冲击负荷。因此本项目污水进入</w:t>
            </w:r>
            <w:r>
              <w:rPr>
                <w:rFonts w:hint="eastAsia" w:cs="Times New Roman"/>
                <w:color w:val="auto"/>
                <w:sz w:val="24"/>
                <w:szCs w:val="24"/>
                <w:highlight w:val="none"/>
                <w:lang w:val="en-US" w:eastAsia="zh-CN"/>
              </w:rPr>
              <w:t>灵璧经济开发区新北污水处理厂</w:t>
            </w:r>
            <w:r>
              <w:rPr>
                <w:rFonts w:hint="eastAsia" w:ascii="Times New Roman" w:hAnsi="Times New Roman" w:cs="Times New Roman"/>
                <w:color w:val="auto"/>
                <w:sz w:val="24"/>
                <w:szCs w:val="24"/>
                <w:highlight w:val="none"/>
                <w:lang w:val="en-US" w:eastAsia="zh-CN"/>
              </w:rPr>
              <w:t>处理是可行的。</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default" w:ascii="Times New Roman" w:hAnsi="Times New Roman" w:eastAsia="宋体" w:cs="Times New Roman"/>
                <w:color w:val="0000FF"/>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default" w:ascii="Times New Roman" w:hAnsi="Times New Roman" w:eastAsia="宋体" w:cs="Times New Roman"/>
                <w:color w:val="auto"/>
                <w:sz w:val="24"/>
                <w:szCs w:val="24"/>
                <w:lang w:val="en-US"/>
              </w:rPr>
            </w:pPr>
          </w:p>
          <w:p>
            <w:pPr>
              <w:keepNext w:val="0"/>
              <w:keepLines w:val="0"/>
              <w:pageBreakBefore w:val="0"/>
              <w:widowControl w:val="0"/>
              <w:kinsoku/>
              <w:wordWrap/>
              <w:overflowPunct/>
              <w:topLinePunct w:val="0"/>
              <w:autoSpaceDE/>
              <w:autoSpaceDN/>
              <w:bidi w:val="0"/>
              <w:adjustRightInd w:val="0"/>
              <w:snapToGrid w:val="0"/>
              <w:textAlignment w:val="auto"/>
              <w:rPr>
                <w:rFonts w:hint="eastAsia" w:cs="Times New Roman"/>
                <w:bCs/>
                <w:color w:val="auto"/>
                <w:spacing w:val="-10"/>
                <w:szCs w:val="21"/>
                <w:lang w:val="en-US" w:eastAsia="zh-CN"/>
              </w:rPr>
            </w:pPr>
          </w:p>
          <w:p>
            <w:pPr>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s="Times New Roman"/>
                <w:bCs/>
                <w:color w:val="auto"/>
                <w:spacing w:val="-10"/>
                <w:szCs w:val="21"/>
                <w:lang w:val="en-US" w:eastAsia="zh-CN"/>
              </w:rPr>
            </w:pPr>
          </w:p>
        </w:tc>
      </w:tr>
    </w:tbl>
    <w:p>
      <w:pPr>
        <w:adjustRightInd w:val="0"/>
        <w:snapToGrid w:val="0"/>
        <w:jc w:val="center"/>
        <w:rPr>
          <w:rFonts w:hint="default" w:ascii="Times New Roman" w:hAnsi="Times New Roman" w:eastAsia="宋体" w:cs="Times New Roman"/>
          <w:b w:val="0"/>
          <w:bCs w:val="0"/>
          <w:color w:val="auto"/>
          <w:sz w:val="24"/>
          <w:szCs w:val="24"/>
        </w:rPr>
        <w:sectPr>
          <w:pgSz w:w="11906" w:h="16838"/>
          <w:pgMar w:top="1440" w:right="1803" w:bottom="1440" w:left="1803"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6"/>
        <w:tblW w:w="1355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08"/>
        <w:gridCol w:w="1304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932" w:hRule="atLeast"/>
          <w:jc w:val="center"/>
        </w:trPr>
        <w:tc>
          <w:tcPr>
            <w:tcW w:w="508"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pPr>
            <w: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t>运</w:t>
            </w:r>
          </w:p>
          <w:p>
            <w:pPr>
              <w:adjustRightInd w:val="0"/>
              <w:snapToGrid w:val="0"/>
              <w:jc w:val="cente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pPr>
            <w: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t>营</w:t>
            </w:r>
          </w:p>
          <w:p>
            <w:pPr>
              <w:adjustRightInd w:val="0"/>
              <w:snapToGrid w:val="0"/>
              <w:jc w:val="cente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pPr>
            <w: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t>期</w:t>
            </w:r>
          </w:p>
          <w:p>
            <w:pPr>
              <w:adjustRightInd w:val="0"/>
              <w:snapToGrid w:val="0"/>
              <w:jc w:val="cente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pPr>
            <w: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t>环</w:t>
            </w:r>
          </w:p>
          <w:p>
            <w:pPr>
              <w:adjustRightInd w:val="0"/>
              <w:snapToGrid w:val="0"/>
              <w:jc w:val="cente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pPr>
            <w: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t>境</w:t>
            </w:r>
          </w:p>
          <w:p>
            <w:pPr>
              <w:adjustRightInd w:val="0"/>
              <w:snapToGrid w:val="0"/>
              <w:jc w:val="cente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pPr>
            <w: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t>影</w:t>
            </w:r>
          </w:p>
          <w:p>
            <w:pPr>
              <w:adjustRightInd w:val="0"/>
              <w:snapToGrid w:val="0"/>
              <w:jc w:val="cente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pPr>
            <w: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t>响</w:t>
            </w:r>
          </w:p>
          <w:p>
            <w:pPr>
              <w:adjustRightInd w:val="0"/>
              <w:snapToGrid w:val="0"/>
              <w:jc w:val="cente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pPr>
            <w: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t>和</w:t>
            </w:r>
          </w:p>
          <w:p>
            <w:pPr>
              <w:adjustRightInd w:val="0"/>
              <w:snapToGrid w:val="0"/>
              <w:jc w:val="cente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pPr>
            <w: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t>保</w:t>
            </w:r>
          </w:p>
          <w:p>
            <w:pPr>
              <w:adjustRightInd w:val="0"/>
              <w:snapToGrid w:val="0"/>
              <w:jc w:val="cente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pPr>
            <w: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t>护</w:t>
            </w:r>
          </w:p>
          <w:p>
            <w:pPr>
              <w:pStyle w:val="37"/>
              <w:spacing w:line="240" w:lineRule="auto"/>
              <w:ind w:left="0" w:leftChars="0" w:firstLine="0" w:firstLineChars="0"/>
              <w:jc w:val="center"/>
              <w:rPr>
                <w:rFonts w:hint="default" w:ascii="Times New Roman" w:hAnsi="Times New Roman" w:eastAsia="宋体" w:cs="Times New Roman"/>
                <w:snapToGrid/>
                <w:color w:val="FF0000"/>
                <w:spacing w:val="0"/>
                <w:kern w:val="0"/>
                <w:position w:val="0"/>
                <w:vertAlign w:val="baseline"/>
              </w:rPr>
            </w:pPr>
            <w: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t>措施</w:t>
            </w:r>
          </w:p>
        </w:tc>
        <w:tc>
          <w:tcPr>
            <w:tcW w:w="13044"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rPr>
              <w:t>噪声</w:t>
            </w:r>
          </w:p>
          <w:p>
            <w:pPr>
              <w:pStyle w:val="43"/>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cs="Times New Roman"/>
                <w:color w:val="auto"/>
                <w:szCs w:val="24"/>
                <w:highlight w:val="none"/>
                <w:lang w:eastAsia="zh-CN"/>
              </w:rPr>
            </w:pPr>
            <w:r>
              <w:rPr>
                <w:rFonts w:hint="eastAsia" w:ascii="宋体" w:hAnsi="宋体" w:eastAsia="宋体" w:cs="宋体"/>
                <w:color w:val="auto"/>
                <w:szCs w:val="24"/>
                <w:highlight w:val="none"/>
              </w:rPr>
              <w:t>本</w:t>
            </w:r>
            <w:r>
              <w:rPr>
                <w:rFonts w:hint="eastAsia" w:ascii="宋体" w:hAnsi="宋体" w:eastAsia="宋体" w:cs="宋体"/>
                <w:color w:val="auto"/>
                <w:sz w:val="24"/>
                <w:szCs w:val="24"/>
                <w:highlight w:val="none"/>
                <w:lang w:val="en-US" w:eastAsia="zh-CN"/>
              </w:rPr>
              <w:t>项目营运期噪声源主要为冷镦机、光磨机、硬磨机、滚杠机、初研机、精研机、清洗机、空压机</w:t>
            </w:r>
            <w:r>
              <w:rPr>
                <w:rFonts w:hint="default" w:ascii="Times New Roman" w:hAnsi="Times New Roman" w:eastAsia="宋体" w:cs="Times New Roman"/>
                <w:color w:val="auto"/>
                <w:sz w:val="24"/>
                <w:szCs w:val="24"/>
                <w:highlight w:val="none"/>
              </w:rPr>
              <w:t>等设备运行</w:t>
            </w:r>
            <w:r>
              <w:rPr>
                <w:rFonts w:hint="default" w:ascii="Times New Roman" w:hAnsi="Times New Roman" w:eastAsia="宋体" w:cs="Times New Roman"/>
                <w:color w:val="auto"/>
                <w:sz w:val="24"/>
                <w:szCs w:val="24"/>
                <w:highlight w:val="none"/>
                <w:lang w:val="en-US" w:eastAsia="zh-CN"/>
              </w:rPr>
              <w:t>时产生的噪声，噪声级为</w:t>
            </w:r>
            <w:r>
              <w:rPr>
                <w:rFonts w:hint="eastAsia" w:ascii="Times New Roman" w:hAnsi="Times New Roman" w:eastAsia="宋体" w:cs="Times New Roman"/>
                <w:color w:val="auto"/>
                <w:sz w:val="24"/>
                <w:szCs w:val="24"/>
                <w:highlight w:val="none"/>
                <w:lang w:val="en-US" w:eastAsia="zh-CN"/>
              </w:rPr>
              <w:t>70</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85</w:t>
            </w:r>
            <w:r>
              <w:rPr>
                <w:rFonts w:hint="default" w:ascii="Times New Roman" w:hAnsi="Times New Roman" w:eastAsia="宋体" w:cs="Times New Roman"/>
                <w:color w:val="auto"/>
                <w:sz w:val="24"/>
                <w:szCs w:val="24"/>
                <w:highlight w:val="none"/>
                <w:lang w:val="en-US" w:eastAsia="zh-CN"/>
              </w:rPr>
              <w:t xml:space="preserve"> dB</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A</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Cs w:val="24"/>
                <w:highlight w:val="none"/>
                <w:lang w:eastAsia="zh-CN"/>
              </w:rPr>
              <w:t>项目的设备噪声强度见表</w:t>
            </w:r>
            <w:r>
              <w:rPr>
                <w:rFonts w:hint="eastAsia" w:ascii="Times New Roman" w:hAnsi="Times New Roman" w:eastAsia="宋体" w:cs="Times New Roman"/>
                <w:color w:val="auto"/>
                <w:szCs w:val="24"/>
                <w:highlight w:val="none"/>
                <w:lang w:val="en-US" w:eastAsia="zh-CN"/>
              </w:rPr>
              <w:t>4.8</w:t>
            </w:r>
            <w:r>
              <w:rPr>
                <w:rFonts w:hint="eastAsia" w:ascii="Times New Roman" w:hAnsi="Times New Roman" w:eastAsia="宋体" w:cs="Times New Roman"/>
                <w:color w:val="auto"/>
                <w:szCs w:val="24"/>
                <w:highlight w:val="none"/>
                <w:lang w:eastAsia="zh-CN"/>
              </w:rPr>
              <w:t>。</w:t>
            </w:r>
          </w:p>
          <w:p>
            <w:pPr>
              <w:pStyle w:val="43"/>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firstLine="0" w:firstLineChars="0"/>
              <w:jc w:val="center"/>
              <w:textAlignment w:val="auto"/>
              <w:rPr>
                <w:rFonts w:ascii="Times New Roman" w:hAnsi="Times New Roman" w:eastAsia="宋体" w:cs="Times New Roman"/>
                <w:b/>
                <w:bCs/>
                <w:snapToGrid/>
                <w:color w:val="000000" w:themeColor="text1"/>
                <w:spacing w:val="0"/>
                <w:kern w:val="0"/>
                <w:position w:val="0"/>
                <w:szCs w:val="24"/>
                <w:highlight w:val="none"/>
                <w14:textFill>
                  <w14:solidFill>
                    <w14:schemeClr w14:val="tx1"/>
                  </w14:solidFill>
                </w14:textFill>
              </w:rPr>
            </w:pPr>
            <w:r>
              <w:rPr>
                <w:rFonts w:hint="eastAsia" w:ascii="Times New Roman" w:hAnsi="Times New Roman" w:eastAsia="宋体" w:cs="Times New Roman"/>
                <w:b/>
                <w:bCs/>
                <w:snapToGrid/>
                <w:color w:val="000000" w:themeColor="text1"/>
                <w:spacing w:val="0"/>
                <w:kern w:val="0"/>
                <w:position w:val="0"/>
                <w:szCs w:val="24"/>
                <w:highlight w:val="none"/>
                <w:lang w:eastAsia="zh-CN"/>
                <w14:textFill>
                  <w14:solidFill>
                    <w14:schemeClr w14:val="tx1"/>
                  </w14:solidFill>
                </w14:textFill>
              </w:rPr>
              <w:t>表</w:t>
            </w:r>
            <w:r>
              <w:rPr>
                <w:rFonts w:hint="eastAsia" w:ascii="Times New Roman" w:hAnsi="Times New Roman" w:eastAsia="宋体" w:cs="Times New Roman"/>
                <w:b/>
                <w:bCs/>
                <w:snapToGrid/>
                <w:color w:val="000000" w:themeColor="text1"/>
                <w:spacing w:val="0"/>
                <w:kern w:val="0"/>
                <w:position w:val="0"/>
                <w:szCs w:val="24"/>
                <w:highlight w:val="none"/>
                <w:lang w:val="en-US" w:eastAsia="zh-CN"/>
                <w14:textFill>
                  <w14:solidFill>
                    <w14:schemeClr w14:val="tx1"/>
                  </w14:solidFill>
                </w14:textFill>
              </w:rPr>
              <w:t>4.8 项目生产车间噪声源强 单位：</w:t>
            </w:r>
            <w:r>
              <w:rPr>
                <w:rFonts w:ascii="Times New Roman" w:hAnsi="Times New Roman" w:eastAsia="宋体" w:cs="Times New Roman"/>
                <w:b/>
                <w:bCs/>
                <w:snapToGrid/>
                <w:color w:val="000000" w:themeColor="text1"/>
                <w:spacing w:val="0"/>
                <w:kern w:val="0"/>
                <w:position w:val="0"/>
                <w:szCs w:val="24"/>
                <w:highlight w:val="none"/>
                <w14:textFill>
                  <w14:solidFill>
                    <w14:schemeClr w14:val="tx1"/>
                  </w14:solidFill>
                </w14:textFill>
              </w:rPr>
              <w:t>dB（A）</w:t>
            </w:r>
          </w:p>
          <w:tbl>
            <w:tblPr>
              <w:tblStyle w:val="26"/>
              <w:tblW w:w="128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530"/>
              <w:gridCol w:w="743"/>
              <w:gridCol w:w="1160"/>
              <w:gridCol w:w="945"/>
              <w:gridCol w:w="750"/>
              <w:gridCol w:w="495"/>
              <w:gridCol w:w="510"/>
              <w:gridCol w:w="495"/>
              <w:gridCol w:w="531"/>
              <w:gridCol w:w="531"/>
              <w:gridCol w:w="495"/>
              <w:gridCol w:w="528"/>
              <w:gridCol w:w="436"/>
              <w:gridCol w:w="467"/>
              <w:gridCol w:w="467"/>
              <w:gridCol w:w="482"/>
              <w:gridCol w:w="595"/>
              <w:gridCol w:w="788"/>
              <w:gridCol w:w="788"/>
              <w:gridCol w:w="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restart"/>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序号</w:t>
                  </w:r>
                </w:p>
              </w:tc>
              <w:tc>
                <w:tcPr>
                  <w:tcW w:w="530" w:type="dxa"/>
                  <w:vMerge w:val="restart"/>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建筑物名称</w:t>
                  </w:r>
                </w:p>
              </w:tc>
              <w:tc>
                <w:tcPr>
                  <w:tcW w:w="743" w:type="dxa"/>
                  <w:vMerge w:val="restart"/>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声源名称</w:t>
                  </w:r>
                </w:p>
              </w:tc>
              <w:tc>
                <w:tcPr>
                  <w:tcW w:w="1160" w:type="dxa"/>
                  <w:vMerge w:val="restart"/>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型号</w:t>
                  </w:r>
                </w:p>
              </w:tc>
              <w:tc>
                <w:tcPr>
                  <w:tcW w:w="945"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声源源强dB（A）</w:t>
                  </w:r>
                </w:p>
              </w:tc>
              <w:tc>
                <w:tcPr>
                  <w:tcW w:w="750" w:type="dxa"/>
                  <w:vMerge w:val="restart"/>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声源控制措施</w:t>
                  </w:r>
                </w:p>
              </w:tc>
              <w:tc>
                <w:tcPr>
                  <w:tcW w:w="1500" w:type="dxa"/>
                  <w:gridSpan w:val="3"/>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空间相对位置m</w:t>
                  </w:r>
                </w:p>
              </w:tc>
              <w:tc>
                <w:tcPr>
                  <w:tcW w:w="2085" w:type="dxa"/>
                  <w:gridSpan w:val="4"/>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距离室内边界距离m</w:t>
                  </w:r>
                </w:p>
              </w:tc>
              <w:tc>
                <w:tcPr>
                  <w:tcW w:w="1852" w:type="dxa"/>
                  <w:gridSpan w:val="4"/>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室内边界声级dB（A）</w:t>
                  </w:r>
                </w:p>
              </w:tc>
              <w:tc>
                <w:tcPr>
                  <w:tcW w:w="595" w:type="dxa"/>
                  <w:vMerge w:val="restart"/>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运行时段</w:t>
                  </w:r>
                </w:p>
              </w:tc>
              <w:tc>
                <w:tcPr>
                  <w:tcW w:w="788" w:type="dxa"/>
                  <w:vMerge w:val="restart"/>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建筑物插入损失dB（A）</w:t>
                  </w:r>
                </w:p>
              </w:tc>
              <w:tc>
                <w:tcPr>
                  <w:tcW w:w="1434" w:type="dxa"/>
                  <w:gridSpan w:val="2"/>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建筑物外噪声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530" w:type="dxa"/>
                  <w:vMerge w:val="continue"/>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743" w:type="dxa"/>
                  <w:vMerge w:val="continue"/>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1160" w:type="dxa"/>
                  <w:vMerge w:val="continue"/>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945"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声功率级</w:t>
                  </w:r>
                </w:p>
              </w:tc>
              <w:tc>
                <w:tcPr>
                  <w:tcW w:w="750" w:type="dxa"/>
                  <w:vMerge w:val="continue"/>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95"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X</w:t>
                  </w:r>
                </w:p>
              </w:tc>
              <w:tc>
                <w:tcPr>
                  <w:tcW w:w="510"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Y</w:t>
                  </w:r>
                </w:p>
              </w:tc>
              <w:tc>
                <w:tcPr>
                  <w:tcW w:w="495"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Z</w:t>
                  </w:r>
                </w:p>
              </w:tc>
              <w:tc>
                <w:tcPr>
                  <w:tcW w:w="531"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E</w:t>
                  </w:r>
                </w:p>
              </w:tc>
              <w:tc>
                <w:tcPr>
                  <w:tcW w:w="531"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S</w:t>
                  </w:r>
                </w:p>
              </w:tc>
              <w:tc>
                <w:tcPr>
                  <w:tcW w:w="495"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w:t>
                  </w:r>
                </w:p>
              </w:tc>
              <w:tc>
                <w:tcPr>
                  <w:tcW w:w="528"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N</w:t>
                  </w:r>
                </w:p>
              </w:tc>
              <w:tc>
                <w:tcPr>
                  <w:tcW w:w="436"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E</w:t>
                  </w:r>
                </w:p>
              </w:tc>
              <w:tc>
                <w:tcPr>
                  <w:tcW w:w="467"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S</w:t>
                  </w:r>
                </w:p>
              </w:tc>
              <w:tc>
                <w:tcPr>
                  <w:tcW w:w="467"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w:t>
                  </w:r>
                </w:p>
              </w:tc>
              <w:tc>
                <w:tcPr>
                  <w:tcW w:w="482"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N</w:t>
                  </w:r>
                </w:p>
              </w:tc>
              <w:tc>
                <w:tcPr>
                  <w:tcW w:w="595" w:type="dxa"/>
                  <w:vMerge w:val="continue"/>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788" w:type="dxa"/>
                  <w:vMerge w:val="continue"/>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788"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声压级dB（A）</w:t>
                  </w:r>
                </w:p>
              </w:tc>
              <w:tc>
                <w:tcPr>
                  <w:tcW w:w="646"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建筑物外距离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restart"/>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w:t>
                  </w:r>
                </w:p>
              </w:tc>
              <w:tc>
                <w:tcPr>
                  <w:tcW w:w="530" w:type="dxa"/>
                  <w:vMerge w:val="restart"/>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生产车间</w:t>
                  </w:r>
                </w:p>
              </w:tc>
              <w:tc>
                <w:tcPr>
                  <w:tcW w:w="743" w:type="dxa"/>
                  <w:vMerge w:val="restart"/>
                  <w:tcBorders>
                    <w:tl2br w:val="nil"/>
                    <w:tr2bl w:val="nil"/>
                  </w:tcBorders>
                  <w:noWrap w:val="0"/>
                  <w:vAlign w:val="center"/>
                </w:tcPr>
                <w:p>
                  <w:pPr>
                    <w:widowControl/>
                    <w:jc w:val="center"/>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t>冷镦</w:t>
                  </w:r>
                </w:p>
              </w:tc>
              <w:tc>
                <w:tcPr>
                  <w:tcW w:w="1160" w:type="dxa"/>
                  <w:tcBorders>
                    <w:tl2br w:val="nil"/>
                    <w:tr2bl w:val="nil"/>
                  </w:tcBorders>
                  <w:noWrap w:val="0"/>
                  <w:vAlign w:val="center"/>
                </w:tcPr>
                <w:p>
                  <w:pPr>
                    <w:keepNext w:val="0"/>
                    <w:keepLines w:val="0"/>
                    <w:pageBreakBefore w:val="0"/>
                    <w:widowControl/>
                    <w:kinsoku/>
                    <w:wordWrap/>
                    <w:overflowPunct/>
                    <w:topLinePunct w:val="0"/>
                    <w:bidi w:val="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rPr>
                    <w:t>Z32-16</w:t>
                  </w:r>
                </w:p>
              </w:tc>
              <w:tc>
                <w:tcPr>
                  <w:tcW w:w="945" w:type="dxa"/>
                  <w:tcBorders>
                    <w:tl2br w:val="nil"/>
                    <w:tr2bl w:val="nil"/>
                  </w:tcBorders>
                  <w:noWrap w:val="0"/>
                  <w:vAlign w:val="center"/>
                </w:tcPr>
                <w:p>
                  <w:pPr>
                    <w:widowControl/>
                    <w:jc w:val="center"/>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t>75</w:t>
                  </w:r>
                </w:p>
              </w:tc>
              <w:tc>
                <w:tcPr>
                  <w:tcW w:w="750" w:type="dxa"/>
                  <w:vMerge w:val="restart"/>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选用低噪声设备、加设减振基础、厂房隔声、距离衰减</w:t>
                  </w:r>
                </w:p>
              </w:tc>
              <w:tc>
                <w:tcPr>
                  <w:tcW w:w="49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t>70</w:t>
                  </w:r>
                </w:p>
              </w:tc>
              <w:tc>
                <w:tcPr>
                  <w:tcW w:w="510"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t>-12</w:t>
                  </w:r>
                </w:p>
              </w:tc>
              <w:tc>
                <w:tcPr>
                  <w:tcW w:w="49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t>1</w:t>
                  </w:r>
                </w:p>
              </w:tc>
              <w:tc>
                <w:tcPr>
                  <w:tcW w:w="531"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12</w:t>
                  </w:r>
                </w:p>
              </w:tc>
              <w:tc>
                <w:tcPr>
                  <w:tcW w:w="531"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34</w:t>
                  </w:r>
                </w:p>
              </w:tc>
              <w:tc>
                <w:tcPr>
                  <w:tcW w:w="495"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40</w:t>
                  </w:r>
                </w:p>
              </w:tc>
              <w:tc>
                <w:tcPr>
                  <w:tcW w:w="528"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spacing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2"/>
                      <w:sz w:val="21"/>
                      <w:szCs w:val="21"/>
                      <w:lang w:val="en-US" w:eastAsia="zh-CN" w:bidi="ar-SA"/>
                      <w14:textFill>
                        <w14:solidFill>
                          <w14:schemeClr w14:val="tx1"/>
                        </w14:solidFill>
                      </w14:textFill>
                    </w:rPr>
                    <w:t>181</w:t>
                  </w:r>
                </w:p>
              </w:tc>
              <w:tc>
                <w:tcPr>
                  <w:tcW w:w="436"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53</w:t>
                  </w:r>
                </w:p>
              </w:tc>
              <w:tc>
                <w:tcPr>
                  <w:tcW w:w="467"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44</w:t>
                  </w:r>
                </w:p>
              </w:tc>
              <w:tc>
                <w:tcPr>
                  <w:tcW w:w="467"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43</w:t>
                  </w:r>
                </w:p>
              </w:tc>
              <w:tc>
                <w:tcPr>
                  <w:tcW w:w="482"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30</w:t>
                  </w:r>
                </w:p>
              </w:tc>
              <w:tc>
                <w:tcPr>
                  <w:tcW w:w="5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snapToGrid/>
                      <w:color w:val="000000" w:themeColor="text1"/>
                      <w:spacing w:val="0"/>
                      <w:kern w:val="0"/>
                      <w:position w:val="0"/>
                      <w:sz w:val="21"/>
                      <w:szCs w:val="21"/>
                      <w:lang w:val="en-US" w:eastAsia="zh-CN"/>
                      <w14:textFill>
                        <w14:solidFill>
                          <w14:schemeClr w14:val="tx1"/>
                        </w14:solidFill>
                      </w14:textFill>
                    </w:rPr>
                    <w:t>24h</w:t>
                  </w:r>
                </w:p>
              </w:tc>
              <w:tc>
                <w:tcPr>
                  <w:tcW w:w="788"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15</w:t>
                  </w:r>
                </w:p>
              </w:tc>
              <w:tc>
                <w:tcPr>
                  <w:tcW w:w="788"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54</w:t>
                  </w:r>
                </w:p>
              </w:tc>
              <w:tc>
                <w:tcPr>
                  <w:tcW w:w="646"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530" w:type="dxa"/>
                  <w:vMerge w:val="continue"/>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p>
              </w:tc>
              <w:tc>
                <w:tcPr>
                  <w:tcW w:w="743" w:type="dxa"/>
                  <w:vMerge w:val="continue"/>
                  <w:tcBorders>
                    <w:tl2br w:val="nil"/>
                    <w:tr2bl w:val="nil"/>
                  </w:tcBorders>
                  <w:noWrap w:val="0"/>
                  <w:vAlign w:val="center"/>
                </w:tcPr>
                <w:p>
                  <w:pPr>
                    <w:widowControl/>
                    <w:jc w:val="center"/>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p>
              </w:tc>
              <w:tc>
                <w:tcPr>
                  <w:tcW w:w="1160" w:type="dxa"/>
                  <w:tcBorders>
                    <w:tl2br w:val="nil"/>
                    <w:tr2bl w:val="nil"/>
                  </w:tcBorders>
                  <w:noWrap w:val="0"/>
                  <w:vAlign w:val="center"/>
                </w:tcPr>
                <w:p>
                  <w:pPr>
                    <w:keepNext w:val="0"/>
                    <w:keepLines w:val="0"/>
                    <w:pageBreakBefore w:val="0"/>
                    <w:widowControl/>
                    <w:kinsoku/>
                    <w:wordWrap/>
                    <w:overflowPunct/>
                    <w:topLinePunct w:val="0"/>
                    <w:bidi w:val="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rPr>
                    <w:t>Z32-13</w:t>
                  </w:r>
                </w:p>
              </w:tc>
              <w:tc>
                <w:tcPr>
                  <w:tcW w:w="945" w:type="dxa"/>
                  <w:tcBorders>
                    <w:tl2br w:val="nil"/>
                    <w:tr2bl w:val="nil"/>
                  </w:tcBorders>
                  <w:noWrap w:val="0"/>
                  <w:vAlign w:val="center"/>
                </w:tcPr>
                <w:p>
                  <w:pPr>
                    <w:widowControl/>
                    <w:jc w:val="center"/>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t>75</w:t>
                  </w:r>
                </w:p>
              </w:tc>
              <w:tc>
                <w:tcPr>
                  <w:tcW w:w="750" w:type="dxa"/>
                  <w:vMerge w:val="continue"/>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49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t>69</w:t>
                  </w:r>
                </w:p>
              </w:tc>
              <w:tc>
                <w:tcPr>
                  <w:tcW w:w="510"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t>-12</w:t>
                  </w:r>
                </w:p>
              </w:tc>
              <w:tc>
                <w:tcPr>
                  <w:tcW w:w="49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t>1</w:t>
                  </w:r>
                </w:p>
              </w:tc>
              <w:tc>
                <w:tcPr>
                  <w:tcW w:w="531"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11</w:t>
                  </w:r>
                </w:p>
              </w:tc>
              <w:tc>
                <w:tcPr>
                  <w:tcW w:w="531"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35</w:t>
                  </w:r>
                </w:p>
              </w:tc>
              <w:tc>
                <w:tcPr>
                  <w:tcW w:w="495"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42</w:t>
                  </w:r>
                </w:p>
              </w:tc>
              <w:tc>
                <w:tcPr>
                  <w:tcW w:w="528"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spacing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2"/>
                      <w:sz w:val="21"/>
                      <w:szCs w:val="21"/>
                      <w:lang w:val="en-US" w:eastAsia="zh-CN" w:bidi="ar-SA"/>
                      <w14:textFill>
                        <w14:solidFill>
                          <w14:schemeClr w14:val="tx1"/>
                        </w14:solidFill>
                      </w14:textFill>
                    </w:rPr>
                    <w:t>180</w:t>
                  </w:r>
                </w:p>
              </w:tc>
              <w:tc>
                <w:tcPr>
                  <w:tcW w:w="436"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54</w:t>
                  </w:r>
                </w:p>
              </w:tc>
              <w:tc>
                <w:tcPr>
                  <w:tcW w:w="467"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44</w:t>
                  </w:r>
                </w:p>
              </w:tc>
              <w:tc>
                <w:tcPr>
                  <w:tcW w:w="467"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43</w:t>
                  </w:r>
                </w:p>
              </w:tc>
              <w:tc>
                <w:tcPr>
                  <w:tcW w:w="482"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30</w:t>
                  </w:r>
                </w:p>
              </w:tc>
              <w:tc>
                <w:tcPr>
                  <w:tcW w:w="5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color w:val="000000" w:themeColor="text1"/>
                      <w:spacing w:val="0"/>
                      <w:kern w:val="0"/>
                      <w:position w:val="0"/>
                      <w:sz w:val="21"/>
                      <w:szCs w:val="21"/>
                      <w:lang w:val="en-US" w:eastAsia="zh-CN"/>
                      <w14:textFill>
                        <w14:solidFill>
                          <w14:schemeClr w14:val="tx1"/>
                        </w14:solidFill>
                      </w14:textFill>
                    </w:rPr>
                  </w:pPr>
                  <w:r>
                    <w:rPr>
                      <w:rFonts w:hint="default" w:ascii="Times New Roman" w:hAnsi="Times New Roman" w:eastAsia="宋体" w:cs="Times New Roman"/>
                      <w:b w:val="0"/>
                      <w:bCs w:val="0"/>
                      <w:snapToGrid/>
                      <w:color w:val="000000" w:themeColor="text1"/>
                      <w:spacing w:val="0"/>
                      <w:kern w:val="0"/>
                      <w:position w:val="0"/>
                      <w:sz w:val="21"/>
                      <w:szCs w:val="21"/>
                      <w:lang w:val="en-US" w:eastAsia="zh-CN"/>
                      <w14:textFill>
                        <w14:solidFill>
                          <w14:schemeClr w14:val="tx1"/>
                        </w14:solidFill>
                      </w14:textFill>
                    </w:rPr>
                    <w:t>24h</w:t>
                  </w:r>
                </w:p>
              </w:tc>
              <w:tc>
                <w:tcPr>
                  <w:tcW w:w="7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15</w:t>
                  </w:r>
                </w:p>
              </w:tc>
              <w:tc>
                <w:tcPr>
                  <w:tcW w:w="788"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55</w:t>
                  </w:r>
                </w:p>
              </w:tc>
              <w:tc>
                <w:tcPr>
                  <w:tcW w:w="6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530" w:type="dxa"/>
                  <w:vMerge w:val="continue"/>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p>
              </w:tc>
              <w:tc>
                <w:tcPr>
                  <w:tcW w:w="743" w:type="dxa"/>
                  <w:vMerge w:val="continue"/>
                  <w:tcBorders>
                    <w:tl2br w:val="nil"/>
                    <w:tr2bl w:val="nil"/>
                  </w:tcBorders>
                  <w:noWrap w:val="0"/>
                  <w:vAlign w:val="center"/>
                </w:tcPr>
                <w:p>
                  <w:pPr>
                    <w:widowControl/>
                    <w:jc w:val="center"/>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p>
              </w:tc>
              <w:tc>
                <w:tcPr>
                  <w:tcW w:w="1160" w:type="dxa"/>
                  <w:tcBorders>
                    <w:tl2br w:val="nil"/>
                    <w:tr2bl w:val="nil"/>
                  </w:tcBorders>
                  <w:noWrap w:val="0"/>
                  <w:vAlign w:val="center"/>
                </w:tcPr>
                <w:p>
                  <w:pPr>
                    <w:keepNext w:val="0"/>
                    <w:keepLines w:val="0"/>
                    <w:pageBreakBefore w:val="0"/>
                    <w:widowControl/>
                    <w:kinsoku/>
                    <w:wordWrap/>
                    <w:overflowPunct/>
                    <w:topLinePunct w:val="0"/>
                    <w:bidi w:val="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rPr>
                    <w:t>Z32-10</w:t>
                  </w:r>
                </w:p>
              </w:tc>
              <w:tc>
                <w:tcPr>
                  <w:tcW w:w="945" w:type="dxa"/>
                  <w:tcBorders>
                    <w:tl2br w:val="nil"/>
                    <w:tr2bl w:val="nil"/>
                  </w:tcBorders>
                  <w:noWrap w:val="0"/>
                  <w:vAlign w:val="center"/>
                </w:tcPr>
                <w:p>
                  <w:pPr>
                    <w:widowControl/>
                    <w:jc w:val="center"/>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t>75</w:t>
                  </w:r>
                </w:p>
              </w:tc>
              <w:tc>
                <w:tcPr>
                  <w:tcW w:w="750" w:type="dxa"/>
                  <w:vMerge w:val="continue"/>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49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t>70</w:t>
                  </w:r>
                </w:p>
              </w:tc>
              <w:tc>
                <w:tcPr>
                  <w:tcW w:w="510"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t>-11</w:t>
                  </w:r>
                </w:p>
              </w:tc>
              <w:tc>
                <w:tcPr>
                  <w:tcW w:w="49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t>1</w:t>
                  </w:r>
                </w:p>
              </w:tc>
              <w:tc>
                <w:tcPr>
                  <w:tcW w:w="531"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12</w:t>
                  </w:r>
                </w:p>
              </w:tc>
              <w:tc>
                <w:tcPr>
                  <w:tcW w:w="531"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34</w:t>
                  </w:r>
                </w:p>
              </w:tc>
              <w:tc>
                <w:tcPr>
                  <w:tcW w:w="495"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41</w:t>
                  </w:r>
                </w:p>
              </w:tc>
              <w:tc>
                <w:tcPr>
                  <w:tcW w:w="528"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spacing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2"/>
                      <w:sz w:val="21"/>
                      <w:szCs w:val="21"/>
                      <w:lang w:val="en-US" w:eastAsia="zh-CN" w:bidi="ar-SA"/>
                      <w14:textFill>
                        <w14:solidFill>
                          <w14:schemeClr w14:val="tx1"/>
                        </w14:solidFill>
                      </w14:textFill>
                    </w:rPr>
                    <w:t>181</w:t>
                  </w:r>
                </w:p>
              </w:tc>
              <w:tc>
                <w:tcPr>
                  <w:tcW w:w="436"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53</w:t>
                  </w:r>
                </w:p>
              </w:tc>
              <w:tc>
                <w:tcPr>
                  <w:tcW w:w="467"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44</w:t>
                  </w:r>
                </w:p>
              </w:tc>
              <w:tc>
                <w:tcPr>
                  <w:tcW w:w="467"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43</w:t>
                  </w:r>
                </w:p>
              </w:tc>
              <w:tc>
                <w:tcPr>
                  <w:tcW w:w="482"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30</w:t>
                  </w:r>
                </w:p>
              </w:tc>
              <w:tc>
                <w:tcPr>
                  <w:tcW w:w="5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color w:val="000000" w:themeColor="text1"/>
                      <w:spacing w:val="0"/>
                      <w:kern w:val="0"/>
                      <w:position w:val="0"/>
                      <w:sz w:val="21"/>
                      <w:szCs w:val="21"/>
                      <w:lang w:val="en-US" w:eastAsia="zh-CN"/>
                      <w14:textFill>
                        <w14:solidFill>
                          <w14:schemeClr w14:val="tx1"/>
                        </w14:solidFill>
                      </w14:textFill>
                    </w:rPr>
                  </w:pPr>
                  <w:r>
                    <w:rPr>
                      <w:rFonts w:hint="default" w:ascii="Times New Roman" w:hAnsi="Times New Roman" w:eastAsia="宋体" w:cs="Times New Roman"/>
                      <w:b w:val="0"/>
                      <w:bCs w:val="0"/>
                      <w:snapToGrid/>
                      <w:color w:val="000000" w:themeColor="text1"/>
                      <w:spacing w:val="0"/>
                      <w:kern w:val="0"/>
                      <w:position w:val="0"/>
                      <w:sz w:val="21"/>
                      <w:szCs w:val="21"/>
                      <w:lang w:val="en-US" w:eastAsia="zh-CN"/>
                      <w14:textFill>
                        <w14:solidFill>
                          <w14:schemeClr w14:val="tx1"/>
                        </w14:solidFill>
                      </w14:textFill>
                    </w:rPr>
                    <w:t>24h</w:t>
                  </w:r>
                </w:p>
              </w:tc>
              <w:tc>
                <w:tcPr>
                  <w:tcW w:w="7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15</w:t>
                  </w:r>
                </w:p>
              </w:tc>
              <w:tc>
                <w:tcPr>
                  <w:tcW w:w="788"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54</w:t>
                  </w:r>
                </w:p>
              </w:tc>
              <w:tc>
                <w:tcPr>
                  <w:tcW w:w="6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530" w:type="dxa"/>
                  <w:vMerge w:val="continue"/>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p>
              </w:tc>
              <w:tc>
                <w:tcPr>
                  <w:tcW w:w="743" w:type="dxa"/>
                  <w:vMerge w:val="continue"/>
                  <w:tcBorders>
                    <w:tl2br w:val="nil"/>
                    <w:tr2bl w:val="nil"/>
                  </w:tcBorders>
                  <w:noWrap w:val="0"/>
                  <w:vAlign w:val="center"/>
                </w:tcPr>
                <w:p>
                  <w:pPr>
                    <w:widowControl/>
                    <w:jc w:val="center"/>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p>
              </w:tc>
              <w:tc>
                <w:tcPr>
                  <w:tcW w:w="1160" w:type="dxa"/>
                  <w:tcBorders>
                    <w:tl2br w:val="nil"/>
                    <w:tr2bl w:val="nil"/>
                  </w:tcBorders>
                  <w:noWrap w:val="0"/>
                  <w:vAlign w:val="center"/>
                </w:tcPr>
                <w:p>
                  <w:pPr>
                    <w:keepNext w:val="0"/>
                    <w:keepLines w:val="0"/>
                    <w:pageBreakBefore w:val="0"/>
                    <w:widowControl/>
                    <w:kinsoku/>
                    <w:wordWrap/>
                    <w:overflowPunct/>
                    <w:topLinePunct w:val="0"/>
                    <w:bidi w:val="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rPr>
                    <w:t>Z32-7.5/-8</w:t>
                  </w:r>
                </w:p>
              </w:tc>
              <w:tc>
                <w:tcPr>
                  <w:tcW w:w="945" w:type="dxa"/>
                  <w:tcBorders>
                    <w:tl2br w:val="nil"/>
                    <w:tr2bl w:val="nil"/>
                  </w:tcBorders>
                  <w:noWrap w:val="0"/>
                  <w:vAlign w:val="center"/>
                </w:tcPr>
                <w:p>
                  <w:pPr>
                    <w:widowControl/>
                    <w:jc w:val="center"/>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t>75</w:t>
                  </w:r>
                </w:p>
              </w:tc>
              <w:tc>
                <w:tcPr>
                  <w:tcW w:w="750" w:type="dxa"/>
                  <w:vMerge w:val="continue"/>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49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t>70</w:t>
                  </w:r>
                </w:p>
              </w:tc>
              <w:tc>
                <w:tcPr>
                  <w:tcW w:w="510"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t>-12</w:t>
                  </w:r>
                </w:p>
              </w:tc>
              <w:tc>
                <w:tcPr>
                  <w:tcW w:w="49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t>1</w:t>
                  </w:r>
                </w:p>
              </w:tc>
              <w:tc>
                <w:tcPr>
                  <w:tcW w:w="531"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12</w:t>
                  </w:r>
                </w:p>
              </w:tc>
              <w:tc>
                <w:tcPr>
                  <w:tcW w:w="531"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35</w:t>
                  </w:r>
                </w:p>
              </w:tc>
              <w:tc>
                <w:tcPr>
                  <w:tcW w:w="495"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41</w:t>
                  </w:r>
                </w:p>
              </w:tc>
              <w:tc>
                <w:tcPr>
                  <w:tcW w:w="528"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spacing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2"/>
                      <w:sz w:val="21"/>
                      <w:szCs w:val="21"/>
                      <w:lang w:val="en-US" w:eastAsia="zh-CN" w:bidi="ar-SA"/>
                      <w14:textFill>
                        <w14:solidFill>
                          <w14:schemeClr w14:val="tx1"/>
                        </w14:solidFill>
                      </w14:textFill>
                    </w:rPr>
                    <w:t>180</w:t>
                  </w:r>
                </w:p>
              </w:tc>
              <w:tc>
                <w:tcPr>
                  <w:tcW w:w="436"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53</w:t>
                  </w:r>
                </w:p>
              </w:tc>
              <w:tc>
                <w:tcPr>
                  <w:tcW w:w="467"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44</w:t>
                  </w:r>
                </w:p>
              </w:tc>
              <w:tc>
                <w:tcPr>
                  <w:tcW w:w="467"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43</w:t>
                  </w:r>
                </w:p>
              </w:tc>
              <w:tc>
                <w:tcPr>
                  <w:tcW w:w="482"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30</w:t>
                  </w:r>
                </w:p>
              </w:tc>
              <w:tc>
                <w:tcPr>
                  <w:tcW w:w="5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color w:val="000000" w:themeColor="text1"/>
                      <w:spacing w:val="0"/>
                      <w:kern w:val="0"/>
                      <w:position w:val="0"/>
                      <w:sz w:val="21"/>
                      <w:szCs w:val="21"/>
                      <w:lang w:val="en-US" w:eastAsia="zh-CN"/>
                      <w14:textFill>
                        <w14:solidFill>
                          <w14:schemeClr w14:val="tx1"/>
                        </w14:solidFill>
                      </w14:textFill>
                    </w:rPr>
                  </w:pPr>
                  <w:r>
                    <w:rPr>
                      <w:rFonts w:hint="default" w:ascii="Times New Roman" w:hAnsi="Times New Roman" w:eastAsia="宋体" w:cs="Times New Roman"/>
                      <w:b w:val="0"/>
                      <w:bCs w:val="0"/>
                      <w:snapToGrid/>
                      <w:color w:val="000000" w:themeColor="text1"/>
                      <w:spacing w:val="0"/>
                      <w:kern w:val="0"/>
                      <w:position w:val="0"/>
                      <w:sz w:val="21"/>
                      <w:szCs w:val="21"/>
                      <w:lang w:val="en-US" w:eastAsia="zh-CN"/>
                      <w14:textFill>
                        <w14:solidFill>
                          <w14:schemeClr w14:val="tx1"/>
                        </w14:solidFill>
                      </w14:textFill>
                    </w:rPr>
                    <w:t>24h</w:t>
                  </w:r>
                </w:p>
              </w:tc>
              <w:tc>
                <w:tcPr>
                  <w:tcW w:w="7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15</w:t>
                  </w:r>
                </w:p>
              </w:tc>
              <w:tc>
                <w:tcPr>
                  <w:tcW w:w="788"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54</w:t>
                  </w:r>
                </w:p>
              </w:tc>
              <w:tc>
                <w:tcPr>
                  <w:tcW w:w="6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530" w:type="dxa"/>
                  <w:vMerge w:val="continue"/>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p>
              </w:tc>
              <w:tc>
                <w:tcPr>
                  <w:tcW w:w="743" w:type="dxa"/>
                  <w:vMerge w:val="continue"/>
                  <w:tcBorders>
                    <w:tl2br w:val="nil"/>
                    <w:tr2bl w:val="nil"/>
                  </w:tcBorders>
                  <w:noWrap w:val="0"/>
                  <w:vAlign w:val="center"/>
                </w:tcPr>
                <w:p>
                  <w:pPr>
                    <w:widowControl/>
                    <w:jc w:val="center"/>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p>
              </w:tc>
              <w:tc>
                <w:tcPr>
                  <w:tcW w:w="1160" w:type="dxa"/>
                  <w:tcBorders>
                    <w:tl2br w:val="nil"/>
                    <w:tr2bl w:val="nil"/>
                  </w:tcBorders>
                  <w:noWrap w:val="0"/>
                  <w:vAlign w:val="center"/>
                </w:tcPr>
                <w:p>
                  <w:pPr>
                    <w:keepNext w:val="0"/>
                    <w:keepLines w:val="0"/>
                    <w:pageBreakBefore w:val="0"/>
                    <w:widowControl/>
                    <w:kinsoku/>
                    <w:wordWrap/>
                    <w:overflowPunct/>
                    <w:topLinePunct w:val="0"/>
                    <w:bidi w:val="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rPr>
                    <w:t>Z32-5</w:t>
                  </w:r>
                </w:p>
              </w:tc>
              <w:tc>
                <w:tcPr>
                  <w:tcW w:w="945" w:type="dxa"/>
                  <w:tcBorders>
                    <w:tl2br w:val="nil"/>
                    <w:tr2bl w:val="nil"/>
                  </w:tcBorders>
                  <w:noWrap w:val="0"/>
                  <w:vAlign w:val="center"/>
                </w:tcPr>
                <w:p>
                  <w:pPr>
                    <w:widowControl/>
                    <w:jc w:val="center"/>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t>75</w:t>
                  </w:r>
                </w:p>
              </w:tc>
              <w:tc>
                <w:tcPr>
                  <w:tcW w:w="750" w:type="dxa"/>
                  <w:vMerge w:val="continue"/>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49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t>70</w:t>
                  </w:r>
                </w:p>
              </w:tc>
              <w:tc>
                <w:tcPr>
                  <w:tcW w:w="510"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t>-11</w:t>
                  </w:r>
                </w:p>
              </w:tc>
              <w:tc>
                <w:tcPr>
                  <w:tcW w:w="49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t>1</w:t>
                  </w:r>
                </w:p>
              </w:tc>
              <w:tc>
                <w:tcPr>
                  <w:tcW w:w="531"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11</w:t>
                  </w:r>
                </w:p>
              </w:tc>
              <w:tc>
                <w:tcPr>
                  <w:tcW w:w="531"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35</w:t>
                  </w:r>
                </w:p>
              </w:tc>
              <w:tc>
                <w:tcPr>
                  <w:tcW w:w="495"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40</w:t>
                  </w:r>
                </w:p>
              </w:tc>
              <w:tc>
                <w:tcPr>
                  <w:tcW w:w="528"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spacing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2"/>
                      <w:sz w:val="21"/>
                      <w:szCs w:val="21"/>
                      <w:lang w:val="en-US" w:eastAsia="zh-CN" w:bidi="ar-SA"/>
                      <w14:textFill>
                        <w14:solidFill>
                          <w14:schemeClr w14:val="tx1"/>
                        </w14:solidFill>
                      </w14:textFill>
                    </w:rPr>
                    <w:t>180</w:t>
                  </w:r>
                </w:p>
              </w:tc>
              <w:tc>
                <w:tcPr>
                  <w:tcW w:w="436"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54</w:t>
                  </w:r>
                </w:p>
              </w:tc>
              <w:tc>
                <w:tcPr>
                  <w:tcW w:w="467"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44</w:t>
                  </w:r>
                </w:p>
              </w:tc>
              <w:tc>
                <w:tcPr>
                  <w:tcW w:w="467"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43</w:t>
                  </w:r>
                </w:p>
              </w:tc>
              <w:tc>
                <w:tcPr>
                  <w:tcW w:w="482"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30</w:t>
                  </w:r>
                </w:p>
              </w:tc>
              <w:tc>
                <w:tcPr>
                  <w:tcW w:w="5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color w:val="000000" w:themeColor="text1"/>
                      <w:spacing w:val="0"/>
                      <w:kern w:val="0"/>
                      <w:position w:val="0"/>
                      <w:sz w:val="21"/>
                      <w:szCs w:val="21"/>
                      <w:lang w:val="en-US" w:eastAsia="zh-CN"/>
                      <w14:textFill>
                        <w14:solidFill>
                          <w14:schemeClr w14:val="tx1"/>
                        </w14:solidFill>
                      </w14:textFill>
                    </w:rPr>
                  </w:pPr>
                  <w:r>
                    <w:rPr>
                      <w:rFonts w:hint="default" w:ascii="Times New Roman" w:hAnsi="Times New Roman" w:eastAsia="宋体" w:cs="Times New Roman"/>
                      <w:b w:val="0"/>
                      <w:bCs w:val="0"/>
                      <w:snapToGrid/>
                      <w:color w:val="000000" w:themeColor="text1"/>
                      <w:spacing w:val="0"/>
                      <w:kern w:val="0"/>
                      <w:position w:val="0"/>
                      <w:sz w:val="21"/>
                      <w:szCs w:val="21"/>
                      <w:lang w:val="en-US" w:eastAsia="zh-CN"/>
                      <w14:textFill>
                        <w14:solidFill>
                          <w14:schemeClr w14:val="tx1"/>
                        </w14:solidFill>
                      </w14:textFill>
                    </w:rPr>
                    <w:t>24h</w:t>
                  </w:r>
                </w:p>
              </w:tc>
              <w:tc>
                <w:tcPr>
                  <w:tcW w:w="7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15</w:t>
                  </w:r>
                </w:p>
              </w:tc>
              <w:tc>
                <w:tcPr>
                  <w:tcW w:w="788"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55</w:t>
                  </w:r>
                </w:p>
              </w:tc>
              <w:tc>
                <w:tcPr>
                  <w:tcW w:w="6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restart"/>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2</w:t>
                  </w:r>
                </w:p>
              </w:tc>
              <w:tc>
                <w:tcPr>
                  <w:tcW w:w="530" w:type="dxa"/>
                  <w:vMerge w:val="continue"/>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p>
              </w:tc>
              <w:tc>
                <w:tcPr>
                  <w:tcW w:w="743" w:type="dxa"/>
                  <w:vMerge w:val="restart"/>
                  <w:tcBorders>
                    <w:tl2br w:val="nil"/>
                    <w:tr2bl w:val="nil"/>
                  </w:tcBorders>
                  <w:noWrap w:val="0"/>
                  <w:vAlign w:val="center"/>
                </w:tcPr>
                <w:p>
                  <w:pPr>
                    <w:widowControl/>
                    <w:jc w:val="center"/>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t>光磨</w:t>
                  </w:r>
                </w:p>
              </w:tc>
              <w:tc>
                <w:tcPr>
                  <w:tcW w:w="1160" w:type="dxa"/>
                  <w:tcBorders>
                    <w:tl2br w:val="nil"/>
                    <w:tr2bl w:val="nil"/>
                  </w:tcBorders>
                  <w:noWrap w:val="0"/>
                  <w:vAlign w:val="center"/>
                </w:tcPr>
                <w:p>
                  <w:pPr>
                    <w:keepNext w:val="0"/>
                    <w:keepLines w:val="0"/>
                    <w:pageBreakBefore w:val="0"/>
                    <w:widowControl/>
                    <w:kinsoku/>
                    <w:wordWrap/>
                    <w:overflowPunct/>
                    <w:topLinePunct w:val="0"/>
                    <w:bidi w:val="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rPr>
                    <w:t>3M4980B</w:t>
                  </w:r>
                </w:p>
              </w:tc>
              <w:tc>
                <w:tcPr>
                  <w:tcW w:w="945" w:type="dxa"/>
                  <w:tcBorders>
                    <w:tl2br w:val="nil"/>
                    <w:tr2bl w:val="nil"/>
                  </w:tcBorders>
                  <w:noWrap w:val="0"/>
                  <w:vAlign w:val="center"/>
                </w:tcPr>
                <w:p>
                  <w:pPr>
                    <w:widowControl/>
                    <w:jc w:val="center"/>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t>75</w:t>
                  </w:r>
                </w:p>
              </w:tc>
              <w:tc>
                <w:tcPr>
                  <w:tcW w:w="750" w:type="dxa"/>
                  <w:vMerge w:val="continue"/>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49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t>42</w:t>
                  </w:r>
                </w:p>
              </w:tc>
              <w:tc>
                <w:tcPr>
                  <w:tcW w:w="510"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t>-14</w:t>
                  </w:r>
                </w:p>
              </w:tc>
              <w:tc>
                <w:tcPr>
                  <w:tcW w:w="49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t>0.5</w:t>
                  </w:r>
                </w:p>
              </w:tc>
              <w:tc>
                <w:tcPr>
                  <w:tcW w:w="531"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10</w:t>
                  </w:r>
                </w:p>
              </w:tc>
              <w:tc>
                <w:tcPr>
                  <w:tcW w:w="531"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64</w:t>
                  </w:r>
                </w:p>
              </w:tc>
              <w:tc>
                <w:tcPr>
                  <w:tcW w:w="495"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43</w:t>
                  </w:r>
                </w:p>
              </w:tc>
              <w:tc>
                <w:tcPr>
                  <w:tcW w:w="528"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spacing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2"/>
                      <w:sz w:val="21"/>
                      <w:szCs w:val="21"/>
                      <w:lang w:val="en-US" w:eastAsia="zh-CN" w:bidi="ar-SA"/>
                      <w14:textFill>
                        <w14:solidFill>
                          <w14:schemeClr w14:val="tx1"/>
                        </w14:solidFill>
                      </w14:textFill>
                    </w:rPr>
                    <w:t>152</w:t>
                  </w:r>
                </w:p>
              </w:tc>
              <w:tc>
                <w:tcPr>
                  <w:tcW w:w="436"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55</w:t>
                  </w:r>
                </w:p>
              </w:tc>
              <w:tc>
                <w:tcPr>
                  <w:tcW w:w="467"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39</w:t>
                  </w:r>
                </w:p>
              </w:tc>
              <w:tc>
                <w:tcPr>
                  <w:tcW w:w="467"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42</w:t>
                  </w:r>
                </w:p>
              </w:tc>
              <w:tc>
                <w:tcPr>
                  <w:tcW w:w="482"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31</w:t>
                  </w:r>
                </w:p>
              </w:tc>
              <w:tc>
                <w:tcPr>
                  <w:tcW w:w="5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color w:val="000000" w:themeColor="text1"/>
                      <w:spacing w:val="0"/>
                      <w:kern w:val="0"/>
                      <w:position w:val="0"/>
                      <w:sz w:val="21"/>
                      <w:szCs w:val="21"/>
                      <w:lang w:val="en-US" w:eastAsia="zh-CN"/>
                      <w14:textFill>
                        <w14:solidFill>
                          <w14:schemeClr w14:val="tx1"/>
                        </w14:solidFill>
                      </w14:textFill>
                    </w:rPr>
                  </w:pPr>
                  <w:r>
                    <w:rPr>
                      <w:rFonts w:hint="default" w:ascii="Times New Roman" w:hAnsi="Times New Roman" w:eastAsia="宋体" w:cs="Times New Roman"/>
                      <w:b w:val="0"/>
                      <w:bCs w:val="0"/>
                      <w:snapToGrid/>
                      <w:color w:val="000000" w:themeColor="text1"/>
                      <w:spacing w:val="0"/>
                      <w:kern w:val="0"/>
                      <w:position w:val="0"/>
                      <w:sz w:val="21"/>
                      <w:szCs w:val="21"/>
                      <w:lang w:val="en-US" w:eastAsia="zh-CN"/>
                      <w14:textFill>
                        <w14:solidFill>
                          <w14:schemeClr w14:val="tx1"/>
                        </w14:solidFill>
                      </w14:textFill>
                    </w:rPr>
                    <w:t>24h</w:t>
                  </w:r>
                </w:p>
              </w:tc>
              <w:tc>
                <w:tcPr>
                  <w:tcW w:w="7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15</w:t>
                  </w:r>
                </w:p>
              </w:tc>
              <w:tc>
                <w:tcPr>
                  <w:tcW w:w="788"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55</w:t>
                  </w:r>
                </w:p>
              </w:tc>
              <w:tc>
                <w:tcPr>
                  <w:tcW w:w="6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530" w:type="dxa"/>
                  <w:vMerge w:val="continue"/>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p>
              </w:tc>
              <w:tc>
                <w:tcPr>
                  <w:tcW w:w="743" w:type="dxa"/>
                  <w:vMerge w:val="continue"/>
                  <w:tcBorders>
                    <w:tl2br w:val="nil"/>
                    <w:tr2bl w:val="nil"/>
                  </w:tcBorders>
                  <w:noWrap w:val="0"/>
                  <w:vAlign w:val="center"/>
                </w:tcPr>
                <w:p>
                  <w:pPr>
                    <w:widowControl/>
                    <w:jc w:val="center"/>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p>
              </w:tc>
              <w:tc>
                <w:tcPr>
                  <w:tcW w:w="1160" w:type="dxa"/>
                  <w:tcBorders>
                    <w:tl2br w:val="nil"/>
                    <w:tr2bl w:val="nil"/>
                  </w:tcBorders>
                  <w:noWrap w:val="0"/>
                  <w:vAlign w:val="center"/>
                </w:tcPr>
                <w:p>
                  <w:pPr>
                    <w:keepNext w:val="0"/>
                    <w:keepLines w:val="0"/>
                    <w:pageBreakBefore w:val="0"/>
                    <w:widowControl/>
                    <w:kinsoku/>
                    <w:wordWrap/>
                    <w:overflowPunct/>
                    <w:topLinePunct w:val="0"/>
                    <w:bidi w:val="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rPr>
                    <w:t>3M4980</w:t>
                  </w:r>
                </w:p>
              </w:tc>
              <w:tc>
                <w:tcPr>
                  <w:tcW w:w="945" w:type="dxa"/>
                  <w:tcBorders>
                    <w:tl2br w:val="nil"/>
                    <w:tr2bl w:val="nil"/>
                  </w:tcBorders>
                  <w:noWrap w:val="0"/>
                  <w:vAlign w:val="center"/>
                </w:tcPr>
                <w:p>
                  <w:pPr>
                    <w:widowControl/>
                    <w:jc w:val="center"/>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t>75</w:t>
                  </w:r>
                </w:p>
              </w:tc>
              <w:tc>
                <w:tcPr>
                  <w:tcW w:w="750" w:type="dxa"/>
                  <w:vMerge w:val="continue"/>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49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t>41</w:t>
                  </w:r>
                </w:p>
              </w:tc>
              <w:tc>
                <w:tcPr>
                  <w:tcW w:w="510"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t>-13</w:t>
                  </w:r>
                </w:p>
              </w:tc>
              <w:tc>
                <w:tcPr>
                  <w:tcW w:w="49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t>0.5</w:t>
                  </w:r>
                </w:p>
              </w:tc>
              <w:tc>
                <w:tcPr>
                  <w:tcW w:w="531"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11</w:t>
                  </w:r>
                </w:p>
              </w:tc>
              <w:tc>
                <w:tcPr>
                  <w:tcW w:w="531"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64</w:t>
                  </w:r>
                </w:p>
              </w:tc>
              <w:tc>
                <w:tcPr>
                  <w:tcW w:w="495"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42</w:t>
                  </w:r>
                </w:p>
              </w:tc>
              <w:tc>
                <w:tcPr>
                  <w:tcW w:w="528"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spacing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2"/>
                      <w:sz w:val="21"/>
                      <w:szCs w:val="21"/>
                      <w:lang w:val="en-US" w:eastAsia="zh-CN" w:bidi="ar-SA"/>
                      <w14:textFill>
                        <w14:solidFill>
                          <w14:schemeClr w14:val="tx1"/>
                        </w14:solidFill>
                      </w14:textFill>
                    </w:rPr>
                    <w:t>150</w:t>
                  </w:r>
                </w:p>
              </w:tc>
              <w:tc>
                <w:tcPr>
                  <w:tcW w:w="436"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54</w:t>
                  </w:r>
                </w:p>
              </w:tc>
              <w:tc>
                <w:tcPr>
                  <w:tcW w:w="467"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39</w:t>
                  </w:r>
                </w:p>
              </w:tc>
              <w:tc>
                <w:tcPr>
                  <w:tcW w:w="467"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42</w:t>
                  </w:r>
                </w:p>
              </w:tc>
              <w:tc>
                <w:tcPr>
                  <w:tcW w:w="482"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31</w:t>
                  </w:r>
                </w:p>
              </w:tc>
              <w:tc>
                <w:tcPr>
                  <w:tcW w:w="5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color w:val="000000" w:themeColor="text1"/>
                      <w:spacing w:val="0"/>
                      <w:kern w:val="0"/>
                      <w:position w:val="0"/>
                      <w:sz w:val="21"/>
                      <w:szCs w:val="21"/>
                      <w:lang w:val="en-US" w:eastAsia="zh-CN"/>
                      <w14:textFill>
                        <w14:solidFill>
                          <w14:schemeClr w14:val="tx1"/>
                        </w14:solidFill>
                      </w14:textFill>
                    </w:rPr>
                  </w:pPr>
                  <w:r>
                    <w:rPr>
                      <w:rFonts w:hint="default" w:ascii="Times New Roman" w:hAnsi="Times New Roman" w:eastAsia="宋体" w:cs="Times New Roman"/>
                      <w:b w:val="0"/>
                      <w:bCs w:val="0"/>
                      <w:snapToGrid/>
                      <w:color w:val="000000" w:themeColor="text1"/>
                      <w:spacing w:val="0"/>
                      <w:kern w:val="0"/>
                      <w:position w:val="0"/>
                      <w:sz w:val="21"/>
                      <w:szCs w:val="21"/>
                      <w:lang w:val="en-US" w:eastAsia="zh-CN"/>
                      <w14:textFill>
                        <w14:solidFill>
                          <w14:schemeClr w14:val="tx1"/>
                        </w14:solidFill>
                      </w14:textFill>
                    </w:rPr>
                    <w:t>24h</w:t>
                  </w:r>
                </w:p>
              </w:tc>
              <w:tc>
                <w:tcPr>
                  <w:tcW w:w="7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15</w:t>
                  </w:r>
                </w:p>
              </w:tc>
              <w:tc>
                <w:tcPr>
                  <w:tcW w:w="788"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54</w:t>
                  </w:r>
                </w:p>
              </w:tc>
              <w:tc>
                <w:tcPr>
                  <w:tcW w:w="6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530" w:type="dxa"/>
                  <w:vMerge w:val="continue"/>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p>
              </w:tc>
              <w:tc>
                <w:tcPr>
                  <w:tcW w:w="743" w:type="dxa"/>
                  <w:vMerge w:val="continue"/>
                  <w:tcBorders>
                    <w:tl2br w:val="nil"/>
                    <w:tr2bl w:val="nil"/>
                  </w:tcBorders>
                  <w:noWrap w:val="0"/>
                  <w:vAlign w:val="center"/>
                </w:tcPr>
                <w:p>
                  <w:pPr>
                    <w:widowControl/>
                    <w:jc w:val="center"/>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p>
              </w:tc>
              <w:tc>
                <w:tcPr>
                  <w:tcW w:w="1160" w:type="dxa"/>
                  <w:tcBorders>
                    <w:tl2br w:val="nil"/>
                    <w:tr2bl w:val="nil"/>
                  </w:tcBorders>
                  <w:noWrap w:val="0"/>
                  <w:vAlign w:val="center"/>
                </w:tcPr>
                <w:p>
                  <w:pPr>
                    <w:keepNext w:val="0"/>
                    <w:keepLines w:val="0"/>
                    <w:pageBreakBefore w:val="0"/>
                    <w:widowControl/>
                    <w:kinsoku/>
                    <w:wordWrap/>
                    <w:overflowPunct/>
                    <w:topLinePunct w:val="0"/>
                    <w:bidi w:val="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rPr>
                    <w:t>3ML4980</w:t>
                  </w:r>
                </w:p>
              </w:tc>
              <w:tc>
                <w:tcPr>
                  <w:tcW w:w="945" w:type="dxa"/>
                  <w:tcBorders>
                    <w:tl2br w:val="nil"/>
                    <w:tr2bl w:val="nil"/>
                  </w:tcBorders>
                  <w:noWrap w:val="0"/>
                  <w:vAlign w:val="center"/>
                </w:tcPr>
                <w:p>
                  <w:pPr>
                    <w:widowControl/>
                    <w:jc w:val="center"/>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t>75</w:t>
                  </w:r>
                </w:p>
              </w:tc>
              <w:tc>
                <w:tcPr>
                  <w:tcW w:w="750" w:type="dxa"/>
                  <w:vMerge w:val="continue"/>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49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t>42</w:t>
                  </w:r>
                </w:p>
              </w:tc>
              <w:tc>
                <w:tcPr>
                  <w:tcW w:w="510"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t>-14</w:t>
                  </w:r>
                </w:p>
              </w:tc>
              <w:tc>
                <w:tcPr>
                  <w:tcW w:w="49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t>0.5</w:t>
                  </w:r>
                </w:p>
              </w:tc>
              <w:tc>
                <w:tcPr>
                  <w:tcW w:w="531"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12</w:t>
                  </w:r>
                </w:p>
              </w:tc>
              <w:tc>
                <w:tcPr>
                  <w:tcW w:w="531"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66</w:t>
                  </w:r>
                </w:p>
              </w:tc>
              <w:tc>
                <w:tcPr>
                  <w:tcW w:w="495"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43</w:t>
                  </w:r>
                </w:p>
              </w:tc>
              <w:tc>
                <w:tcPr>
                  <w:tcW w:w="528"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spacing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2"/>
                      <w:sz w:val="21"/>
                      <w:szCs w:val="21"/>
                      <w:lang w:val="en-US" w:eastAsia="zh-CN" w:bidi="ar-SA"/>
                      <w14:textFill>
                        <w14:solidFill>
                          <w14:schemeClr w14:val="tx1"/>
                        </w14:solidFill>
                      </w14:textFill>
                    </w:rPr>
                    <w:t>151</w:t>
                  </w:r>
                </w:p>
              </w:tc>
              <w:tc>
                <w:tcPr>
                  <w:tcW w:w="436"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53</w:t>
                  </w:r>
                </w:p>
              </w:tc>
              <w:tc>
                <w:tcPr>
                  <w:tcW w:w="467"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39</w:t>
                  </w:r>
                </w:p>
              </w:tc>
              <w:tc>
                <w:tcPr>
                  <w:tcW w:w="467"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42</w:t>
                  </w:r>
                </w:p>
              </w:tc>
              <w:tc>
                <w:tcPr>
                  <w:tcW w:w="482"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31</w:t>
                  </w:r>
                </w:p>
              </w:tc>
              <w:tc>
                <w:tcPr>
                  <w:tcW w:w="5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color w:val="000000" w:themeColor="text1"/>
                      <w:spacing w:val="0"/>
                      <w:kern w:val="0"/>
                      <w:position w:val="0"/>
                      <w:sz w:val="21"/>
                      <w:szCs w:val="21"/>
                      <w:lang w:val="en-US" w:eastAsia="zh-CN"/>
                      <w14:textFill>
                        <w14:solidFill>
                          <w14:schemeClr w14:val="tx1"/>
                        </w14:solidFill>
                      </w14:textFill>
                    </w:rPr>
                  </w:pPr>
                  <w:r>
                    <w:rPr>
                      <w:rFonts w:hint="default" w:ascii="Times New Roman" w:hAnsi="Times New Roman" w:eastAsia="宋体" w:cs="Times New Roman"/>
                      <w:b w:val="0"/>
                      <w:bCs w:val="0"/>
                      <w:snapToGrid/>
                      <w:color w:val="000000" w:themeColor="text1"/>
                      <w:spacing w:val="0"/>
                      <w:kern w:val="0"/>
                      <w:position w:val="0"/>
                      <w:sz w:val="21"/>
                      <w:szCs w:val="21"/>
                      <w:lang w:val="en-US" w:eastAsia="zh-CN"/>
                      <w14:textFill>
                        <w14:solidFill>
                          <w14:schemeClr w14:val="tx1"/>
                        </w14:solidFill>
                      </w14:textFill>
                    </w:rPr>
                    <w:t>24h</w:t>
                  </w:r>
                </w:p>
              </w:tc>
              <w:tc>
                <w:tcPr>
                  <w:tcW w:w="7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15</w:t>
                  </w:r>
                </w:p>
              </w:tc>
              <w:tc>
                <w:tcPr>
                  <w:tcW w:w="788"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53</w:t>
                  </w:r>
                </w:p>
              </w:tc>
              <w:tc>
                <w:tcPr>
                  <w:tcW w:w="6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530" w:type="dxa"/>
                  <w:vMerge w:val="continue"/>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p>
              </w:tc>
              <w:tc>
                <w:tcPr>
                  <w:tcW w:w="743" w:type="dxa"/>
                  <w:vMerge w:val="continue"/>
                  <w:tcBorders>
                    <w:tl2br w:val="nil"/>
                    <w:tr2bl w:val="nil"/>
                  </w:tcBorders>
                  <w:noWrap w:val="0"/>
                  <w:vAlign w:val="center"/>
                </w:tcPr>
                <w:p>
                  <w:pPr>
                    <w:widowControl/>
                    <w:jc w:val="center"/>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p>
              </w:tc>
              <w:tc>
                <w:tcPr>
                  <w:tcW w:w="1160" w:type="dxa"/>
                  <w:tcBorders>
                    <w:tl2br w:val="nil"/>
                    <w:tr2bl w:val="nil"/>
                  </w:tcBorders>
                  <w:noWrap w:val="0"/>
                  <w:vAlign w:val="center"/>
                </w:tcPr>
                <w:p>
                  <w:pPr>
                    <w:keepNext w:val="0"/>
                    <w:keepLines w:val="0"/>
                    <w:pageBreakBefore w:val="0"/>
                    <w:widowControl/>
                    <w:kinsoku/>
                    <w:wordWrap/>
                    <w:overflowPunct/>
                    <w:topLinePunct w:val="0"/>
                    <w:bidi w:val="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rPr>
                    <w:t>3M4930</w:t>
                  </w:r>
                </w:p>
              </w:tc>
              <w:tc>
                <w:tcPr>
                  <w:tcW w:w="945" w:type="dxa"/>
                  <w:tcBorders>
                    <w:tl2br w:val="nil"/>
                    <w:tr2bl w:val="nil"/>
                  </w:tcBorders>
                  <w:noWrap w:val="0"/>
                  <w:vAlign w:val="center"/>
                </w:tcPr>
                <w:p>
                  <w:pPr>
                    <w:widowControl/>
                    <w:jc w:val="center"/>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t>75</w:t>
                  </w:r>
                </w:p>
              </w:tc>
              <w:tc>
                <w:tcPr>
                  <w:tcW w:w="750" w:type="dxa"/>
                  <w:vMerge w:val="continue"/>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49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t>41</w:t>
                  </w:r>
                </w:p>
              </w:tc>
              <w:tc>
                <w:tcPr>
                  <w:tcW w:w="510"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t>-13</w:t>
                  </w:r>
                </w:p>
              </w:tc>
              <w:tc>
                <w:tcPr>
                  <w:tcW w:w="49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t>0.5</w:t>
                  </w:r>
                </w:p>
              </w:tc>
              <w:tc>
                <w:tcPr>
                  <w:tcW w:w="531"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12</w:t>
                  </w:r>
                </w:p>
              </w:tc>
              <w:tc>
                <w:tcPr>
                  <w:tcW w:w="531"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65</w:t>
                  </w:r>
                </w:p>
              </w:tc>
              <w:tc>
                <w:tcPr>
                  <w:tcW w:w="495"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41</w:t>
                  </w:r>
                </w:p>
              </w:tc>
              <w:tc>
                <w:tcPr>
                  <w:tcW w:w="528"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spacing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2"/>
                      <w:sz w:val="21"/>
                      <w:szCs w:val="21"/>
                      <w:lang w:val="en-US" w:eastAsia="zh-CN" w:bidi="ar-SA"/>
                      <w14:textFill>
                        <w14:solidFill>
                          <w14:schemeClr w14:val="tx1"/>
                        </w14:solidFill>
                      </w14:textFill>
                    </w:rPr>
                    <w:t>150</w:t>
                  </w:r>
                </w:p>
              </w:tc>
              <w:tc>
                <w:tcPr>
                  <w:tcW w:w="436"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53</w:t>
                  </w:r>
                </w:p>
              </w:tc>
              <w:tc>
                <w:tcPr>
                  <w:tcW w:w="467"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39</w:t>
                  </w:r>
                </w:p>
              </w:tc>
              <w:tc>
                <w:tcPr>
                  <w:tcW w:w="467"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43</w:t>
                  </w:r>
                </w:p>
              </w:tc>
              <w:tc>
                <w:tcPr>
                  <w:tcW w:w="482"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31</w:t>
                  </w:r>
                </w:p>
              </w:tc>
              <w:tc>
                <w:tcPr>
                  <w:tcW w:w="5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color w:val="000000" w:themeColor="text1"/>
                      <w:spacing w:val="0"/>
                      <w:kern w:val="0"/>
                      <w:position w:val="0"/>
                      <w:sz w:val="21"/>
                      <w:szCs w:val="21"/>
                      <w:lang w:val="en-US" w:eastAsia="zh-CN"/>
                      <w14:textFill>
                        <w14:solidFill>
                          <w14:schemeClr w14:val="tx1"/>
                        </w14:solidFill>
                      </w14:textFill>
                    </w:rPr>
                  </w:pPr>
                  <w:r>
                    <w:rPr>
                      <w:rFonts w:hint="default" w:ascii="Times New Roman" w:hAnsi="Times New Roman" w:eastAsia="宋体" w:cs="Times New Roman"/>
                      <w:b w:val="0"/>
                      <w:bCs w:val="0"/>
                      <w:snapToGrid/>
                      <w:color w:val="000000" w:themeColor="text1"/>
                      <w:spacing w:val="0"/>
                      <w:kern w:val="0"/>
                      <w:position w:val="0"/>
                      <w:sz w:val="21"/>
                      <w:szCs w:val="21"/>
                      <w:lang w:val="en-US" w:eastAsia="zh-CN"/>
                      <w14:textFill>
                        <w14:solidFill>
                          <w14:schemeClr w14:val="tx1"/>
                        </w14:solidFill>
                      </w14:textFill>
                    </w:rPr>
                    <w:t>24h</w:t>
                  </w:r>
                </w:p>
              </w:tc>
              <w:tc>
                <w:tcPr>
                  <w:tcW w:w="7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15</w:t>
                  </w:r>
                </w:p>
              </w:tc>
              <w:tc>
                <w:tcPr>
                  <w:tcW w:w="788"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54</w:t>
                  </w:r>
                </w:p>
              </w:tc>
              <w:tc>
                <w:tcPr>
                  <w:tcW w:w="6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restart"/>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3</w:t>
                  </w:r>
                </w:p>
              </w:tc>
              <w:tc>
                <w:tcPr>
                  <w:tcW w:w="530" w:type="dxa"/>
                  <w:vMerge w:val="continue"/>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p>
              </w:tc>
              <w:tc>
                <w:tcPr>
                  <w:tcW w:w="743" w:type="dxa"/>
                  <w:vMerge w:val="restart"/>
                  <w:tcBorders>
                    <w:tl2br w:val="nil"/>
                    <w:tr2bl w:val="nil"/>
                  </w:tcBorders>
                  <w:noWrap w:val="0"/>
                  <w:vAlign w:val="center"/>
                </w:tcPr>
                <w:p>
                  <w:pPr>
                    <w:widowControl/>
                    <w:jc w:val="center"/>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硬磨机</w:t>
                  </w:r>
                </w:p>
              </w:tc>
              <w:tc>
                <w:tcPr>
                  <w:tcW w:w="1160" w:type="dxa"/>
                  <w:tcBorders>
                    <w:tl2br w:val="nil"/>
                    <w:tr2bl w:val="nil"/>
                  </w:tcBorders>
                  <w:noWrap w:val="0"/>
                  <w:vAlign w:val="center"/>
                </w:tcPr>
                <w:p>
                  <w:pPr>
                    <w:keepNext w:val="0"/>
                    <w:keepLines w:val="0"/>
                    <w:pageBreakBefore w:val="0"/>
                    <w:widowControl/>
                    <w:kinsoku/>
                    <w:wordWrap/>
                    <w:overflowPunct/>
                    <w:topLinePunct w:val="0"/>
                    <w:bidi w:val="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rPr>
                    <w:t>3M4680/7680</w:t>
                  </w:r>
                </w:p>
              </w:tc>
              <w:tc>
                <w:tcPr>
                  <w:tcW w:w="945" w:type="dxa"/>
                  <w:tcBorders>
                    <w:tl2br w:val="nil"/>
                    <w:tr2bl w:val="nil"/>
                  </w:tcBorders>
                  <w:noWrap w:val="0"/>
                  <w:vAlign w:val="center"/>
                </w:tcPr>
                <w:p>
                  <w:pPr>
                    <w:widowControl/>
                    <w:jc w:val="center"/>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t>75</w:t>
                  </w:r>
                </w:p>
              </w:tc>
              <w:tc>
                <w:tcPr>
                  <w:tcW w:w="750" w:type="dxa"/>
                  <w:vMerge w:val="continue"/>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49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t>33</w:t>
                  </w:r>
                </w:p>
              </w:tc>
              <w:tc>
                <w:tcPr>
                  <w:tcW w:w="510"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t>12</w:t>
                  </w:r>
                </w:p>
              </w:tc>
              <w:tc>
                <w:tcPr>
                  <w:tcW w:w="49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t>0.5</w:t>
                  </w:r>
                </w:p>
              </w:tc>
              <w:tc>
                <w:tcPr>
                  <w:tcW w:w="531"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14</w:t>
                  </w:r>
                </w:p>
              </w:tc>
              <w:tc>
                <w:tcPr>
                  <w:tcW w:w="531"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139</w:t>
                  </w:r>
                </w:p>
              </w:tc>
              <w:tc>
                <w:tcPr>
                  <w:tcW w:w="495"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38</w:t>
                  </w:r>
                </w:p>
              </w:tc>
              <w:tc>
                <w:tcPr>
                  <w:tcW w:w="528"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spacing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2"/>
                      <w:sz w:val="21"/>
                      <w:szCs w:val="21"/>
                      <w:lang w:val="en-US" w:eastAsia="zh-CN" w:bidi="ar-SA"/>
                      <w14:textFill>
                        <w14:solidFill>
                          <w14:schemeClr w14:val="tx1"/>
                        </w14:solidFill>
                      </w14:textFill>
                    </w:rPr>
                    <w:t>76</w:t>
                  </w:r>
                </w:p>
              </w:tc>
              <w:tc>
                <w:tcPr>
                  <w:tcW w:w="436"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52</w:t>
                  </w:r>
                </w:p>
              </w:tc>
              <w:tc>
                <w:tcPr>
                  <w:tcW w:w="467"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32</w:t>
                  </w:r>
                </w:p>
              </w:tc>
              <w:tc>
                <w:tcPr>
                  <w:tcW w:w="467"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43</w:t>
                  </w:r>
                </w:p>
              </w:tc>
              <w:tc>
                <w:tcPr>
                  <w:tcW w:w="482"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37</w:t>
                  </w:r>
                </w:p>
              </w:tc>
              <w:tc>
                <w:tcPr>
                  <w:tcW w:w="5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color w:val="000000" w:themeColor="text1"/>
                      <w:spacing w:val="0"/>
                      <w:kern w:val="0"/>
                      <w:position w:val="0"/>
                      <w:sz w:val="21"/>
                      <w:szCs w:val="21"/>
                      <w:lang w:val="en-US" w:eastAsia="zh-CN"/>
                      <w14:textFill>
                        <w14:solidFill>
                          <w14:schemeClr w14:val="tx1"/>
                        </w14:solidFill>
                      </w14:textFill>
                    </w:rPr>
                  </w:pPr>
                  <w:r>
                    <w:rPr>
                      <w:rFonts w:hint="default" w:ascii="Times New Roman" w:hAnsi="Times New Roman" w:eastAsia="宋体" w:cs="Times New Roman"/>
                      <w:b w:val="0"/>
                      <w:bCs w:val="0"/>
                      <w:snapToGrid/>
                      <w:color w:val="000000" w:themeColor="text1"/>
                      <w:spacing w:val="0"/>
                      <w:kern w:val="0"/>
                      <w:position w:val="0"/>
                      <w:sz w:val="21"/>
                      <w:szCs w:val="21"/>
                      <w:lang w:val="en-US" w:eastAsia="zh-CN"/>
                      <w14:textFill>
                        <w14:solidFill>
                          <w14:schemeClr w14:val="tx1"/>
                        </w14:solidFill>
                      </w14:textFill>
                    </w:rPr>
                    <w:t>24h</w:t>
                  </w:r>
                </w:p>
              </w:tc>
              <w:tc>
                <w:tcPr>
                  <w:tcW w:w="7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15</w:t>
                  </w:r>
                </w:p>
              </w:tc>
              <w:tc>
                <w:tcPr>
                  <w:tcW w:w="788"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53</w:t>
                  </w:r>
                </w:p>
              </w:tc>
              <w:tc>
                <w:tcPr>
                  <w:tcW w:w="6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530" w:type="dxa"/>
                  <w:vMerge w:val="continue"/>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743" w:type="dxa"/>
                  <w:vMerge w:val="continue"/>
                  <w:tcBorders>
                    <w:tl2br w:val="nil"/>
                    <w:tr2bl w:val="nil"/>
                  </w:tcBorders>
                  <w:noWrap w:val="0"/>
                  <w:vAlign w:val="center"/>
                </w:tcPr>
                <w:p>
                  <w:pPr>
                    <w:widowControl/>
                    <w:jc w:val="center"/>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p>
              </w:tc>
              <w:tc>
                <w:tcPr>
                  <w:tcW w:w="1160" w:type="dxa"/>
                  <w:tcBorders>
                    <w:tl2br w:val="nil"/>
                    <w:tr2bl w:val="nil"/>
                  </w:tcBorders>
                  <w:noWrap w:val="0"/>
                  <w:vAlign w:val="center"/>
                </w:tcPr>
                <w:p>
                  <w:pPr>
                    <w:keepNext w:val="0"/>
                    <w:keepLines w:val="0"/>
                    <w:pageBreakBefore w:val="0"/>
                    <w:widowControl/>
                    <w:kinsoku/>
                    <w:wordWrap/>
                    <w:overflowPunct/>
                    <w:topLinePunct w:val="0"/>
                    <w:bidi w:val="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rPr>
                    <w:t>3ML4680</w:t>
                  </w:r>
                </w:p>
              </w:tc>
              <w:tc>
                <w:tcPr>
                  <w:tcW w:w="945" w:type="dxa"/>
                  <w:tcBorders>
                    <w:tl2br w:val="nil"/>
                    <w:tr2bl w:val="nil"/>
                  </w:tcBorders>
                  <w:noWrap w:val="0"/>
                  <w:vAlign w:val="center"/>
                </w:tcPr>
                <w:p>
                  <w:pPr>
                    <w:widowControl/>
                    <w:jc w:val="center"/>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t>75</w:t>
                  </w:r>
                </w:p>
              </w:tc>
              <w:tc>
                <w:tcPr>
                  <w:tcW w:w="750" w:type="dxa"/>
                  <w:vMerge w:val="continue"/>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9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t>31</w:t>
                  </w:r>
                </w:p>
              </w:tc>
              <w:tc>
                <w:tcPr>
                  <w:tcW w:w="510"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t>11</w:t>
                  </w:r>
                </w:p>
              </w:tc>
              <w:tc>
                <w:tcPr>
                  <w:tcW w:w="49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t>0.5</w:t>
                  </w:r>
                </w:p>
              </w:tc>
              <w:tc>
                <w:tcPr>
                  <w:tcW w:w="531"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13</w:t>
                  </w:r>
                </w:p>
              </w:tc>
              <w:tc>
                <w:tcPr>
                  <w:tcW w:w="531"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140</w:t>
                  </w:r>
                </w:p>
              </w:tc>
              <w:tc>
                <w:tcPr>
                  <w:tcW w:w="495"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36</w:t>
                  </w:r>
                </w:p>
              </w:tc>
              <w:tc>
                <w:tcPr>
                  <w:tcW w:w="528"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spacing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2"/>
                      <w:sz w:val="21"/>
                      <w:szCs w:val="21"/>
                      <w:lang w:val="en-US" w:eastAsia="zh-CN" w:bidi="ar-SA"/>
                      <w14:textFill>
                        <w14:solidFill>
                          <w14:schemeClr w14:val="tx1"/>
                        </w14:solidFill>
                      </w14:textFill>
                    </w:rPr>
                    <w:t>75</w:t>
                  </w:r>
                </w:p>
              </w:tc>
              <w:tc>
                <w:tcPr>
                  <w:tcW w:w="436"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53</w:t>
                  </w:r>
                </w:p>
              </w:tc>
              <w:tc>
                <w:tcPr>
                  <w:tcW w:w="467"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32</w:t>
                  </w:r>
                </w:p>
              </w:tc>
              <w:tc>
                <w:tcPr>
                  <w:tcW w:w="467"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44</w:t>
                  </w:r>
                </w:p>
              </w:tc>
              <w:tc>
                <w:tcPr>
                  <w:tcW w:w="482"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37</w:t>
                  </w:r>
                </w:p>
              </w:tc>
              <w:tc>
                <w:tcPr>
                  <w:tcW w:w="5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snapToGrid/>
                      <w:color w:val="000000" w:themeColor="text1"/>
                      <w:spacing w:val="0"/>
                      <w:kern w:val="0"/>
                      <w:position w:val="0"/>
                      <w:sz w:val="21"/>
                      <w:szCs w:val="21"/>
                      <w:lang w:val="en-US" w:eastAsia="zh-CN"/>
                      <w14:textFill>
                        <w14:solidFill>
                          <w14:schemeClr w14:val="tx1"/>
                        </w14:solidFill>
                      </w14:textFill>
                    </w:rPr>
                    <w:t>24h</w:t>
                  </w:r>
                </w:p>
              </w:tc>
              <w:tc>
                <w:tcPr>
                  <w:tcW w:w="7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15</w:t>
                  </w:r>
                </w:p>
              </w:tc>
              <w:tc>
                <w:tcPr>
                  <w:tcW w:w="7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54</w:t>
                  </w:r>
                </w:p>
              </w:tc>
              <w:tc>
                <w:tcPr>
                  <w:tcW w:w="6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spacing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2"/>
                      <w:sz w:val="21"/>
                      <w:szCs w:val="21"/>
                      <w:lang w:val="en-US" w:eastAsia="zh-CN" w:bidi="ar-SA"/>
                      <w14:textFill>
                        <w14:solidFill>
                          <w14:schemeClr w14:val="tx1"/>
                        </w14:solidFill>
                      </w14:textFill>
                    </w:rPr>
                    <w:t>4</w:t>
                  </w:r>
                </w:p>
              </w:tc>
              <w:tc>
                <w:tcPr>
                  <w:tcW w:w="530" w:type="dxa"/>
                  <w:vMerge w:val="continue"/>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743" w:type="dxa"/>
                  <w:tcBorders>
                    <w:tl2br w:val="nil"/>
                    <w:tr2bl w:val="nil"/>
                  </w:tcBorders>
                  <w:noWrap w:val="0"/>
                  <w:vAlign w:val="center"/>
                </w:tcPr>
                <w:p>
                  <w:pPr>
                    <w:keepNext w:val="0"/>
                    <w:keepLines w:val="0"/>
                    <w:pageBreakBefore w:val="0"/>
                    <w:widowControl/>
                    <w:kinsoku/>
                    <w:wordWrap/>
                    <w:overflowPunct/>
                    <w:topLinePunct w:val="0"/>
                    <w:bidi w:val="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eastAsia="zh-CN"/>
                    </w:rPr>
                    <w:t>振动筛</w:t>
                  </w:r>
                </w:p>
              </w:tc>
              <w:tc>
                <w:tcPr>
                  <w:tcW w:w="1160" w:type="dxa"/>
                  <w:tcBorders>
                    <w:tl2br w:val="nil"/>
                    <w:tr2bl w:val="nil"/>
                  </w:tcBorders>
                  <w:noWrap w:val="0"/>
                  <w:vAlign w:val="center"/>
                </w:tcPr>
                <w:p>
                  <w:pPr>
                    <w:keepNext w:val="0"/>
                    <w:keepLines w:val="0"/>
                    <w:pageBreakBefore w:val="0"/>
                    <w:widowControl/>
                    <w:kinsoku/>
                    <w:wordWrap/>
                    <w:overflowPunct/>
                    <w:topLinePunct w:val="0"/>
                    <w:bidi w:val="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rPr>
                    <w:t>/</w:t>
                  </w:r>
                </w:p>
              </w:tc>
              <w:tc>
                <w:tcPr>
                  <w:tcW w:w="945" w:type="dxa"/>
                  <w:tcBorders>
                    <w:tl2br w:val="nil"/>
                    <w:tr2bl w:val="nil"/>
                  </w:tcBorders>
                  <w:noWrap w:val="0"/>
                  <w:vAlign w:val="center"/>
                </w:tcPr>
                <w:p>
                  <w:pPr>
                    <w:widowControl/>
                    <w:jc w:val="center"/>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t>80</w:t>
                  </w:r>
                </w:p>
              </w:tc>
              <w:tc>
                <w:tcPr>
                  <w:tcW w:w="750" w:type="dxa"/>
                  <w:vMerge w:val="continue"/>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9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t>35</w:t>
                  </w:r>
                </w:p>
              </w:tc>
              <w:tc>
                <w:tcPr>
                  <w:tcW w:w="510"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t>14</w:t>
                  </w:r>
                </w:p>
              </w:tc>
              <w:tc>
                <w:tcPr>
                  <w:tcW w:w="49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t>1</w:t>
                  </w:r>
                </w:p>
              </w:tc>
              <w:tc>
                <w:tcPr>
                  <w:tcW w:w="531"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12</w:t>
                  </w:r>
                </w:p>
              </w:tc>
              <w:tc>
                <w:tcPr>
                  <w:tcW w:w="531"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154</w:t>
                  </w:r>
                </w:p>
              </w:tc>
              <w:tc>
                <w:tcPr>
                  <w:tcW w:w="495"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42</w:t>
                  </w:r>
                </w:p>
              </w:tc>
              <w:tc>
                <w:tcPr>
                  <w:tcW w:w="528"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spacing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2"/>
                      <w:sz w:val="21"/>
                      <w:szCs w:val="21"/>
                      <w:lang w:val="en-US" w:eastAsia="zh-CN" w:bidi="ar-SA"/>
                      <w14:textFill>
                        <w14:solidFill>
                          <w14:schemeClr w14:val="tx1"/>
                        </w14:solidFill>
                      </w14:textFill>
                    </w:rPr>
                    <w:t>62</w:t>
                  </w:r>
                </w:p>
              </w:tc>
              <w:tc>
                <w:tcPr>
                  <w:tcW w:w="436"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58</w:t>
                  </w:r>
                </w:p>
              </w:tc>
              <w:tc>
                <w:tcPr>
                  <w:tcW w:w="467"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36</w:t>
                  </w:r>
                </w:p>
              </w:tc>
              <w:tc>
                <w:tcPr>
                  <w:tcW w:w="467"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47</w:t>
                  </w:r>
                </w:p>
              </w:tc>
              <w:tc>
                <w:tcPr>
                  <w:tcW w:w="482"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44</w:t>
                  </w:r>
                </w:p>
              </w:tc>
              <w:tc>
                <w:tcPr>
                  <w:tcW w:w="5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snapToGrid/>
                      <w:color w:val="000000" w:themeColor="text1"/>
                      <w:spacing w:val="0"/>
                      <w:kern w:val="0"/>
                      <w:position w:val="0"/>
                      <w:sz w:val="21"/>
                      <w:szCs w:val="21"/>
                      <w:lang w:val="en-US" w:eastAsia="zh-CN"/>
                      <w14:textFill>
                        <w14:solidFill>
                          <w14:schemeClr w14:val="tx1"/>
                        </w14:solidFill>
                      </w14:textFill>
                    </w:rPr>
                    <w:t>24h</w:t>
                  </w:r>
                </w:p>
              </w:tc>
              <w:tc>
                <w:tcPr>
                  <w:tcW w:w="7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15</w:t>
                  </w:r>
                </w:p>
              </w:tc>
              <w:tc>
                <w:tcPr>
                  <w:tcW w:w="788"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58</w:t>
                  </w:r>
                </w:p>
              </w:tc>
              <w:tc>
                <w:tcPr>
                  <w:tcW w:w="6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5</w:t>
                  </w:r>
                </w:p>
              </w:tc>
              <w:tc>
                <w:tcPr>
                  <w:tcW w:w="530" w:type="dxa"/>
                  <w:vMerge w:val="continue"/>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74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滚杠机</w:t>
                  </w:r>
                </w:p>
              </w:tc>
              <w:tc>
                <w:tcPr>
                  <w:tcW w:w="116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kern w:val="0"/>
                      <w:sz w:val="21"/>
                      <w:szCs w:val="21"/>
                      <w:highlight w:val="none"/>
                      <w:lang w:val="en-US" w:eastAsia="zh-CN"/>
                    </w:rPr>
                    <w:t>GX-900</w:t>
                  </w:r>
                </w:p>
              </w:tc>
              <w:tc>
                <w:tcPr>
                  <w:tcW w:w="945" w:type="dxa"/>
                  <w:tcBorders>
                    <w:tl2br w:val="nil"/>
                    <w:tr2bl w:val="nil"/>
                  </w:tcBorders>
                  <w:noWrap w:val="0"/>
                  <w:vAlign w:val="center"/>
                </w:tcPr>
                <w:p>
                  <w:pPr>
                    <w:widowControl/>
                    <w:jc w:val="center"/>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t>75</w:t>
                  </w:r>
                </w:p>
              </w:tc>
              <w:tc>
                <w:tcPr>
                  <w:tcW w:w="750" w:type="dxa"/>
                  <w:vMerge w:val="continue"/>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9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t>40</w:t>
                  </w:r>
                </w:p>
              </w:tc>
              <w:tc>
                <w:tcPr>
                  <w:tcW w:w="510"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t>16</w:t>
                  </w:r>
                </w:p>
              </w:tc>
              <w:tc>
                <w:tcPr>
                  <w:tcW w:w="49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t>0.5</w:t>
                  </w:r>
                </w:p>
              </w:tc>
              <w:tc>
                <w:tcPr>
                  <w:tcW w:w="531"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13</w:t>
                  </w:r>
                </w:p>
              </w:tc>
              <w:tc>
                <w:tcPr>
                  <w:tcW w:w="531"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154</w:t>
                  </w:r>
                </w:p>
              </w:tc>
              <w:tc>
                <w:tcPr>
                  <w:tcW w:w="495"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44</w:t>
                  </w:r>
                </w:p>
              </w:tc>
              <w:tc>
                <w:tcPr>
                  <w:tcW w:w="528"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spacing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2"/>
                      <w:sz w:val="21"/>
                      <w:szCs w:val="21"/>
                      <w:lang w:val="en-US" w:eastAsia="zh-CN" w:bidi="ar-SA"/>
                      <w14:textFill>
                        <w14:solidFill>
                          <w14:schemeClr w14:val="tx1"/>
                        </w14:solidFill>
                      </w14:textFill>
                    </w:rPr>
                    <w:t>61</w:t>
                  </w:r>
                </w:p>
              </w:tc>
              <w:tc>
                <w:tcPr>
                  <w:tcW w:w="436"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53</w:t>
                  </w:r>
                </w:p>
              </w:tc>
              <w:tc>
                <w:tcPr>
                  <w:tcW w:w="467"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31</w:t>
                  </w:r>
                </w:p>
              </w:tc>
              <w:tc>
                <w:tcPr>
                  <w:tcW w:w="467"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42</w:t>
                  </w:r>
                </w:p>
              </w:tc>
              <w:tc>
                <w:tcPr>
                  <w:tcW w:w="482"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39</w:t>
                  </w:r>
                </w:p>
              </w:tc>
              <w:tc>
                <w:tcPr>
                  <w:tcW w:w="5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color w:val="000000" w:themeColor="text1"/>
                      <w:spacing w:val="0"/>
                      <w:kern w:val="0"/>
                      <w:position w:val="0"/>
                      <w:sz w:val="21"/>
                      <w:szCs w:val="21"/>
                      <w:lang w:val="en-US" w:eastAsia="zh-CN"/>
                      <w14:textFill>
                        <w14:solidFill>
                          <w14:schemeClr w14:val="tx1"/>
                        </w14:solidFill>
                      </w14:textFill>
                    </w:rPr>
                  </w:pPr>
                  <w:r>
                    <w:rPr>
                      <w:rFonts w:hint="default" w:ascii="Times New Roman" w:hAnsi="Times New Roman" w:eastAsia="宋体" w:cs="Times New Roman"/>
                      <w:b w:val="0"/>
                      <w:bCs w:val="0"/>
                      <w:snapToGrid/>
                      <w:color w:val="000000" w:themeColor="text1"/>
                      <w:spacing w:val="0"/>
                      <w:kern w:val="0"/>
                      <w:position w:val="0"/>
                      <w:sz w:val="21"/>
                      <w:szCs w:val="21"/>
                      <w:lang w:val="en-US" w:eastAsia="zh-CN"/>
                      <w14:textFill>
                        <w14:solidFill>
                          <w14:schemeClr w14:val="tx1"/>
                        </w14:solidFill>
                      </w14:textFill>
                    </w:rPr>
                    <w:t>24h</w:t>
                  </w:r>
                </w:p>
              </w:tc>
              <w:tc>
                <w:tcPr>
                  <w:tcW w:w="7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15</w:t>
                  </w:r>
                </w:p>
              </w:tc>
              <w:tc>
                <w:tcPr>
                  <w:tcW w:w="788"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53</w:t>
                  </w:r>
                </w:p>
              </w:tc>
              <w:tc>
                <w:tcPr>
                  <w:tcW w:w="6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restart"/>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6</w:t>
                  </w:r>
                </w:p>
              </w:tc>
              <w:tc>
                <w:tcPr>
                  <w:tcW w:w="530" w:type="dxa"/>
                  <w:vMerge w:val="continue"/>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743" w:type="dxa"/>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初研机</w:t>
                  </w:r>
                </w:p>
              </w:tc>
              <w:tc>
                <w:tcPr>
                  <w:tcW w:w="1160" w:type="dxa"/>
                  <w:tcBorders>
                    <w:tl2br w:val="nil"/>
                    <w:tr2bl w:val="nil"/>
                  </w:tcBorders>
                  <w:noWrap w:val="0"/>
                  <w:vAlign w:val="center"/>
                </w:tcPr>
                <w:p>
                  <w:pPr>
                    <w:keepNext w:val="0"/>
                    <w:keepLines w:val="0"/>
                    <w:pageBreakBefore w:val="0"/>
                    <w:widowControl/>
                    <w:kinsoku/>
                    <w:wordWrap/>
                    <w:overflowPunct/>
                    <w:topLinePunct w:val="0"/>
                    <w:bidi w:val="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rPr>
                    <w:t>3ML4780</w:t>
                  </w:r>
                </w:p>
              </w:tc>
              <w:tc>
                <w:tcPr>
                  <w:tcW w:w="945" w:type="dxa"/>
                  <w:tcBorders>
                    <w:tl2br w:val="nil"/>
                    <w:tr2bl w:val="nil"/>
                  </w:tcBorders>
                  <w:noWrap w:val="0"/>
                  <w:vAlign w:val="center"/>
                </w:tcPr>
                <w:p>
                  <w:pPr>
                    <w:widowControl/>
                    <w:jc w:val="center"/>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t>70</w:t>
                  </w:r>
                </w:p>
              </w:tc>
              <w:tc>
                <w:tcPr>
                  <w:tcW w:w="750" w:type="dxa"/>
                  <w:vMerge w:val="continue"/>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9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t>19</w:t>
                  </w:r>
                </w:p>
              </w:tc>
              <w:tc>
                <w:tcPr>
                  <w:tcW w:w="510"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t>13</w:t>
                  </w:r>
                </w:p>
              </w:tc>
              <w:tc>
                <w:tcPr>
                  <w:tcW w:w="49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t>1</w:t>
                  </w:r>
                </w:p>
              </w:tc>
              <w:tc>
                <w:tcPr>
                  <w:tcW w:w="531"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41</w:t>
                  </w:r>
                </w:p>
              </w:tc>
              <w:tc>
                <w:tcPr>
                  <w:tcW w:w="531"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197</w:t>
                  </w:r>
                </w:p>
              </w:tc>
              <w:tc>
                <w:tcPr>
                  <w:tcW w:w="495"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12</w:t>
                  </w:r>
                </w:p>
              </w:tc>
              <w:tc>
                <w:tcPr>
                  <w:tcW w:w="528"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spacing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2"/>
                      <w:sz w:val="21"/>
                      <w:szCs w:val="21"/>
                      <w:lang w:val="en-US" w:eastAsia="zh-CN" w:bidi="ar-SA"/>
                      <w14:textFill>
                        <w14:solidFill>
                          <w14:schemeClr w14:val="tx1"/>
                        </w14:solidFill>
                      </w14:textFill>
                    </w:rPr>
                    <w:t>20</w:t>
                  </w:r>
                </w:p>
              </w:tc>
              <w:tc>
                <w:tcPr>
                  <w:tcW w:w="436"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38</w:t>
                  </w:r>
                </w:p>
              </w:tc>
              <w:tc>
                <w:tcPr>
                  <w:tcW w:w="467"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24</w:t>
                  </w:r>
                </w:p>
              </w:tc>
              <w:tc>
                <w:tcPr>
                  <w:tcW w:w="467"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48</w:t>
                  </w:r>
                </w:p>
              </w:tc>
              <w:tc>
                <w:tcPr>
                  <w:tcW w:w="482"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44</w:t>
                  </w:r>
                </w:p>
              </w:tc>
              <w:tc>
                <w:tcPr>
                  <w:tcW w:w="5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color w:val="000000" w:themeColor="text1"/>
                      <w:spacing w:val="0"/>
                      <w:kern w:val="0"/>
                      <w:position w:val="0"/>
                      <w:sz w:val="21"/>
                      <w:szCs w:val="21"/>
                      <w:lang w:val="en-US" w:eastAsia="zh-CN"/>
                      <w14:textFill>
                        <w14:solidFill>
                          <w14:schemeClr w14:val="tx1"/>
                        </w14:solidFill>
                      </w14:textFill>
                    </w:rPr>
                  </w:pPr>
                  <w:r>
                    <w:rPr>
                      <w:rFonts w:hint="default" w:ascii="Times New Roman" w:hAnsi="Times New Roman" w:eastAsia="宋体" w:cs="Times New Roman"/>
                      <w:b w:val="0"/>
                      <w:bCs w:val="0"/>
                      <w:snapToGrid/>
                      <w:color w:val="000000" w:themeColor="text1"/>
                      <w:spacing w:val="0"/>
                      <w:kern w:val="0"/>
                      <w:position w:val="0"/>
                      <w:sz w:val="21"/>
                      <w:szCs w:val="21"/>
                      <w:lang w:val="en-US" w:eastAsia="zh-CN"/>
                      <w14:textFill>
                        <w14:solidFill>
                          <w14:schemeClr w14:val="tx1"/>
                        </w14:solidFill>
                      </w14:textFill>
                    </w:rPr>
                    <w:t>24h</w:t>
                  </w:r>
                </w:p>
              </w:tc>
              <w:tc>
                <w:tcPr>
                  <w:tcW w:w="7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15</w:t>
                  </w:r>
                </w:p>
              </w:tc>
              <w:tc>
                <w:tcPr>
                  <w:tcW w:w="788"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50</w:t>
                  </w:r>
                </w:p>
              </w:tc>
              <w:tc>
                <w:tcPr>
                  <w:tcW w:w="6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530" w:type="dxa"/>
                  <w:vMerge w:val="continue"/>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743" w:type="dxa"/>
                  <w:vMerge w:val="continue"/>
                  <w:tcBorders>
                    <w:tl2br w:val="nil"/>
                    <w:tr2bl w:val="nil"/>
                  </w:tcBorders>
                  <w:noWrap w:val="0"/>
                  <w:vAlign w:val="center"/>
                </w:tcPr>
                <w:p>
                  <w:pPr>
                    <w:widowControl/>
                    <w:jc w:val="center"/>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p>
              </w:tc>
              <w:tc>
                <w:tcPr>
                  <w:tcW w:w="1160" w:type="dxa"/>
                  <w:tcBorders>
                    <w:tl2br w:val="nil"/>
                    <w:tr2bl w:val="nil"/>
                  </w:tcBorders>
                  <w:noWrap w:val="0"/>
                  <w:vAlign w:val="center"/>
                </w:tcPr>
                <w:p>
                  <w:pPr>
                    <w:keepNext w:val="0"/>
                    <w:keepLines w:val="0"/>
                    <w:pageBreakBefore w:val="0"/>
                    <w:widowControl/>
                    <w:kinsoku/>
                    <w:wordWrap/>
                    <w:overflowPunct/>
                    <w:topLinePunct w:val="0"/>
                    <w:bidi w:val="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rPr>
                    <w:t>3M7780</w:t>
                  </w:r>
                </w:p>
              </w:tc>
              <w:tc>
                <w:tcPr>
                  <w:tcW w:w="945" w:type="dxa"/>
                  <w:tcBorders>
                    <w:tl2br w:val="nil"/>
                    <w:tr2bl w:val="nil"/>
                  </w:tcBorders>
                  <w:noWrap w:val="0"/>
                  <w:vAlign w:val="center"/>
                </w:tcPr>
                <w:p>
                  <w:pPr>
                    <w:widowControl/>
                    <w:jc w:val="center"/>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t>70</w:t>
                  </w:r>
                </w:p>
              </w:tc>
              <w:tc>
                <w:tcPr>
                  <w:tcW w:w="750" w:type="dxa"/>
                  <w:vMerge w:val="continue"/>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9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t>18</w:t>
                  </w:r>
                </w:p>
              </w:tc>
              <w:tc>
                <w:tcPr>
                  <w:tcW w:w="510"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t>12</w:t>
                  </w:r>
                </w:p>
              </w:tc>
              <w:tc>
                <w:tcPr>
                  <w:tcW w:w="49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t>1</w:t>
                  </w:r>
                </w:p>
              </w:tc>
              <w:tc>
                <w:tcPr>
                  <w:tcW w:w="531"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40</w:t>
                  </w:r>
                </w:p>
              </w:tc>
              <w:tc>
                <w:tcPr>
                  <w:tcW w:w="531"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196</w:t>
                  </w:r>
                </w:p>
              </w:tc>
              <w:tc>
                <w:tcPr>
                  <w:tcW w:w="495"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13</w:t>
                  </w:r>
                </w:p>
              </w:tc>
              <w:tc>
                <w:tcPr>
                  <w:tcW w:w="528"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spacing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2"/>
                      <w:sz w:val="21"/>
                      <w:szCs w:val="21"/>
                      <w:lang w:val="en-US" w:eastAsia="zh-CN" w:bidi="ar-SA"/>
                      <w14:textFill>
                        <w14:solidFill>
                          <w14:schemeClr w14:val="tx1"/>
                        </w14:solidFill>
                      </w14:textFill>
                    </w:rPr>
                    <w:t>21</w:t>
                  </w:r>
                </w:p>
              </w:tc>
              <w:tc>
                <w:tcPr>
                  <w:tcW w:w="436"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38</w:t>
                  </w:r>
                </w:p>
              </w:tc>
              <w:tc>
                <w:tcPr>
                  <w:tcW w:w="467"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24</w:t>
                  </w:r>
                </w:p>
              </w:tc>
              <w:tc>
                <w:tcPr>
                  <w:tcW w:w="467"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48</w:t>
                  </w:r>
                </w:p>
              </w:tc>
              <w:tc>
                <w:tcPr>
                  <w:tcW w:w="482"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44</w:t>
                  </w:r>
                </w:p>
              </w:tc>
              <w:tc>
                <w:tcPr>
                  <w:tcW w:w="5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color w:val="000000" w:themeColor="text1"/>
                      <w:spacing w:val="0"/>
                      <w:kern w:val="0"/>
                      <w:position w:val="0"/>
                      <w:sz w:val="21"/>
                      <w:szCs w:val="21"/>
                      <w:lang w:val="en-US" w:eastAsia="zh-CN"/>
                      <w14:textFill>
                        <w14:solidFill>
                          <w14:schemeClr w14:val="tx1"/>
                        </w14:solidFill>
                      </w14:textFill>
                    </w:rPr>
                  </w:pPr>
                  <w:r>
                    <w:rPr>
                      <w:rFonts w:hint="default" w:ascii="Times New Roman" w:hAnsi="Times New Roman" w:eastAsia="宋体" w:cs="Times New Roman"/>
                      <w:b w:val="0"/>
                      <w:bCs w:val="0"/>
                      <w:snapToGrid/>
                      <w:color w:val="000000" w:themeColor="text1"/>
                      <w:spacing w:val="0"/>
                      <w:kern w:val="0"/>
                      <w:position w:val="0"/>
                      <w:sz w:val="21"/>
                      <w:szCs w:val="21"/>
                      <w:lang w:val="en-US" w:eastAsia="zh-CN"/>
                      <w14:textFill>
                        <w14:solidFill>
                          <w14:schemeClr w14:val="tx1"/>
                        </w14:solidFill>
                      </w14:textFill>
                    </w:rPr>
                    <w:t>24h</w:t>
                  </w:r>
                </w:p>
              </w:tc>
              <w:tc>
                <w:tcPr>
                  <w:tcW w:w="7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15</w:t>
                  </w:r>
                </w:p>
              </w:tc>
              <w:tc>
                <w:tcPr>
                  <w:tcW w:w="788"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50</w:t>
                  </w:r>
                </w:p>
              </w:tc>
              <w:tc>
                <w:tcPr>
                  <w:tcW w:w="6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restart"/>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7</w:t>
                  </w:r>
                </w:p>
              </w:tc>
              <w:tc>
                <w:tcPr>
                  <w:tcW w:w="530" w:type="dxa"/>
                  <w:vMerge w:val="continue"/>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743" w:type="dxa"/>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精研机</w:t>
                  </w:r>
                </w:p>
              </w:tc>
              <w:tc>
                <w:tcPr>
                  <w:tcW w:w="1160" w:type="dxa"/>
                  <w:tcBorders>
                    <w:tl2br w:val="nil"/>
                    <w:tr2bl w:val="nil"/>
                  </w:tcBorders>
                  <w:noWrap w:val="0"/>
                  <w:vAlign w:val="center"/>
                </w:tcPr>
                <w:p>
                  <w:pPr>
                    <w:keepNext w:val="0"/>
                    <w:keepLines w:val="0"/>
                    <w:pageBreakBefore w:val="0"/>
                    <w:widowControl/>
                    <w:kinsoku/>
                    <w:wordWrap/>
                    <w:overflowPunct/>
                    <w:topLinePunct w:val="0"/>
                    <w:bidi w:val="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rPr>
                    <w:t>ND660</w:t>
                  </w:r>
                </w:p>
              </w:tc>
              <w:tc>
                <w:tcPr>
                  <w:tcW w:w="945" w:type="dxa"/>
                  <w:tcBorders>
                    <w:tl2br w:val="nil"/>
                    <w:tr2bl w:val="nil"/>
                  </w:tcBorders>
                  <w:noWrap w:val="0"/>
                  <w:vAlign w:val="center"/>
                </w:tcPr>
                <w:p>
                  <w:pPr>
                    <w:widowControl/>
                    <w:jc w:val="center"/>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t>70</w:t>
                  </w:r>
                </w:p>
              </w:tc>
              <w:tc>
                <w:tcPr>
                  <w:tcW w:w="750" w:type="dxa"/>
                  <w:vMerge w:val="continue"/>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9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t>48</w:t>
                  </w:r>
                </w:p>
              </w:tc>
              <w:tc>
                <w:tcPr>
                  <w:tcW w:w="510"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t>15</w:t>
                  </w:r>
                </w:p>
              </w:tc>
              <w:tc>
                <w:tcPr>
                  <w:tcW w:w="49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t>1.5</w:t>
                  </w:r>
                </w:p>
              </w:tc>
              <w:tc>
                <w:tcPr>
                  <w:tcW w:w="531"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43</w:t>
                  </w:r>
                </w:p>
              </w:tc>
              <w:tc>
                <w:tcPr>
                  <w:tcW w:w="531"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154</w:t>
                  </w:r>
                </w:p>
              </w:tc>
              <w:tc>
                <w:tcPr>
                  <w:tcW w:w="495"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14</w:t>
                  </w:r>
                </w:p>
              </w:tc>
              <w:tc>
                <w:tcPr>
                  <w:tcW w:w="528"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spacing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2"/>
                      <w:sz w:val="21"/>
                      <w:szCs w:val="21"/>
                      <w:lang w:val="en-US" w:eastAsia="zh-CN" w:bidi="ar-SA"/>
                      <w14:textFill>
                        <w14:solidFill>
                          <w14:schemeClr w14:val="tx1"/>
                        </w14:solidFill>
                      </w14:textFill>
                    </w:rPr>
                    <w:t>60</w:t>
                  </w:r>
                </w:p>
              </w:tc>
              <w:tc>
                <w:tcPr>
                  <w:tcW w:w="436"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37</w:t>
                  </w:r>
                </w:p>
              </w:tc>
              <w:tc>
                <w:tcPr>
                  <w:tcW w:w="467"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26</w:t>
                  </w:r>
                </w:p>
              </w:tc>
              <w:tc>
                <w:tcPr>
                  <w:tcW w:w="467"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47</w:t>
                  </w:r>
                </w:p>
              </w:tc>
              <w:tc>
                <w:tcPr>
                  <w:tcW w:w="482"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34</w:t>
                  </w:r>
                </w:p>
              </w:tc>
              <w:tc>
                <w:tcPr>
                  <w:tcW w:w="5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color w:val="000000" w:themeColor="text1"/>
                      <w:spacing w:val="0"/>
                      <w:kern w:val="0"/>
                      <w:position w:val="0"/>
                      <w:sz w:val="21"/>
                      <w:szCs w:val="21"/>
                      <w:lang w:val="en-US" w:eastAsia="zh-CN"/>
                      <w14:textFill>
                        <w14:solidFill>
                          <w14:schemeClr w14:val="tx1"/>
                        </w14:solidFill>
                      </w14:textFill>
                    </w:rPr>
                  </w:pPr>
                  <w:r>
                    <w:rPr>
                      <w:rFonts w:hint="default" w:ascii="Times New Roman" w:hAnsi="Times New Roman" w:eastAsia="宋体" w:cs="Times New Roman"/>
                      <w:b w:val="0"/>
                      <w:bCs w:val="0"/>
                      <w:snapToGrid/>
                      <w:color w:val="000000" w:themeColor="text1"/>
                      <w:spacing w:val="0"/>
                      <w:kern w:val="0"/>
                      <w:position w:val="0"/>
                      <w:sz w:val="21"/>
                      <w:szCs w:val="21"/>
                      <w:lang w:val="en-US" w:eastAsia="zh-CN"/>
                      <w14:textFill>
                        <w14:solidFill>
                          <w14:schemeClr w14:val="tx1"/>
                        </w14:solidFill>
                      </w14:textFill>
                    </w:rPr>
                    <w:t>24h</w:t>
                  </w:r>
                </w:p>
              </w:tc>
              <w:tc>
                <w:tcPr>
                  <w:tcW w:w="7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15</w:t>
                  </w:r>
                </w:p>
              </w:tc>
              <w:tc>
                <w:tcPr>
                  <w:tcW w:w="788"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48</w:t>
                  </w:r>
                </w:p>
              </w:tc>
              <w:tc>
                <w:tcPr>
                  <w:tcW w:w="6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530" w:type="dxa"/>
                  <w:vMerge w:val="continue"/>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743" w:type="dxa"/>
                  <w:vMerge w:val="continue"/>
                  <w:tcBorders>
                    <w:tl2br w:val="nil"/>
                    <w:tr2bl w:val="nil"/>
                  </w:tcBorders>
                  <w:noWrap w:val="0"/>
                  <w:vAlign w:val="center"/>
                </w:tcPr>
                <w:p>
                  <w:pPr>
                    <w:widowControl/>
                    <w:jc w:val="center"/>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p>
              </w:tc>
              <w:tc>
                <w:tcPr>
                  <w:tcW w:w="1160" w:type="dxa"/>
                  <w:tcBorders>
                    <w:tl2br w:val="nil"/>
                    <w:tr2bl w:val="nil"/>
                  </w:tcBorders>
                  <w:noWrap w:val="0"/>
                  <w:vAlign w:val="center"/>
                </w:tcPr>
                <w:p>
                  <w:pPr>
                    <w:keepNext w:val="0"/>
                    <w:keepLines w:val="0"/>
                    <w:pageBreakBefore w:val="0"/>
                    <w:widowControl/>
                    <w:kinsoku/>
                    <w:wordWrap/>
                    <w:overflowPunct/>
                    <w:topLinePunct w:val="0"/>
                    <w:bidi w:val="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rPr>
                    <w:t>3ML4780</w:t>
                  </w:r>
                </w:p>
              </w:tc>
              <w:tc>
                <w:tcPr>
                  <w:tcW w:w="945" w:type="dxa"/>
                  <w:tcBorders>
                    <w:tl2br w:val="nil"/>
                    <w:tr2bl w:val="nil"/>
                  </w:tcBorders>
                  <w:noWrap w:val="0"/>
                  <w:vAlign w:val="center"/>
                </w:tcPr>
                <w:p>
                  <w:pPr>
                    <w:widowControl/>
                    <w:jc w:val="center"/>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t>70</w:t>
                  </w:r>
                </w:p>
              </w:tc>
              <w:tc>
                <w:tcPr>
                  <w:tcW w:w="750" w:type="dxa"/>
                  <w:vMerge w:val="continue"/>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9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t>47</w:t>
                  </w:r>
                </w:p>
              </w:tc>
              <w:tc>
                <w:tcPr>
                  <w:tcW w:w="510"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t>15</w:t>
                  </w:r>
                </w:p>
              </w:tc>
              <w:tc>
                <w:tcPr>
                  <w:tcW w:w="49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t>1.5</w:t>
                  </w:r>
                </w:p>
              </w:tc>
              <w:tc>
                <w:tcPr>
                  <w:tcW w:w="531"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42</w:t>
                  </w:r>
                </w:p>
              </w:tc>
              <w:tc>
                <w:tcPr>
                  <w:tcW w:w="531"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152</w:t>
                  </w:r>
                </w:p>
              </w:tc>
              <w:tc>
                <w:tcPr>
                  <w:tcW w:w="495"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13</w:t>
                  </w:r>
                </w:p>
              </w:tc>
              <w:tc>
                <w:tcPr>
                  <w:tcW w:w="528"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spacing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2"/>
                      <w:sz w:val="21"/>
                      <w:szCs w:val="21"/>
                      <w:lang w:val="en-US" w:eastAsia="zh-CN" w:bidi="ar-SA"/>
                      <w14:textFill>
                        <w14:solidFill>
                          <w14:schemeClr w14:val="tx1"/>
                        </w14:solidFill>
                      </w14:textFill>
                    </w:rPr>
                    <w:t>63</w:t>
                  </w:r>
                </w:p>
              </w:tc>
              <w:tc>
                <w:tcPr>
                  <w:tcW w:w="436"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38</w:t>
                  </w:r>
                </w:p>
              </w:tc>
              <w:tc>
                <w:tcPr>
                  <w:tcW w:w="467"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26</w:t>
                  </w:r>
                </w:p>
              </w:tc>
              <w:tc>
                <w:tcPr>
                  <w:tcW w:w="467"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48</w:t>
                  </w:r>
                </w:p>
              </w:tc>
              <w:tc>
                <w:tcPr>
                  <w:tcW w:w="482"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34</w:t>
                  </w:r>
                </w:p>
              </w:tc>
              <w:tc>
                <w:tcPr>
                  <w:tcW w:w="5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color w:val="000000" w:themeColor="text1"/>
                      <w:spacing w:val="0"/>
                      <w:kern w:val="0"/>
                      <w:position w:val="0"/>
                      <w:sz w:val="21"/>
                      <w:szCs w:val="21"/>
                      <w:lang w:val="en-US" w:eastAsia="zh-CN"/>
                      <w14:textFill>
                        <w14:solidFill>
                          <w14:schemeClr w14:val="tx1"/>
                        </w14:solidFill>
                      </w14:textFill>
                    </w:rPr>
                  </w:pPr>
                  <w:r>
                    <w:rPr>
                      <w:rFonts w:hint="default" w:ascii="Times New Roman" w:hAnsi="Times New Roman" w:eastAsia="宋体" w:cs="Times New Roman"/>
                      <w:b w:val="0"/>
                      <w:bCs w:val="0"/>
                      <w:snapToGrid/>
                      <w:color w:val="000000" w:themeColor="text1"/>
                      <w:spacing w:val="0"/>
                      <w:kern w:val="0"/>
                      <w:position w:val="0"/>
                      <w:sz w:val="21"/>
                      <w:szCs w:val="21"/>
                      <w:lang w:val="en-US" w:eastAsia="zh-CN"/>
                      <w14:textFill>
                        <w14:solidFill>
                          <w14:schemeClr w14:val="tx1"/>
                        </w14:solidFill>
                      </w14:textFill>
                    </w:rPr>
                    <w:t>24h</w:t>
                  </w:r>
                </w:p>
              </w:tc>
              <w:tc>
                <w:tcPr>
                  <w:tcW w:w="7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15</w:t>
                  </w:r>
                </w:p>
              </w:tc>
              <w:tc>
                <w:tcPr>
                  <w:tcW w:w="788"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49</w:t>
                  </w:r>
                </w:p>
              </w:tc>
              <w:tc>
                <w:tcPr>
                  <w:tcW w:w="6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530" w:type="dxa"/>
                  <w:vMerge w:val="continue"/>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743" w:type="dxa"/>
                  <w:vMerge w:val="continue"/>
                  <w:tcBorders>
                    <w:tl2br w:val="nil"/>
                    <w:tr2bl w:val="nil"/>
                  </w:tcBorders>
                  <w:noWrap w:val="0"/>
                  <w:vAlign w:val="center"/>
                </w:tcPr>
                <w:p>
                  <w:pPr>
                    <w:widowControl/>
                    <w:jc w:val="center"/>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p>
              </w:tc>
              <w:tc>
                <w:tcPr>
                  <w:tcW w:w="1160" w:type="dxa"/>
                  <w:tcBorders>
                    <w:tl2br w:val="nil"/>
                    <w:tr2bl w:val="nil"/>
                  </w:tcBorders>
                  <w:noWrap w:val="0"/>
                  <w:vAlign w:val="center"/>
                </w:tcPr>
                <w:p>
                  <w:pPr>
                    <w:keepNext w:val="0"/>
                    <w:keepLines w:val="0"/>
                    <w:pageBreakBefore w:val="0"/>
                    <w:widowControl/>
                    <w:kinsoku/>
                    <w:wordWrap/>
                    <w:overflowPunct/>
                    <w:topLinePunct w:val="0"/>
                    <w:bidi w:val="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rPr>
                    <w:t>3M7780</w:t>
                  </w:r>
                </w:p>
              </w:tc>
              <w:tc>
                <w:tcPr>
                  <w:tcW w:w="945" w:type="dxa"/>
                  <w:tcBorders>
                    <w:tl2br w:val="nil"/>
                    <w:tr2bl w:val="nil"/>
                  </w:tcBorders>
                  <w:noWrap w:val="0"/>
                  <w:vAlign w:val="center"/>
                </w:tcPr>
                <w:p>
                  <w:pPr>
                    <w:widowControl/>
                    <w:jc w:val="center"/>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t>70</w:t>
                  </w:r>
                </w:p>
              </w:tc>
              <w:tc>
                <w:tcPr>
                  <w:tcW w:w="750" w:type="dxa"/>
                  <w:vMerge w:val="continue"/>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9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t>48</w:t>
                  </w:r>
                </w:p>
              </w:tc>
              <w:tc>
                <w:tcPr>
                  <w:tcW w:w="510"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t>14</w:t>
                  </w:r>
                </w:p>
              </w:tc>
              <w:tc>
                <w:tcPr>
                  <w:tcW w:w="49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t>1.5</w:t>
                  </w:r>
                </w:p>
              </w:tc>
              <w:tc>
                <w:tcPr>
                  <w:tcW w:w="531"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42</w:t>
                  </w:r>
                </w:p>
              </w:tc>
              <w:tc>
                <w:tcPr>
                  <w:tcW w:w="531"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150</w:t>
                  </w:r>
                </w:p>
              </w:tc>
              <w:tc>
                <w:tcPr>
                  <w:tcW w:w="495"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13</w:t>
                  </w:r>
                </w:p>
              </w:tc>
              <w:tc>
                <w:tcPr>
                  <w:tcW w:w="528"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spacing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2"/>
                      <w:sz w:val="21"/>
                      <w:szCs w:val="21"/>
                      <w:lang w:val="en-US" w:eastAsia="zh-CN" w:bidi="ar-SA"/>
                      <w14:textFill>
                        <w14:solidFill>
                          <w14:schemeClr w14:val="tx1"/>
                        </w14:solidFill>
                      </w14:textFill>
                    </w:rPr>
                    <w:t>62</w:t>
                  </w:r>
                </w:p>
              </w:tc>
              <w:tc>
                <w:tcPr>
                  <w:tcW w:w="436"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38</w:t>
                  </w:r>
                </w:p>
              </w:tc>
              <w:tc>
                <w:tcPr>
                  <w:tcW w:w="467"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26</w:t>
                  </w:r>
                </w:p>
              </w:tc>
              <w:tc>
                <w:tcPr>
                  <w:tcW w:w="467"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48</w:t>
                  </w:r>
                </w:p>
              </w:tc>
              <w:tc>
                <w:tcPr>
                  <w:tcW w:w="482"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34</w:t>
                  </w:r>
                </w:p>
              </w:tc>
              <w:tc>
                <w:tcPr>
                  <w:tcW w:w="5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color w:val="000000" w:themeColor="text1"/>
                      <w:spacing w:val="0"/>
                      <w:kern w:val="0"/>
                      <w:position w:val="0"/>
                      <w:sz w:val="21"/>
                      <w:szCs w:val="21"/>
                      <w:lang w:val="en-US" w:eastAsia="zh-CN"/>
                      <w14:textFill>
                        <w14:solidFill>
                          <w14:schemeClr w14:val="tx1"/>
                        </w14:solidFill>
                      </w14:textFill>
                    </w:rPr>
                  </w:pPr>
                  <w:r>
                    <w:rPr>
                      <w:rFonts w:hint="default" w:ascii="Times New Roman" w:hAnsi="Times New Roman" w:eastAsia="宋体" w:cs="Times New Roman"/>
                      <w:b w:val="0"/>
                      <w:bCs w:val="0"/>
                      <w:snapToGrid/>
                      <w:color w:val="000000" w:themeColor="text1"/>
                      <w:spacing w:val="0"/>
                      <w:kern w:val="0"/>
                      <w:position w:val="0"/>
                      <w:sz w:val="21"/>
                      <w:szCs w:val="21"/>
                      <w:lang w:val="en-US" w:eastAsia="zh-CN"/>
                      <w14:textFill>
                        <w14:solidFill>
                          <w14:schemeClr w14:val="tx1"/>
                        </w14:solidFill>
                      </w14:textFill>
                    </w:rPr>
                    <w:t>24h</w:t>
                  </w:r>
                </w:p>
              </w:tc>
              <w:tc>
                <w:tcPr>
                  <w:tcW w:w="7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15</w:t>
                  </w:r>
                </w:p>
              </w:tc>
              <w:tc>
                <w:tcPr>
                  <w:tcW w:w="788"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49</w:t>
                  </w:r>
                </w:p>
              </w:tc>
              <w:tc>
                <w:tcPr>
                  <w:tcW w:w="6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530" w:type="dxa"/>
                  <w:vMerge w:val="continue"/>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743" w:type="dxa"/>
                  <w:vMerge w:val="continue"/>
                  <w:tcBorders>
                    <w:tl2br w:val="nil"/>
                    <w:tr2bl w:val="nil"/>
                  </w:tcBorders>
                  <w:noWrap w:val="0"/>
                  <w:vAlign w:val="center"/>
                </w:tcPr>
                <w:p>
                  <w:pPr>
                    <w:widowControl/>
                    <w:jc w:val="center"/>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p>
              </w:tc>
              <w:tc>
                <w:tcPr>
                  <w:tcW w:w="1160" w:type="dxa"/>
                  <w:tcBorders>
                    <w:tl2br w:val="nil"/>
                    <w:tr2bl w:val="nil"/>
                  </w:tcBorders>
                  <w:noWrap w:val="0"/>
                  <w:vAlign w:val="center"/>
                </w:tcPr>
                <w:p>
                  <w:pPr>
                    <w:keepNext w:val="0"/>
                    <w:keepLines w:val="0"/>
                    <w:pageBreakBefore w:val="0"/>
                    <w:widowControl/>
                    <w:kinsoku/>
                    <w:wordWrap/>
                    <w:overflowPunct/>
                    <w:topLinePunct w:val="0"/>
                    <w:bidi w:val="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rPr>
                    <w:t>QX-01</w:t>
                  </w:r>
                </w:p>
              </w:tc>
              <w:tc>
                <w:tcPr>
                  <w:tcW w:w="945" w:type="dxa"/>
                  <w:tcBorders>
                    <w:tl2br w:val="nil"/>
                    <w:tr2bl w:val="nil"/>
                  </w:tcBorders>
                  <w:noWrap w:val="0"/>
                  <w:vAlign w:val="center"/>
                </w:tcPr>
                <w:p>
                  <w:pPr>
                    <w:widowControl/>
                    <w:jc w:val="center"/>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t>70</w:t>
                  </w:r>
                </w:p>
              </w:tc>
              <w:tc>
                <w:tcPr>
                  <w:tcW w:w="750" w:type="dxa"/>
                  <w:vMerge w:val="continue"/>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9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t>46</w:t>
                  </w:r>
                </w:p>
              </w:tc>
              <w:tc>
                <w:tcPr>
                  <w:tcW w:w="510"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t>15</w:t>
                  </w:r>
                </w:p>
              </w:tc>
              <w:tc>
                <w:tcPr>
                  <w:tcW w:w="49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t>1.5</w:t>
                  </w:r>
                </w:p>
              </w:tc>
              <w:tc>
                <w:tcPr>
                  <w:tcW w:w="531"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44</w:t>
                  </w:r>
                </w:p>
              </w:tc>
              <w:tc>
                <w:tcPr>
                  <w:tcW w:w="531"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153</w:t>
                  </w:r>
                </w:p>
              </w:tc>
              <w:tc>
                <w:tcPr>
                  <w:tcW w:w="495"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15</w:t>
                  </w:r>
                </w:p>
              </w:tc>
              <w:tc>
                <w:tcPr>
                  <w:tcW w:w="528"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spacing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2"/>
                      <w:sz w:val="21"/>
                      <w:szCs w:val="21"/>
                      <w:lang w:val="en-US" w:eastAsia="zh-CN" w:bidi="ar-SA"/>
                      <w14:textFill>
                        <w14:solidFill>
                          <w14:schemeClr w14:val="tx1"/>
                        </w14:solidFill>
                      </w14:textFill>
                    </w:rPr>
                    <w:t>60</w:t>
                  </w:r>
                </w:p>
              </w:tc>
              <w:tc>
                <w:tcPr>
                  <w:tcW w:w="436"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37</w:t>
                  </w:r>
                </w:p>
              </w:tc>
              <w:tc>
                <w:tcPr>
                  <w:tcW w:w="467"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26</w:t>
                  </w:r>
                </w:p>
              </w:tc>
              <w:tc>
                <w:tcPr>
                  <w:tcW w:w="467"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46</w:t>
                  </w:r>
                </w:p>
              </w:tc>
              <w:tc>
                <w:tcPr>
                  <w:tcW w:w="482"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34</w:t>
                  </w:r>
                </w:p>
              </w:tc>
              <w:tc>
                <w:tcPr>
                  <w:tcW w:w="5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color w:val="000000" w:themeColor="text1"/>
                      <w:spacing w:val="0"/>
                      <w:kern w:val="0"/>
                      <w:position w:val="0"/>
                      <w:sz w:val="21"/>
                      <w:szCs w:val="21"/>
                      <w:lang w:val="en-US" w:eastAsia="zh-CN"/>
                      <w14:textFill>
                        <w14:solidFill>
                          <w14:schemeClr w14:val="tx1"/>
                        </w14:solidFill>
                      </w14:textFill>
                    </w:rPr>
                  </w:pPr>
                  <w:r>
                    <w:rPr>
                      <w:rFonts w:hint="default" w:ascii="Times New Roman" w:hAnsi="Times New Roman" w:eastAsia="宋体" w:cs="Times New Roman"/>
                      <w:b w:val="0"/>
                      <w:bCs w:val="0"/>
                      <w:snapToGrid/>
                      <w:color w:val="000000" w:themeColor="text1"/>
                      <w:spacing w:val="0"/>
                      <w:kern w:val="0"/>
                      <w:position w:val="0"/>
                      <w:sz w:val="21"/>
                      <w:szCs w:val="21"/>
                      <w:lang w:val="en-US" w:eastAsia="zh-CN"/>
                      <w14:textFill>
                        <w14:solidFill>
                          <w14:schemeClr w14:val="tx1"/>
                        </w14:solidFill>
                      </w14:textFill>
                    </w:rPr>
                    <w:t>24h</w:t>
                  </w:r>
                </w:p>
              </w:tc>
              <w:tc>
                <w:tcPr>
                  <w:tcW w:w="7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15</w:t>
                  </w:r>
                </w:p>
              </w:tc>
              <w:tc>
                <w:tcPr>
                  <w:tcW w:w="788"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47</w:t>
                  </w:r>
                </w:p>
              </w:tc>
              <w:tc>
                <w:tcPr>
                  <w:tcW w:w="6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8</w:t>
                  </w:r>
                </w:p>
              </w:tc>
              <w:tc>
                <w:tcPr>
                  <w:tcW w:w="530" w:type="dxa"/>
                  <w:vMerge w:val="continue"/>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743" w:type="dxa"/>
                  <w:tcBorders>
                    <w:tl2br w:val="nil"/>
                    <w:tr2bl w:val="nil"/>
                  </w:tcBorders>
                  <w:noWrap w:val="0"/>
                  <w:vAlign w:val="center"/>
                </w:tcPr>
                <w:p>
                  <w:pPr>
                    <w:widowControl/>
                    <w:jc w:val="center"/>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钢球清洗机</w:t>
                  </w:r>
                </w:p>
              </w:tc>
              <w:tc>
                <w:tcPr>
                  <w:tcW w:w="1160" w:type="dxa"/>
                  <w:tcBorders>
                    <w:tl2br w:val="nil"/>
                    <w:tr2bl w:val="nil"/>
                  </w:tcBorders>
                  <w:noWrap w:val="0"/>
                  <w:vAlign w:val="center"/>
                </w:tcPr>
                <w:p>
                  <w:pPr>
                    <w:keepNext w:val="0"/>
                    <w:keepLines w:val="0"/>
                    <w:pageBreakBefore w:val="0"/>
                    <w:tabs>
                      <w:tab w:val="left" w:pos="337"/>
                    </w:tabs>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t>/</w:t>
                  </w:r>
                </w:p>
              </w:tc>
              <w:tc>
                <w:tcPr>
                  <w:tcW w:w="945" w:type="dxa"/>
                  <w:tcBorders>
                    <w:tl2br w:val="nil"/>
                    <w:tr2bl w:val="nil"/>
                  </w:tcBorders>
                  <w:noWrap w:val="0"/>
                  <w:vAlign w:val="center"/>
                </w:tcPr>
                <w:p>
                  <w:pPr>
                    <w:widowControl/>
                    <w:jc w:val="center"/>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t>75</w:t>
                  </w:r>
                </w:p>
              </w:tc>
              <w:tc>
                <w:tcPr>
                  <w:tcW w:w="750" w:type="dxa"/>
                  <w:vMerge w:val="continue"/>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9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t>-18</w:t>
                  </w:r>
                </w:p>
              </w:tc>
              <w:tc>
                <w:tcPr>
                  <w:tcW w:w="510"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t>-10</w:t>
                  </w:r>
                </w:p>
              </w:tc>
              <w:tc>
                <w:tcPr>
                  <w:tcW w:w="49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t>1</w:t>
                  </w:r>
                </w:p>
              </w:tc>
              <w:tc>
                <w:tcPr>
                  <w:tcW w:w="531"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37</w:t>
                  </w:r>
                </w:p>
              </w:tc>
              <w:tc>
                <w:tcPr>
                  <w:tcW w:w="531"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86</w:t>
                  </w:r>
                </w:p>
              </w:tc>
              <w:tc>
                <w:tcPr>
                  <w:tcW w:w="495"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15</w:t>
                  </w:r>
                </w:p>
              </w:tc>
              <w:tc>
                <w:tcPr>
                  <w:tcW w:w="528"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spacing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2"/>
                      <w:sz w:val="21"/>
                      <w:szCs w:val="21"/>
                      <w:lang w:val="en-US" w:eastAsia="zh-CN" w:bidi="ar-SA"/>
                      <w14:textFill>
                        <w14:solidFill>
                          <w14:schemeClr w14:val="tx1"/>
                        </w14:solidFill>
                      </w14:textFill>
                    </w:rPr>
                    <w:t>128</w:t>
                  </w:r>
                </w:p>
              </w:tc>
              <w:tc>
                <w:tcPr>
                  <w:tcW w:w="436"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44</w:t>
                  </w:r>
                </w:p>
              </w:tc>
              <w:tc>
                <w:tcPr>
                  <w:tcW w:w="467"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36</w:t>
                  </w:r>
                </w:p>
              </w:tc>
              <w:tc>
                <w:tcPr>
                  <w:tcW w:w="467"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51</w:t>
                  </w:r>
                </w:p>
              </w:tc>
              <w:tc>
                <w:tcPr>
                  <w:tcW w:w="482"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33</w:t>
                  </w:r>
                </w:p>
              </w:tc>
              <w:tc>
                <w:tcPr>
                  <w:tcW w:w="5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color w:val="000000" w:themeColor="text1"/>
                      <w:spacing w:val="0"/>
                      <w:kern w:val="0"/>
                      <w:position w:val="0"/>
                      <w:sz w:val="21"/>
                      <w:szCs w:val="21"/>
                      <w:lang w:val="en-US" w:eastAsia="zh-CN"/>
                      <w14:textFill>
                        <w14:solidFill>
                          <w14:schemeClr w14:val="tx1"/>
                        </w14:solidFill>
                      </w14:textFill>
                    </w:rPr>
                  </w:pPr>
                  <w:r>
                    <w:rPr>
                      <w:rFonts w:hint="default" w:ascii="Times New Roman" w:hAnsi="Times New Roman" w:eastAsia="宋体" w:cs="Times New Roman"/>
                      <w:b w:val="0"/>
                      <w:bCs w:val="0"/>
                      <w:snapToGrid/>
                      <w:color w:val="000000" w:themeColor="text1"/>
                      <w:spacing w:val="0"/>
                      <w:kern w:val="0"/>
                      <w:position w:val="0"/>
                      <w:sz w:val="21"/>
                      <w:szCs w:val="21"/>
                      <w:lang w:val="en-US" w:eastAsia="zh-CN"/>
                      <w14:textFill>
                        <w14:solidFill>
                          <w14:schemeClr w14:val="tx1"/>
                        </w14:solidFill>
                      </w14:textFill>
                    </w:rPr>
                    <w:t>24h</w:t>
                  </w:r>
                </w:p>
              </w:tc>
              <w:tc>
                <w:tcPr>
                  <w:tcW w:w="7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15</w:t>
                  </w:r>
                </w:p>
              </w:tc>
              <w:tc>
                <w:tcPr>
                  <w:tcW w:w="788"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52</w:t>
                  </w:r>
                </w:p>
              </w:tc>
              <w:tc>
                <w:tcPr>
                  <w:tcW w:w="6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9</w:t>
                  </w:r>
                </w:p>
              </w:tc>
              <w:tc>
                <w:tcPr>
                  <w:tcW w:w="530" w:type="dxa"/>
                  <w:vMerge w:val="continue"/>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743" w:type="dxa"/>
                  <w:tcBorders>
                    <w:tl2br w:val="nil"/>
                    <w:tr2bl w:val="nil"/>
                  </w:tcBorders>
                  <w:noWrap w:val="0"/>
                  <w:vAlign w:val="center"/>
                </w:tcPr>
                <w:p>
                  <w:pPr>
                    <w:widowControl/>
                    <w:jc w:val="center"/>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空压机</w:t>
                  </w:r>
                </w:p>
              </w:tc>
              <w:tc>
                <w:tcPr>
                  <w:tcW w:w="1160" w:type="dxa"/>
                  <w:tcBorders>
                    <w:tl2br w:val="nil"/>
                    <w:tr2bl w:val="nil"/>
                  </w:tcBorders>
                  <w:noWrap w:val="0"/>
                  <w:vAlign w:val="center"/>
                </w:tcPr>
                <w:p>
                  <w:pPr>
                    <w:keepNext w:val="0"/>
                    <w:keepLines w:val="0"/>
                    <w:pageBreakBefore w:val="0"/>
                    <w:tabs>
                      <w:tab w:val="left" w:pos="337"/>
                    </w:tabs>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t>/</w:t>
                  </w:r>
                </w:p>
              </w:tc>
              <w:tc>
                <w:tcPr>
                  <w:tcW w:w="945" w:type="dxa"/>
                  <w:tcBorders>
                    <w:tl2br w:val="nil"/>
                    <w:tr2bl w:val="nil"/>
                  </w:tcBorders>
                  <w:noWrap w:val="0"/>
                  <w:vAlign w:val="center"/>
                </w:tcPr>
                <w:p>
                  <w:pPr>
                    <w:widowControl/>
                    <w:jc w:val="center"/>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t>85</w:t>
                  </w:r>
                </w:p>
              </w:tc>
              <w:tc>
                <w:tcPr>
                  <w:tcW w:w="750" w:type="dxa"/>
                  <w:vMerge w:val="continue"/>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9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t>-9</w:t>
                  </w:r>
                </w:p>
              </w:tc>
              <w:tc>
                <w:tcPr>
                  <w:tcW w:w="510"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t>-43</w:t>
                  </w:r>
                </w:p>
              </w:tc>
              <w:tc>
                <w:tcPr>
                  <w:tcW w:w="49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1"/>
                      <w:szCs w:val="21"/>
                      <w:lang w:val="en-US" w:eastAsia="zh-CN" w:bidi="ar-SA"/>
                      <w14:textFill>
                        <w14:solidFill>
                          <w14:schemeClr w14:val="tx1"/>
                        </w14:solidFill>
                      </w14:textFill>
                    </w:rPr>
                    <w:t>1</w:t>
                  </w:r>
                </w:p>
              </w:tc>
              <w:tc>
                <w:tcPr>
                  <w:tcW w:w="531"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36</w:t>
                  </w:r>
                </w:p>
              </w:tc>
              <w:tc>
                <w:tcPr>
                  <w:tcW w:w="531"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62</w:t>
                  </w:r>
                </w:p>
              </w:tc>
              <w:tc>
                <w:tcPr>
                  <w:tcW w:w="495"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20</w:t>
                  </w:r>
                </w:p>
              </w:tc>
              <w:tc>
                <w:tcPr>
                  <w:tcW w:w="528"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spacing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2"/>
                      <w:sz w:val="21"/>
                      <w:szCs w:val="21"/>
                      <w:lang w:val="en-US" w:eastAsia="zh-CN" w:bidi="ar-SA"/>
                      <w14:textFill>
                        <w14:solidFill>
                          <w14:schemeClr w14:val="tx1"/>
                        </w14:solidFill>
                      </w14:textFill>
                    </w:rPr>
                    <w:t>153</w:t>
                  </w:r>
                </w:p>
              </w:tc>
              <w:tc>
                <w:tcPr>
                  <w:tcW w:w="436"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54</w:t>
                  </w:r>
                </w:p>
              </w:tc>
              <w:tc>
                <w:tcPr>
                  <w:tcW w:w="467"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49</w:t>
                  </w:r>
                </w:p>
              </w:tc>
              <w:tc>
                <w:tcPr>
                  <w:tcW w:w="467"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59</w:t>
                  </w:r>
                </w:p>
              </w:tc>
              <w:tc>
                <w:tcPr>
                  <w:tcW w:w="482"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41</w:t>
                  </w:r>
                </w:p>
              </w:tc>
              <w:tc>
                <w:tcPr>
                  <w:tcW w:w="5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color w:val="000000" w:themeColor="text1"/>
                      <w:spacing w:val="0"/>
                      <w:kern w:val="0"/>
                      <w:position w:val="0"/>
                      <w:sz w:val="21"/>
                      <w:szCs w:val="21"/>
                      <w:lang w:val="en-US" w:eastAsia="zh-CN"/>
                      <w14:textFill>
                        <w14:solidFill>
                          <w14:schemeClr w14:val="tx1"/>
                        </w14:solidFill>
                      </w14:textFill>
                    </w:rPr>
                  </w:pPr>
                  <w:r>
                    <w:rPr>
                      <w:rFonts w:hint="default" w:ascii="Times New Roman" w:hAnsi="Times New Roman" w:eastAsia="宋体" w:cs="Times New Roman"/>
                      <w:b w:val="0"/>
                      <w:bCs w:val="0"/>
                      <w:snapToGrid/>
                      <w:color w:val="000000" w:themeColor="text1"/>
                      <w:spacing w:val="0"/>
                      <w:kern w:val="0"/>
                      <w:position w:val="0"/>
                      <w:sz w:val="21"/>
                      <w:szCs w:val="21"/>
                      <w:lang w:val="en-US" w:eastAsia="zh-CN"/>
                      <w14:textFill>
                        <w14:solidFill>
                          <w14:schemeClr w14:val="tx1"/>
                        </w14:solidFill>
                      </w14:textFill>
                    </w:rPr>
                    <w:t>24h</w:t>
                  </w:r>
                </w:p>
              </w:tc>
              <w:tc>
                <w:tcPr>
                  <w:tcW w:w="7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15</w:t>
                  </w:r>
                </w:p>
              </w:tc>
              <w:tc>
                <w:tcPr>
                  <w:tcW w:w="788"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60</w:t>
                  </w:r>
                </w:p>
              </w:tc>
              <w:tc>
                <w:tcPr>
                  <w:tcW w:w="6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m</w:t>
                  </w:r>
                </w:p>
              </w:tc>
            </w:tr>
          </w:tbl>
          <w:p>
            <w:pPr>
              <w:pStyle w:val="43"/>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both"/>
              <w:textAlignment w:val="auto"/>
              <w:rPr>
                <w:rFonts w:hint="eastAsia"/>
                <w:b/>
                <w:bCs/>
                <w:snapToGrid/>
                <w:color w:val="000000" w:themeColor="text1"/>
                <w:spacing w:val="0"/>
                <w:kern w:val="0"/>
                <w:position w:val="0"/>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注：室内声源分别以各建筑物中心为原点</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center"/>
              <w:textAlignment w:val="auto"/>
              <w:rPr>
                <w:rFonts w:hint="default" w:eastAsia="宋体"/>
                <w:snapToGrid/>
                <w:color w:val="FF0000"/>
                <w:spacing w:val="0"/>
                <w:kern w:val="0"/>
                <w:position w:val="0"/>
                <w:sz w:val="24"/>
                <w:szCs w:val="24"/>
                <w:highlight w:val="none"/>
                <w:lang w:val="en-US" w:eastAsia="zh-CN"/>
              </w:rPr>
            </w:pPr>
            <w:r>
              <w:rPr>
                <w:rFonts w:hint="eastAsia"/>
                <w:b/>
                <w:bCs/>
                <w:snapToGrid/>
                <w:color w:val="000000" w:themeColor="text1"/>
                <w:spacing w:val="0"/>
                <w:kern w:val="0"/>
                <w:position w:val="0"/>
                <w:sz w:val="24"/>
                <w:szCs w:val="24"/>
                <w:highlight w:val="none"/>
                <w:lang w:val="en-US" w:eastAsia="zh-CN"/>
                <w14:textFill>
                  <w14:solidFill>
                    <w14:schemeClr w14:val="tx1"/>
                  </w14:solidFill>
                </w14:textFill>
              </w:rPr>
              <w:t>表4.9 项目噪声源强一览表（室外声源） 单位：dB（A）</w:t>
            </w:r>
          </w:p>
          <w:tbl>
            <w:tblPr>
              <w:tblStyle w:val="26"/>
              <w:tblW w:w="128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0"/>
              <w:gridCol w:w="1600"/>
              <w:gridCol w:w="1600"/>
              <w:gridCol w:w="1489"/>
              <w:gridCol w:w="1579"/>
              <w:gridCol w:w="1577"/>
              <w:gridCol w:w="1766"/>
              <w:gridCol w:w="1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600" w:type="dxa"/>
                  <w:vMerge w:val="restart"/>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序号</w:t>
                  </w:r>
                </w:p>
              </w:tc>
              <w:tc>
                <w:tcPr>
                  <w:tcW w:w="1600" w:type="dxa"/>
                  <w:vMerge w:val="restart"/>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声源名称</w:t>
                  </w:r>
                </w:p>
              </w:tc>
              <w:tc>
                <w:tcPr>
                  <w:tcW w:w="1600" w:type="dxa"/>
                  <w:vMerge w:val="restart"/>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型号</w:t>
                  </w:r>
                </w:p>
              </w:tc>
              <w:tc>
                <w:tcPr>
                  <w:tcW w:w="4645" w:type="dxa"/>
                  <w:gridSpan w:val="3"/>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空间相对位置m</w:t>
                  </w:r>
                </w:p>
              </w:tc>
              <w:tc>
                <w:tcPr>
                  <w:tcW w:w="1766"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声源源强dB（A）</w:t>
                  </w:r>
                </w:p>
              </w:tc>
              <w:tc>
                <w:tcPr>
                  <w:tcW w:w="1602" w:type="dxa"/>
                  <w:vMerge w:val="restart"/>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声源控制措施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1600" w:type="dxa"/>
                  <w:vMerge w:val="continue"/>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1600" w:type="dxa"/>
                  <w:vMerge w:val="continue"/>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1600" w:type="dxa"/>
                  <w:vMerge w:val="continue"/>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1489"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X</w:t>
                  </w:r>
                </w:p>
              </w:tc>
              <w:tc>
                <w:tcPr>
                  <w:tcW w:w="1579"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Y</w:t>
                  </w:r>
                </w:p>
              </w:tc>
              <w:tc>
                <w:tcPr>
                  <w:tcW w:w="1577"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Z</w:t>
                  </w:r>
                </w:p>
              </w:tc>
              <w:tc>
                <w:tcPr>
                  <w:tcW w:w="1766"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声功率级</w:t>
                  </w:r>
                </w:p>
              </w:tc>
              <w:tc>
                <w:tcPr>
                  <w:tcW w:w="1602" w:type="dxa"/>
                  <w:vMerge w:val="continue"/>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1600"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w:t>
                  </w:r>
                </w:p>
              </w:tc>
              <w:tc>
                <w:tcPr>
                  <w:tcW w:w="1600"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1#风机</w:t>
                  </w:r>
                </w:p>
              </w:tc>
              <w:tc>
                <w:tcPr>
                  <w:tcW w:w="1600"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tc>
              <w:tc>
                <w:tcPr>
                  <w:tcW w:w="1489"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16</w:t>
                  </w:r>
                </w:p>
              </w:tc>
              <w:tc>
                <w:tcPr>
                  <w:tcW w:w="1579"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74</w:t>
                  </w:r>
                </w:p>
              </w:tc>
              <w:tc>
                <w:tcPr>
                  <w:tcW w:w="1577"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1.5</w:t>
                  </w:r>
                </w:p>
              </w:tc>
              <w:tc>
                <w:tcPr>
                  <w:tcW w:w="1766"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90</w:t>
                  </w:r>
                </w:p>
              </w:tc>
              <w:tc>
                <w:tcPr>
                  <w:tcW w:w="1602" w:type="dxa"/>
                  <w:vMerge w:val="restart"/>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减振、消声器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1600"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w:t>
                  </w:r>
                </w:p>
              </w:tc>
              <w:tc>
                <w:tcPr>
                  <w:tcW w:w="1600"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w:t>
                  </w:r>
                  <w:r>
                    <w:rPr>
                      <w:rFonts w:hint="default" w:ascii="Times New Roman" w:hAnsi="Times New Roman" w:eastAsia="宋体" w:cs="Times New Roman"/>
                      <w:b w:val="0"/>
                      <w:bCs w:val="0"/>
                      <w:color w:val="auto"/>
                      <w:sz w:val="21"/>
                      <w:szCs w:val="21"/>
                      <w:highlight w:val="none"/>
                      <w:lang w:val="en-US" w:eastAsia="zh-CN"/>
                    </w:rPr>
                    <w:t>#风机</w:t>
                  </w:r>
                </w:p>
              </w:tc>
              <w:tc>
                <w:tcPr>
                  <w:tcW w:w="1600"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1489"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jc w:val="center"/>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43</w:t>
                  </w:r>
                </w:p>
              </w:tc>
              <w:tc>
                <w:tcPr>
                  <w:tcW w:w="1579"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jc w:val="center"/>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66</w:t>
                  </w:r>
                </w:p>
              </w:tc>
              <w:tc>
                <w:tcPr>
                  <w:tcW w:w="1577"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1.5</w:t>
                  </w:r>
                </w:p>
              </w:tc>
              <w:tc>
                <w:tcPr>
                  <w:tcW w:w="1766"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90</w:t>
                  </w:r>
                </w:p>
              </w:tc>
              <w:tc>
                <w:tcPr>
                  <w:tcW w:w="1602" w:type="dxa"/>
                  <w:vMerge w:val="continue"/>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default" w:eastAsia="宋体"/>
                <w:snapToGrid/>
                <w:color w:val="FF0000"/>
                <w:spacing w:val="0"/>
                <w:kern w:val="0"/>
                <w:position w:val="0"/>
                <w:sz w:val="24"/>
                <w:szCs w:val="24"/>
                <w:lang w:val="en-US" w:eastAsia="zh-CN"/>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注：室外声源以厂区中心为原点。</w:t>
            </w:r>
          </w:p>
        </w:tc>
      </w:tr>
    </w:tbl>
    <w:p>
      <w:pPr>
        <w:adjustRightInd w:val="0"/>
        <w:snapToGrid w:val="0"/>
        <w:jc w:val="center"/>
        <w:rPr>
          <w:rFonts w:hint="default" w:ascii="Times New Roman" w:hAnsi="Times New Roman" w:eastAsia="宋体" w:cs="Times New Roman"/>
          <w:b w:val="0"/>
          <w:bCs w:val="0"/>
          <w:color w:val="auto"/>
          <w:sz w:val="24"/>
          <w:szCs w:val="24"/>
        </w:rPr>
        <w:sectPr>
          <w:pgSz w:w="16838" w:h="11906" w:orient="landscape"/>
          <w:pgMar w:top="1803" w:right="1440" w:bottom="1803" w:left="1440" w:header="851" w:footer="850" w:gutter="0"/>
          <w:pgBorders>
            <w:top w:val="none" w:sz="0" w:space="0"/>
            <w:left w:val="none" w:sz="0" w:space="0"/>
            <w:bottom w:val="none" w:sz="0" w:space="0"/>
            <w:right w:val="none" w:sz="0" w:space="0"/>
          </w:pgBorders>
          <w:pgNumType w:fmt="decimal"/>
          <w:cols w:space="0" w:num="1"/>
          <w:rtlGutter w:val="0"/>
          <w:docGrid w:linePitch="312" w:charSpace="0"/>
        </w:sectPr>
      </w:pPr>
    </w:p>
    <w:tbl>
      <w:tblPr>
        <w:tblStyle w:val="26"/>
        <w:tblW w:w="89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57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932" w:hRule="atLeast"/>
          <w:jc w:val="center"/>
        </w:trPr>
        <w:tc>
          <w:tcPr>
            <w:tcW w:w="425"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运营</w:t>
            </w:r>
          </w:p>
          <w:p>
            <w:pPr>
              <w:adjustRightInd w:val="0"/>
              <w:snapToGrid w:val="0"/>
              <w:jc w:val="center"/>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期环</w:t>
            </w:r>
          </w:p>
          <w:p>
            <w:pPr>
              <w:adjustRightInd w:val="0"/>
              <w:snapToGrid w:val="0"/>
              <w:jc w:val="center"/>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境影</w:t>
            </w:r>
          </w:p>
          <w:p>
            <w:pPr>
              <w:adjustRightInd w:val="0"/>
              <w:snapToGrid w:val="0"/>
              <w:jc w:val="center"/>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响和</w:t>
            </w:r>
          </w:p>
          <w:p>
            <w:pPr>
              <w:adjustRightInd w:val="0"/>
              <w:snapToGrid w:val="0"/>
              <w:jc w:val="center"/>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保护</w:t>
            </w:r>
          </w:p>
          <w:p>
            <w:pPr>
              <w:pStyle w:val="37"/>
              <w:rPr>
                <w:rFonts w:hint="default" w:ascii="Times New Roman" w:hAnsi="Times New Roman" w:eastAsia="宋体" w:cs="Times New Roman"/>
                <w:color w:val="0000FF"/>
                <w:vertAlign w:val="baseline"/>
              </w:rPr>
            </w:pPr>
            <w:r>
              <w:rPr>
                <w:rFonts w:hint="default" w:ascii="Times New Roman" w:hAnsi="Times New Roman" w:eastAsia="宋体" w:cs="Times New Roman"/>
                <w:b w:val="0"/>
                <w:bCs w:val="0"/>
                <w:color w:val="auto"/>
                <w:sz w:val="24"/>
                <w:szCs w:val="24"/>
              </w:rPr>
              <w:t>措施</w:t>
            </w:r>
          </w:p>
        </w:tc>
        <w:tc>
          <w:tcPr>
            <w:tcW w:w="85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厂界和环境保护目标达标情况分析：</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color w:val="auto"/>
                <w:sz w:val="24"/>
                <w:szCs w:val="24"/>
                <w:lang w:val="zh-CN"/>
              </w:rPr>
              <w:t>根据设备噪声强度，采用距离衰减模式分析该项目对声环境的影响。预测模式采用《环境影响评价技术导则</w:t>
            </w:r>
            <w:r>
              <w:rPr>
                <w:rFonts w:hint="eastAsia"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lang w:val="zh-CN"/>
              </w:rPr>
              <w:t>声环境》</w:t>
            </w:r>
            <w:r>
              <w:rPr>
                <w:rFonts w:hint="eastAsia" w:ascii="Times New Roman" w:hAnsi="Times New Roman" w:eastAsia="宋体" w:cs="Times New Roman"/>
                <w:color w:val="auto"/>
                <w:sz w:val="24"/>
                <w:szCs w:val="24"/>
                <w:lang w:val="zh-CN"/>
              </w:rPr>
              <w:t>（</w:t>
            </w:r>
            <w:r>
              <w:rPr>
                <w:rFonts w:hint="default" w:ascii="Times New Roman" w:hAnsi="Times New Roman" w:eastAsia="宋体" w:cs="Times New Roman"/>
                <w:color w:val="auto"/>
                <w:sz w:val="24"/>
                <w:szCs w:val="24"/>
                <w:lang w:val="zh-CN"/>
              </w:rPr>
              <w:t>HJ2.4-2021</w:t>
            </w:r>
            <w:r>
              <w:rPr>
                <w:rFonts w:hint="eastAsia" w:ascii="Times New Roman" w:hAnsi="Times New Roman" w:eastAsia="宋体" w:cs="Times New Roman"/>
                <w:color w:val="auto"/>
                <w:sz w:val="24"/>
                <w:szCs w:val="24"/>
                <w:lang w:val="zh-CN"/>
              </w:rPr>
              <w:t>）</w:t>
            </w:r>
            <w:r>
              <w:rPr>
                <w:rFonts w:hint="default" w:ascii="Times New Roman" w:hAnsi="Times New Roman" w:eastAsia="宋体" w:cs="Times New Roman"/>
                <w:color w:val="auto"/>
                <w:sz w:val="24"/>
                <w:szCs w:val="24"/>
                <w:lang w:val="zh-CN"/>
              </w:rPr>
              <w:t>中推荐的噪声预测模式，噪声衰减公式：</w:t>
            </w:r>
          </w:p>
          <w:p>
            <w:pPr>
              <w:pStyle w:val="24"/>
              <w:keepNext w:val="0"/>
              <w:keepLines w:val="0"/>
              <w:pageBreakBefore w:val="0"/>
              <w:widowControl/>
              <w:kinsoku/>
              <w:wordWrap/>
              <w:overflowPunct/>
              <w:topLinePunct w:val="0"/>
              <w:autoSpaceDE/>
              <w:autoSpaceDN/>
              <w:bidi w:val="0"/>
              <w:adjustRightInd w:val="0"/>
              <w:snapToGrid w:val="0"/>
              <w:spacing w:before="0" w:after="0" w:line="360" w:lineRule="auto"/>
              <w:ind w:right="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①如图B.1所示，声源位于室内，室内声源可采用等效室外声源声功率级法进行计算。设靠近开口处（或窗户）室内、室外某倍频带的声压级或A声级分别为L</w:t>
            </w:r>
            <w:r>
              <w:rPr>
                <w:rFonts w:hint="default" w:ascii="Times New Roman" w:hAnsi="Times New Roman" w:eastAsia="宋体" w:cs="Times New Roman"/>
                <w:color w:val="auto"/>
                <w:sz w:val="24"/>
                <w:szCs w:val="24"/>
                <w:vertAlign w:val="subscript"/>
              </w:rPr>
              <w:t>p1</w:t>
            </w:r>
            <w:r>
              <w:rPr>
                <w:rFonts w:hint="default" w:ascii="Times New Roman" w:hAnsi="Times New Roman" w:eastAsia="宋体" w:cs="Times New Roman"/>
                <w:color w:val="auto"/>
                <w:sz w:val="24"/>
                <w:szCs w:val="24"/>
              </w:rPr>
              <w:t>和L</w:t>
            </w:r>
            <w:r>
              <w:rPr>
                <w:rFonts w:hint="default" w:ascii="Times New Roman" w:hAnsi="Times New Roman" w:eastAsia="宋体" w:cs="Times New Roman"/>
                <w:color w:val="auto"/>
                <w:sz w:val="24"/>
                <w:szCs w:val="24"/>
                <w:vertAlign w:val="subscript"/>
              </w:rPr>
              <w:t>p2</w:t>
            </w:r>
            <w:r>
              <w:rPr>
                <w:rFonts w:hint="default" w:ascii="Times New Roman" w:hAnsi="Times New Roman" w:eastAsia="宋体" w:cs="Times New Roman"/>
                <w:color w:val="auto"/>
                <w:sz w:val="24"/>
                <w:szCs w:val="24"/>
              </w:rPr>
              <w:t>。若声源所在室内声场为近似扩散声场，则室外的倍频带声压级可按式（B.1）近似求出：</w:t>
            </w:r>
          </w:p>
          <w:p>
            <w:pPr>
              <w:pStyle w:val="24"/>
              <w:keepNext w:val="0"/>
              <w:keepLines w:val="0"/>
              <w:pageBreakBefore w:val="0"/>
              <w:kinsoku/>
              <w:wordWrap/>
              <w:overflowPunct/>
              <w:topLinePunct w:val="0"/>
              <w:autoSpaceDE/>
              <w:autoSpaceDN/>
              <w:bidi w:val="0"/>
              <w:adjustRightInd w:val="0"/>
              <w:snapToGrid w:val="0"/>
              <w:spacing w:before="0" w:after="0" w:line="360" w:lineRule="auto"/>
              <w:ind w:right="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rPr>
              <w:drawing>
                <wp:inline distT="0" distB="0" distL="114300" distR="114300">
                  <wp:extent cx="3482975" cy="373380"/>
                  <wp:effectExtent l="0" t="0" r="3175" b="762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13"/>
                          <a:stretch>
                            <a:fillRect/>
                          </a:stretch>
                        </pic:blipFill>
                        <pic:spPr>
                          <a:xfrm>
                            <a:off x="0" y="0"/>
                            <a:ext cx="3482975" cy="373380"/>
                          </a:xfrm>
                          <a:prstGeom prst="rect">
                            <a:avLst/>
                          </a:prstGeom>
                          <a:noFill/>
                          <a:ln>
                            <a:noFill/>
                          </a:ln>
                        </pic:spPr>
                      </pic:pic>
                    </a:graphicData>
                  </a:graphic>
                </wp:inline>
              </w:drawing>
            </w:r>
          </w:p>
          <w:p>
            <w:pPr>
              <w:pStyle w:val="24"/>
              <w:keepNext w:val="0"/>
              <w:keepLines w:val="0"/>
              <w:pageBreakBefore w:val="0"/>
              <w:kinsoku/>
              <w:wordWrap/>
              <w:overflowPunct/>
              <w:topLinePunct w:val="0"/>
              <w:autoSpaceDE/>
              <w:autoSpaceDN/>
              <w:bidi w:val="0"/>
              <w:adjustRightInd w:val="0"/>
              <w:snapToGrid w:val="0"/>
              <w:spacing w:before="0" w:after="0" w:line="360" w:lineRule="auto"/>
              <w:ind w:left="0" w:leftChars="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式中：L</w:t>
            </w:r>
            <w:r>
              <w:rPr>
                <w:rFonts w:hint="default" w:ascii="Times New Roman" w:hAnsi="Times New Roman" w:eastAsia="宋体" w:cs="Times New Roman"/>
                <w:color w:val="auto"/>
                <w:sz w:val="24"/>
                <w:szCs w:val="24"/>
                <w:vertAlign w:val="subscript"/>
              </w:rPr>
              <w:t>p1</w:t>
            </w:r>
            <w:r>
              <w:rPr>
                <w:rFonts w:hint="default" w:ascii="Times New Roman" w:hAnsi="Times New Roman" w:eastAsia="宋体" w:cs="Times New Roman"/>
                <w:color w:val="auto"/>
              </w:rPr>
              <w:t>——</w:t>
            </w:r>
            <w:r>
              <w:rPr>
                <w:rFonts w:hint="default" w:ascii="Times New Roman" w:hAnsi="Times New Roman" w:eastAsia="宋体" w:cs="Times New Roman"/>
                <w:color w:val="auto"/>
                <w:sz w:val="24"/>
                <w:szCs w:val="24"/>
              </w:rPr>
              <w:t>靠近开口处（或窗户）室内某倍频带的声压级或A声级，dB；</w:t>
            </w:r>
          </w:p>
          <w:p>
            <w:pPr>
              <w:pStyle w:val="24"/>
              <w:keepNext w:val="0"/>
              <w:keepLines w:val="0"/>
              <w:pageBreakBefore w:val="0"/>
              <w:kinsoku/>
              <w:wordWrap/>
              <w:overflowPunct/>
              <w:topLinePunct w:val="0"/>
              <w:autoSpaceDE/>
              <w:autoSpaceDN/>
              <w:bidi w:val="0"/>
              <w:adjustRightInd w:val="0"/>
              <w:snapToGrid w:val="0"/>
              <w:spacing w:before="0" w:after="0" w:line="360" w:lineRule="auto"/>
              <w:ind w:left="0" w:leftChars="0" w:right="0" w:firstLine="1200" w:firstLineChars="5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L</w:t>
            </w:r>
            <w:r>
              <w:rPr>
                <w:rFonts w:hint="default" w:ascii="Times New Roman" w:hAnsi="Times New Roman" w:eastAsia="宋体" w:cs="Times New Roman"/>
                <w:color w:val="auto"/>
                <w:sz w:val="24"/>
                <w:szCs w:val="24"/>
                <w:vertAlign w:val="subscript"/>
              </w:rPr>
              <w:t>p2</w:t>
            </w:r>
            <w:r>
              <w:rPr>
                <w:rFonts w:hint="default" w:ascii="Times New Roman" w:hAnsi="Times New Roman" w:eastAsia="宋体" w:cs="Times New Roman"/>
                <w:color w:val="auto"/>
              </w:rPr>
              <w:t>——</w:t>
            </w:r>
            <w:r>
              <w:rPr>
                <w:rFonts w:hint="default" w:ascii="Times New Roman" w:hAnsi="Times New Roman" w:eastAsia="宋体" w:cs="Times New Roman"/>
                <w:color w:val="auto"/>
                <w:sz w:val="24"/>
                <w:szCs w:val="24"/>
              </w:rPr>
              <w:t>靠近开口处（或窗户）室外某倍频带的声压级或A声级，dB；</w:t>
            </w:r>
          </w:p>
          <w:p>
            <w:pPr>
              <w:pStyle w:val="24"/>
              <w:keepNext w:val="0"/>
              <w:keepLines w:val="0"/>
              <w:pageBreakBefore w:val="0"/>
              <w:kinsoku/>
              <w:wordWrap/>
              <w:overflowPunct/>
              <w:topLinePunct w:val="0"/>
              <w:autoSpaceDE/>
              <w:autoSpaceDN/>
              <w:bidi w:val="0"/>
              <w:adjustRightInd w:val="0"/>
              <w:snapToGrid w:val="0"/>
              <w:spacing w:before="0" w:after="0" w:line="360" w:lineRule="auto"/>
              <w:ind w:left="0" w:leftChars="0" w:right="0" w:firstLine="1200" w:firstLineChars="5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TL</w:t>
            </w:r>
            <w:r>
              <w:rPr>
                <w:rFonts w:hint="default" w:ascii="Times New Roman" w:hAnsi="Times New Roman" w:eastAsia="宋体" w:cs="Times New Roman"/>
                <w:color w:val="auto"/>
              </w:rPr>
              <w:t>——</w:t>
            </w:r>
            <w:r>
              <w:rPr>
                <w:rFonts w:hint="default" w:ascii="Times New Roman" w:hAnsi="Times New Roman" w:eastAsia="宋体" w:cs="Times New Roman"/>
                <w:color w:val="auto"/>
                <w:sz w:val="24"/>
                <w:szCs w:val="24"/>
              </w:rPr>
              <w:t>隔墙（或窗户）倍频带或A声级的隔声量，dB。</w:t>
            </w:r>
          </w:p>
          <w:p>
            <w:pPr>
              <w:pStyle w:val="24"/>
              <w:keepNext w:val="0"/>
              <w:keepLines w:val="0"/>
              <w:pageBreakBefore w:val="0"/>
              <w:kinsoku/>
              <w:wordWrap/>
              <w:overflowPunct/>
              <w:topLinePunct w:val="0"/>
              <w:autoSpaceDE/>
              <w:autoSpaceDN/>
              <w:bidi w:val="0"/>
              <w:adjustRightInd w:val="0"/>
              <w:snapToGrid w:val="0"/>
              <w:spacing w:before="0" w:after="0" w:line="360" w:lineRule="auto"/>
              <w:ind w:left="0" w:leftChars="0" w:right="0" w:firstLine="0" w:firstLine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drawing>
                <wp:inline distT="0" distB="0" distL="114300" distR="114300">
                  <wp:extent cx="3236595" cy="1656080"/>
                  <wp:effectExtent l="0" t="0" r="1905" b="127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4"/>
                          <a:stretch>
                            <a:fillRect/>
                          </a:stretch>
                        </pic:blipFill>
                        <pic:spPr>
                          <a:xfrm>
                            <a:off x="0" y="0"/>
                            <a:ext cx="3236595" cy="1656080"/>
                          </a:xfrm>
                          <a:prstGeom prst="rect">
                            <a:avLst/>
                          </a:prstGeom>
                          <a:noFill/>
                          <a:ln>
                            <a:noFill/>
                          </a:ln>
                        </pic:spPr>
                      </pic:pic>
                    </a:graphicData>
                  </a:graphic>
                </wp:inline>
              </w:drawing>
            </w:r>
          </w:p>
          <w:p>
            <w:pPr>
              <w:pStyle w:val="24"/>
              <w:keepNext w:val="0"/>
              <w:keepLines w:val="0"/>
              <w:pageBreakBefore w:val="0"/>
              <w:widowControl/>
              <w:kinsoku/>
              <w:wordWrap/>
              <w:overflowPunct/>
              <w:topLinePunct w:val="0"/>
              <w:autoSpaceDE/>
              <w:autoSpaceDN/>
              <w:bidi w:val="0"/>
              <w:adjustRightInd w:val="0"/>
              <w:snapToGrid w:val="0"/>
              <w:spacing w:before="0" w:after="0" w:line="360" w:lineRule="auto"/>
              <w:ind w:left="0" w:leftChars="0" w:right="0" w:firstLine="0" w:firstLineChars="0"/>
              <w:jc w:val="center"/>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eastAsia="zh-CN"/>
              </w:rPr>
              <w:t>图</w:t>
            </w:r>
            <w:r>
              <w:rPr>
                <w:rFonts w:hint="default" w:ascii="Times New Roman" w:hAnsi="Times New Roman" w:eastAsia="宋体" w:cs="Times New Roman"/>
                <w:b/>
                <w:bCs/>
                <w:color w:val="auto"/>
                <w:sz w:val="24"/>
                <w:szCs w:val="24"/>
                <w:lang w:val="en-US" w:eastAsia="zh-CN"/>
              </w:rPr>
              <w:t>B.1  室内声源等效为室外声源图例</w:t>
            </w:r>
          </w:p>
          <w:p>
            <w:pPr>
              <w:pStyle w:val="24"/>
              <w:keepNext w:val="0"/>
              <w:keepLines w:val="0"/>
              <w:pageBreakBefore w:val="0"/>
              <w:widowControl w:val="0"/>
              <w:kinsoku/>
              <w:wordWrap/>
              <w:overflowPunct/>
              <w:topLinePunct w:val="0"/>
              <w:autoSpaceDE/>
              <w:autoSpaceDN/>
              <w:bidi w:val="0"/>
              <w:adjustRightInd w:val="0"/>
              <w:snapToGrid w:val="0"/>
              <w:spacing w:before="0" w:after="0" w:line="360" w:lineRule="auto"/>
              <w:ind w:right="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②也可按式（B.2）计算某一室内声源靠近围护结构处产生的倍频带声压级或A声级：</w:t>
            </w:r>
          </w:p>
          <w:p>
            <w:pPr>
              <w:pStyle w:val="24"/>
              <w:keepNext w:val="0"/>
              <w:keepLines w:val="0"/>
              <w:pageBreakBefore w:val="0"/>
              <w:widowControl w:val="0"/>
              <w:kinsoku/>
              <w:wordWrap/>
              <w:overflowPunct/>
              <w:topLinePunct w:val="0"/>
              <w:autoSpaceDE/>
              <w:autoSpaceDN/>
              <w:bidi w:val="0"/>
              <w:adjustRightInd w:val="0"/>
              <w:snapToGrid w:val="0"/>
              <w:spacing w:before="0" w:after="0" w:line="360" w:lineRule="auto"/>
              <w:ind w:right="0" w:firstLine="0" w:firstLineChars="0"/>
              <w:jc w:val="center"/>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color w:val="auto"/>
              </w:rPr>
              <w:drawing>
                <wp:inline distT="0" distB="0" distL="114300" distR="114300">
                  <wp:extent cx="3904615" cy="575310"/>
                  <wp:effectExtent l="0" t="0" r="635" b="1524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5"/>
                          <a:stretch>
                            <a:fillRect/>
                          </a:stretch>
                        </pic:blipFill>
                        <pic:spPr>
                          <a:xfrm>
                            <a:off x="0" y="0"/>
                            <a:ext cx="3904615" cy="575310"/>
                          </a:xfrm>
                          <a:prstGeom prst="rect">
                            <a:avLst/>
                          </a:prstGeom>
                          <a:noFill/>
                          <a:ln>
                            <a:noFill/>
                          </a:ln>
                        </pic:spPr>
                      </pic:pic>
                    </a:graphicData>
                  </a:graphic>
                </wp:inline>
              </w:drawing>
            </w:r>
          </w:p>
          <w:p>
            <w:pPr>
              <w:pStyle w:val="24"/>
              <w:keepNext w:val="0"/>
              <w:keepLines w:val="0"/>
              <w:pageBreakBefore w:val="0"/>
              <w:widowControl w:val="0"/>
              <w:kinsoku/>
              <w:wordWrap/>
              <w:overflowPunct/>
              <w:topLinePunct w:val="0"/>
              <w:autoSpaceDE/>
              <w:autoSpaceDN/>
              <w:bidi w:val="0"/>
              <w:adjustRightInd w:val="0"/>
              <w:snapToGrid w:val="0"/>
              <w:spacing w:before="0" w:after="0" w:line="360" w:lineRule="auto"/>
              <w:ind w:left="0" w:leftChars="0" w:right="0"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式中：L</w:t>
            </w:r>
            <w:r>
              <w:rPr>
                <w:rFonts w:hint="default" w:ascii="Times New Roman" w:hAnsi="Times New Roman" w:eastAsia="宋体" w:cs="Times New Roman"/>
                <w:bCs/>
                <w:color w:val="auto"/>
                <w:sz w:val="24"/>
                <w:szCs w:val="24"/>
                <w:vertAlign w:val="subscript"/>
              </w:rPr>
              <w:t>p1</w:t>
            </w:r>
            <w:r>
              <w:rPr>
                <w:rFonts w:hint="default" w:ascii="Times New Roman" w:hAnsi="Times New Roman" w:eastAsia="宋体" w:cs="Times New Roman"/>
                <w:bCs/>
                <w:color w:val="auto"/>
                <w:sz w:val="24"/>
                <w:szCs w:val="24"/>
              </w:rPr>
              <w:t>——靠近开口处（或窗户）室内某倍频带的声压级或A声级，dB；</w:t>
            </w:r>
          </w:p>
          <w:p>
            <w:pPr>
              <w:pStyle w:val="24"/>
              <w:keepNext w:val="0"/>
              <w:keepLines w:val="0"/>
              <w:pageBreakBefore w:val="0"/>
              <w:widowControl w:val="0"/>
              <w:kinsoku/>
              <w:wordWrap/>
              <w:overflowPunct/>
              <w:topLinePunct w:val="0"/>
              <w:autoSpaceDE/>
              <w:autoSpaceDN/>
              <w:bidi w:val="0"/>
              <w:adjustRightInd w:val="0"/>
              <w:snapToGrid w:val="0"/>
              <w:spacing w:before="0" w:after="0" w:line="360" w:lineRule="auto"/>
              <w:ind w:right="0" w:firstLine="1200" w:firstLineChars="5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L</w:t>
            </w:r>
            <w:r>
              <w:rPr>
                <w:rFonts w:hint="default" w:ascii="Times New Roman" w:hAnsi="Times New Roman" w:eastAsia="宋体" w:cs="Times New Roman"/>
                <w:bCs/>
                <w:color w:val="auto"/>
                <w:sz w:val="24"/>
                <w:szCs w:val="24"/>
                <w:vertAlign w:val="subscript"/>
              </w:rPr>
              <w:t xml:space="preserve">w </w:t>
            </w:r>
            <w:r>
              <w:rPr>
                <w:rFonts w:hint="default" w:ascii="Times New Roman" w:hAnsi="Times New Roman" w:eastAsia="宋体" w:cs="Times New Roman"/>
                <w:bCs/>
                <w:color w:val="auto"/>
                <w:sz w:val="24"/>
                <w:szCs w:val="24"/>
              </w:rPr>
              <w:t>——点声源声功率级（A计权或倍频带），dB；</w:t>
            </w:r>
          </w:p>
          <w:p>
            <w:pPr>
              <w:pStyle w:val="24"/>
              <w:keepNext w:val="0"/>
              <w:keepLines w:val="0"/>
              <w:pageBreakBefore w:val="0"/>
              <w:widowControl w:val="0"/>
              <w:kinsoku/>
              <w:wordWrap/>
              <w:overflowPunct/>
              <w:topLinePunct w:val="0"/>
              <w:autoSpaceDE/>
              <w:autoSpaceDN/>
              <w:bidi w:val="0"/>
              <w:adjustRightInd w:val="0"/>
              <w:snapToGrid w:val="0"/>
              <w:spacing w:before="0" w:after="0" w:line="360" w:lineRule="auto"/>
              <w:ind w:left="0" w:leftChars="0" w:right="0" w:firstLine="1200" w:firstLineChars="5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Q——指向性因数；通常对无指向性声源，当声源放在房间中心时，Q=1；当放在一面墙的中心时，Q=2；当放在两面墙夹角处时，Q=4；当放在三面墙夹角处时，Q=8；</w:t>
            </w:r>
          </w:p>
          <w:p>
            <w:pPr>
              <w:pStyle w:val="24"/>
              <w:keepNext w:val="0"/>
              <w:keepLines w:val="0"/>
              <w:pageBreakBefore w:val="0"/>
              <w:widowControl w:val="0"/>
              <w:kinsoku/>
              <w:wordWrap/>
              <w:overflowPunct/>
              <w:topLinePunct w:val="0"/>
              <w:autoSpaceDE/>
              <w:autoSpaceDN/>
              <w:bidi w:val="0"/>
              <w:adjustRightInd w:val="0"/>
              <w:snapToGrid w:val="0"/>
              <w:spacing w:before="0" w:after="0" w:line="360" w:lineRule="auto"/>
              <w:ind w:left="0" w:leftChars="0" w:right="0" w:firstLine="720" w:firstLineChars="3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R——房间常数；</w:t>
            </w:r>
            <w:r>
              <w:rPr>
                <w:rFonts w:hint="default" w:ascii="Times New Roman" w:hAnsi="Times New Roman" w:eastAsia="宋体" w:cs="Times New Roman"/>
                <w:caps w:val="0"/>
                <w:smallCaps w:val="0"/>
                <w:color w:val="auto"/>
                <w:spacing w:val="0"/>
                <w:w w:val="100"/>
                <w:kern w:val="0"/>
                <w:position w:val="0"/>
                <w:sz w:val="24"/>
                <w:szCs w:val="24"/>
                <w:lang w:val="en-US" w:eastAsia="zh-CN"/>
              </w:rPr>
              <w:t>R=Sα/（1-α）</w:t>
            </w:r>
            <w:r>
              <w:rPr>
                <w:rFonts w:hint="default" w:ascii="Times New Roman" w:hAnsi="Times New Roman" w:eastAsia="宋体" w:cs="Times New Roman"/>
                <w:bCs/>
                <w:color w:val="auto"/>
                <w:sz w:val="24"/>
                <w:szCs w:val="24"/>
              </w:rPr>
              <w:t>，S为房间内表面面积，m</w:t>
            </w:r>
            <w:r>
              <w:rPr>
                <w:rFonts w:hint="default" w:ascii="Times New Roman" w:hAnsi="Times New Roman" w:eastAsia="宋体" w:cs="Times New Roman"/>
                <w:bCs/>
                <w:color w:val="auto"/>
                <w:sz w:val="24"/>
                <w:szCs w:val="24"/>
                <w:vertAlign w:val="superscript"/>
              </w:rPr>
              <w:t>2</w:t>
            </w:r>
            <w:r>
              <w:rPr>
                <w:rFonts w:hint="default" w:ascii="Times New Roman" w:hAnsi="Times New Roman" w:eastAsia="宋体" w:cs="Times New Roman"/>
                <w:bCs/>
                <w:color w:val="auto"/>
                <w:sz w:val="24"/>
                <w:szCs w:val="24"/>
              </w:rPr>
              <w:t>；α为平均吸声系数；</w:t>
            </w:r>
          </w:p>
          <w:p>
            <w:pPr>
              <w:pStyle w:val="24"/>
              <w:keepNext w:val="0"/>
              <w:keepLines w:val="0"/>
              <w:pageBreakBefore w:val="0"/>
              <w:widowControl w:val="0"/>
              <w:kinsoku/>
              <w:wordWrap/>
              <w:overflowPunct/>
              <w:topLinePunct w:val="0"/>
              <w:autoSpaceDE/>
              <w:autoSpaceDN/>
              <w:bidi w:val="0"/>
              <w:adjustRightInd w:val="0"/>
              <w:snapToGrid w:val="0"/>
              <w:spacing w:before="0" w:after="0" w:line="360" w:lineRule="auto"/>
              <w:ind w:left="0" w:leftChars="0" w:right="0" w:firstLine="720" w:firstLineChars="3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r ——声源到靠近围护结构某点处的距离，m。</w:t>
            </w:r>
          </w:p>
          <w:p>
            <w:pPr>
              <w:pStyle w:val="24"/>
              <w:keepNext w:val="0"/>
              <w:keepLines w:val="0"/>
              <w:pageBreakBefore w:val="0"/>
              <w:widowControl w:val="0"/>
              <w:kinsoku/>
              <w:wordWrap/>
              <w:overflowPunct/>
              <w:topLinePunct w:val="0"/>
              <w:autoSpaceDE/>
              <w:autoSpaceDN/>
              <w:bidi w:val="0"/>
              <w:adjustRightInd w:val="0"/>
              <w:snapToGrid w:val="0"/>
              <w:spacing w:before="0" w:after="0" w:line="360" w:lineRule="auto"/>
              <w:ind w:right="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③然后按式（B.3）计算出所有室内声源在围护结构处产生的i倍频带叠加声压级：</w:t>
            </w:r>
          </w:p>
          <w:p>
            <w:pPr>
              <w:pStyle w:val="24"/>
              <w:keepNext w:val="0"/>
              <w:keepLines w:val="0"/>
              <w:pageBreakBefore w:val="0"/>
              <w:widowControl w:val="0"/>
              <w:kinsoku/>
              <w:wordWrap/>
              <w:overflowPunct/>
              <w:topLinePunct w:val="0"/>
              <w:autoSpaceDE/>
              <w:autoSpaceDN/>
              <w:bidi w:val="0"/>
              <w:adjustRightInd w:val="0"/>
              <w:snapToGrid w:val="0"/>
              <w:spacing w:before="0" w:after="0" w:line="360" w:lineRule="auto"/>
              <w:ind w:right="0" w:firstLine="0" w:firstLineChars="0"/>
              <w:jc w:val="center"/>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color w:val="auto"/>
              </w:rPr>
              <w:drawing>
                <wp:inline distT="0" distB="0" distL="114300" distR="114300">
                  <wp:extent cx="3957955" cy="560705"/>
                  <wp:effectExtent l="0" t="0" r="4445" b="1079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6"/>
                          <a:stretch>
                            <a:fillRect/>
                          </a:stretch>
                        </pic:blipFill>
                        <pic:spPr>
                          <a:xfrm>
                            <a:off x="0" y="0"/>
                            <a:ext cx="3957955" cy="5607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aps w:val="0"/>
                <w:smallCaps w:val="0"/>
                <w:color w:val="auto"/>
                <w:spacing w:val="0"/>
                <w:w w:val="100"/>
                <w:kern w:val="0"/>
                <w:position w:val="0"/>
                <w:sz w:val="24"/>
                <w:szCs w:val="24"/>
                <w:lang w:eastAsia="zh-CN"/>
              </w:rPr>
            </w:pPr>
            <w:r>
              <w:rPr>
                <w:rFonts w:hint="default" w:ascii="Times New Roman" w:hAnsi="Times New Roman" w:eastAsia="宋体" w:cs="Times New Roman"/>
                <w:caps w:val="0"/>
                <w:smallCaps w:val="0"/>
                <w:color w:val="auto"/>
                <w:spacing w:val="0"/>
                <w:w w:val="100"/>
                <w:kern w:val="0"/>
                <w:position w:val="0"/>
                <w:sz w:val="24"/>
                <w:szCs w:val="24"/>
              </w:rPr>
              <w:t>式中：L</w:t>
            </w:r>
            <w:r>
              <w:rPr>
                <w:rFonts w:hint="default" w:ascii="Times New Roman" w:hAnsi="Times New Roman" w:eastAsia="宋体" w:cs="Times New Roman"/>
                <w:caps w:val="0"/>
                <w:smallCaps w:val="0"/>
                <w:color w:val="auto"/>
                <w:spacing w:val="0"/>
                <w:w w:val="100"/>
                <w:kern w:val="0"/>
                <w:position w:val="0"/>
                <w:sz w:val="24"/>
                <w:szCs w:val="24"/>
                <w:vertAlign w:val="subscript"/>
                <w:lang w:val="en-US" w:eastAsia="zh-CN"/>
              </w:rPr>
              <w:t>pli</w:t>
            </w:r>
            <w:r>
              <w:rPr>
                <w:rFonts w:hint="default" w:ascii="Times New Roman" w:hAnsi="Times New Roman" w:eastAsia="宋体" w:cs="Times New Roman"/>
                <w:caps w:val="0"/>
                <w:smallCaps w:val="0"/>
                <w:color w:val="auto"/>
                <w:spacing w:val="0"/>
                <w:w w:val="100"/>
                <w:kern w:val="0"/>
                <w:position w:val="0"/>
                <w:sz w:val="24"/>
                <w:szCs w:val="24"/>
                <w:vertAlign w:val="baseline"/>
                <w:lang w:val="en-US" w:eastAsia="zh-CN"/>
              </w:rPr>
              <w:t>（T）</w:t>
            </w:r>
            <w:r>
              <w:rPr>
                <w:rFonts w:hint="default" w:ascii="Times New Roman" w:hAnsi="Times New Roman" w:eastAsia="宋体" w:cs="Times New Roman"/>
                <w:caps w:val="0"/>
                <w:smallCaps w:val="0"/>
                <w:color w:val="auto"/>
                <w:spacing w:val="0"/>
                <w:w w:val="100"/>
                <w:kern w:val="0"/>
                <w:position w:val="0"/>
                <w:sz w:val="24"/>
                <w:szCs w:val="24"/>
              </w:rPr>
              <w:t>——靠近围护结构处室内N个声源i倍频带的叠加声压级，dB</w:t>
            </w:r>
            <w:r>
              <w:rPr>
                <w:rFonts w:hint="default" w:ascii="Times New Roman" w:hAnsi="Times New Roman" w:eastAsia="宋体" w:cs="Times New Roman"/>
                <w:caps w:val="0"/>
                <w:smallCaps w:val="0"/>
                <w:color w:val="auto"/>
                <w:spacing w:val="0"/>
                <w:w w:val="100"/>
                <w:kern w:val="0"/>
                <w:position w:val="0"/>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default" w:ascii="Times New Roman" w:hAnsi="Times New Roman" w:eastAsia="宋体" w:cs="Times New Roman"/>
                <w:caps w:val="0"/>
                <w:smallCaps w:val="0"/>
                <w:color w:val="auto"/>
                <w:spacing w:val="0"/>
                <w:w w:val="100"/>
                <w:kern w:val="0"/>
                <w:position w:val="0"/>
                <w:sz w:val="24"/>
                <w:szCs w:val="24"/>
              </w:rPr>
            </w:pPr>
            <w:r>
              <w:rPr>
                <w:rFonts w:hint="default" w:ascii="Times New Roman" w:hAnsi="Times New Roman" w:eastAsia="宋体" w:cs="Times New Roman"/>
                <w:caps w:val="0"/>
                <w:smallCaps w:val="0"/>
                <w:color w:val="auto"/>
                <w:spacing w:val="0"/>
                <w:w w:val="100"/>
                <w:kern w:val="0"/>
                <w:position w:val="0"/>
                <w:sz w:val="24"/>
                <w:szCs w:val="24"/>
              </w:rPr>
              <w:t>L</w:t>
            </w:r>
            <w:r>
              <w:rPr>
                <w:rFonts w:hint="default" w:ascii="Times New Roman" w:hAnsi="Times New Roman" w:eastAsia="宋体" w:cs="Times New Roman"/>
                <w:caps w:val="0"/>
                <w:smallCaps w:val="0"/>
                <w:color w:val="auto"/>
                <w:spacing w:val="0"/>
                <w:w w:val="100"/>
                <w:kern w:val="0"/>
                <w:position w:val="0"/>
                <w:sz w:val="24"/>
                <w:szCs w:val="24"/>
                <w:vertAlign w:val="subscript"/>
                <w:lang w:val="en-US" w:eastAsia="zh-CN"/>
              </w:rPr>
              <w:t>plij</w:t>
            </w:r>
            <w:r>
              <w:rPr>
                <w:rFonts w:hint="default" w:ascii="Times New Roman" w:hAnsi="Times New Roman" w:eastAsia="宋体" w:cs="Times New Roman"/>
                <w:caps w:val="0"/>
                <w:smallCaps w:val="0"/>
                <w:color w:val="auto"/>
                <w:spacing w:val="0"/>
                <w:w w:val="100"/>
                <w:kern w:val="0"/>
                <w:position w:val="0"/>
                <w:sz w:val="24"/>
                <w:szCs w:val="24"/>
              </w:rPr>
              <w:t>——室内j声源i倍频带的声压级，dB；</w:t>
            </w:r>
          </w:p>
          <w:p>
            <w:pPr>
              <w:keepNext w:val="0"/>
              <w:keepLines w:val="0"/>
              <w:pageBreakBefore w:val="0"/>
              <w:widowControl w:val="0"/>
              <w:kinsoku/>
              <w:wordWrap/>
              <w:overflowPunct/>
              <w:topLinePunct w:val="0"/>
              <w:autoSpaceDE/>
              <w:autoSpaceDN/>
              <w:bidi w:val="0"/>
              <w:adjustRightInd w:val="0"/>
              <w:snapToGrid w:val="0"/>
              <w:spacing w:line="360" w:lineRule="auto"/>
              <w:ind w:firstLine="1260" w:firstLineChars="6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N</w:t>
            </w:r>
            <w:r>
              <w:rPr>
                <w:rFonts w:hint="default" w:ascii="Times New Roman" w:hAnsi="Times New Roman" w:eastAsia="宋体" w:cs="Times New Roman"/>
                <w:caps w:val="0"/>
                <w:smallCaps w:val="0"/>
                <w:color w:val="auto"/>
                <w:spacing w:val="0"/>
                <w:w w:val="100"/>
                <w:kern w:val="0"/>
                <w:position w:val="0"/>
                <w:sz w:val="24"/>
                <w:szCs w:val="24"/>
              </w:rPr>
              <w:t>——室内</w:t>
            </w:r>
            <w:r>
              <w:rPr>
                <w:rFonts w:hint="default" w:ascii="Times New Roman" w:hAnsi="Times New Roman" w:eastAsia="宋体" w:cs="Times New Roman"/>
                <w:caps w:val="0"/>
                <w:smallCaps w:val="0"/>
                <w:color w:val="auto"/>
                <w:spacing w:val="0"/>
                <w:w w:val="100"/>
                <w:kern w:val="0"/>
                <w:position w:val="0"/>
                <w:sz w:val="24"/>
                <w:szCs w:val="24"/>
                <w:lang w:eastAsia="zh-CN"/>
              </w:rPr>
              <w:t>声源总数。</w:t>
            </w:r>
          </w:p>
          <w:p>
            <w:pPr>
              <w:pStyle w:val="24"/>
              <w:keepNext w:val="0"/>
              <w:keepLines w:val="0"/>
              <w:pageBreakBefore w:val="0"/>
              <w:widowControl w:val="0"/>
              <w:kinsoku/>
              <w:wordWrap/>
              <w:overflowPunct/>
              <w:topLinePunct w:val="0"/>
              <w:autoSpaceDE/>
              <w:autoSpaceDN/>
              <w:bidi w:val="0"/>
              <w:adjustRightInd w:val="0"/>
              <w:snapToGrid w:val="0"/>
              <w:spacing w:before="0" w:after="0" w:line="360" w:lineRule="auto"/>
              <w:ind w:right="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④在室内近似为扩散声场时，按式（B.4）计算出靠近室外围护结构处的声压级：</w:t>
            </w:r>
          </w:p>
          <w:p>
            <w:pPr>
              <w:pStyle w:val="24"/>
              <w:keepNext w:val="0"/>
              <w:keepLines w:val="0"/>
              <w:pageBreakBefore w:val="0"/>
              <w:widowControl w:val="0"/>
              <w:kinsoku/>
              <w:wordWrap/>
              <w:overflowPunct/>
              <w:topLinePunct w:val="0"/>
              <w:autoSpaceDE/>
              <w:autoSpaceDN/>
              <w:bidi w:val="0"/>
              <w:adjustRightInd w:val="0"/>
              <w:snapToGrid w:val="0"/>
              <w:spacing w:before="0" w:after="0" w:line="360" w:lineRule="auto"/>
              <w:ind w:left="0" w:leftChars="0" w:right="0" w:firstLine="0" w:firstLineChars="0"/>
              <w:jc w:val="center"/>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color w:val="auto"/>
              </w:rPr>
              <w:drawing>
                <wp:inline distT="0" distB="0" distL="114300" distR="114300">
                  <wp:extent cx="4064000" cy="332740"/>
                  <wp:effectExtent l="0" t="0" r="12700" b="10160"/>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17"/>
                          <a:stretch>
                            <a:fillRect/>
                          </a:stretch>
                        </pic:blipFill>
                        <pic:spPr>
                          <a:xfrm>
                            <a:off x="0" y="0"/>
                            <a:ext cx="4064000" cy="33274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aps w:val="0"/>
                <w:smallCaps w:val="0"/>
                <w:color w:val="auto"/>
                <w:spacing w:val="0"/>
                <w:w w:val="100"/>
                <w:kern w:val="0"/>
                <w:position w:val="0"/>
                <w:sz w:val="24"/>
                <w:szCs w:val="24"/>
                <w:lang w:eastAsia="zh-CN"/>
              </w:rPr>
            </w:pPr>
            <w:r>
              <w:rPr>
                <w:rFonts w:hint="default" w:ascii="Times New Roman" w:hAnsi="Times New Roman" w:eastAsia="宋体" w:cs="Times New Roman"/>
                <w:caps w:val="0"/>
                <w:smallCaps w:val="0"/>
                <w:color w:val="auto"/>
                <w:spacing w:val="0"/>
                <w:w w:val="100"/>
                <w:kern w:val="0"/>
                <w:position w:val="0"/>
                <w:sz w:val="24"/>
                <w:szCs w:val="24"/>
              </w:rPr>
              <w:t>式中：L</w:t>
            </w:r>
            <w:r>
              <w:rPr>
                <w:rFonts w:hint="default" w:ascii="Times New Roman" w:hAnsi="Times New Roman" w:eastAsia="宋体" w:cs="Times New Roman"/>
                <w:caps w:val="0"/>
                <w:smallCaps w:val="0"/>
                <w:color w:val="auto"/>
                <w:spacing w:val="0"/>
                <w:w w:val="100"/>
                <w:kern w:val="0"/>
                <w:position w:val="0"/>
                <w:sz w:val="24"/>
                <w:szCs w:val="24"/>
                <w:vertAlign w:val="subscript"/>
                <w:lang w:val="en-US" w:eastAsia="zh-CN"/>
              </w:rPr>
              <w:t>p2i</w:t>
            </w:r>
            <w:r>
              <w:rPr>
                <w:rFonts w:hint="default" w:ascii="Times New Roman" w:hAnsi="Times New Roman" w:eastAsia="宋体" w:cs="Times New Roman"/>
                <w:caps w:val="0"/>
                <w:smallCaps w:val="0"/>
                <w:color w:val="auto"/>
                <w:spacing w:val="0"/>
                <w:w w:val="100"/>
                <w:kern w:val="0"/>
                <w:position w:val="0"/>
                <w:sz w:val="24"/>
                <w:szCs w:val="24"/>
                <w:vertAlign w:val="baseline"/>
                <w:lang w:val="en-US" w:eastAsia="zh-CN"/>
              </w:rPr>
              <w:t>（T）</w:t>
            </w:r>
            <w:r>
              <w:rPr>
                <w:rFonts w:hint="default" w:ascii="Times New Roman" w:hAnsi="Times New Roman" w:eastAsia="宋体" w:cs="Times New Roman"/>
                <w:caps w:val="0"/>
                <w:smallCaps w:val="0"/>
                <w:color w:val="auto"/>
                <w:spacing w:val="0"/>
                <w:w w:val="100"/>
                <w:kern w:val="0"/>
                <w:position w:val="0"/>
                <w:sz w:val="24"/>
                <w:szCs w:val="24"/>
              </w:rPr>
              <w:t>——靠近围护结构处室外N个声源i倍频带的叠加声压级，dB</w:t>
            </w:r>
            <w:r>
              <w:rPr>
                <w:rFonts w:hint="default" w:ascii="Times New Roman" w:hAnsi="Times New Roman" w:eastAsia="宋体" w:cs="Times New Roman"/>
                <w:caps w:val="0"/>
                <w:smallCaps w:val="0"/>
                <w:color w:val="auto"/>
                <w:spacing w:val="0"/>
                <w:w w:val="100"/>
                <w:kern w:val="0"/>
                <w:position w:val="0"/>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default" w:ascii="Times New Roman" w:hAnsi="Times New Roman" w:eastAsia="宋体" w:cs="Times New Roman"/>
                <w:caps w:val="0"/>
                <w:smallCaps w:val="0"/>
                <w:color w:val="auto"/>
                <w:spacing w:val="0"/>
                <w:w w:val="100"/>
                <w:kern w:val="0"/>
                <w:position w:val="0"/>
                <w:sz w:val="24"/>
                <w:szCs w:val="24"/>
                <w:lang w:eastAsia="zh-CN"/>
              </w:rPr>
            </w:pPr>
            <w:r>
              <w:rPr>
                <w:rFonts w:hint="default" w:ascii="Times New Roman" w:hAnsi="Times New Roman" w:eastAsia="宋体" w:cs="Times New Roman"/>
                <w:caps w:val="0"/>
                <w:smallCaps w:val="0"/>
                <w:color w:val="auto"/>
                <w:spacing w:val="0"/>
                <w:w w:val="100"/>
                <w:kern w:val="0"/>
                <w:position w:val="0"/>
                <w:sz w:val="24"/>
                <w:szCs w:val="24"/>
              </w:rPr>
              <w:t>L</w:t>
            </w:r>
            <w:r>
              <w:rPr>
                <w:rFonts w:hint="default" w:ascii="Times New Roman" w:hAnsi="Times New Roman" w:eastAsia="宋体" w:cs="Times New Roman"/>
                <w:caps w:val="0"/>
                <w:smallCaps w:val="0"/>
                <w:color w:val="auto"/>
                <w:spacing w:val="0"/>
                <w:w w:val="100"/>
                <w:kern w:val="0"/>
                <w:position w:val="0"/>
                <w:sz w:val="24"/>
                <w:szCs w:val="24"/>
                <w:vertAlign w:val="subscript"/>
                <w:lang w:val="en-US" w:eastAsia="zh-CN"/>
              </w:rPr>
              <w:t>pli</w:t>
            </w:r>
            <w:r>
              <w:rPr>
                <w:rFonts w:hint="default" w:ascii="Times New Roman" w:hAnsi="Times New Roman" w:eastAsia="宋体" w:cs="Times New Roman"/>
                <w:caps w:val="0"/>
                <w:smallCaps w:val="0"/>
                <w:color w:val="auto"/>
                <w:spacing w:val="0"/>
                <w:w w:val="100"/>
                <w:kern w:val="0"/>
                <w:position w:val="0"/>
                <w:sz w:val="24"/>
                <w:szCs w:val="24"/>
                <w:vertAlign w:val="baseline"/>
                <w:lang w:val="en-US" w:eastAsia="zh-CN"/>
              </w:rPr>
              <w:t>（T）</w:t>
            </w:r>
            <w:r>
              <w:rPr>
                <w:rFonts w:hint="default" w:ascii="Times New Roman" w:hAnsi="Times New Roman" w:eastAsia="宋体" w:cs="Times New Roman"/>
                <w:caps w:val="0"/>
                <w:smallCaps w:val="0"/>
                <w:color w:val="auto"/>
                <w:spacing w:val="0"/>
                <w:w w:val="100"/>
                <w:kern w:val="0"/>
                <w:position w:val="0"/>
                <w:sz w:val="24"/>
                <w:szCs w:val="24"/>
              </w:rPr>
              <w:t>——靠近围护结构处室内N个声源i倍频带的叠加声压级</w:t>
            </w:r>
            <w:r>
              <w:rPr>
                <w:rFonts w:hint="default" w:ascii="Times New Roman" w:hAnsi="Times New Roman" w:eastAsia="宋体" w:cs="Times New Roman"/>
                <w:caps w:val="0"/>
                <w:smallCaps w:val="0"/>
                <w:color w:val="auto"/>
                <w:spacing w:val="0"/>
                <w:w w:val="100"/>
                <w:kern w:val="0"/>
                <w:position w:val="0"/>
                <w:sz w:val="24"/>
                <w:szCs w:val="24"/>
                <w:lang w:eastAsia="zh-CN"/>
              </w:rPr>
              <w:t>，dB；</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default" w:ascii="Times New Roman" w:hAnsi="Times New Roman" w:eastAsia="宋体" w:cs="Times New Roman"/>
                <w:caps w:val="0"/>
                <w:smallCaps w:val="0"/>
                <w:color w:val="auto"/>
                <w:spacing w:val="0"/>
                <w:w w:val="100"/>
                <w:kern w:val="0"/>
                <w:position w:val="0"/>
                <w:sz w:val="24"/>
                <w:szCs w:val="24"/>
              </w:rPr>
            </w:pPr>
            <w:r>
              <w:rPr>
                <w:rFonts w:hint="default" w:ascii="Times New Roman" w:hAnsi="Times New Roman" w:eastAsia="宋体" w:cs="Times New Roman"/>
                <w:caps w:val="0"/>
                <w:smallCaps w:val="0"/>
                <w:color w:val="auto"/>
                <w:spacing w:val="0"/>
                <w:w w:val="100"/>
                <w:kern w:val="0"/>
                <w:position w:val="0"/>
                <w:sz w:val="24"/>
                <w:szCs w:val="24"/>
                <w:lang w:val="en-US" w:eastAsia="zh-CN"/>
              </w:rPr>
              <w:t>T</w:t>
            </w:r>
            <w:r>
              <w:rPr>
                <w:rFonts w:hint="default" w:ascii="Times New Roman" w:hAnsi="Times New Roman" w:eastAsia="宋体" w:cs="Times New Roman"/>
                <w:caps w:val="0"/>
                <w:smallCaps w:val="0"/>
                <w:color w:val="auto"/>
                <w:spacing w:val="0"/>
                <w:w w:val="100"/>
                <w:kern w:val="0"/>
                <w:position w:val="0"/>
                <w:sz w:val="24"/>
                <w:szCs w:val="24"/>
              </w:rPr>
              <w:t>L</w:t>
            </w:r>
            <w:r>
              <w:rPr>
                <w:rFonts w:hint="default" w:ascii="Times New Roman" w:hAnsi="Times New Roman" w:eastAsia="宋体" w:cs="Times New Roman"/>
                <w:caps w:val="0"/>
                <w:smallCaps w:val="0"/>
                <w:color w:val="auto"/>
                <w:spacing w:val="0"/>
                <w:w w:val="100"/>
                <w:kern w:val="0"/>
                <w:position w:val="0"/>
                <w:sz w:val="24"/>
                <w:szCs w:val="24"/>
                <w:vertAlign w:val="subscript"/>
                <w:lang w:val="en-US" w:eastAsia="zh-CN"/>
              </w:rPr>
              <w:t>i</w:t>
            </w:r>
            <w:r>
              <w:rPr>
                <w:rFonts w:hint="default" w:ascii="Times New Roman" w:hAnsi="Times New Roman" w:eastAsia="宋体" w:cs="Times New Roman"/>
                <w:caps w:val="0"/>
                <w:smallCaps w:val="0"/>
                <w:color w:val="auto"/>
                <w:spacing w:val="0"/>
                <w:w w:val="100"/>
                <w:kern w:val="0"/>
                <w:position w:val="0"/>
                <w:sz w:val="24"/>
                <w:szCs w:val="24"/>
              </w:rPr>
              <w:t>——围护结构i倍频带的隔声量，dB；</w:t>
            </w:r>
          </w:p>
          <w:p>
            <w:pPr>
              <w:pStyle w:val="24"/>
              <w:keepNext w:val="0"/>
              <w:keepLines w:val="0"/>
              <w:pageBreakBefore w:val="0"/>
              <w:widowControl w:val="0"/>
              <w:kinsoku/>
              <w:wordWrap/>
              <w:overflowPunct/>
              <w:topLinePunct w:val="0"/>
              <w:autoSpaceDE/>
              <w:autoSpaceDN/>
              <w:bidi w:val="0"/>
              <w:adjustRightInd w:val="0"/>
              <w:snapToGrid w:val="0"/>
              <w:spacing w:before="0" w:after="0" w:line="360" w:lineRule="auto"/>
              <w:ind w:right="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⑤然后按式（B.5）将室外声源的声压级和透过面积换算成等效的室外声源，计算出中心位置位于透声面积（S）处的等效声源的倍频带声功率级。</w:t>
            </w:r>
          </w:p>
          <w:p>
            <w:pPr>
              <w:pStyle w:val="24"/>
              <w:keepNext w:val="0"/>
              <w:keepLines w:val="0"/>
              <w:pageBreakBefore w:val="0"/>
              <w:widowControl w:val="0"/>
              <w:kinsoku/>
              <w:wordWrap/>
              <w:overflowPunct/>
              <w:topLinePunct w:val="0"/>
              <w:autoSpaceDE/>
              <w:autoSpaceDN/>
              <w:bidi w:val="0"/>
              <w:adjustRightInd w:val="0"/>
              <w:snapToGrid w:val="0"/>
              <w:spacing w:before="0" w:after="0" w:line="360" w:lineRule="auto"/>
              <w:ind w:left="0" w:leftChars="0" w:right="0" w:firstLine="0" w:firstLineChars="0"/>
              <w:jc w:val="center"/>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color w:val="auto"/>
              </w:rPr>
              <w:drawing>
                <wp:inline distT="0" distB="0" distL="114300" distR="114300">
                  <wp:extent cx="3923665" cy="304165"/>
                  <wp:effectExtent l="0" t="0" r="635" b="635"/>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18"/>
                          <a:stretch>
                            <a:fillRect/>
                          </a:stretch>
                        </pic:blipFill>
                        <pic:spPr>
                          <a:xfrm>
                            <a:off x="0" y="0"/>
                            <a:ext cx="3923665" cy="30416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式中：</w:t>
            </w:r>
            <w:r>
              <w:rPr>
                <w:rFonts w:hint="default" w:ascii="Times New Roman" w:hAnsi="Times New Roman" w:eastAsia="宋体" w:cs="Times New Roman"/>
                <w:color w:val="auto"/>
                <w:sz w:val="24"/>
                <w:szCs w:val="24"/>
              </w:rPr>
              <w:t>L</w:t>
            </w:r>
            <w:r>
              <w:rPr>
                <w:rFonts w:hint="default" w:ascii="Times New Roman" w:hAnsi="Times New Roman" w:eastAsia="宋体" w:cs="Times New Roman"/>
                <w:color w:val="auto"/>
                <w:sz w:val="24"/>
                <w:szCs w:val="24"/>
                <w:vertAlign w:val="subscript"/>
                <w:lang w:val="en-US" w:eastAsia="zh-CN"/>
              </w:rPr>
              <w:t>W</w:t>
            </w:r>
            <w:r>
              <w:rPr>
                <w:rFonts w:hint="default" w:ascii="Times New Roman" w:hAnsi="Times New Roman" w:eastAsia="宋体" w:cs="Times New Roman"/>
                <w:color w:val="auto"/>
                <w:sz w:val="24"/>
                <w:szCs w:val="24"/>
              </w:rPr>
              <w:t>——中心位置位于透声面积（S）处的等效声源的倍频带声功率级，dB；</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L</w:t>
            </w:r>
            <w:r>
              <w:rPr>
                <w:rFonts w:hint="default" w:ascii="Times New Roman" w:hAnsi="Times New Roman" w:eastAsia="宋体" w:cs="Times New Roman"/>
                <w:color w:val="auto"/>
                <w:sz w:val="24"/>
                <w:szCs w:val="24"/>
                <w:vertAlign w:val="subscript"/>
                <w:lang w:val="en-US" w:eastAsia="zh-CN"/>
              </w:rPr>
              <w:t>p2</w:t>
            </w:r>
            <w:r>
              <w:rPr>
                <w:rFonts w:hint="default" w:ascii="Times New Roman" w:hAnsi="Times New Roman" w:eastAsia="宋体" w:cs="Times New Roman"/>
                <w:color w:val="auto"/>
                <w:sz w:val="24"/>
                <w:szCs w:val="24"/>
                <w:vertAlign w:val="baseline"/>
                <w:lang w:val="en-US" w:eastAsia="zh-CN"/>
              </w:rPr>
              <w:t>（T）</w:t>
            </w:r>
            <w:r>
              <w:rPr>
                <w:rFonts w:hint="default" w:ascii="Times New Roman" w:hAnsi="Times New Roman" w:eastAsia="宋体" w:cs="Times New Roman"/>
                <w:color w:val="auto"/>
                <w:sz w:val="24"/>
                <w:szCs w:val="24"/>
              </w:rPr>
              <w:t>——靠近围护结构处室外声源的声压级，dB；</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S</w:t>
            </w:r>
            <w:r>
              <w:rPr>
                <w:rFonts w:hint="default" w:ascii="Times New Roman" w:hAnsi="Times New Roman" w:eastAsia="宋体" w:cs="Times New Roman"/>
                <w:color w:val="auto"/>
                <w:sz w:val="24"/>
                <w:szCs w:val="24"/>
              </w:rPr>
              <w:t>——透声面积，m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然后按室外声源预测方法计算预测点处的 A 声级。</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⑥工业企业噪声计算</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rPr>
            </w:pPr>
            <w:r>
              <w:rPr>
                <w:rFonts w:hint="default" w:ascii="Times New Roman" w:hAnsi="Times New Roman" w:eastAsia="宋体" w:cs="Times New Roman"/>
                <w:caps w:val="0"/>
                <w:smallCaps w:val="0"/>
                <w:color w:val="auto"/>
                <w:spacing w:val="0"/>
                <w:w w:val="100"/>
                <w:kern w:val="0"/>
                <w:position w:val="0"/>
                <w:sz w:val="24"/>
                <w:szCs w:val="24"/>
              </w:rPr>
              <w:t>设第i个室外声源在预测点产生的A声级为L</w:t>
            </w:r>
            <w:r>
              <w:rPr>
                <w:rFonts w:hint="default" w:ascii="Times New Roman" w:hAnsi="Times New Roman" w:eastAsia="宋体" w:cs="Times New Roman"/>
                <w:caps w:val="0"/>
                <w:smallCaps w:val="0"/>
                <w:color w:val="auto"/>
                <w:spacing w:val="0"/>
                <w:w w:val="100"/>
                <w:kern w:val="0"/>
                <w:position w:val="0"/>
                <w:sz w:val="24"/>
                <w:szCs w:val="24"/>
                <w:vertAlign w:val="subscript"/>
              </w:rPr>
              <w:t>Ai</w:t>
            </w:r>
            <w:r>
              <w:rPr>
                <w:rFonts w:hint="default" w:ascii="Times New Roman" w:hAnsi="Times New Roman" w:eastAsia="宋体" w:cs="Times New Roman"/>
                <w:caps w:val="0"/>
                <w:smallCaps w:val="0"/>
                <w:color w:val="auto"/>
                <w:spacing w:val="0"/>
                <w:w w:val="100"/>
                <w:kern w:val="0"/>
                <w:position w:val="0"/>
                <w:sz w:val="24"/>
                <w:szCs w:val="24"/>
              </w:rPr>
              <w:t>，在T时间内该声源工作时间为t</w:t>
            </w:r>
            <w:r>
              <w:rPr>
                <w:rFonts w:hint="default" w:ascii="Times New Roman" w:hAnsi="Times New Roman" w:eastAsia="宋体" w:cs="Times New Roman"/>
                <w:caps w:val="0"/>
                <w:smallCaps w:val="0"/>
                <w:color w:val="auto"/>
                <w:spacing w:val="0"/>
                <w:w w:val="100"/>
                <w:kern w:val="0"/>
                <w:position w:val="0"/>
                <w:sz w:val="24"/>
                <w:szCs w:val="24"/>
                <w:vertAlign w:val="subscript"/>
              </w:rPr>
              <w:t>i</w:t>
            </w:r>
            <w:r>
              <w:rPr>
                <w:rFonts w:hint="default" w:ascii="Times New Roman" w:hAnsi="Times New Roman" w:eastAsia="宋体" w:cs="Times New Roman"/>
                <w:caps w:val="0"/>
                <w:smallCaps w:val="0"/>
                <w:color w:val="auto"/>
                <w:spacing w:val="0"/>
                <w:w w:val="100"/>
                <w:kern w:val="0"/>
                <w:position w:val="0"/>
                <w:sz w:val="24"/>
                <w:szCs w:val="24"/>
              </w:rPr>
              <w:t>；第j个等效室外声源在预测点产生的A声级为L</w:t>
            </w:r>
            <w:r>
              <w:rPr>
                <w:rFonts w:hint="default" w:ascii="Times New Roman" w:hAnsi="Times New Roman" w:eastAsia="宋体" w:cs="Times New Roman"/>
                <w:caps w:val="0"/>
                <w:smallCaps w:val="0"/>
                <w:color w:val="auto"/>
                <w:spacing w:val="0"/>
                <w:w w:val="100"/>
                <w:kern w:val="0"/>
                <w:position w:val="0"/>
                <w:sz w:val="24"/>
                <w:szCs w:val="24"/>
                <w:vertAlign w:val="subscript"/>
              </w:rPr>
              <w:t xml:space="preserve">Aj </w:t>
            </w:r>
            <w:r>
              <w:rPr>
                <w:rFonts w:hint="default" w:ascii="Times New Roman" w:hAnsi="Times New Roman" w:eastAsia="宋体" w:cs="Times New Roman"/>
                <w:caps w:val="0"/>
                <w:smallCaps w:val="0"/>
                <w:color w:val="auto"/>
                <w:spacing w:val="0"/>
                <w:w w:val="100"/>
                <w:kern w:val="0"/>
                <w:position w:val="0"/>
                <w:sz w:val="24"/>
                <w:szCs w:val="24"/>
              </w:rPr>
              <w:t>，在T时间内该声源工作时间为t</w:t>
            </w:r>
            <w:r>
              <w:rPr>
                <w:rFonts w:hint="default" w:ascii="Times New Roman" w:hAnsi="Times New Roman" w:eastAsia="宋体" w:cs="Times New Roman"/>
                <w:caps w:val="0"/>
                <w:smallCaps w:val="0"/>
                <w:color w:val="auto"/>
                <w:spacing w:val="0"/>
                <w:w w:val="100"/>
                <w:kern w:val="0"/>
                <w:position w:val="0"/>
                <w:sz w:val="24"/>
                <w:szCs w:val="24"/>
                <w:vertAlign w:val="subscript"/>
              </w:rPr>
              <w:t>j</w:t>
            </w:r>
            <w:r>
              <w:rPr>
                <w:rFonts w:hint="default" w:ascii="Times New Roman" w:hAnsi="Times New Roman" w:eastAsia="宋体" w:cs="Times New Roman"/>
                <w:caps w:val="0"/>
                <w:smallCaps w:val="0"/>
                <w:color w:val="auto"/>
                <w:spacing w:val="0"/>
                <w:w w:val="100"/>
                <w:kern w:val="0"/>
                <w:position w:val="0"/>
                <w:sz w:val="24"/>
                <w:szCs w:val="24"/>
              </w:rPr>
              <w:t>，则拟建工程声源对预测点产生的贡献值（L</w:t>
            </w:r>
            <w:r>
              <w:rPr>
                <w:rFonts w:hint="default" w:ascii="Times New Roman" w:hAnsi="Times New Roman" w:eastAsia="宋体" w:cs="Times New Roman"/>
                <w:caps w:val="0"/>
                <w:smallCaps w:val="0"/>
                <w:color w:val="auto"/>
                <w:spacing w:val="0"/>
                <w:w w:val="100"/>
                <w:kern w:val="0"/>
                <w:position w:val="0"/>
                <w:sz w:val="24"/>
                <w:szCs w:val="24"/>
                <w:vertAlign w:val="subscript"/>
              </w:rPr>
              <w:t>eqg</w:t>
            </w:r>
            <w:r>
              <w:rPr>
                <w:rFonts w:hint="default" w:ascii="Times New Roman" w:hAnsi="Times New Roman" w:eastAsia="宋体" w:cs="Times New Roman"/>
                <w:caps w:val="0"/>
                <w:smallCaps w:val="0"/>
                <w:color w:val="auto"/>
                <w:spacing w:val="0"/>
                <w:w w:val="100"/>
                <w:kern w:val="0"/>
                <w:position w:val="0"/>
                <w:sz w:val="24"/>
                <w:szCs w:val="24"/>
              </w:rPr>
              <w:t>）为：</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aps w:val="0"/>
                <w:smallCaps w:val="0"/>
                <w:color w:val="auto"/>
                <w:spacing w:val="0"/>
                <w:w w:val="100"/>
                <w:kern w:val="0"/>
                <w:position w:val="0"/>
                <w:sz w:val="24"/>
                <w:szCs w:val="24"/>
              </w:rPr>
            </w:pPr>
            <w:r>
              <w:rPr>
                <w:rFonts w:hint="default" w:ascii="Times New Roman" w:hAnsi="Times New Roman" w:eastAsia="宋体" w:cs="Times New Roman"/>
                <w:color w:val="auto"/>
              </w:rPr>
              <w:drawing>
                <wp:inline distT="0" distB="0" distL="114300" distR="114300">
                  <wp:extent cx="4066540" cy="510540"/>
                  <wp:effectExtent l="0" t="0" r="10160" b="3810"/>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19"/>
                          <a:stretch>
                            <a:fillRect/>
                          </a:stretch>
                        </pic:blipFill>
                        <pic:spPr>
                          <a:xfrm>
                            <a:off x="0" y="0"/>
                            <a:ext cx="4066540" cy="51054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aps w:val="0"/>
                <w:smallCaps w:val="0"/>
                <w:color w:val="auto"/>
                <w:spacing w:val="0"/>
                <w:w w:val="100"/>
                <w:kern w:val="0"/>
                <w:position w:val="0"/>
                <w:sz w:val="24"/>
                <w:szCs w:val="24"/>
                <w:vertAlign w:val="subscript"/>
              </w:rPr>
            </w:pPr>
            <w:r>
              <w:rPr>
                <w:rFonts w:hint="default" w:ascii="Times New Roman" w:hAnsi="Times New Roman" w:eastAsia="宋体" w:cs="Times New Roman"/>
                <w:caps w:val="0"/>
                <w:smallCaps w:val="0"/>
                <w:color w:val="auto"/>
                <w:spacing w:val="0"/>
                <w:w w:val="100"/>
                <w:kern w:val="0"/>
                <w:position w:val="0"/>
                <w:sz w:val="24"/>
                <w:szCs w:val="24"/>
              </w:rPr>
              <w:t>式中：L</w:t>
            </w:r>
            <w:r>
              <w:rPr>
                <w:rFonts w:hint="default" w:ascii="Times New Roman" w:hAnsi="Times New Roman" w:eastAsia="宋体" w:cs="Times New Roman"/>
                <w:caps w:val="0"/>
                <w:smallCaps w:val="0"/>
                <w:color w:val="auto"/>
                <w:spacing w:val="0"/>
                <w:w w:val="100"/>
                <w:kern w:val="0"/>
                <w:position w:val="0"/>
                <w:sz w:val="24"/>
                <w:szCs w:val="24"/>
                <w:vertAlign w:val="subscript"/>
              </w:rPr>
              <w:t>eqg</w:t>
            </w:r>
            <w:r>
              <w:rPr>
                <w:rFonts w:hint="default" w:ascii="Times New Roman" w:hAnsi="Times New Roman" w:eastAsia="宋体" w:cs="Times New Roman"/>
                <w:caps w:val="0"/>
                <w:smallCaps w:val="0"/>
                <w:color w:val="auto"/>
                <w:spacing w:val="0"/>
                <w:w w:val="100"/>
                <w:kern w:val="0"/>
                <w:position w:val="0"/>
                <w:sz w:val="24"/>
                <w:szCs w:val="24"/>
              </w:rPr>
              <w:t>——建设项目声源在预测点产生的噪声贡献值，dB；</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both"/>
              <w:textAlignment w:val="auto"/>
              <w:rPr>
                <w:rFonts w:hint="default" w:ascii="Times New Roman" w:hAnsi="Times New Roman" w:eastAsia="宋体" w:cs="Times New Roman"/>
                <w:caps w:val="0"/>
                <w:smallCaps w:val="0"/>
                <w:color w:val="auto"/>
                <w:spacing w:val="0"/>
                <w:w w:val="100"/>
                <w:kern w:val="0"/>
                <w:position w:val="0"/>
                <w:sz w:val="24"/>
                <w:szCs w:val="24"/>
              </w:rPr>
            </w:pPr>
            <w:r>
              <w:rPr>
                <w:rFonts w:hint="default" w:ascii="Times New Roman" w:hAnsi="Times New Roman" w:eastAsia="宋体" w:cs="Times New Roman"/>
                <w:caps w:val="0"/>
                <w:smallCaps w:val="0"/>
                <w:color w:val="auto"/>
                <w:spacing w:val="0"/>
                <w:w w:val="100"/>
                <w:kern w:val="0"/>
                <w:position w:val="0"/>
                <w:sz w:val="24"/>
                <w:szCs w:val="24"/>
              </w:rPr>
              <w:t>T——用于计算等效声级的时间，s；</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both"/>
              <w:textAlignment w:val="auto"/>
              <w:rPr>
                <w:rFonts w:hint="default" w:ascii="Times New Roman" w:hAnsi="Times New Roman" w:eastAsia="宋体" w:cs="Times New Roman"/>
                <w:caps w:val="0"/>
                <w:smallCaps w:val="0"/>
                <w:color w:val="auto"/>
                <w:spacing w:val="0"/>
                <w:w w:val="100"/>
                <w:kern w:val="0"/>
                <w:position w:val="0"/>
                <w:sz w:val="24"/>
                <w:szCs w:val="24"/>
                <w:lang w:eastAsia="zh-CN"/>
              </w:rPr>
            </w:pPr>
            <w:r>
              <w:rPr>
                <w:rFonts w:hint="default" w:ascii="Times New Roman" w:hAnsi="Times New Roman" w:eastAsia="宋体" w:cs="Times New Roman"/>
                <w:caps w:val="0"/>
                <w:smallCaps w:val="0"/>
                <w:color w:val="auto"/>
                <w:spacing w:val="0"/>
                <w:w w:val="100"/>
                <w:kern w:val="0"/>
                <w:position w:val="0"/>
                <w:sz w:val="24"/>
                <w:szCs w:val="24"/>
              </w:rPr>
              <w:t>N——室外声源个数</w:t>
            </w:r>
            <w:r>
              <w:rPr>
                <w:rFonts w:hint="default" w:ascii="Times New Roman" w:hAnsi="Times New Roman" w:eastAsia="宋体" w:cs="Times New Roman"/>
                <w:caps w:val="0"/>
                <w:smallCaps w:val="0"/>
                <w:color w:val="auto"/>
                <w:spacing w:val="0"/>
                <w:w w:val="100"/>
                <w:kern w:val="0"/>
                <w:position w:val="0"/>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both"/>
              <w:textAlignment w:val="auto"/>
              <w:rPr>
                <w:rFonts w:hint="default" w:ascii="Times New Roman" w:hAnsi="Times New Roman" w:eastAsia="宋体" w:cs="Times New Roman"/>
                <w:caps w:val="0"/>
                <w:smallCaps w:val="0"/>
                <w:color w:val="auto"/>
                <w:spacing w:val="0"/>
                <w:w w:val="100"/>
                <w:kern w:val="0"/>
                <w:position w:val="0"/>
                <w:sz w:val="24"/>
                <w:szCs w:val="24"/>
              </w:rPr>
            </w:pPr>
            <w:r>
              <w:rPr>
                <w:rFonts w:hint="default" w:ascii="Times New Roman" w:hAnsi="Times New Roman" w:eastAsia="宋体" w:cs="Times New Roman"/>
                <w:caps w:val="0"/>
                <w:smallCaps w:val="0"/>
                <w:color w:val="auto"/>
                <w:spacing w:val="0"/>
                <w:w w:val="100"/>
                <w:kern w:val="0"/>
                <w:position w:val="0"/>
                <w:sz w:val="24"/>
                <w:szCs w:val="24"/>
              </w:rPr>
              <w:t xml:space="preserve">t </w:t>
            </w:r>
            <w:r>
              <w:rPr>
                <w:rFonts w:hint="default" w:ascii="Times New Roman" w:hAnsi="Times New Roman" w:eastAsia="宋体" w:cs="Times New Roman"/>
                <w:caps w:val="0"/>
                <w:smallCaps w:val="0"/>
                <w:color w:val="auto"/>
                <w:spacing w:val="0"/>
                <w:w w:val="100"/>
                <w:kern w:val="0"/>
                <w:position w:val="0"/>
                <w:sz w:val="24"/>
                <w:szCs w:val="24"/>
                <w:vertAlign w:val="subscript"/>
                <w:lang w:val="en-US" w:eastAsia="zh-CN"/>
              </w:rPr>
              <w:t>i</w:t>
            </w:r>
            <w:r>
              <w:rPr>
                <w:rFonts w:hint="default" w:ascii="Times New Roman" w:hAnsi="Times New Roman" w:eastAsia="宋体" w:cs="Times New Roman"/>
                <w:caps w:val="0"/>
                <w:smallCaps w:val="0"/>
                <w:color w:val="auto"/>
                <w:spacing w:val="0"/>
                <w:w w:val="100"/>
                <w:kern w:val="0"/>
                <w:position w:val="0"/>
                <w:sz w:val="24"/>
                <w:szCs w:val="24"/>
              </w:rPr>
              <w:t>——在T时间内i声源工作时间，s；</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both"/>
              <w:textAlignment w:val="auto"/>
              <w:rPr>
                <w:rFonts w:hint="default" w:ascii="Times New Roman" w:hAnsi="Times New Roman" w:eastAsia="宋体" w:cs="Times New Roman"/>
                <w:caps w:val="0"/>
                <w:smallCaps w:val="0"/>
                <w:color w:val="auto"/>
                <w:spacing w:val="0"/>
                <w:w w:val="100"/>
                <w:kern w:val="0"/>
                <w:position w:val="0"/>
                <w:sz w:val="24"/>
                <w:szCs w:val="24"/>
                <w:lang w:eastAsia="zh-CN"/>
              </w:rPr>
            </w:pPr>
            <w:r>
              <w:rPr>
                <w:rFonts w:hint="default" w:ascii="Times New Roman" w:hAnsi="Times New Roman" w:eastAsia="宋体" w:cs="Times New Roman"/>
                <w:caps w:val="0"/>
                <w:smallCaps w:val="0"/>
                <w:color w:val="auto"/>
                <w:spacing w:val="0"/>
                <w:w w:val="100"/>
                <w:kern w:val="0"/>
                <w:position w:val="0"/>
                <w:sz w:val="24"/>
                <w:szCs w:val="24"/>
              </w:rPr>
              <w:t>M——等效室外声源个数</w:t>
            </w:r>
            <w:r>
              <w:rPr>
                <w:rFonts w:hint="default" w:ascii="Times New Roman" w:hAnsi="Times New Roman" w:eastAsia="宋体" w:cs="Times New Roman"/>
                <w:caps w:val="0"/>
                <w:smallCaps w:val="0"/>
                <w:color w:val="auto"/>
                <w:spacing w:val="0"/>
                <w:w w:val="100"/>
                <w:kern w:val="0"/>
                <w:position w:val="0"/>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both"/>
              <w:textAlignment w:val="auto"/>
              <w:rPr>
                <w:rFonts w:hint="default" w:ascii="Times New Roman" w:hAnsi="Times New Roman" w:eastAsia="宋体" w:cs="Times New Roman"/>
                <w:caps w:val="0"/>
                <w:smallCaps w:val="0"/>
                <w:color w:val="auto"/>
                <w:spacing w:val="0"/>
                <w:w w:val="100"/>
                <w:kern w:val="0"/>
                <w:position w:val="0"/>
                <w:sz w:val="24"/>
                <w:szCs w:val="24"/>
              </w:rPr>
            </w:pPr>
            <w:r>
              <w:rPr>
                <w:rFonts w:hint="default" w:ascii="Times New Roman" w:hAnsi="Times New Roman" w:eastAsia="宋体" w:cs="Times New Roman"/>
                <w:caps w:val="0"/>
                <w:smallCaps w:val="0"/>
                <w:color w:val="auto"/>
                <w:spacing w:val="0"/>
                <w:w w:val="100"/>
                <w:kern w:val="0"/>
                <w:position w:val="0"/>
                <w:sz w:val="24"/>
                <w:szCs w:val="24"/>
              </w:rPr>
              <w:t>t</w:t>
            </w:r>
            <w:r>
              <w:rPr>
                <w:rFonts w:hint="default" w:ascii="Times New Roman" w:hAnsi="Times New Roman" w:eastAsia="宋体" w:cs="Times New Roman"/>
                <w:caps w:val="0"/>
                <w:smallCaps w:val="0"/>
                <w:color w:val="auto"/>
                <w:spacing w:val="0"/>
                <w:w w:val="100"/>
                <w:kern w:val="0"/>
                <w:position w:val="0"/>
                <w:sz w:val="24"/>
                <w:szCs w:val="24"/>
                <w:vertAlign w:val="subscript"/>
                <w:lang w:val="en-US" w:eastAsia="zh-CN"/>
              </w:rPr>
              <w:t>j</w:t>
            </w:r>
            <w:r>
              <w:rPr>
                <w:rFonts w:hint="default" w:ascii="Times New Roman" w:hAnsi="Times New Roman" w:eastAsia="宋体" w:cs="Times New Roman"/>
                <w:caps w:val="0"/>
                <w:smallCaps w:val="0"/>
                <w:color w:val="auto"/>
                <w:spacing w:val="0"/>
                <w:w w:val="100"/>
                <w:kern w:val="0"/>
                <w:position w:val="0"/>
                <w:sz w:val="24"/>
                <w:szCs w:val="24"/>
              </w:rPr>
              <w:t>——在T时间内j声源工作时间，s。</w:t>
            </w:r>
          </w:p>
          <w:p>
            <w:pPr>
              <w:keepNext w:val="0"/>
              <w:keepLines w:val="0"/>
              <w:pageBreakBefore w:val="0"/>
              <w:widowControl w:val="0"/>
              <w:tabs>
                <w:tab w:val="left" w:pos="1219"/>
              </w:tabs>
              <w:kinsoku/>
              <w:wordWrap/>
              <w:overflowPunct/>
              <w:topLinePunct w:val="0"/>
              <w:autoSpaceDE w:val="0"/>
              <w:autoSpaceDN w:val="0"/>
              <w:bidi w:val="0"/>
              <w:adjustRightInd w:val="0"/>
              <w:snapToGrid w:val="0"/>
              <w:spacing w:line="360" w:lineRule="auto"/>
              <w:ind w:right="193" w:firstLine="436" w:firstLineChars="182"/>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⑦预测结果</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根据噪声源衰减计算程序，</w:t>
            </w:r>
            <w:r>
              <w:rPr>
                <w:rFonts w:hint="eastAsia"/>
                <w:color w:val="000000" w:themeColor="text1"/>
                <w:sz w:val="24"/>
                <w:szCs w:val="24"/>
                <w14:textFill>
                  <w14:solidFill>
                    <w14:schemeClr w14:val="tx1"/>
                  </w14:solidFill>
                </w14:textFill>
              </w:rPr>
              <w:t>预测结果详见下表</w:t>
            </w:r>
            <w:r>
              <w:rPr>
                <w:rFonts w:hint="eastAsia"/>
                <w:color w:val="000000" w:themeColor="text1"/>
                <w:sz w:val="24"/>
                <w:szCs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snapToGrid/>
                <w:color w:val="000000" w:themeColor="text1"/>
                <w:spacing w:val="0"/>
                <w:kern w:val="0"/>
                <w:position w:val="0"/>
                <w:sz w:val="24"/>
                <w:szCs w:val="24"/>
                <w:lang w:val="en-US" w:eastAsia="zh-CN"/>
                <w14:textFill>
                  <w14:solidFill>
                    <w14:schemeClr w14:val="tx1"/>
                  </w14:solidFill>
                </w14:textFill>
              </w:rPr>
            </w:pPr>
            <w:r>
              <w:rPr>
                <w:rFonts w:hint="eastAsia" w:ascii="Times New Roman" w:hAnsi="Times New Roman" w:eastAsia="宋体" w:cs="Times New Roman"/>
                <w:b/>
                <w:bCs/>
                <w:snapToGrid/>
                <w:color w:val="000000" w:themeColor="text1"/>
                <w:spacing w:val="0"/>
                <w:kern w:val="0"/>
                <w:position w:val="0"/>
                <w:sz w:val="24"/>
                <w:szCs w:val="24"/>
                <w:lang w:eastAsia="zh-CN"/>
                <w14:textFill>
                  <w14:solidFill>
                    <w14:schemeClr w14:val="tx1"/>
                  </w14:solidFill>
                </w14:textFill>
              </w:rPr>
              <w:t>表</w:t>
            </w:r>
            <w:r>
              <w:rPr>
                <w:rFonts w:hint="eastAsia" w:ascii="Times New Roman" w:hAnsi="Times New Roman" w:eastAsia="宋体" w:cs="Times New Roman"/>
                <w:b/>
                <w:bCs/>
                <w:snapToGrid/>
                <w:color w:val="000000" w:themeColor="text1"/>
                <w:spacing w:val="0"/>
                <w:kern w:val="0"/>
                <w:position w:val="0"/>
                <w:sz w:val="24"/>
                <w:szCs w:val="24"/>
                <w:lang w:val="en-US" w:eastAsia="zh-CN"/>
                <w14:textFill>
                  <w14:solidFill>
                    <w14:schemeClr w14:val="tx1"/>
                  </w14:solidFill>
                </w14:textFill>
              </w:rPr>
              <w:t xml:space="preserve">4.10  </w:t>
            </w:r>
            <w:r>
              <w:rPr>
                <w:rFonts w:hint="eastAsia"/>
                <w:b/>
                <w:bCs/>
                <w:snapToGrid/>
                <w:color w:val="000000" w:themeColor="text1"/>
                <w:spacing w:val="0"/>
                <w:kern w:val="0"/>
                <w:position w:val="0"/>
                <w:sz w:val="24"/>
                <w14:textFill>
                  <w14:solidFill>
                    <w14:schemeClr w14:val="tx1"/>
                  </w14:solidFill>
                </w14:textFill>
              </w:rPr>
              <w:t>厂界噪声预测结果一览表</w:t>
            </w:r>
            <w:r>
              <w:rPr>
                <w:rFonts w:hint="eastAsia"/>
                <w:b/>
                <w:bCs/>
                <w:snapToGrid/>
                <w:color w:val="000000" w:themeColor="text1"/>
                <w:spacing w:val="0"/>
                <w:kern w:val="0"/>
                <w:position w:val="0"/>
                <w:sz w:val="24"/>
                <w:lang w:val="en-US" w:eastAsia="zh-CN"/>
                <w14:textFill>
                  <w14:solidFill>
                    <w14:schemeClr w14:val="tx1"/>
                  </w14:solidFill>
                </w14:textFill>
              </w:rPr>
              <w:t xml:space="preserve"> 单位：dB（A）</w:t>
            </w:r>
          </w:p>
          <w:tbl>
            <w:tblPr>
              <w:tblStyle w:val="25"/>
              <w:tblW w:w="83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836"/>
              <w:gridCol w:w="837"/>
              <w:gridCol w:w="833"/>
              <w:gridCol w:w="840"/>
              <w:gridCol w:w="836"/>
              <w:gridCol w:w="927"/>
              <w:gridCol w:w="810"/>
              <w:gridCol w:w="855"/>
              <w:gridCol w:w="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9"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highlight w:val="none"/>
                      <w14:textFill>
                        <w14:solidFill>
                          <w14:schemeClr w14:val="tx1"/>
                        </w14:solidFill>
                      </w14:textFill>
                    </w:rPr>
                    <w:t>厂界</w:t>
                  </w:r>
                </w:p>
              </w:tc>
              <w:tc>
                <w:tcPr>
                  <w:tcW w:w="1673"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highlight w:val="none"/>
                      <w:lang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highlight w:val="none"/>
                      <w:lang w:eastAsia="zh-CN"/>
                      <w14:textFill>
                        <w14:solidFill>
                          <w14:schemeClr w14:val="tx1"/>
                        </w14:solidFill>
                      </w14:textFill>
                    </w:rPr>
                    <w:t>背景值</w:t>
                  </w:r>
                </w:p>
              </w:tc>
              <w:tc>
                <w:tcPr>
                  <w:tcW w:w="1673"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highlight w:val="none"/>
                      <w:lang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highlight w:val="none"/>
                      <w:lang w:eastAsia="zh-CN"/>
                      <w14:textFill>
                        <w14:solidFill>
                          <w14:schemeClr w14:val="tx1"/>
                        </w14:solidFill>
                      </w14:textFill>
                    </w:rPr>
                    <w:t>贡献值</w:t>
                  </w:r>
                </w:p>
              </w:tc>
              <w:tc>
                <w:tcPr>
                  <w:tcW w:w="1763"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highlight w:val="none"/>
                      <w:lang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highlight w:val="none"/>
                      <w:lang w:eastAsia="zh-CN"/>
                      <w14:textFill>
                        <w14:solidFill>
                          <w14:schemeClr w14:val="tx1"/>
                        </w14:solidFill>
                      </w14:textFill>
                    </w:rPr>
                    <w:t>预测值</w:t>
                  </w:r>
                </w:p>
              </w:tc>
              <w:tc>
                <w:tcPr>
                  <w:tcW w:w="1665"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highlight w:val="none"/>
                      <w14:textFill>
                        <w14:solidFill>
                          <w14:schemeClr w14:val="tx1"/>
                        </w14:solidFill>
                      </w14:textFill>
                    </w:rPr>
                    <w:t>评价标准</w:t>
                  </w:r>
                </w:p>
              </w:tc>
              <w:tc>
                <w:tcPr>
                  <w:tcW w:w="752"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highlight w:val="none"/>
                      <w14:textFill>
                        <w14:solidFill>
                          <w14:schemeClr w14:val="tx1"/>
                        </w14:solidFill>
                      </w14:textFill>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9"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highlight w:val="none"/>
                      <w14:textFill>
                        <w14:solidFill>
                          <w14:schemeClr w14:val="tx1"/>
                        </w14:solidFill>
                      </w14:textFill>
                    </w:rPr>
                  </w:pPr>
                </w:p>
              </w:tc>
              <w:tc>
                <w:tcPr>
                  <w:tcW w:w="8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highlight w:val="none"/>
                      <w14:textFill>
                        <w14:solidFill>
                          <w14:schemeClr w14:val="tx1"/>
                        </w14:solidFill>
                      </w14:textFill>
                    </w:rPr>
                    <w:t>昼间</w:t>
                  </w:r>
                </w:p>
              </w:tc>
              <w:tc>
                <w:tcPr>
                  <w:tcW w:w="8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highlight w:val="none"/>
                      <w14:textFill>
                        <w14:solidFill>
                          <w14:schemeClr w14:val="tx1"/>
                        </w14:solidFill>
                      </w14:textFill>
                    </w:rPr>
                    <w:t>夜间</w:t>
                  </w:r>
                </w:p>
              </w:tc>
              <w:tc>
                <w:tcPr>
                  <w:tcW w:w="83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highlight w:val="none"/>
                      <w14:textFill>
                        <w14:solidFill>
                          <w14:schemeClr w14:val="tx1"/>
                        </w14:solidFill>
                      </w14:textFill>
                    </w:rPr>
                    <w:t>昼间</w:t>
                  </w:r>
                </w:p>
              </w:tc>
              <w:tc>
                <w:tcPr>
                  <w:tcW w:w="8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highlight w:val="none"/>
                      <w14:textFill>
                        <w14:solidFill>
                          <w14:schemeClr w14:val="tx1"/>
                        </w14:solidFill>
                      </w14:textFill>
                    </w:rPr>
                    <w:t>夜间</w:t>
                  </w:r>
                </w:p>
              </w:tc>
              <w:tc>
                <w:tcPr>
                  <w:tcW w:w="8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highlight w:val="none"/>
                      <w14:textFill>
                        <w14:solidFill>
                          <w14:schemeClr w14:val="tx1"/>
                        </w14:solidFill>
                      </w14:textFill>
                    </w:rPr>
                    <w:t>昼间</w:t>
                  </w:r>
                </w:p>
              </w:tc>
              <w:tc>
                <w:tcPr>
                  <w:tcW w:w="92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highlight w:val="none"/>
                      <w14:textFill>
                        <w14:solidFill>
                          <w14:schemeClr w14:val="tx1"/>
                        </w14:solidFill>
                      </w14:textFill>
                    </w:rPr>
                    <w:t>夜间</w:t>
                  </w:r>
                </w:p>
              </w:tc>
              <w:tc>
                <w:tcPr>
                  <w:tcW w:w="81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highlight w:val="none"/>
                      <w14:textFill>
                        <w14:solidFill>
                          <w14:schemeClr w14:val="tx1"/>
                        </w14:solidFill>
                      </w14:textFill>
                    </w:rPr>
                    <w:t>昼间</w:t>
                  </w:r>
                </w:p>
              </w:tc>
              <w:tc>
                <w:tcPr>
                  <w:tcW w:w="85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highlight w:val="none"/>
                      <w14:textFill>
                        <w14:solidFill>
                          <w14:schemeClr w14:val="tx1"/>
                        </w14:solidFill>
                      </w14:textFill>
                    </w:rPr>
                    <w:t>夜间</w:t>
                  </w:r>
                </w:p>
              </w:tc>
              <w:tc>
                <w:tcPr>
                  <w:tcW w:w="75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highlight w:val="none"/>
                      <w14:textFill>
                        <w14:solidFill>
                          <w14:schemeClr w14:val="tx1"/>
                        </w14:solidFill>
                      </w14:textFill>
                    </w:rPr>
                    <w:t>厂界东侧</w:t>
                  </w:r>
                </w:p>
              </w:tc>
              <w:tc>
                <w:tcPr>
                  <w:tcW w:w="836" w:type="dxa"/>
                  <w:noWrap w:val="0"/>
                  <w:vAlign w:val="center"/>
                </w:tcPr>
                <w:p>
                  <w:pPr>
                    <w:widowControl/>
                    <w:spacing w:line="240" w:lineRule="auto"/>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58.6</w:t>
                  </w:r>
                </w:p>
              </w:tc>
              <w:tc>
                <w:tcPr>
                  <w:tcW w:w="837" w:type="dxa"/>
                  <w:noWrap w:val="0"/>
                  <w:vAlign w:val="center"/>
                </w:tcPr>
                <w:p>
                  <w:pPr>
                    <w:widowControl/>
                    <w:spacing w:line="240" w:lineRule="auto"/>
                    <w:jc w:val="center"/>
                    <w:textAlignment w:val="center"/>
                    <w:rPr>
                      <w:rFonts w:hint="default"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eastAsiaTheme="minorEastAsia"/>
                      <w:b w:val="0"/>
                      <w:bCs w:val="0"/>
                      <w:color w:val="auto"/>
                      <w:kern w:val="2"/>
                      <w:sz w:val="21"/>
                      <w:szCs w:val="21"/>
                      <w:lang w:val="en-US" w:eastAsia="zh-CN" w:bidi="ar-SA"/>
                    </w:rPr>
                    <w:t>45.4</w:t>
                  </w:r>
                </w:p>
              </w:tc>
              <w:tc>
                <w:tcPr>
                  <w:tcW w:w="833" w:type="dxa"/>
                  <w:noWrap w:val="0"/>
                  <w:vAlign w:val="center"/>
                </w:tcPr>
                <w:p>
                  <w:pPr>
                    <w:widowControl/>
                    <w:spacing w:line="240" w:lineRule="auto"/>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55</w:t>
                  </w:r>
                </w:p>
              </w:tc>
              <w:tc>
                <w:tcPr>
                  <w:tcW w:w="840" w:type="dxa"/>
                  <w:noWrap w:val="0"/>
                  <w:vAlign w:val="center"/>
                </w:tcPr>
                <w:p>
                  <w:pPr>
                    <w:widowControl/>
                    <w:spacing w:line="240" w:lineRule="auto"/>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eastAsia="宋体" w:cs="Times New Roman"/>
                      <w:b w:val="0"/>
                      <w:bCs w:val="0"/>
                      <w:color w:val="auto"/>
                      <w:kern w:val="2"/>
                      <w:sz w:val="21"/>
                      <w:szCs w:val="21"/>
                      <w:lang w:val="en-US" w:eastAsia="zh-CN" w:bidi="ar-SA"/>
                    </w:rPr>
                    <w:t>44</w:t>
                  </w:r>
                </w:p>
              </w:tc>
              <w:tc>
                <w:tcPr>
                  <w:tcW w:w="836"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95" w:beforeLines="30"/>
                    <w:ind w:firstLine="0" w:firstLineChars="0"/>
                    <w:jc w:val="center"/>
                    <w:textAlignment w:val="auto"/>
                    <w:outlineLvl w:val="9"/>
                    <w:rPr>
                      <w:rFonts w:hint="default" w:ascii="Times New Roman" w:hAnsi="Times New Roman" w:eastAsia="宋体" w:cs="Times New Roman"/>
                      <w:snapToGrid/>
                      <w:color w:val="000000" w:themeColor="text1"/>
                      <w:spacing w:val="0"/>
                      <w:kern w:val="0"/>
                      <w:position w:val="0"/>
                      <w:sz w:val="21"/>
                      <w:szCs w:val="21"/>
                      <w:highlight w:val="none"/>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1"/>
                      <w:szCs w:val="21"/>
                      <w:highlight w:val="none"/>
                      <w:lang w:val="en-US" w:eastAsia="zh-CN"/>
                      <w14:textFill>
                        <w14:solidFill>
                          <w14:schemeClr w14:val="tx1"/>
                        </w14:solidFill>
                      </w14:textFill>
                    </w:rPr>
                    <w:t>60.1</w:t>
                  </w:r>
                </w:p>
              </w:tc>
              <w:tc>
                <w:tcPr>
                  <w:tcW w:w="927"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95" w:beforeLines="30"/>
                    <w:ind w:firstLine="0" w:firstLineChars="0"/>
                    <w:jc w:val="center"/>
                    <w:textAlignment w:val="auto"/>
                    <w:outlineLvl w:val="9"/>
                    <w:rPr>
                      <w:rFonts w:hint="default" w:ascii="Times New Roman" w:hAnsi="Times New Roman" w:eastAsia="宋体" w:cs="Times New Roman"/>
                      <w:snapToGrid/>
                      <w:color w:val="000000" w:themeColor="text1"/>
                      <w:spacing w:val="0"/>
                      <w:kern w:val="0"/>
                      <w:position w:val="0"/>
                      <w:sz w:val="21"/>
                      <w:szCs w:val="21"/>
                      <w:highlight w:val="none"/>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1"/>
                      <w:szCs w:val="21"/>
                      <w:highlight w:val="none"/>
                      <w:lang w:val="en-US" w:eastAsia="zh-CN"/>
                      <w14:textFill>
                        <w14:solidFill>
                          <w14:schemeClr w14:val="tx1"/>
                        </w14:solidFill>
                      </w14:textFill>
                    </w:rPr>
                    <w:t>47.8</w:t>
                  </w:r>
                </w:p>
              </w:tc>
              <w:tc>
                <w:tcPr>
                  <w:tcW w:w="810"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95" w:beforeLines="30"/>
                    <w:ind w:firstLine="0" w:firstLineChars="0"/>
                    <w:jc w:val="center"/>
                    <w:textAlignment w:val="auto"/>
                    <w:outlineLvl w:val="9"/>
                    <w:rPr>
                      <w:rFonts w:hint="default" w:ascii="Times New Roman" w:hAnsi="Times New Roman" w:eastAsia="宋体" w:cs="Times New Roman"/>
                      <w:snapToGrid/>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highlight w:val="none"/>
                      <w:lang w:val="en-US" w:eastAsia="zh-CN"/>
                      <w14:textFill>
                        <w14:solidFill>
                          <w14:schemeClr w14:val="tx1"/>
                        </w14:solidFill>
                      </w14:textFill>
                    </w:rPr>
                    <w:t>65</w:t>
                  </w:r>
                </w:p>
              </w:tc>
              <w:tc>
                <w:tcPr>
                  <w:tcW w:w="855"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95" w:beforeLines="30"/>
                    <w:ind w:firstLine="0" w:firstLineChars="0"/>
                    <w:jc w:val="center"/>
                    <w:textAlignment w:val="auto"/>
                    <w:outlineLvl w:val="9"/>
                    <w:rPr>
                      <w:rFonts w:hint="default" w:ascii="Times New Roman" w:hAnsi="Times New Roman" w:eastAsia="宋体" w:cs="Times New Roman"/>
                      <w:snapToGrid/>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highlight w:val="none"/>
                      <w:lang w:val="en-US" w:eastAsia="zh-CN"/>
                      <w14:textFill>
                        <w14:solidFill>
                          <w14:schemeClr w14:val="tx1"/>
                        </w14:solidFill>
                      </w14:textFill>
                    </w:rPr>
                    <w:t>55</w:t>
                  </w:r>
                </w:p>
              </w:tc>
              <w:tc>
                <w:tcPr>
                  <w:tcW w:w="75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highlight w:val="none"/>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highlight w:val="none"/>
                      <w14:textFill>
                        <w14:solidFill>
                          <w14:schemeClr w14:val="tx1"/>
                        </w14:solidFill>
                      </w14:textFill>
                    </w:rPr>
                    <w:t>厂界南侧</w:t>
                  </w:r>
                </w:p>
              </w:tc>
              <w:tc>
                <w:tcPr>
                  <w:tcW w:w="836" w:type="dxa"/>
                  <w:noWrap w:val="0"/>
                  <w:vAlign w:val="center"/>
                </w:tcPr>
                <w:p>
                  <w:pPr>
                    <w:widowControl/>
                    <w:spacing w:line="240" w:lineRule="auto"/>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53.7</w:t>
                  </w:r>
                </w:p>
              </w:tc>
              <w:tc>
                <w:tcPr>
                  <w:tcW w:w="837" w:type="dxa"/>
                  <w:noWrap w:val="0"/>
                  <w:vAlign w:val="center"/>
                </w:tcPr>
                <w:p>
                  <w:pPr>
                    <w:widowControl/>
                    <w:spacing w:line="240" w:lineRule="auto"/>
                    <w:jc w:val="center"/>
                    <w:textAlignment w:val="center"/>
                    <w:rPr>
                      <w:rFonts w:hint="default"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eastAsiaTheme="minorEastAsia"/>
                      <w:b w:val="0"/>
                      <w:bCs w:val="0"/>
                      <w:color w:val="auto"/>
                      <w:kern w:val="2"/>
                      <w:sz w:val="21"/>
                      <w:szCs w:val="21"/>
                      <w:lang w:val="en-US" w:eastAsia="zh-CN" w:bidi="ar-SA"/>
                    </w:rPr>
                    <w:t>44.6</w:t>
                  </w:r>
                </w:p>
              </w:tc>
              <w:tc>
                <w:tcPr>
                  <w:tcW w:w="833" w:type="dxa"/>
                  <w:noWrap w:val="0"/>
                  <w:vAlign w:val="center"/>
                </w:tcPr>
                <w:p>
                  <w:pPr>
                    <w:widowControl/>
                    <w:spacing w:line="240" w:lineRule="auto"/>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52</w:t>
                  </w:r>
                </w:p>
              </w:tc>
              <w:tc>
                <w:tcPr>
                  <w:tcW w:w="840" w:type="dxa"/>
                  <w:noWrap w:val="0"/>
                  <w:vAlign w:val="center"/>
                </w:tcPr>
                <w:p>
                  <w:pPr>
                    <w:widowControl/>
                    <w:spacing w:line="240" w:lineRule="auto"/>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eastAsia="宋体" w:cs="Times New Roman"/>
                      <w:b w:val="0"/>
                      <w:bCs w:val="0"/>
                      <w:color w:val="auto"/>
                      <w:kern w:val="2"/>
                      <w:sz w:val="21"/>
                      <w:szCs w:val="21"/>
                      <w:lang w:val="en-US" w:eastAsia="zh-CN" w:bidi="ar-SA"/>
                    </w:rPr>
                    <w:t>43</w:t>
                  </w:r>
                </w:p>
              </w:tc>
              <w:tc>
                <w:tcPr>
                  <w:tcW w:w="836"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95" w:beforeLines="30"/>
                    <w:ind w:firstLine="0" w:firstLineChars="0"/>
                    <w:jc w:val="center"/>
                    <w:textAlignment w:val="auto"/>
                    <w:outlineLvl w:val="9"/>
                    <w:rPr>
                      <w:rFonts w:hint="default" w:ascii="Times New Roman" w:hAnsi="Times New Roman" w:eastAsia="宋体" w:cs="Times New Roman"/>
                      <w:snapToGrid/>
                      <w:color w:val="000000" w:themeColor="text1"/>
                      <w:spacing w:val="0"/>
                      <w:kern w:val="0"/>
                      <w:position w:val="0"/>
                      <w:sz w:val="21"/>
                      <w:szCs w:val="21"/>
                      <w:highlight w:val="none"/>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1"/>
                      <w:szCs w:val="21"/>
                      <w:highlight w:val="none"/>
                      <w:lang w:val="en-US" w:eastAsia="zh-CN"/>
                      <w14:textFill>
                        <w14:solidFill>
                          <w14:schemeClr w14:val="tx1"/>
                        </w14:solidFill>
                      </w14:textFill>
                    </w:rPr>
                    <w:t>55.9</w:t>
                  </w:r>
                </w:p>
              </w:tc>
              <w:tc>
                <w:tcPr>
                  <w:tcW w:w="927"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95" w:beforeLines="30"/>
                    <w:ind w:firstLine="0" w:firstLineChars="0"/>
                    <w:jc w:val="center"/>
                    <w:textAlignment w:val="auto"/>
                    <w:outlineLvl w:val="9"/>
                    <w:rPr>
                      <w:rFonts w:hint="default" w:ascii="Times New Roman" w:hAnsi="Times New Roman" w:eastAsia="宋体" w:cs="Times New Roman"/>
                      <w:snapToGrid/>
                      <w:color w:val="000000" w:themeColor="text1"/>
                      <w:spacing w:val="0"/>
                      <w:kern w:val="0"/>
                      <w:position w:val="0"/>
                      <w:sz w:val="21"/>
                      <w:szCs w:val="21"/>
                      <w:highlight w:val="none"/>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1"/>
                      <w:szCs w:val="21"/>
                      <w:highlight w:val="none"/>
                      <w:lang w:val="en-US" w:eastAsia="zh-CN"/>
                      <w14:textFill>
                        <w14:solidFill>
                          <w14:schemeClr w14:val="tx1"/>
                        </w14:solidFill>
                      </w14:textFill>
                    </w:rPr>
                    <w:t>46.9</w:t>
                  </w:r>
                </w:p>
              </w:tc>
              <w:tc>
                <w:tcPr>
                  <w:tcW w:w="81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napToGrid/>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highlight w:val="none"/>
                      <w:lang w:val="en-US" w:eastAsia="zh-CN"/>
                      <w14:textFill>
                        <w14:solidFill>
                          <w14:schemeClr w14:val="tx1"/>
                        </w14:solidFill>
                      </w14:textFill>
                    </w:rPr>
                    <w:t>70</w:t>
                  </w:r>
                </w:p>
              </w:tc>
              <w:tc>
                <w:tcPr>
                  <w:tcW w:w="855"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95" w:beforeLines="30"/>
                    <w:ind w:firstLine="0" w:firstLineChars="0"/>
                    <w:jc w:val="center"/>
                    <w:textAlignment w:val="auto"/>
                    <w:outlineLvl w:val="9"/>
                    <w:rPr>
                      <w:rFonts w:hint="default" w:ascii="Times New Roman" w:hAnsi="Times New Roman" w:eastAsia="宋体" w:cs="Times New Roman"/>
                      <w:snapToGrid/>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highlight w:val="none"/>
                      <w:lang w:val="en-US" w:eastAsia="zh-CN"/>
                      <w14:textFill>
                        <w14:solidFill>
                          <w14:schemeClr w14:val="tx1"/>
                        </w14:solidFill>
                      </w14:textFill>
                    </w:rPr>
                    <w:t>55</w:t>
                  </w:r>
                </w:p>
              </w:tc>
              <w:tc>
                <w:tcPr>
                  <w:tcW w:w="75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highlight w:val="none"/>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highlight w:val="none"/>
                      <w14:textFill>
                        <w14:solidFill>
                          <w14:schemeClr w14:val="tx1"/>
                        </w14:solidFill>
                      </w14:textFill>
                    </w:rPr>
                    <w:t>厂界西侧</w:t>
                  </w:r>
                </w:p>
              </w:tc>
              <w:tc>
                <w:tcPr>
                  <w:tcW w:w="836" w:type="dxa"/>
                  <w:noWrap w:val="0"/>
                  <w:vAlign w:val="center"/>
                </w:tcPr>
                <w:p>
                  <w:pPr>
                    <w:widowControl/>
                    <w:spacing w:line="240" w:lineRule="auto"/>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54.5</w:t>
                  </w:r>
                </w:p>
              </w:tc>
              <w:tc>
                <w:tcPr>
                  <w:tcW w:w="837" w:type="dxa"/>
                  <w:noWrap w:val="0"/>
                  <w:vAlign w:val="center"/>
                </w:tcPr>
                <w:p>
                  <w:pPr>
                    <w:widowControl/>
                    <w:spacing w:line="240" w:lineRule="auto"/>
                    <w:jc w:val="center"/>
                    <w:textAlignment w:val="center"/>
                    <w:rPr>
                      <w:rFonts w:hint="default"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eastAsiaTheme="minorEastAsia"/>
                      <w:b w:val="0"/>
                      <w:bCs w:val="0"/>
                      <w:color w:val="auto"/>
                      <w:kern w:val="2"/>
                      <w:sz w:val="21"/>
                      <w:szCs w:val="21"/>
                      <w:lang w:val="en-US" w:eastAsia="zh-CN" w:bidi="ar-SA"/>
                    </w:rPr>
                    <w:t>44.4</w:t>
                  </w:r>
                </w:p>
              </w:tc>
              <w:tc>
                <w:tcPr>
                  <w:tcW w:w="833" w:type="dxa"/>
                  <w:noWrap w:val="0"/>
                  <w:vAlign w:val="center"/>
                </w:tcPr>
                <w:p>
                  <w:pPr>
                    <w:widowControl/>
                    <w:spacing w:line="240" w:lineRule="auto"/>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53</w:t>
                  </w:r>
                </w:p>
              </w:tc>
              <w:tc>
                <w:tcPr>
                  <w:tcW w:w="840" w:type="dxa"/>
                  <w:noWrap w:val="0"/>
                  <w:vAlign w:val="center"/>
                </w:tcPr>
                <w:p>
                  <w:pPr>
                    <w:widowControl/>
                    <w:spacing w:line="240" w:lineRule="auto"/>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eastAsia="宋体" w:cs="Times New Roman"/>
                      <w:b w:val="0"/>
                      <w:bCs w:val="0"/>
                      <w:color w:val="auto"/>
                      <w:kern w:val="2"/>
                      <w:sz w:val="21"/>
                      <w:szCs w:val="21"/>
                      <w:lang w:val="en-US" w:eastAsia="zh-CN" w:bidi="ar-SA"/>
                    </w:rPr>
                    <w:t>42</w:t>
                  </w:r>
                </w:p>
              </w:tc>
              <w:tc>
                <w:tcPr>
                  <w:tcW w:w="836"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95" w:beforeLines="30"/>
                    <w:ind w:firstLine="0" w:firstLineChars="0"/>
                    <w:jc w:val="center"/>
                    <w:textAlignment w:val="auto"/>
                    <w:outlineLvl w:val="9"/>
                    <w:rPr>
                      <w:rFonts w:hint="default" w:ascii="Times New Roman" w:hAnsi="Times New Roman" w:eastAsia="宋体" w:cs="Times New Roman"/>
                      <w:snapToGrid/>
                      <w:color w:val="000000" w:themeColor="text1"/>
                      <w:spacing w:val="0"/>
                      <w:kern w:val="0"/>
                      <w:position w:val="0"/>
                      <w:sz w:val="21"/>
                      <w:szCs w:val="21"/>
                      <w:highlight w:val="none"/>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1"/>
                      <w:szCs w:val="21"/>
                      <w:highlight w:val="none"/>
                      <w:lang w:val="en-US" w:eastAsia="zh-CN"/>
                      <w14:textFill>
                        <w14:solidFill>
                          <w14:schemeClr w14:val="tx1"/>
                        </w14:solidFill>
                      </w14:textFill>
                    </w:rPr>
                    <w:t>56.8</w:t>
                  </w:r>
                </w:p>
              </w:tc>
              <w:tc>
                <w:tcPr>
                  <w:tcW w:w="927"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95" w:beforeLines="30"/>
                    <w:ind w:firstLine="0" w:firstLineChars="0"/>
                    <w:jc w:val="center"/>
                    <w:textAlignment w:val="auto"/>
                    <w:outlineLvl w:val="9"/>
                    <w:rPr>
                      <w:rFonts w:hint="default" w:ascii="Times New Roman" w:hAnsi="Times New Roman" w:eastAsia="宋体" w:cs="Times New Roman"/>
                      <w:snapToGrid/>
                      <w:color w:val="000000" w:themeColor="text1"/>
                      <w:spacing w:val="0"/>
                      <w:kern w:val="0"/>
                      <w:position w:val="0"/>
                      <w:sz w:val="21"/>
                      <w:szCs w:val="21"/>
                      <w:highlight w:val="none"/>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1"/>
                      <w:szCs w:val="21"/>
                      <w:highlight w:val="none"/>
                      <w:lang w:val="en-US" w:eastAsia="zh-CN"/>
                      <w14:textFill>
                        <w14:solidFill>
                          <w14:schemeClr w14:val="tx1"/>
                        </w14:solidFill>
                      </w14:textFill>
                    </w:rPr>
                    <w:t>46.4</w:t>
                  </w:r>
                </w:p>
              </w:tc>
              <w:tc>
                <w:tcPr>
                  <w:tcW w:w="81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napToGrid/>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highlight w:val="none"/>
                      <w:lang w:val="en-US" w:eastAsia="zh-CN"/>
                      <w14:textFill>
                        <w14:solidFill>
                          <w14:schemeClr w14:val="tx1"/>
                        </w14:solidFill>
                      </w14:textFill>
                    </w:rPr>
                    <w:t>65</w:t>
                  </w:r>
                </w:p>
              </w:tc>
              <w:tc>
                <w:tcPr>
                  <w:tcW w:w="855"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95" w:beforeLines="30"/>
                    <w:ind w:firstLine="0" w:firstLineChars="0"/>
                    <w:jc w:val="center"/>
                    <w:textAlignment w:val="auto"/>
                    <w:outlineLvl w:val="9"/>
                    <w:rPr>
                      <w:rFonts w:hint="default" w:ascii="Times New Roman" w:hAnsi="Times New Roman" w:eastAsia="宋体" w:cs="Times New Roman"/>
                      <w:snapToGrid/>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highlight w:val="none"/>
                      <w:lang w:val="en-US" w:eastAsia="zh-CN"/>
                      <w14:textFill>
                        <w14:solidFill>
                          <w14:schemeClr w14:val="tx1"/>
                        </w14:solidFill>
                      </w14:textFill>
                    </w:rPr>
                    <w:t>55</w:t>
                  </w:r>
                </w:p>
              </w:tc>
              <w:tc>
                <w:tcPr>
                  <w:tcW w:w="75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highlight w:val="none"/>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highlight w:val="none"/>
                      <w14:textFill>
                        <w14:solidFill>
                          <w14:schemeClr w14:val="tx1"/>
                        </w14:solidFill>
                      </w14:textFill>
                    </w:rPr>
                    <w:t>厂界北侧</w:t>
                  </w:r>
                </w:p>
              </w:tc>
              <w:tc>
                <w:tcPr>
                  <w:tcW w:w="836" w:type="dxa"/>
                  <w:noWrap w:val="0"/>
                  <w:vAlign w:val="center"/>
                </w:tcPr>
                <w:p>
                  <w:pPr>
                    <w:widowControl/>
                    <w:spacing w:line="240" w:lineRule="auto"/>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54.4</w:t>
                  </w:r>
                </w:p>
              </w:tc>
              <w:tc>
                <w:tcPr>
                  <w:tcW w:w="837" w:type="dxa"/>
                  <w:noWrap w:val="0"/>
                  <w:vAlign w:val="center"/>
                </w:tcPr>
                <w:p>
                  <w:pPr>
                    <w:widowControl/>
                    <w:spacing w:line="240" w:lineRule="auto"/>
                    <w:jc w:val="center"/>
                    <w:textAlignment w:val="center"/>
                    <w:rPr>
                      <w:rFonts w:hint="default"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eastAsiaTheme="minorEastAsia"/>
                      <w:b w:val="0"/>
                      <w:bCs w:val="0"/>
                      <w:color w:val="auto"/>
                      <w:kern w:val="2"/>
                      <w:sz w:val="21"/>
                      <w:szCs w:val="21"/>
                      <w:lang w:val="en-US" w:eastAsia="zh-CN" w:bidi="ar-SA"/>
                    </w:rPr>
                    <w:t>45.1</w:t>
                  </w:r>
                </w:p>
              </w:tc>
              <w:tc>
                <w:tcPr>
                  <w:tcW w:w="833" w:type="dxa"/>
                  <w:noWrap w:val="0"/>
                  <w:vAlign w:val="center"/>
                </w:tcPr>
                <w:p>
                  <w:pPr>
                    <w:widowControl/>
                    <w:spacing w:line="240" w:lineRule="auto"/>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55</w:t>
                  </w:r>
                </w:p>
              </w:tc>
              <w:tc>
                <w:tcPr>
                  <w:tcW w:w="840" w:type="dxa"/>
                  <w:noWrap w:val="0"/>
                  <w:vAlign w:val="center"/>
                </w:tcPr>
                <w:p>
                  <w:pPr>
                    <w:widowControl/>
                    <w:spacing w:line="240" w:lineRule="auto"/>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eastAsia="宋体" w:cs="Times New Roman"/>
                      <w:b w:val="0"/>
                      <w:bCs w:val="0"/>
                      <w:color w:val="auto"/>
                      <w:kern w:val="2"/>
                      <w:sz w:val="21"/>
                      <w:szCs w:val="21"/>
                      <w:lang w:val="en-US" w:eastAsia="zh-CN" w:bidi="ar-SA"/>
                    </w:rPr>
                    <w:t>43</w:t>
                  </w:r>
                </w:p>
              </w:tc>
              <w:tc>
                <w:tcPr>
                  <w:tcW w:w="836"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95" w:beforeLines="30"/>
                    <w:ind w:firstLine="0" w:firstLineChars="0"/>
                    <w:jc w:val="center"/>
                    <w:textAlignment w:val="auto"/>
                    <w:outlineLvl w:val="9"/>
                    <w:rPr>
                      <w:rFonts w:hint="default" w:ascii="Times New Roman" w:hAnsi="Times New Roman" w:eastAsia="宋体" w:cs="Times New Roman"/>
                      <w:snapToGrid/>
                      <w:color w:val="000000" w:themeColor="text1"/>
                      <w:spacing w:val="0"/>
                      <w:kern w:val="0"/>
                      <w:position w:val="0"/>
                      <w:sz w:val="21"/>
                      <w:szCs w:val="21"/>
                      <w:highlight w:val="none"/>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1"/>
                      <w:szCs w:val="21"/>
                      <w:highlight w:val="none"/>
                      <w:lang w:val="en-US" w:eastAsia="zh-CN"/>
                      <w14:textFill>
                        <w14:solidFill>
                          <w14:schemeClr w14:val="tx1"/>
                        </w14:solidFill>
                      </w14:textFill>
                    </w:rPr>
                    <w:t>57.7</w:t>
                  </w:r>
                </w:p>
              </w:tc>
              <w:tc>
                <w:tcPr>
                  <w:tcW w:w="927"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95" w:beforeLines="30"/>
                    <w:ind w:firstLine="0" w:firstLineChars="0"/>
                    <w:jc w:val="center"/>
                    <w:textAlignment w:val="auto"/>
                    <w:outlineLvl w:val="9"/>
                    <w:rPr>
                      <w:rFonts w:hint="default" w:ascii="Times New Roman" w:hAnsi="Times New Roman" w:eastAsia="宋体" w:cs="Times New Roman"/>
                      <w:snapToGrid/>
                      <w:color w:val="000000" w:themeColor="text1"/>
                      <w:spacing w:val="0"/>
                      <w:kern w:val="0"/>
                      <w:position w:val="0"/>
                      <w:sz w:val="21"/>
                      <w:szCs w:val="21"/>
                      <w:highlight w:val="none"/>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1"/>
                      <w:szCs w:val="21"/>
                      <w:highlight w:val="none"/>
                      <w:lang w:val="en-US" w:eastAsia="zh-CN"/>
                      <w14:textFill>
                        <w14:solidFill>
                          <w14:schemeClr w14:val="tx1"/>
                        </w14:solidFill>
                      </w14:textFill>
                    </w:rPr>
                    <w:t>47.2</w:t>
                  </w:r>
                </w:p>
              </w:tc>
              <w:tc>
                <w:tcPr>
                  <w:tcW w:w="81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napToGrid/>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highlight w:val="none"/>
                      <w:lang w:val="en-US" w:eastAsia="zh-CN"/>
                      <w14:textFill>
                        <w14:solidFill>
                          <w14:schemeClr w14:val="tx1"/>
                        </w14:solidFill>
                      </w14:textFill>
                    </w:rPr>
                    <w:t>65</w:t>
                  </w:r>
                </w:p>
              </w:tc>
              <w:tc>
                <w:tcPr>
                  <w:tcW w:w="855"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95" w:beforeLines="30"/>
                    <w:ind w:firstLine="0" w:firstLineChars="0"/>
                    <w:jc w:val="center"/>
                    <w:textAlignment w:val="auto"/>
                    <w:outlineLvl w:val="9"/>
                    <w:rPr>
                      <w:rFonts w:hint="default" w:ascii="Times New Roman" w:hAnsi="Times New Roman" w:eastAsia="宋体" w:cs="Times New Roman"/>
                      <w:snapToGrid/>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highlight w:val="none"/>
                      <w:lang w:val="en-US" w:eastAsia="zh-CN"/>
                      <w14:textFill>
                        <w14:solidFill>
                          <w14:schemeClr w14:val="tx1"/>
                        </w14:solidFill>
                      </w14:textFill>
                    </w:rPr>
                    <w:t>55</w:t>
                  </w:r>
                </w:p>
              </w:tc>
              <w:tc>
                <w:tcPr>
                  <w:tcW w:w="75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highlight w:val="none"/>
                      <w14:textFill>
                        <w14:solidFill>
                          <w14:schemeClr w14:val="tx1"/>
                        </w14:solidFill>
                      </w14:textFill>
                    </w:rPr>
                    <w:t>达标</w:t>
                  </w:r>
                </w:p>
              </w:tc>
            </w:tr>
          </w:tbl>
          <w:p>
            <w:pPr>
              <w:keepNext w:val="0"/>
              <w:keepLines w:val="0"/>
              <w:pageBreakBefore w:val="0"/>
              <w:widowControl w:val="0"/>
              <w:tabs>
                <w:tab w:val="left" w:pos="1380"/>
                <w:tab w:val="left" w:pos="1860"/>
                <w:tab w:val="center" w:pos="4535"/>
                <w:tab w:val="left" w:pos="5985"/>
                <w:tab w:val="left" w:pos="7740"/>
              </w:tabs>
              <w:kinsoku/>
              <w:wordWrap/>
              <w:overflowPunct/>
              <w:topLinePunct w:val="0"/>
              <w:autoSpaceDE/>
              <w:autoSpaceDN/>
              <w:bidi w:val="0"/>
              <w:adjustRightInd w:val="0"/>
              <w:snapToGrid w:val="0"/>
              <w:spacing w:before="157" w:beforeLines="50" w:line="360" w:lineRule="auto"/>
              <w:ind w:firstLine="480" w:firstLineChars="200"/>
              <w:textAlignment w:val="auto"/>
              <w:rPr>
                <w:rFonts w:hint="default" w:ascii="Times New Roman" w:hAnsi="Times New Roman" w:eastAsia="宋体" w:cs="Times New Roman"/>
                <w:snapToGrid/>
                <w:color w:val="000000" w:themeColor="text1"/>
                <w:spacing w:val="0"/>
                <w:kern w:val="0"/>
                <w:position w:val="0"/>
                <w:sz w:val="24"/>
                <w:szCs w:val="24"/>
                <w:highlight w:val="none"/>
                <w14:textFill>
                  <w14:solidFill>
                    <w14:schemeClr w14:val="tx1"/>
                  </w14:solidFill>
                </w14:textFill>
              </w:rPr>
            </w:pPr>
            <w:r>
              <w:rPr>
                <w:rFonts w:hint="default" w:ascii="Times New Roman" w:hAnsi="Times New Roman" w:cs="Times New Roman"/>
                <w:snapToGrid/>
                <w:color w:val="000000" w:themeColor="text1"/>
                <w:spacing w:val="0"/>
                <w:kern w:val="0"/>
                <w:position w:val="0"/>
                <w:sz w:val="24"/>
                <w14:textFill>
                  <w14:solidFill>
                    <w14:schemeClr w14:val="tx1"/>
                  </w14:solidFill>
                </w14:textFill>
              </w:rPr>
              <w:t>由上表可见，东侧、</w:t>
            </w:r>
            <w:r>
              <w:rPr>
                <w:rFonts w:hint="default" w:ascii="Times New Roman" w:hAnsi="Times New Roman" w:cs="Times New Roman"/>
                <w:snapToGrid/>
                <w:color w:val="000000" w:themeColor="text1"/>
                <w:spacing w:val="0"/>
                <w:kern w:val="0"/>
                <w:position w:val="0"/>
                <w:sz w:val="24"/>
                <w:lang w:eastAsia="zh-CN"/>
                <w14:textFill>
                  <w14:solidFill>
                    <w14:schemeClr w14:val="tx1"/>
                  </w14:solidFill>
                </w14:textFill>
              </w:rPr>
              <w:t>西侧、北侧</w:t>
            </w:r>
            <w:r>
              <w:rPr>
                <w:rFonts w:hint="default" w:ascii="Times New Roman" w:hAnsi="Times New Roman" w:cs="Times New Roman"/>
                <w:snapToGrid/>
                <w:color w:val="000000" w:themeColor="text1"/>
                <w:spacing w:val="0"/>
                <w:kern w:val="0"/>
                <w:position w:val="0"/>
                <w:sz w:val="24"/>
                <w14:textFill>
                  <w14:solidFill>
                    <w14:schemeClr w14:val="tx1"/>
                  </w14:solidFill>
                </w14:textFill>
              </w:rPr>
              <w:t>厂界噪声排放</w:t>
            </w:r>
            <w:r>
              <w:rPr>
                <w:rFonts w:hint="eastAsia" w:cs="Times New Roman"/>
                <w:snapToGrid/>
                <w:color w:val="000000" w:themeColor="text1"/>
                <w:spacing w:val="0"/>
                <w:kern w:val="0"/>
                <w:position w:val="0"/>
                <w:sz w:val="24"/>
                <w:lang w:eastAsia="zh-CN"/>
                <w14:textFill>
                  <w14:solidFill>
                    <w14:schemeClr w14:val="tx1"/>
                  </w14:solidFill>
                </w14:textFill>
              </w:rPr>
              <w:t>满足</w:t>
            </w:r>
            <w:r>
              <w:rPr>
                <w:rFonts w:hint="default" w:ascii="Times New Roman" w:hAnsi="Times New Roman" w:cs="Times New Roman"/>
                <w:snapToGrid/>
                <w:color w:val="000000" w:themeColor="text1"/>
                <w:spacing w:val="0"/>
                <w:kern w:val="0"/>
                <w:position w:val="0"/>
                <w:sz w:val="24"/>
                <w14:textFill>
                  <w14:solidFill>
                    <w14:schemeClr w14:val="tx1"/>
                  </w14:solidFill>
                </w14:textFill>
              </w:rPr>
              <w:t>《工业企业厂界环境噪声排放标准》（GB12348-2008）中</w:t>
            </w:r>
            <w:r>
              <w:rPr>
                <w:rFonts w:hint="eastAsia" w:ascii="Times New Roman" w:hAnsi="Times New Roman" w:cs="Times New Roman"/>
                <w:snapToGrid/>
                <w:color w:val="000000" w:themeColor="text1"/>
                <w:spacing w:val="0"/>
                <w:kern w:val="0"/>
                <w:position w:val="0"/>
                <w:sz w:val="24"/>
                <w:lang w:val="en-US" w:eastAsia="zh-CN"/>
                <w14:textFill>
                  <w14:solidFill>
                    <w14:schemeClr w14:val="tx1"/>
                  </w14:solidFill>
                </w14:textFill>
              </w:rPr>
              <w:t>3</w:t>
            </w:r>
            <w:r>
              <w:rPr>
                <w:rFonts w:hint="default" w:ascii="Times New Roman" w:hAnsi="Times New Roman" w:cs="Times New Roman"/>
                <w:snapToGrid/>
                <w:color w:val="000000" w:themeColor="text1"/>
                <w:spacing w:val="0"/>
                <w:kern w:val="0"/>
                <w:position w:val="0"/>
                <w:sz w:val="24"/>
                <w14:textFill>
                  <w14:solidFill>
                    <w14:schemeClr w14:val="tx1"/>
                  </w14:solidFill>
                </w14:textFill>
              </w:rPr>
              <w:t>类标准要求</w:t>
            </w:r>
            <w:r>
              <w:rPr>
                <w:rFonts w:hint="default" w:ascii="Times New Roman" w:hAnsi="Times New Roman" w:cs="Times New Roman"/>
                <w:snapToGrid/>
                <w:color w:val="000000" w:themeColor="text1"/>
                <w:spacing w:val="0"/>
                <w:kern w:val="0"/>
                <w:position w:val="0"/>
                <w:sz w:val="24"/>
                <w:lang w:eastAsia="zh-CN"/>
                <w14:textFill>
                  <w14:solidFill>
                    <w14:schemeClr w14:val="tx1"/>
                  </w14:solidFill>
                </w14:textFill>
              </w:rPr>
              <w:t>（昼间：</w:t>
            </w:r>
            <w:r>
              <w:rPr>
                <w:rFonts w:hint="eastAsia" w:ascii="Times New Roman" w:hAnsi="Times New Roman" w:cs="Times New Roman"/>
                <w:snapToGrid/>
                <w:color w:val="000000" w:themeColor="text1"/>
                <w:spacing w:val="0"/>
                <w:kern w:val="0"/>
                <w:position w:val="0"/>
                <w:sz w:val="24"/>
                <w:lang w:val="en-US" w:eastAsia="zh-CN"/>
                <w14:textFill>
                  <w14:solidFill>
                    <w14:schemeClr w14:val="tx1"/>
                  </w14:solidFill>
                </w14:textFill>
              </w:rPr>
              <w:t>65</w:t>
            </w:r>
            <w:r>
              <w:rPr>
                <w:rFonts w:hint="default" w:ascii="Times New Roman" w:hAnsi="Times New Roman" w:cs="Times New Roman"/>
                <w:snapToGrid/>
                <w:color w:val="000000" w:themeColor="text1"/>
                <w:spacing w:val="0"/>
                <w:kern w:val="0"/>
                <w:position w:val="0"/>
                <w:sz w:val="24"/>
                <w:lang w:val="en-US" w:eastAsia="zh-CN"/>
                <w14:textFill>
                  <w14:solidFill>
                    <w14:schemeClr w14:val="tx1"/>
                  </w14:solidFill>
                </w14:textFill>
              </w:rPr>
              <w:t>dB（A）；夜间</w:t>
            </w:r>
            <w:r>
              <w:rPr>
                <w:rFonts w:hint="eastAsia" w:ascii="Times New Roman" w:hAnsi="Times New Roman" w:cs="Times New Roman"/>
                <w:snapToGrid/>
                <w:color w:val="000000" w:themeColor="text1"/>
                <w:spacing w:val="0"/>
                <w:kern w:val="0"/>
                <w:position w:val="0"/>
                <w:sz w:val="24"/>
                <w:lang w:val="en-US" w:eastAsia="zh-CN"/>
                <w14:textFill>
                  <w14:solidFill>
                    <w14:schemeClr w14:val="tx1"/>
                  </w14:solidFill>
                </w14:textFill>
              </w:rPr>
              <w:t>55</w:t>
            </w:r>
            <w:r>
              <w:rPr>
                <w:rFonts w:hint="default" w:ascii="Times New Roman" w:hAnsi="Times New Roman" w:cs="Times New Roman"/>
                <w:snapToGrid/>
                <w:color w:val="000000" w:themeColor="text1"/>
                <w:spacing w:val="0"/>
                <w:kern w:val="0"/>
                <w:position w:val="0"/>
                <w:sz w:val="24"/>
                <w:lang w:val="en-US" w:eastAsia="zh-CN"/>
                <w14:textFill>
                  <w14:solidFill>
                    <w14:schemeClr w14:val="tx1"/>
                  </w14:solidFill>
                </w14:textFill>
              </w:rPr>
              <w:t>dB（A）</w:t>
            </w:r>
            <w:r>
              <w:rPr>
                <w:rFonts w:hint="default" w:ascii="Times New Roman" w:hAnsi="Times New Roman" w:cs="Times New Roman"/>
                <w:snapToGrid/>
                <w:color w:val="000000" w:themeColor="text1"/>
                <w:spacing w:val="0"/>
                <w:kern w:val="0"/>
                <w:position w:val="0"/>
                <w:sz w:val="24"/>
                <w:lang w:eastAsia="zh-CN"/>
                <w14:textFill>
                  <w14:solidFill>
                    <w14:schemeClr w14:val="tx1"/>
                  </w14:solidFill>
                </w14:textFill>
              </w:rPr>
              <w:t>）</w:t>
            </w:r>
            <w:r>
              <w:rPr>
                <w:rFonts w:hint="eastAsia" w:cs="Times New Roman"/>
                <w:snapToGrid/>
                <w:color w:val="000000" w:themeColor="text1"/>
                <w:spacing w:val="0"/>
                <w:kern w:val="0"/>
                <w:position w:val="0"/>
                <w:sz w:val="24"/>
                <w:lang w:eastAsia="zh-CN"/>
                <w14:textFill>
                  <w14:solidFill>
                    <w14:schemeClr w14:val="tx1"/>
                  </w14:solidFill>
                </w14:textFill>
              </w:rPr>
              <w:t>，</w:t>
            </w:r>
            <w:r>
              <w:rPr>
                <w:rFonts w:hint="default" w:ascii="Times New Roman" w:hAnsi="Times New Roman" w:cs="Times New Roman"/>
                <w:snapToGrid/>
                <w:color w:val="000000" w:themeColor="text1"/>
                <w:spacing w:val="0"/>
                <w:kern w:val="0"/>
                <w:position w:val="0"/>
                <w:sz w:val="24"/>
                <w:lang w:eastAsia="zh-CN"/>
                <w14:textFill>
                  <w14:solidFill>
                    <w14:schemeClr w14:val="tx1"/>
                  </w14:solidFill>
                </w14:textFill>
              </w:rPr>
              <w:t>南</w:t>
            </w:r>
            <w:r>
              <w:rPr>
                <w:rFonts w:hint="default" w:ascii="Times New Roman" w:hAnsi="Times New Roman" w:cs="Times New Roman"/>
                <w:snapToGrid/>
                <w:color w:val="000000" w:themeColor="text1"/>
                <w:spacing w:val="0"/>
                <w:kern w:val="0"/>
                <w:position w:val="0"/>
                <w:sz w:val="24"/>
                <w14:textFill>
                  <w14:solidFill>
                    <w14:schemeClr w14:val="tx1"/>
                  </w14:solidFill>
                </w14:textFill>
              </w:rPr>
              <w:t>侧厂界噪声排放</w:t>
            </w:r>
            <w:r>
              <w:rPr>
                <w:rFonts w:hint="eastAsia" w:cs="Times New Roman"/>
                <w:snapToGrid/>
                <w:color w:val="000000" w:themeColor="text1"/>
                <w:spacing w:val="0"/>
                <w:kern w:val="0"/>
                <w:position w:val="0"/>
                <w:sz w:val="24"/>
                <w:lang w:eastAsia="zh-CN"/>
                <w14:textFill>
                  <w14:solidFill>
                    <w14:schemeClr w14:val="tx1"/>
                  </w14:solidFill>
                </w14:textFill>
              </w:rPr>
              <w:t>满足</w:t>
            </w:r>
            <w:r>
              <w:rPr>
                <w:rFonts w:hint="default" w:ascii="Times New Roman" w:hAnsi="Times New Roman" w:cs="Times New Roman"/>
                <w:snapToGrid/>
                <w:color w:val="000000" w:themeColor="text1"/>
                <w:spacing w:val="0"/>
                <w:kern w:val="0"/>
                <w:position w:val="0"/>
                <w:sz w:val="24"/>
                <w14:textFill>
                  <w14:solidFill>
                    <w14:schemeClr w14:val="tx1"/>
                  </w14:solidFill>
                </w14:textFill>
              </w:rPr>
              <w:t>《工业企业厂界环境噪声排放标准》（GB12348-2008）中</w:t>
            </w:r>
            <w:r>
              <w:rPr>
                <w:rFonts w:hint="eastAsia" w:ascii="Times New Roman" w:hAnsi="Times New Roman" w:cs="Times New Roman"/>
                <w:snapToGrid/>
                <w:color w:val="000000" w:themeColor="text1"/>
                <w:spacing w:val="0"/>
                <w:kern w:val="0"/>
                <w:position w:val="0"/>
                <w:sz w:val="24"/>
                <w:lang w:val="en-US" w:eastAsia="zh-CN"/>
                <w14:textFill>
                  <w14:solidFill>
                    <w14:schemeClr w14:val="tx1"/>
                  </w14:solidFill>
                </w14:textFill>
              </w:rPr>
              <w:t>4a</w:t>
            </w:r>
            <w:r>
              <w:rPr>
                <w:rFonts w:hint="default" w:ascii="Times New Roman" w:hAnsi="Times New Roman" w:cs="Times New Roman"/>
                <w:snapToGrid/>
                <w:color w:val="000000" w:themeColor="text1"/>
                <w:spacing w:val="0"/>
                <w:kern w:val="0"/>
                <w:position w:val="0"/>
                <w:sz w:val="24"/>
                <w14:textFill>
                  <w14:solidFill>
                    <w14:schemeClr w14:val="tx1"/>
                  </w14:solidFill>
                </w14:textFill>
              </w:rPr>
              <w:t>类标准要求</w:t>
            </w:r>
            <w:r>
              <w:rPr>
                <w:rFonts w:hint="default" w:ascii="Times New Roman" w:hAnsi="Times New Roman" w:cs="Times New Roman"/>
                <w:snapToGrid/>
                <w:color w:val="000000" w:themeColor="text1"/>
                <w:spacing w:val="0"/>
                <w:kern w:val="0"/>
                <w:position w:val="0"/>
                <w:sz w:val="24"/>
                <w:lang w:eastAsia="zh-CN"/>
                <w14:textFill>
                  <w14:solidFill>
                    <w14:schemeClr w14:val="tx1"/>
                  </w14:solidFill>
                </w14:textFill>
              </w:rPr>
              <w:t>（昼间：</w:t>
            </w:r>
            <w:r>
              <w:rPr>
                <w:rFonts w:hint="eastAsia" w:ascii="Times New Roman" w:hAnsi="Times New Roman" w:cs="Times New Roman"/>
                <w:snapToGrid/>
                <w:color w:val="000000" w:themeColor="text1"/>
                <w:spacing w:val="0"/>
                <w:kern w:val="0"/>
                <w:position w:val="0"/>
                <w:sz w:val="24"/>
                <w:lang w:val="en-US" w:eastAsia="zh-CN"/>
                <w14:textFill>
                  <w14:solidFill>
                    <w14:schemeClr w14:val="tx1"/>
                  </w14:solidFill>
                </w14:textFill>
              </w:rPr>
              <w:t>70</w:t>
            </w:r>
            <w:r>
              <w:rPr>
                <w:rFonts w:hint="default" w:ascii="Times New Roman" w:hAnsi="Times New Roman" w:cs="Times New Roman"/>
                <w:snapToGrid/>
                <w:color w:val="000000" w:themeColor="text1"/>
                <w:spacing w:val="0"/>
                <w:kern w:val="0"/>
                <w:position w:val="0"/>
                <w:sz w:val="24"/>
                <w:lang w:val="en-US" w:eastAsia="zh-CN"/>
                <w14:textFill>
                  <w14:solidFill>
                    <w14:schemeClr w14:val="tx1"/>
                  </w14:solidFill>
                </w14:textFill>
              </w:rPr>
              <w:t>dB（A）；夜间</w:t>
            </w:r>
            <w:r>
              <w:rPr>
                <w:rFonts w:hint="eastAsia" w:ascii="Times New Roman" w:hAnsi="Times New Roman" w:cs="Times New Roman"/>
                <w:snapToGrid/>
                <w:color w:val="000000" w:themeColor="text1"/>
                <w:spacing w:val="0"/>
                <w:kern w:val="0"/>
                <w:position w:val="0"/>
                <w:sz w:val="24"/>
                <w:lang w:val="en-US" w:eastAsia="zh-CN"/>
                <w14:textFill>
                  <w14:solidFill>
                    <w14:schemeClr w14:val="tx1"/>
                  </w14:solidFill>
                </w14:textFill>
              </w:rPr>
              <w:t>55</w:t>
            </w:r>
            <w:r>
              <w:rPr>
                <w:rFonts w:hint="default" w:ascii="Times New Roman" w:hAnsi="Times New Roman" w:cs="Times New Roman"/>
                <w:snapToGrid/>
                <w:color w:val="000000" w:themeColor="text1"/>
                <w:spacing w:val="0"/>
                <w:kern w:val="0"/>
                <w:position w:val="0"/>
                <w:sz w:val="24"/>
                <w:lang w:val="en-US" w:eastAsia="zh-CN"/>
                <w14:textFill>
                  <w14:solidFill>
                    <w14:schemeClr w14:val="tx1"/>
                  </w14:solidFill>
                </w14:textFill>
              </w:rPr>
              <w:t>dB（A）</w:t>
            </w:r>
            <w:r>
              <w:rPr>
                <w:rFonts w:hint="default" w:ascii="Times New Roman" w:hAnsi="Times New Roman" w:cs="Times New Roman"/>
                <w:snapToGrid/>
                <w:color w:val="000000" w:themeColor="text1"/>
                <w:spacing w:val="0"/>
                <w:kern w:val="0"/>
                <w:position w:val="0"/>
                <w:sz w:val="24"/>
                <w:lang w:eastAsia="zh-CN"/>
                <w14:textFill>
                  <w14:solidFill>
                    <w14:schemeClr w14:val="tx1"/>
                  </w14:solidFill>
                </w14:textFill>
              </w:rPr>
              <w:t>）</w:t>
            </w:r>
            <w:r>
              <w:rPr>
                <w:rFonts w:hint="eastAsia" w:ascii="Times New Roman" w:hAnsi="Times New Roman" w:cs="Times New Roman"/>
                <w:snapToGrid/>
                <w:color w:val="000000" w:themeColor="text1"/>
                <w:spacing w:val="0"/>
                <w:kern w:val="0"/>
                <w:position w:val="0"/>
                <w:sz w:val="24"/>
                <w:lang w:eastAsia="zh-CN"/>
                <w14:textFill>
                  <w14:solidFill>
                    <w14:schemeClr w14:val="tx1"/>
                  </w14:solidFill>
                </w14:textFill>
              </w:rPr>
              <w:t>，</w:t>
            </w:r>
            <w:r>
              <w:rPr>
                <w:rFonts w:hint="default" w:ascii="Times New Roman" w:hAnsi="Times New Roman" w:cs="Times New Roman"/>
                <w:snapToGrid/>
                <w:color w:val="000000" w:themeColor="text1"/>
                <w:spacing w:val="0"/>
                <w:kern w:val="0"/>
                <w:position w:val="0"/>
                <w:sz w:val="24"/>
                <w14:textFill>
                  <w14:solidFill>
                    <w14:schemeClr w14:val="tx1"/>
                  </w14:solidFill>
                </w14:textFill>
              </w:rPr>
              <w:t>对外环境的影响不大。</w:t>
            </w:r>
            <w:r>
              <w:rPr>
                <w:rFonts w:hint="default" w:ascii="Times New Roman" w:hAnsi="Times New Roman" w:eastAsia="宋体" w:cs="Times New Roman"/>
                <w:b w:val="0"/>
                <w:bCs w:val="0"/>
                <w:snapToGrid/>
                <w:color w:val="000000" w:themeColor="text1"/>
                <w:spacing w:val="0"/>
                <w:kern w:val="0"/>
                <w:position w:val="0"/>
                <w:sz w:val="24"/>
                <w:szCs w:val="24"/>
                <w:highlight w:val="none"/>
                <w:lang w:val="en-US" w:eastAsia="zh-CN"/>
                <w14:textFill>
                  <w14:solidFill>
                    <w14:schemeClr w14:val="tx1"/>
                  </w14:solidFill>
                </w14:textFill>
              </w:rPr>
              <w:t>因此，本项目噪声源噪声值经厂房隔声和距离减震降噪措施后，可保证厂界噪声达标排放，</w:t>
            </w:r>
            <w:r>
              <w:rPr>
                <w:rFonts w:hint="default" w:ascii="Times New Roman" w:hAnsi="Times New Roman" w:eastAsia="宋体" w:cs="Times New Roman"/>
                <w:snapToGrid/>
                <w:color w:val="000000" w:themeColor="text1"/>
                <w:spacing w:val="0"/>
                <w:kern w:val="0"/>
                <w:position w:val="0"/>
                <w:sz w:val="24"/>
                <w:szCs w:val="24"/>
                <w:highlight w:val="none"/>
                <w14:textFill>
                  <w14:solidFill>
                    <w14:schemeClr w14:val="tx1"/>
                  </w14:solidFill>
                </w14:textFill>
              </w:rPr>
              <w:t>对</w:t>
            </w:r>
            <w:r>
              <w:rPr>
                <w:rFonts w:hint="default" w:ascii="Times New Roman" w:hAnsi="Times New Roman" w:eastAsia="宋体" w:cs="Times New Roman"/>
                <w:snapToGrid/>
                <w:color w:val="000000" w:themeColor="text1"/>
                <w:spacing w:val="0"/>
                <w:kern w:val="0"/>
                <w:position w:val="0"/>
                <w:sz w:val="24"/>
                <w:szCs w:val="24"/>
                <w:highlight w:val="none"/>
                <w:lang w:eastAsia="zh-CN"/>
                <w14:textFill>
                  <w14:solidFill>
                    <w14:schemeClr w14:val="tx1"/>
                  </w14:solidFill>
                </w14:textFill>
              </w:rPr>
              <w:t>区域</w:t>
            </w:r>
            <w:r>
              <w:rPr>
                <w:rFonts w:hint="default" w:ascii="Times New Roman" w:hAnsi="Times New Roman" w:eastAsia="宋体" w:cs="Times New Roman"/>
                <w:snapToGrid/>
                <w:color w:val="000000" w:themeColor="text1"/>
                <w:spacing w:val="0"/>
                <w:kern w:val="0"/>
                <w:position w:val="0"/>
                <w:sz w:val="24"/>
                <w:szCs w:val="24"/>
                <w:highlight w:val="none"/>
                <w14:textFill>
                  <w14:solidFill>
                    <w14:schemeClr w14:val="tx1"/>
                  </w14:solidFill>
                </w14:textFill>
              </w:rPr>
              <w:t>环境的影响</w:t>
            </w:r>
            <w:r>
              <w:rPr>
                <w:rFonts w:hint="default" w:ascii="Times New Roman" w:hAnsi="Times New Roman" w:eastAsia="宋体" w:cs="Times New Roman"/>
                <w:snapToGrid/>
                <w:color w:val="000000" w:themeColor="text1"/>
                <w:spacing w:val="0"/>
                <w:kern w:val="0"/>
                <w:position w:val="0"/>
                <w:sz w:val="24"/>
                <w:szCs w:val="24"/>
                <w:highlight w:val="none"/>
                <w:lang w:eastAsia="zh-CN"/>
                <w14:textFill>
                  <w14:solidFill>
                    <w14:schemeClr w14:val="tx1"/>
                  </w14:solidFill>
                </w14:textFill>
              </w:rPr>
              <w:t>较小</w:t>
            </w:r>
            <w:r>
              <w:rPr>
                <w:rFonts w:hint="default" w:ascii="Times New Roman" w:hAnsi="Times New Roman" w:eastAsia="宋体" w:cs="Times New Roman"/>
                <w:snapToGrid/>
                <w:color w:val="000000" w:themeColor="text1"/>
                <w:spacing w:val="0"/>
                <w:kern w:val="0"/>
                <w:position w:val="0"/>
                <w:sz w:val="24"/>
                <w:szCs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b/>
                <w:bCs/>
                <w:color w:val="auto"/>
                <w:sz w:val="24"/>
                <w:szCs w:val="24"/>
                <w:lang w:val="en-US" w:eastAsia="zh-CN"/>
              </w:rPr>
            </w:pPr>
            <w:r>
              <w:rPr>
                <w:rFonts w:hint="eastAsia"/>
                <w:b/>
                <w:bCs/>
                <w:color w:val="auto"/>
                <w:sz w:val="24"/>
                <w:szCs w:val="24"/>
                <w:lang w:val="en-US" w:eastAsia="zh-CN"/>
              </w:rPr>
              <w:t>监测计划</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b/>
                <w:bCs/>
                <w:color w:val="auto"/>
                <w:sz w:val="24"/>
                <w:szCs w:val="24"/>
                <w:lang w:val="en-US" w:eastAsia="zh-CN"/>
              </w:rPr>
            </w:pPr>
            <w:r>
              <w:rPr>
                <w:rFonts w:hint="eastAsia"/>
                <w:b w:val="0"/>
                <w:bCs w:val="0"/>
                <w:color w:val="auto"/>
                <w:sz w:val="24"/>
                <w:szCs w:val="24"/>
                <w:lang w:val="en-US" w:eastAsia="zh-CN"/>
              </w:rPr>
              <w:t>根据《排污单位自行监测技术指南 总则》（HJ819-2017），制定本项目噪声监测计划如下：</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b/>
                <w:bCs/>
                <w:color w:val="auto"/>
                <w:sz w:val="24"/>
                <w:szCs w:val="24"/>
                <w:lang w:val="en-US" w:eastAsia="zh-CN"/>
              </w:rPr>
            </w:pPr>
            <w:r>
              <w:rPr>
                <w:rFonts w:hint="eastAsia"/>
                <w:b/>
                <w:bCs/>
                <w:color w:val="auto"/>
                <w:sz w:val="24"/>
                <w:szCs w:val="24"/>
                <w:lang w:val="en-US" w:eastAsia="zh-CN"/>
              </w:rPr>
              <w:t>表4.11  噪声监测计划一览表</w:t>
            </w:r>
          </w:p>
          <w:tbl>
            <w:tblPr>
              <w:tblStyle w:val="25"/>
              <w:tblW w:w="83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9"/>
              <w:gridCol w:w="1192"/>
              <w:gridCol w:w="2780"/>
              <w:gridCol w:w="2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类别</w:t>
                  </w:r>
                </w:p>
              </w:tc>
              <w:tc>
                <w:tcPr>
                  <w:tcW w:w="119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监测点位</w:t>
                  </w:r>
                </w:p>
              </w:tc>
              <w:tc>
                <w:tcPr>
                  <w:tcW w:w="27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监测项目</w:t>
                  </w:r>
                </w:p>
              </w:tc>
              <w:tc>
                <w:tcPr>
                  <w:tcW w:w="278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监测频率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厂界噪声</w:t>
                  </w:r>
                </w:p>
              </w:tc>
              <w:tc>
                <w:tcPr>
                  <w:tcW w:w="119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厂界</w:t>
                  </w:r>
                </w:p>
              </w:tc>
              <w:tc>
                <w:tcPr>
                  <w:tcW w:w="27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等效连续A声级</w:t>
                  </w:r>
                </w:p>
              </w:tc>
              <w:tc>
                <w:tcPr>
                  <w:tcW w:w="278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1次/季度</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eastAsia"/>
                <w:b w:val="0"/>
                <w:bCs w:val="0"/>
                <w:color w:val="auto"/>
                <w:sz w:val="24"/>
                <w:szCs w:val="24"/>
                <w:lang w:val="en-US" w:eastAsia="zh-CN"/>
              </w:rPr>
            </w:pPr>
            <w:r>
              <w:rPr>
                <w:rFonts w:hint="eastAsia" w:ascii="Times New Roman" w:hAnsi="Times New Roman" w:eastAsia="宋体" w:cs="Times New Roman"/>
                <w:b/>
                <w:bCs/>
                <w:color w:val="auto"/>
                <w:sz w:val="24"/>
                <w:szCs w:val="24"/>
                <w:lang w:val="en-US" w:eastAsia="zh-CN"/>
              </w:rPr>
              <w:t>4、</w:t>
            </w:r>
            <w:r>
              <w:rPr>
                <w:rFonts w:hint="default" w:ascii="Times New Roman" w:hAnsi="Times New Roman" w:eastAsia="宋体" w:cs="Times New Roman"/>
                <w:b/>
                <w:bCs/>
                <w:color w:val="auto"/>
                <w:sz w:val="24"/>
                <w:szCs w:val="24"/>
              </w:rPr>
              <w:t>固</w:t>
            </w:r>
            <w:r>
              <w:rPr>
                <w:rFonts w:hint="default" w:ascii="Times New Roman" w:hAnsi="Times New Roman" w:eastAsia="宋体" w:cs="Times New Roman"/>
                <w:b/>
                <w:bCs/>
                <w:color w:val="auto"/>
                <w:sz w:val="24"/>
                <w:szCs w:val="24"/>
                <w:lang w:eastAsia="zh-CN"/>
              </w:rPr>
              <w:t>体</w:t>
            </w:r>
            <w:r>
              <w:rPr>
                <w:rFonts w:hint="default" w:ascii="Times New Roman" w:hAnsi="Times New Roman" w:eastAsia="宋体" w:cs="Times New Roman"/>
                <w:b/>
                <w:bCs/>
                <w:color w:val="auto"/>
                <w:sz w:val="24"/>
                <w:szCs w:val="24"/>
              </w:rPr>
              <w:t>废</w:t>
            </w:r>
            <w:r>
              <w:rPr>
                <w:rFonts w:hint="default" w:ascii="Times New Roman" w:hAnsi="Times New Roman" w:eastAsia="宋体" w:cs="Times New Roman"/>
                <w:b/>
                <w:bCs/>
                <w:color w:val="auto"/>
                <w:sz w:val="24"/>
                <w:szCs w:val="24"/>
                <w:lang w:eastAsia="zh-CN"/>
              </w:rPr>
              <w:t>物</w:t>
            </w:r>
          </w:p>
          <w:p>
            <w:pPr>
              <w:pStyle w:val="44"/>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jc w:val="both"/>
              <w:textAlignment w:val="auto"/>
              <w:rPr>
                <w:rFonts w:hint="default" w:ascii="Times New Roman" w:hAnsi="Times New Roman" w:eastAsia="宋体" w:cs="Times New Roman"/>
                <w:color w:val="auto"/>
                <w:sz w:val="24"/>
                <w:szCs w:val="24"/>
                <w:highlight w:val="none"/>
                <w:lang w:val="en-US" w:eastAsia="zh-CN"/>
              </w:rPr>
            </w:pPr>
            <w:r>
              <w:rPr>
                <w:rFonts w:hint="eastAsia"/>
                <w:color w:val="auto"/>
                <w:sz w:val="24"/>
                <w:lang w:eastAsia="zh-CN"/>
              </w:rPr>
              <w:t>本项目</w:t>
            </w:r>
            <w:r>
              <w:rPr>
                <w:rFonts w:hint="eastAsia"/>
                <w:color w:val="auto"/>
                <w:sz w:val="24"/>
              </w:rPr>
              <w:t>运营期</w:t>
            </w:r>
            <w:r>
              <w:rPr>
                <w:rFonts w:hint="eastAsia" w:ascii="Times New Roman" w:hAnsi="Times New Roman" w:eastAsia="宋体" w:cs="Times New Roman"/>
                <w:color w:val="auto"/>
                <w:kern w:val="0"/>
                <w:sz w:val="24"/>
                <w:szCs w:val="24"/>
                <w:lang w:eastAsia="zh-CN"/>
              </w:rPr>
              <w:t>项目固废主要包括生活垃圾、一般工业固体废物及危险废物。</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default" w:ascii="Times New Roman" w:hAnsi="Times New Roman" w:cs="Times New Roman"/>
                <w:color w:val="auto"/>
                <w:sz w:val="24"/>
              </w:rPr>
            </w:pPr>
            <w:r>
              <w:rPr>
                <w:rFonts w:hint="default" w:ascii="Times New Roman" w:hAnsi="Times New Roman" w:cs="Times New Roman"/>
                <w:color w:val="auto"/>
                <w:sz w:val="24"/>
              </w:rPr>
              <w:t>（1）生活垃圾</w:t>
            </w:r>
          </w:p>
          <w:p>
            <w:pPr>
              <w:pStyle w:val="44"/>
              <w:keepNext w:val="0"/>
              <w:keepLines w:val="0"/>
              <w:pageBreakBefore w:val="0"/>
              <w:widowControl w:val="0"/>
              <w:kinsoku/>
              <w:wordWrap/>
              <w:overflowPunct/>
              <w:topLinePunct w:val="0"/>
              <w:autoSpaceDE/>
              <w:autoSpaceDN/>
              <w:bidi w:val="0"/>
              <w:adjustRightInd w:val="0"/>
              <w:snapToGrid w:val="0"/>
              <w:ind w:firstLine="480"/>
              <w:jc w:val="both"/>
              <w:textAlignment w:val="auto"/>
              <w:rPr>
                <w:rFonts w:hint="default" w:ascii="Times New Roman" w:hAnsi="Times New Roman" w:cs="Times New Roman"/>
                <w:color w:val="auto"/>
                <w:sz w:val="24"/>
                <w:lang w:eastAsia="zh-CN"/>
              </w:rPr>
            </w:pPr>
            <w:r>
              <w:rPr>
                <w:rFonts w:hint="default" w:ascii="Times New Roman" w:hAnsi="Times New Roman" w:eastAsia="宋体" w:cs="Times New Roman"/>
                <w:color w:val="auto"/>
                <w:kern w:val="0"/>
                <w:sz w:val="24"/>
                <w:szCs w:val="28"/>
                <w:lang w:val="en-US" w:eastAsia="zh-CN" w:bidi="ar-SA"/>
              </w:rPr>
              <w:t>本项目劳动定员</w:t>
            </w:r>
            <w:r>
              <w:rPr>
                <w:rFonts w:hint="eastAsia" w:ascii="Times New Roman" w:hAnsi="Times New Roman" w:cs="Times New Roman"/>
                <w:color w:val="auto"/>
                <w:kern w:val="0"/>
                <w:sz w:val="24"/>
                <w:szCs w:val="28"/>
                <w:lang w:val="en-US" w:eastAsia="zh-CN" w:bidi="ar-SA"/>
              </w:rPr>
              <w:t>100</w:t>
            </w:r>
            <w:r>
              <w:rPr>
                <w:rFonts w:hint="default" w:ascii="Times New Roman" w:hAnsi="Times New Roman" w:eastAsia="宋体" w:cs="Times New Roman"/>
                <w:color w:val="auto"/>
                <w:kern w:val="0"/>
                <w:sz w:val="24"/>
                <w:szCs w:val="28"/>
                <w:lang w:val="en-US" w:eastAsia="zh-CN" w:bidi="ar-SA"/>
              </w:rPr>
              <w:t>人</w:t>
            </w:r>
            <w:r>
              <w:rPr>
                <w:rFonts w:hint="default" w:ascii="Times New Roman" w:hAnsi="Times New Roman" w:cs="Times New Roman"/>
                <w:color w:val="auto"/>
                <w:sz w:val="24"/>
              </w:rPr>
              <w:t>，按每人每日排放生活垃圾0.5kg计，则生活垃圾产生量约</w:t>
            </w:r>
            <w:r>
              <w:rPr>
                <w:rFonts w:hint="eastAsia" w:ascii="Times New Roman" w:hAnsi="Times New Roman" w:cs="Times New Roman"/>
                <w:color w:val="auto"/>
                <w:sz w:val="24"/>
                <w:lang w:val="en-US" w:eastAsia="zh-CN"/>
              </w:rPr>
              <w:t>15</w:t>
            </w:r>
            <w:r>
              <w:rPr>
                <w:rFonts w:hint="default" w:ascii="Times New Roman" w:hAnsi="Times New Roman" w:cs="Times New Roman"/>
                <w:color w:val="auto"/>
                <w:sz w:val="24"/>
              </w:rPr>
              <w:t>t/a，集中收集后交</w:t>
            </w:r>
            <w:r>
              <w:rPr>
                <w:rFonts w:hint="default" w:ascii="Times New Roman" w:hAnsi="Times New Roman" w:cs="Times New Roman"/>
                <w:color w:val="auto"/>
                <w:sz w:val="24"/>
                <w:lang w:eastAsia="zh-CN"/>
              </w:rPr>
              <w:t>由</w:t>
            </w:r>
            <w:r>
              <w:rPr>
                <w:rFonts w:hint="default" w:ascii="Times New Roman" w:hAnsi="Times New Roman" w:cs="Times New Roman"/>
                <w:color w:val="auto"/>
                <w:sz w:val="24"/>
              </w:rPr>
              <w:t>环卫部门</w:t>
            </w:r>
            <w:r>
              <w:rPr>
                <w:rFonts w:hint="default" w:ascii="Times New Roman" w:hAnsi="Times New Roman" w:cs="Times New Roman"/>
                <w:color w:val="auto"/>
                <w:sz w:val="24"/>
                <w:lang w:eastAsia="zh-CN"/>
              </w:rPr>
              <w:t>清运</w:t>
            </w:r>
            <w:r>
              <w:rPr>
                <w:rFonts w:hint="default" w:ascii="Times New Roman" w:hAnsi="Times New Roman" w:cs="Times New Roman"/>
                <w:color w:val="auto"/>
                <w:sz w:val="24"/>
              </w:rPr>
              <w:t>处理</w:t>
            </w:r>
            <w:r>
              <w:rPr>
                <w:rFonts w:hint="default" w:ascii="Times New Roman" w:hAnsi="Times New Roman" w:cs="Times New Roman"/>
                <w:color w:val="auto"/>
                <w:sz w:val="24"/>
                <w:lang w:eastAsia="zh-CN"/>
              </w:rPr>
              <w:t>。</w:t>
            </w:r>
          </w:p>
          <w:p>
            <w:pPr>
              <w:pStyle w:val="44"/>
              <w:keepNext w:val="0"/>
              <w:keepLines w:val="0"/>
              <w:pageBreakBefore w:val="0"/>
              <w:widowControl w:val="0"/>
              <w:kinsoku/>
              <w:wordWrap/>
              <w:overflowPunct/>
              <w:topLinePunct w:val="0"/>
              <w:autoSpaceDE/>
              <w:autoSpaceDN/>
              <w:bidi w:val="0"/>
              <w:adjustRightInd w:val="0"/>
              <w:snapToGrid w:val="0"/>
              <w:ind w:firstLine="480"/>
              <w:jc w:val="both"/>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lang w:val="en-US" w:eastAsia="zh-CN"/>
              </w:rPr>
              <w:t>2</w:t>
            </w:r>
            <w:r>
              <w:rPr>
                <w:rFonts w:hint="default" w:ascii="Times New Roman" w:hAnsi="Times New Roman" w:eastAsia="宋体" w:cs="Times New Roman"/>
                <w:color w:val="auto"/>
                <w:kern w:val="0"/>
                <w:sz w:val="24"/>
                <w:szCs w:val="24"/>
                <w:lang w:eastAsia="zh-CN"/>
              </w:rPr>
              <w:t>）一般工业固体废物</w:t>
            </w:r>
          </w:p>
          <w:p>
            <w:pPr>
              <w:pStyle w:val="4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jc w:val="both"/>
              <w:textAlignment w:val="auto"/>
              <w:rPr>
                <w:rFonts w:hint="eastAsia"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 xml:space="preserve">① </w:t>
            </w:r>
            <w:r>
              <w:rPr>
                <w:rFonts w:hint="eastAsia" w:cs="Times New Roman"/>
                <w:b w:val="0"/>
                <w:bCs w:val="0"/>
                <w:color w:val="auto"/>
                <w:sz w:val="24"/>
                <w:szCs w:val="24"/>
                <w:lang w:val="en-US" w:eastAsia="zh-CN"/>
              </w:rPr>
              <w:t>不合格品</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宋体" w:hAnsi="宋体" w:eastAsia="宋体" w:cs="宋体"/>
                <w:b w:val="0"/>
                <w:bCs w:val="0"/>
                <w:color w:val="auto"/>
                <w:sz w:val="24"/>
                <w:szCs w:val="24"/>
                <w:lang w:val="en-US" w:eastAsia="zh-CN"/>
              </w:rPr>
            </w:pPr>
            <w:r>
              <w:rPr>
                <w:rFonts w:hint="eastAsia"/>
                <w:color w:val="auto"/>
                <w:sz w:val="24"/>
                <w:szCs w:val="24"/>
                <w:highlight w:val="none"/>
                <w:lang w:val="en-US" w:eastAsia="zh-CN"/>
              </w:rPr>
              <w:t>本项目钢球不合格率取0.2%，</w:t>
            </w:r>
            <w:r>
              <w:rPr>
                <w:rFonts w:hint="default" w:ascii="Times New Roman" w:hAnsi="Times New Roman" w:cs="Times New Roman"/>
                <w:color w:val="auto"/>
                <w:sz w:val="24"/>
                <w:szCs w:val="24"/>
                <w:highlight w:val="none"/>
                <w:lang w:val="en-US" w:eastAsia="zh-CN"/>
              </w:rPr>
              <w:t>项目年产</w:t>
            </w:r>
            <w:r>
              <w:rPr>
                <w:rFonts w:hint="eastAsia" w:cs="Times New Roman"/>
                <w:color w:val="auto"/>
                <w:sz w:val="24"/>
                <w:szCs w:val="24"/>
                <w:highlight w:val="none"/>
                <w:lang w:val="en-US" w:eastAsia="zh-CN"/>
              </w:rPr>
              <w:t>5</w:t>
            </w:r>
            <w:r>
              <w:rPr>
                <w:rFonts w:hint="default" w:ascii="Times New Roman" w:hAnsi="Times New Roman" w:cs="Times New Roman"/>
                <w:color w:val="auto"/>
                <w:sz w:val="24"/>
                <w:szCs w:val="24"/>
                <w:highlight w:val="none"/>
                <w:lang w:val="en-US" w:eastAsia="zh-CN"/>
              </w:rPr>
              <w:t>500</w:t>
            </w:r>
            <w:r>
              <w:rPr>
                <w:rFonts w:hint="eastAsia" w:cs="Times New Roman"/>
                <w:color w:val="auto"/>
                <w:sz w:val="24"/>
                <w:szCs w:val="24"/>
                <w:highlight w:val="none"/>
                <w:lang w:val="en-US" w:eastAsia="zh-CN"/>
              </w:rPr>
              <w:t>t</w:t>
            </w:r>
            <w:r>
              <w:rPr>
                <w:rFonts w:hint="default" w:ascii="Times New Roman" w:hAnsi="Times New Roman" w:cs="Times New Roman"/>
                <w:color w:val="auto"/>
                <w:sz w:val="24"/>
                <w:szCs w:val="24"/>
                <w:highlight w:val="none"/>
                <w:lang w:val="en-US" w:eastAsia="zh-CN"/>
              </w:rPr>
              <w:t>钢球</w:t>
            </w:r>
            <w:r>
              <w:rPr>
                <w:rFonts w:hint="default" w:ascii="Times New Roman" w:hAnsi="Times New Roman" w:cs="Times New Roman"/>
                <w:color w:val="auto"/>
                <w:kern w:val="2"/>
                <w:sz w:val="24"/>
                <w:szCs w:val="24"/>
                <w:highlight w:val="none"/>
                <w:lang w:val="en-US" w:eastAsia="zh-CN" w:bidi="ar-SA"/>
              </w:rPr>
              <w:t>，</w:t>
            </w:r>
            <w:r>
              <w:rPr>
                <w:rFonts w:hint="eastAsia"/>
                <w:color w:val="auto"/>
                <w:sz w:val="24"/>
                <w:szCs w:val="24"/>
                <w:highlight w:val="none"/>
                <w:lang w:val="en-US" w:eastAsia="zh-CN"/>
              </w:rPr>
              <w:t>折合重量约为11t/a。</w:t>
            </w:r>
            <w:r>
              <w:rPr>
                <w:rFonts w:hint="default" w:ascii="Times New Roman" w:hAnsi="Times New Roman" w:cs="Times New Roman"/>
                <w:color w:val="auto"/>
                <w:kern w:val="2"/>
                <w:sz w:val="24"/>
                <w:szCs w:val="24"/>
                <w:highlight w:val="none"/>
                <w:lang w:val="en-US" w:eastAsia="zh-CN" w:bidi="ar-SA"/>
              </w:rPr>
              <w:t>统一收集后定期外售</w:t>
            </w:r>
            <w:r>
              <w:rPr>
                <w:rFonts w:hint="default" w:ascii="Times New Roman" w:hAnsi="Times New Roman" w:eastAsia="宋体"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eastAsia="宋体" w:cs="Times New Roman"/>
                <w:color w:val="auto"/>
                <w:sz w:val="24"/>
                <w:szCs w:val="24"/>
                <w:lang w:eastAsia="zh-CN"/>
              </w:rPr>
            </w:pPr>
            <w:r>
              <w:rPr>
                <w:rFonts w:hint="eastAsia" w:eastAsia="宋体" w:cs="Times New Roman"/>
                <w:color w:val="auto"/>
                <w:sz w:val="24"/>
                <w:szCs w:val="24"/>
                <w:lang w:eastAsia="zh-CN"/>
              </w:rPr>
              <w:t>②废磨液桶</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lang w:eastAsia="zh-CN"/>
              </w:rPr>
              <w:t>年使用</w:t>
            </w:r>
            <w:r>
              <w:rPr>
                <w:rFonts w:hint="eastAsia" w:cs="Times New Roman"/>
                <w:color w:val="auto"/>
                <w:sz w:val="24"/>
                <w:szCs w:val="24"/>
                <w:lang w:eastAsia="zh-CN"/>
              </w:rPr>
              <w:t>特</w:t>
            </w:r>
            <w:r>
              <w:rPr>
                <w:rFonts w:hint="eastAsia" w:cs="Times New Roman"/>
                <w:color w:val="auto"/>
                <w:sz w:val="24"/>
                <w:szCs w:val="24"/>
                <w:lang w:val="en-US" w:eastAsia="zh-CN"/>
              </w:rPr>
              <w:t>磨</w:t>
            </w:r>
            <w:r>
              <w:rPr>
                <w:rFonts w:hint="eastAsia" w:ascii="Times New Roman" w:hAnsi="Times New Roman" w:cs="Times New Roman"/>
                <w:color w:val="auto"/>
                <w:sz w:val="24"/>
                <w:szCs w:val="24"/>
                <w:lang w:val="en-US" w:eastAsia="zh-CN"/>
              </w:rPr>
              <w:t>液</w:t>
            </w:r>
            <w:r>
              <w:rPr>
                <w:rFonts w:hint="eastAsia" w:cs="Times New Roman"/>
                <w:color w:val="auto"/>
                <w:sz w:val="24"/>
                <w:szCs w:val="24"/>
                <w:lang w:val="en-US" w:eastAsia="zh-CN"/>
              </w:rPr>
              <w:t>35</w:t>
            </w:r>
            <w:r>
              <w:rPr>
                <w:rFonts w:hint="eastAsia" w:ascii="Times New Roman" w:hAnsi="Times New Roman" w:eastAsia="宋体" w:cs="Times New Roman"/>
                <w:color w:val="auto"/>
                <w:sz w:val="24"/>
                <w:szCs w:val="24"/>
                <w:lang w:val="en-US" w:eastAsia="zh-CN"/>
              </w:rPr>
              <w:t>t，规格为1</w:t>
            </w:r>
            <w:r>
              <w:rPr>
                <w:rFonts w:hint="eastAsia" w:cs="Times New Roman"/>
                <w:color w:val="auto"/>
                <w:sz w:val="24"/>
                <w:szCs w:val="24"/>
                <w:lang w:val="en-US" w:eastAsia="zh-CN"/>
              </w:rPr>
              <w:t>75</w:t>
            </w:r>
            <w:r>
              <w:rPr>
                <w:rFonts w:hint="eastAsia" w:ascii="Times New Roman" w:hAnsi="Times New Roman" w:eastAsia="宋体" w:cs="Times New Roman"/>
                <w:color w:val="auto"/>
                <w:sz w:val="24"/>
                <w:szCs w:val="24"/>
                <w:lang w:val="en-US" w:eastAsia="zh-CN"/>
              </w:rPr>
              <w:t>kg/桶，则年使用约</w:t>
            </w:r>
            <w:r>
              <w:rPr>
                <w:rFonts w:hint="eastAsia" w:cs="Times New Roman"/>
                <w:color w:val="auto"/>
                <w:sz w:val="24"/>
                <w:szCs w:val="24"/>
                <w:lang w:val="en-US" w:eastAsia="zh-CN"/>
              </w:rPr>
              <w:t>200</w:t>
            </w:r>
            <w:r>
              <w:rPr>
                <w:rFonts w:hint="eastAsia" w:ascii="Times New Roman" w:hAnsi="Times New Roman" w:eastAsia="宋体" w:cs="Times New Roman"/>
                <w:color w:val="auto"/>
                <w:sz w:val="24"/>
                <w:szCs w:val="24"/>
                <w:lang w:val="en-US" w:eastAsia="zh-CN"/>
              </w:rPr>
              <w:t>桶；年使用</w:t>
            </w:r>
            <w:r>
              <w:rPr>
                <w:rFonts w:hint="eastAsia" w:cs="Times New Roman"/>
                <w:color w:val="auto"/>
                <w:sz w:val="24"/>
                <w:szCs w:val="24"/>
                <w:lang w:val="en-US" w:eastAsia="zh-CN"/>
              </w:rPr>
              <w:t>循环</w:t>
            </w:r>
            <w:r>
              <w:rPr>
                <w:rFonts w:hint="eastAsia" w:ascii="Times New Roman" w:hAnsi="Times New Roman" w:eastAsia="宋体" w:cs="Times New Roman"/>
                <w:color w:val="auto"/>
                <w:sz w:val="24"/>
                <w:szCs w:val="24"/>
                <w:lang w:val="en-US" w:eastAsia="zh-CN"/>
              </w:rPr>
              <w:t>液</w:t>
            </w:r>
            <w:r>
              <w:rPr>
                <w:rFonts w:hint="eastAsia" w:cs="Times New Roman"/>
                <w:color w:val="auto"/>
                <w:sz w:val="24"/>
                <w:szCs w:val="24"/>
                <w:lang w:val="en-US" w:eastAsia="zh-CN"/>
              </w:rPr>
              <w:t>50</w:t>
            </w:r>
            <w:r>
              <w:rPr>
                <w:rFonts w:hint="eastAsia" w:ascii="Times New Roman" w:hAnsi="Times New Roman" w:eastAsia="宋体" w:cs="Times New Roman"/>
                <w:color w:val="auto"/>
                <w:sz w:val="24"/>
                <w:szCs w:val="24"/>
                <w:lang w:val="en-US" w:eastAsia="zh-CN"/>
              </w:rPr>
              <w:t>t，规格为</w:t>
            </w:r>
            <w:r>
              <w:rPr>
                <w:rFonts w:hint="eastAsia" w:cs="Times New Roman"/>
                <w:color w:val="auto"/>
                <w:sz w:val="24"/>
                <w:szCs w:val="24"/>
                <w:lang w:val="en-US" w:eastAsia="zh-CN"/>
              </w:rPr>
              <w:t>175</w:t>
            </w:r>
            <w:r>
              <w:rPr>
                <w:rFonts w:hint="eastAsia" w:ascii="Times New Roman" w:hAnsi="Times New Roman" w:eastAsia="宋体" w:cs="Times New Roman"/>
                <w:color w:val="auto"/>
                <w:sz w:val="24"/>
                <w:szCs w:val="24"/>
                <w:lang w:val="en-US" w:eastAsia="zh-CN"/>
              </w:rPr>
              <w:t>kg/桶，则年使用约</w:t>
            </w:r>
            <w:r>
              <w:rPr>
                <w:rFonts w:hint="eastAsia" w:cs="Times New Roman"/>
                <w:color w:val="auto"/>
                <w:sz w:val="24"/>
                <w:szCs w:val="24"/>
                <w:lang w:val="en-US" w:eastAsia="zh-CN"/>
              </w:rPr>
              <w:t>285</w:t>
            </w:r>
            <w:r>
              <w:rPr>
                <w:rFonts w:hint="eastAsia" w:ascii="Times New Roman" w:hAnsi="Times New Roman" w:eastAsia="宋体" w:cs="Times New Roman"/>
                <w:color w:val="auto"/>
                <w:sz w:val="24"/>
                <w:szCs w:val="24"/>
                <w:lang w:val="en-US" w:eastAsia="zh-CN"/>
              </w:rPr>
              <w:t>桶；年使用精研液35t，规格为</w:t>
            </w:r>
            <w:r>
              <w:rPr>
                <w:rFonts w:hint="eastAsia" w:cs="Times New Roman"/>
                <w:color w:val="auto"/>
                <w:sz w:val="24"/>
                <w:szCs w:val="24"/>
                <w:lang w:val="en-US" w:eastAsia="zh-CN"/>
              </w:rPr>
              <w:t>175</w:t>
            </w:r>
            <w:r>
              <w:rPr>
                <w:rFonts w:hint="eastAsia" w:ascii="Times New Roman" w:hAnsi="Times New Roman" w:eastAsia="宋体" w:cs="Times New Roman"/>
                <w:color w:val="auto"/>
                <w:sz w:val="24"/>
                <w:szCs w:val="24"/>
                <w:lang w:val="en-US" w:eastAsia="zh-CN"/>
              </w:rPr>
              <w:t>kg/桶，则年使用约</w:t>
            </w:r>
            <w:r>
              <w:rPr>
                <w:rFonts w:hint="eastAsia" w:cs="Times New Roman"/>
                <w:color w:val="auto"/>
                <w:sz w:val="24"/>
                <w:szCs w:val="24"/>
                <w:lang w:val="en-US" w:eastAsia="zh-CN"/>
              </w:rPr>
              <w:t>200</w:t>
            </w:r>
            <w:r>
              <w:rPr>
                <w:rFonts w:hint="eastAsia" w:ascii="Times New Roman" w:hAnsi="Times New Roman" w:eastAsia="宋体" w:cs="Times New Roman"/>
                <w:color w:val="auto"/>
                <w:sz w:val="24"/>
                <w:szCs w:val="24"/>
                <w:lang w:val="en-US" w:eastAsia="zh-CN"/>
              </w:rPr>
              <w:t>桶；</w:t>
            </w:r>
            <w:r>
              <w:rPr>
                <w:rFonts w:hint="eastAsia" w:eastAsia="宋体" w:cs="Times New Roman"/>
                <w:color w:val="auto"/>
                <w:sz w:val="24"/>
                <w:szCs w:val="24"/>
                <w:lang w:val="en-US" w:eastAsia="zh-CN"/>
              </w:rPr>
              <w:t>这三种原料桶约重4.45t/a，统一回收后由原厂家回收利用。</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cs="Times New Roman"/>
                <w:b w:val="0"/>
                <w:bCs w:val="0"/>
                <w:color w:val="auto"/>
                <w:sz w:val="24"/>
                <w:szCs w:val="24"/>
                <w:highlight w:val="none"/>
                <w:lang w:val="en-US" w:eastAsia="zh-CN"/>
              </w:rPr>
            </w:pPr>
            <w:r>
              <w:rPr>
                <w:rFonts w:hint="eastAsia" w:eastAsia="宋体" w:cs="Times New Roman"/>
                <w:color w:val="auto"/>
                <w:sz w:val="24"/>
                <w:szCs w:val="24"/>
                <w:highlight w:val="none"/>
                <w:lang w:eastAsia="zh-CN"/>
              </w:rPr>
              <w:t>③</w:t>
            </w:r>
            <w:r>
              <w:rPr>
                <w:rFonts w:hint="eastAsia" w:cs="Times New Roman"/>
                <w:b w:val="0"/>
                <w:bCs w:val="0"/>
                <w:color w:val="auto"/>
                <w:sz w:val="24"/>
                <w:szCs w:val="24"/>
                <w:highlight w:val="none"/>
                <w:lang w:val="en-US" w:eastAsia="zh-CN"/>
              </w:rPr>
              <w:t>废钢屑、废钢球</w:t>
            </w:r>
          </w:p>
          <w:p>
            <w:pPr>
              <w:pStyle w:val="15"/>
              <w:keepNext w:val="0"/>
              <w:keepLines w:val="0"/>
              <w:pageBreakBefore w:val="0"/>
              <w:widowControl w:val="0"/>
              <w:kinsoku/>
              <w:wordWrap/>
              <w:overflowPunct/>
              <w:topLinePunct w:val="0"/>
              <w:autoSpaceDE/>
              <w:autoSpaceDN/>
              <w:bidi w:val="0"/>
              <w:spacing w:after="0" w:line="360" w:lineRule="auto"/>
              <w:ind w:left="0" w:leftChars="0"/>
              <w:textAlignment w:val="auto"/>
              <w:rPr>
                <w:rFonts w:hint="default"/>
                <w:highlight w:val="none"/>
                <w:lang w:val="en-US" w:eastAsia="zh-CN"/>
              </w:rPr>
            </w:pPr>
            <w:r>
              <w:rPr>
                <w:rFonts w:hint="eastAsia"/>
                <w:highlight w:val="none"/>
                <w:lang w:val="en-US" w:eastAsia="zh-CN"/>
              </w:rPr>
              <w:t>根据企业提供的资料，精研，初研、光磨过程中产生的废钢屑及废钢球约700t/a。收集后统一外售至物资回收公司。</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宋体" w:hAnsi="宋体" w:eastAsia="宋体" w:cs="宋体"/>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（3）</w:t>
            </w:r>
            <w:r>
              <w:rPr>
                <w:rFonts w:hint="eastAsia" w:ascii="Times New Roman" w:hAnsi="Times New Roman" w:eastAsia="宋体" w:cs="Times New Roman"/>
                <w:b w:val="0"/>
                <w:bCs w:val="0"/>
                <w:color w:val="auto"/>
                <w:sz w:val="24"/>
                <w:szCs w:val="24"/>
                <w:highlight w:val="none"/>
                <w:lang w:val="en-US" w:eastAsia="zh-CN"/>
              </w:rPr>
              <w:t>危险废物</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 xml:space="preserve">① </w:t>
            </w:r>
            <w:r>
              <w:rPr>
                <w:rFonts w:hint="eastAsia" w:cs="Times New Roman"/>
                <w:b w:val="0"/>
                <w:bCs w:val="0"/>
                <w:color w:val="auto"/>
                <w:sz w:val="24"/>
                <w:szCs w:val="24"/>
                <w:highlight w:val="none"/>
                <w:lang w:val="en-US" w:eastAsia="zh-CN"/>
              </w:rPr>
              <w:t>油渣</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0000FF"/>
                <w:sz w:val="24"/>
                <w:szCs w:val="24"/>
                <w:highlight w:val="none"/>
                <w:lang w:val="en-US" w:eastAsia="zh-CN"/>
              </w:rPr>
            </w:pPr>
            <w:r>
              <w:rPr>
                <w:rFonts w:hint="eastAsia" w:cs="Times New Roman"/>
                <w:b w:val="0"/>
                <w:bCs w:val="0"/>
                <w:color w:val="auto"/>
                <w:sz w:val="24"/>
                <w:szCs w:val="24"/>
                <w:highlight w:val="none"/>
                <w:lang w:val="en-US" w:eastAsia="zh-CN"/>
              </w:rPr>
              <w:t>本项目产生的废冷镦机油、废工业白油、废淬火油由企业通过萃取回收回用于生产，在此工序上会产生油渣，根据企业提供的资料，1个月会产生10公斤油渣，则一年产生0.12t油渣。</w:t>
            </w:r>
            <w:r>
              <w:rPr>
                <w:rFonts w:hint="default" w:ascii="Times New Roman" w:hAnsi="Times New Roman" w:eastAsia="宋体" w:cs="Times New Roman"/>
                <w:color w:val="auto"/>
                <w:sz w:val="24"/>
                <w:highlight w:val="none"/>
                <w:lang w:val="en-US" w:eastAsia="zh-CN"/>
              </w:rPr>
              <w:t>经对照《国家危险废物名录》（20</w:t>
            </w:r>
            <w:r>
              <w:rPr>
                <w:rFonts w:hint="eastAsia" w:cs="Times New Roman"/>
                <w:color w:val="auto"/>
                <w:sz w:val="24"/>
                <w:highlight w:val="none"/>
                <w:lang w:val="en-US" w:eastAsia="zh-CN"/>
              </w:rPr>
              <w:t>21</w:t>
            </w:r>
            <w:r>
              <w:rPr>
                <w:rFonts w:hint="default" w:ascii="Times New Roman" w:hAnsi="Times New Roman" w:eastAsia="宋体" w:cs="Times New Roman"/>
                <w:color w:val="auto"/>
                <w:sz w:val="24"/>
                <w:highlight w:val="none"/>
                <w:lang w:val="en-US" w:eastAsia="zh-CN"/>
              </w:rPr>
              <w:t>版），属于危险废物HW08废矿物油与含矿物油废物 ，代码为900-</w:t>
            </w:r>
            <w:r>
              <w:rPr>
                <w:rFonts w:hint="eastAsia" w:cs="Times New Roman"/>
                <w:color w:val="auto"/>
                <w:sz w:val="24"/>
                <w:highlight w:val="none"/>
                <w:lang w:val="en-US" w:eastAsia="zh-CN"/>
              </w:rPr>
              <w:t>213</w:t>
            </w:r>
            <w:r>
              <w:rPr>
                <w:rFonts w:hint="default"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08</w:t>
            </w:r>
            <w:r>
              <w:rPr>
                <w:rFonts w:hint="eastAsia" w:ascii="Times New Roman" w:hAnsi="Times New Roman" w:eastAsia="宋体" w:cs="Times New Roman"/>
                <w:color w:val="auto"/>
                <w:sz w:val="24"/>
                <w:szCs w:val="24"/>
                <w:highlight w:val="none"/>
                <w:lang w:val="en-US" w:eastAsia="zh-CN"/>
              </w:rPr>
              <w:t>，委托有资质单位处理。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eastAsia="宋体" w:cs="宋体"/>
                <w:color w:val="auto"/>
                <w:sz w:val="24"/>
                <w:szCs w:val="24"/>
                <w:highlight w:val="none"/>
                <w:lang w:val="en-US" w:eastAsia="zh-CN"/>
              </w:rPr>
              <w:t>②</w:t>
            </w:r>
            <w:r>
              <w:rPr>
                <w:rFonts w:hint="eastAsia" w:ascii="Times New Roman" w:hAnsi="Times New Roman" w:eastAsia="宋体" w:cs="Times New Roman"/>
                <w:color w:val="auto"/>
                <w:sz w:val="24"/>
                <w:szCs w:val="24"/>
                <w:highlight w:val="none"/>
                <w:lang w:eastAsia="zh-CN"/>
              </w:rPr>
              <w:t>废油桶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b w:val="0"/>
                <w:bCs w:val="0"/>
                <w:color w:val="auto"/>
                <w:sz w:val="24"/>
                <w:szCs w:val="24"/>
                <w:highlight w:val="none"/>
                <w:lang w:val="en-US" w:eastAsia="zh-CN"/>
              </w:rPr>
            </w:pPr>
            <w:r>
              <w:rPr>
                <w:rFonts w:hint="eastAsia" w:ascii="Times New Roman" w:hAnsi="Times New Roman" w:eastAsia="宋体" w:cs="Times New Roman"/>
                <w:color w:val="auto"/>
                <w:sz w:val="24"/>
                <w:szCs w:val="24"/>
                <w:highlight w:val="none"/>
                <w:lang w:eastAsia="zh-CN"/>
              </w:rPr>
              <w:t>本项目年使用</w:t>
            </w:r>
            <w:r>
              <w:rPr>
                <w:rFonts w:hint="eastAsia" w:cs="Times New Roman"/>
                <w:color w:val="auto"/>
                <w:sz w:val="24"/>
                <w:szCs w:val="24"/>
                <w:highlight w:val="none"/>
                <w:lang w:eastAsia="zh-CN"/>
              </w:rPr>
              <w:t>冷镦机油</w:t>
            </w:r>
            <w:r>
              <w:rPr>
                <w:rFonts w:hint="eastAsia" w:cs="Times New Roman"/>
                <w:color w:val="auto"/>
                <w:sz w:val="24"/>
                <w:szCs w:val="24"/>
                <w:highlight w:val="none"/>
                <w:lang w:val="en-US" w:eastAsia="zh-CN"/>
              </w:rPr>
              <w:t>10t，罐车运输一次最大量在1t，用</w:t>
            </w:r>
            <w:r>
              <w:rPr>
                <w:rFonts w:hint="eastAsia" w:ascii="Times New Roman" w:hAnsi="Times New Roman" w:eastAsia="宋体" w:cs="Times New Roman"/>
                <w:color w:val="auto"/>
                <w:sz w:val="24"/>
                <w:szCs w:val="24"/>
                <w:highlight w:val="none"/>
                <w:lang w:val="en-US" w:eastAsia="zh-CN"/>
              </w:rPr>
              <w:t>规格为</w:t>
            </w:r>
            <w:r>
              <w:rPr>
                <w:rFonts w:hint="eastAsia" w:cs="Times New Roman"/>
                <w:color w:val="auto"/>
                <w:sz w:val="24"/>
                <w:szCs w:val="24"/>
                <w:highlight w:val="none"/>
                <w:lang w:val="en-US" w:eastAsia="zh-CN"/>
              </w:rPr>
              <w:t>170</w:t>
            </w:r>
            <w:r>
              <w:rPr>
                <w:rFonts w:hint="eastAsia" w:ascii="Times New Roman" w:hAnsi="Times New Roman" w:eastAsia="宋体" w:cs="Times New Roman"/>
                <w:color w:val="auto"/>
                <w:sz w:val="24"/>
                <w:szCs w:val="24"/>
                <w:highlight w:val="none"/>
                <w:lang w:val="en-US" w:eastAsia="zh-CN"/>
              </w:rPr>
              <w:t>kg</w:t>
            </w:r>
            <w:r>
              <w:rPr>
                <w:rFonts w:hint="eastAsia" w:cs="Times New Roman"/>
                <w:color w:val="auto"/>
                <w:sz w:val="24"/>
                <w:szCs w:val="24"/>
                <w:highlight w:val="none"/>
                <w:lang w:val="en-US" w:eastAsia="zh-CN"/>
              </w:rPr>
              <w:t>的空桶盛接</w:t>
            </w:r>
            <w:r>
              <w:rPr>
                <w:rFonts w:hint="eastAsia" w:ascii="Times New Roman" w:hAnsi="Times New Roman" w:eastAsia="宋体" w:cs="Times New Roman"/>
                <w:color w:val="auto"/>
                <w:sz w:val="24"/>
                <w:szCs w:val="24"/>
                <w:highlight w:val="none"/>
                <w:lang w:val="en-US" w:eastAsia="zh-CN"/>
              </w:rPr>
              <w:t>，则年使用约</w:t>
            </w:r>
            <w:r>
              <w:rPr>
                <w:rFonts w:hint="eastAsia" w:cs="Times New Roman"/>
                <w:color w:val="auto"/>
                <w:sz w:val="24"/>
                <w:szCs w:val="24"/>
                <w:highlight w:val="none"/>
                <w:lang w:val="en-US" w:eastAsia="zh-CN"/>
              </w:rPr>
              <w:t>6</w:t>
            </w:r>
            <w:r>
              <w:rPr>
                <w:rFonts w:hint="eastAsia" w:ascii="Times New Roman" w:hAnsi="Times New Roman" w:eastAsia="宋体" w:cs="Times New Roman"/>
                <w:color w:val="auto"/>
                <w:sz w:val="24"/>
                <w:szCs w:val="24"/>
                <w:highlight w:val="none"/>
                <w:lang w:val="en-US" w:eastAsia="zh-CN"/>
              </w:rPr>
              <w:t>桶</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年使用淬火油</w:t>
            </w:r>
            <w:r>
              <w:rPr>
                <w:rFonts w:hint="eastAsia" w:cs="Times New Roman"/>
                <w:color w:val="auto"/>
                <w:sz w:val="24"/>
                <w:szCs w:val="24"/>
                <w:highlight w:val="none"/>
                <w:lang w:val="en-US" w:eastAsia="zh-CN"/>
              </w:rPr>
              <w:t>12</w:t>
            </w:r>
            <w:r>
              <w:rPr>
                <w:rFonts w:hint="eastAsia" w:ascii="Times New Roman" w:hAnsi="Times New Roman" w:eastAsia="宋体" w:cs="Times New Roman"/>
                <w:color w:val="auto"/>
                <w:sz w:val="24"/>
                <w:szCs w:val="24"/>
                <w:highlight w:val="none"/>
                <w:lang w:val="en-US" w:eastAsia="zh-CN"/>
              </w:rPr>
              <w:t>t，</w:t>
            </w:r>
            <w:r>
              <w:rPr>
                <w:rFonts w:hint="eastAsia" w:cs="Times New Roman"/>
                <w:color w:val="auto"/>
                <w:sz w:val="24"/>
                <w:szCs w:val="24"/>
                <w:highlight w:val="none"/>
                <w:lang w:val="en-US" w:eastAsia="zh-CN"/>
              </w:rPr>
              <w:t>罐车运输一次最大量在1t，用</w:t>
            </w:r>
            <w:r>
              <w:rPr>
                <w:rFonts w:hint="eastAsia" w:ascii="Times New Roman" w:hAnsi="Times New Roman" w:eastAsia="宋体" w:cs="Times New Roman"/>
                <w:color w:val="auto"/>
                <w:sz w:val="24"/>
                <w:szCs w:val="24"/>
                <w:highlight w:val="none"/>
                <w:lang w:val="en-US" w:eastAsia="zh-CN"/>
              </w:rPr>
              <w:t>规格为</w:t>
            </w:r>
            <w:r>
              <w:rPr>
                <w:rFonts w:hint="eastAsia" w:cs="Times New Roman"/>
                <w:color w:val="auto"/>
                <w:sz w:val="24"/>
                <w:szCs w:val="24"/>
                <w:highlight w:val="none"/>
                <w:lang w:val="en-US" w:eastAsia="zh-CN"/>
              </w:rPr>
              <w:t>165</w:t>
            </w:r>
            <w:r>
              <w:rPr>
                <w:rFonts w:hint="eastAsia" w:ascii="Times New Roman" w:hAnsi="Times New Roman" w:eastAsia="宋体" w:cs="Times New Roman"/>
                <w:color w:val="auto"/>
                <w:sz w:val="24"/>
                <w:szCs w:val="24"/>
                <w:highlight w:val="none"/>
                <w:lang w:val="en-US" w:eastAsia="zh-CN"/>
              </w:rPr>
              <w:t>kg</w:t>
            </w:r>
            <w:r>
              <w:rPr>
                <w:rFonts w:hint="eastAsia" w:cs="Times New Roman"/>
                <w:color w:val="auto"/>
                <w:sz w:val="24"/>
                <w:szCs w:val="24"/>
                <w:highlight w:val="none"/>
                <w:lang w:val="en-US" w:eastAsia="zh-CN"/>
              </w:rPr>
              <w:t>的空桶盛接</w:t>
            </w:r>
            <w:r>
              <w:rPr>
                <w:rFonts w:hint="eastAsia" w:ascii="Times New Roman" w:hAnsi="Times New Roman" w:eastAsia="宋体" w:cs="Times New Roman"/>
                <w:color w:val="auto"/>
                <w:sz w:val="24"/>
                <w:szCs w:val="24"/>
                <w:highlight w:val="none"/>
                <w:lang w:val="en-US" w:eastAsia="zh-CN"/>
              </w:rPr>
              <w:t>，则年使用约</w:t>
            </w:r>
            <w:r>
              <w:rPr>
                <w:rFonts w:hint="eastAsia" w:cs="Times New Roman"/>
                <w:color w:val="auto"/>
                <w:sz w:val="24"/>
                <w:szCs w:val="24"/>
                <w:highlight w:val="none"/>
                <w:lang w:val="en-US" w:eastAsia="zh-CN"/>
              </w:rPr>
              <w:t>6</w:t>
            </w:r>
            <w:r>
              <w:rPr>
                <w:rFonts w:hint="eastAsia" w:ascii="Times New Roman" w:hAnsi="Times New Roman" w:eastAsia="宋体" w:cs="Times New Roman"/>
                <w:color w:val="auto"/>
                <w:sz w:val="24"/>
                <w:szCs w:val="24"/>
                <w:highlight w:val="none"/>
                <w:lang w:val="en-US" w:eastAsia="zh-CN"/>
              </w:rPr>
              <w:t>桶；年使用甲醇</w:t>
            </w:r>
            <w:r>
              <w:rPr>
                <w:rFonts w:hint="eastAsia" w:cs="Times New Roman"/>
                <w:color w:val="auto"/>
                <w:sz w:val="24"/>
                <w:szCs w:val="24"/>
                <w:highlight w:val="none"/>
                <w:lang w:val="en-US" w:eastAsia="zh-CN"/>
              </w:rPr>
              <w:t>9</w:t>
            </w:r>
            <w:r>
              <w:rPr>
                <w:rFonts w:hint="eastAsia" w:ascii="Times New Roman" w:hAnsi="Times New Roman" w:eastAsia="宋体" w:cs="Times New Roman"/>
                <w:color w:val="auto"/>
                <w:sz w:val="24"/>
                <w:szCs w:val="24"/>
                <w:highlight w:val="none"/>
                <w:lang w:val="en-US" w:eastAsia="zh-CN"/>
              </w:rPr>
              <w:t>t，</w:t>
            </w:r>
            <w:r>
              <w:rPr>
                <w:rFonts w:hint="eastAsia" w:cs="Times New Roman"/>
                <w:color w:val="auto"/>
                <w:sz w:val="24"/>
                <w:szCs w:val="24"/>
                <w:highlight w:val="none"/>
                <w:lang w:val="en-US" w:eastAsia="zh-CN"/>
              </w:rPr>
              <w:t>罐车运输一次最大量在0.5t，用</w:t>
            </w:r>
            <w:r>
              <w:rPr>
                <w:rFonts w:hint="eastAsia" w:ascii="Times New Roman" w:hAnsi="Times New Roman" w:eastAsia="宋体" w:cs="Times New Roman"/>
                <w:color w:val="auto"/>
                <w:sz w:val="24"/>
                <w:szCs w:val="24"/>
                <w:highlight w:val="none"/>
                <w:lang w:val="en-US" w:eastAsia="zh-CN"/>
              </w:rPr>
              <w:t>规格为</w:t>
            </w:r>
            <w:r>
              <w:rPr>
                <w:rFonts w:hint="eastAsia" w:cs="Times New Roman"/>
                <w:color w:val="auto"/>
                <w:sz w:val="24"/>
                <w:szCs w:val="24"/>
                <w:highlight w:val="none"/>
                <w:lang w:val="en-US" w:eastAsia="zh-CN"/>
              </w:rPr>
              <w:t>160</w:t>
            </w:r>
            <w:r>
              <w:rPr>
                <w:rFonts w:hint="eastAsia" w:ascii="Times New Roman" w:hAnsi="Times New Roman" w:eastAsia="宋体" w:cs="Times New Roman"/>
                <w:color w:val="auto"/>
                <w:sz w:val="24"/>
                <w:szCs w:val="24"/>
                <w:highlight w:val="none"/>
                <w:lang w:val="en-US" w:eastAsia="zh-CN"/>
              </w:rPr>
              <w:t>kg</w:t>
            </w:r>
            <w:r>
              <w:rPr>
                <w:rFonts w:hint="eastAsia" w:cs="Times New Roman"/>
                <w:color w:val="auto"/>
                <w:sz w:val="24"/>
                <w:szCs w:val="24"/>
                <w:highlight w:val="none"/>
                <w:lang w:val="en-US" w:eastAsia="zh-CN"/>
              </w:rPr>
              <w:t>的空桶盛接</w:t>
            </w:r>
            <w:r>
              <w:rPr>
                <w:rFonts w:hint="eastAsia" w:ascii="Times New Roman" w:hAnsi="Times New Roman" w:eastAsia="宋体" w:cs="Times New Roman"/>
                <w:color w:val="auto"/>
                <w:sz w:val="24"/>
                <w:szCs w:val="24"/>
                <w:highlight w:val="none"/>
                <w:lang w:val="en-US" w:eastAsia="zh-CN"/>
              </w:rPr>
              <w:t>，则年使用约</w:t>
            </w:r>
            <w:r>
              <w:rPr>
                <w:rFonts w:hint="eastAsia"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lang w:val="en-US" w:eastAsia="zh-CN"/>
              </w:rPr>
              <w:t>桶</w:t>
            </w:r>
            <w:r>
              <w:rPr>
                <w:rFonts w:hint="eastAsia"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年使用工业白油</w:t>
            </w:r>
            <w:r>
              <w:rPr>
                <w:rFonts w:hint="eastAsia" w:cs="Times New Roman"/>
                <w:color w:val="auto"/>
                <w:sz w:val="24"/>
                <w:szCs w:val="24"/>
                <w:highlight w:val="none"/>
                <w:lang w:val="en-US" w:eastAsia="zh-CN"/>
              </w:rPr>
              <w:t>20</w:t>
            </w:r>
            <w:r>
              <w:rPr>
                <w:rFonts w:hint="eastAsia" w:ascii="Times New Roman" w:hAnsi="Times New Roman" w:eastAsia="宋体" w:cs="Times New Roman"/>
                <w:color w:val="auto"/>
                <w:sz w:val="24"/>
                <w:szCs w:val="24"/>
                <w:highlight w:val="none"/>
                <w:lang w:val="en-US" w:eastAsia="zh-CN"/>
              </w:rPr>
              <w:t>t，</w:t>
            </w:r>
            <w:r>
              <w:rPr>
                <w:rFonts w:hint="eastAsia" w:cs="Times New Roman"/>
                <w:color w:val="auto"/>
                <w:sz w:val="24"/>
                <w:szCs w:val="24"/>
                <w:highlight w:val="none"/>
                <w:lang w:val="en-US" w:eastAsia="zh-CN"/>
              </w:rPr>
              <w:t>罐车运输一次最大量在2t，用</w:t>
            </w:r>
            <w:r>
              <w:rPr>
                <w:rFonts w:hint="eastAsia" w:ascii="Times New Roman" w:hAnsi="Times New Roman" w:eastAsia="宋体" w:cs="Times New Roman"/>
                <w:color w:val="auto"/>
                <w:sz w:val="24"/>
                <w:szCs w:val="24"/>
                <w:highlight w:val="none"/>
                <w:lang w:val="en-US" w:eastAsia="zh-CN"/>
              </w:rPr>
              <w:t>规格为</w:t>
            </w:r>
            <w:r>
              <w:rPr>
                <w:rFonts w:hint="eastAsia" w:cs="Times New Roman"/>
                <w:color w:val="auto"/>
                <w:sz w:val="24"/>
                <w:szCs w:val="24"/>
                <w:highlight w:val="none"/>
                <w:lang w:val="en-US" w:eastAsia="zh-CN"/>
              </w:rPr>
              <w:t>160</w:t>
            </w:r>
            <w:r>
              <w:rPr>
                <w:rFonts w:hint="eastAsia" w:ascii="Times New Roman" w:hAnsi="Times New Roman" w:eastAsia="宋体" w:cs="Times New Roman"/>
                <w:color w:val="auto"/>
                <w:sz w:val="24"/>
                <w:szCs w:val="24"/>
                <w:highlight w:val="none"/>
                <w:lang w:val="en-US" w:eastAsia="zh-CN"/>
              </w:rPr>
              <w:t>kg/桶，则年使用</w:t>
            </w:r>
            <w:r>
              <w:rPr>
                <w:rFonts w:hint="eastAsia" w:cs="Times New Roman"/>
                <w:color w:val="auto"/>
                <w:sz w:val="24"/>
                <w:szCs w:val="24"/>
                <w:highlight w:val="none"/>
                <w:lang w:val="en-US" w:eastAsia="zh-CN"/>
              </w:rPr>
              <w:t>约13</w:t>
            </w:r>
            <w:r>
              <w:rPr>
                <w:rFonts w:hint="eastAsia" w:ascii="Times New Roman" w:hAnsi="Times New Roman" w:eastAsia="宋体" w:cs="Times New Roman"/>
                <w:color w:val="auto"/>
                <w:sz w:val="24"/>
                <w:szCs w:val="24"/>
                <w:highlight w:val="none"/>
                <w:lang w:val="en-US" w:eastAsia="zh-CN"/>
              </w:rPr>
              <w:t>桶；年使用防锈油</w:t>
            </w:r>
            <w:r>
              <w:rPr>
                <w:rFonts w:hint="eastAsia" w:cs="Times New Roman"/>
                <w:color w:val="auto"/>
                <w:sz w:val="24"/>
                <w:szCs w:val="24"/>
                <w:highlight w:val="none"/>
                <w:lang w:val="en-US" w:eastAsia="zh-CN"/>
              </w:rPr>
              <w:t>10</w:t>
            </w:r>
            <w:r>
              <w:rPr>
                <w:rFonts w:hint="eastAsia" w:ascii="Times New Roman" w:hAnsi="Times New Roman" w:eastAsia="宋体" w:cs="Times New Roman"/>
                <w:color w:val="auto"/>
                <w:sz w:val="24"/>
                <w:szCs w:val="24"/>
                <w:highlight w:val="none"/>
                <w:lang w:val="en-US" w:eastAsia="zh-CN"/>
              </w:rPr>
              <w:t>t，</w:t>
            </w:r>
            <w:r>
              <w:rPr>
                <w:rFonts w:hint="eastAsia" w:cs="Times New Roman"/>
                <w:color w:val="auto"/>
                <w:sz w:val="24"/>
                <w:szCs w:val="24"/>
                <w:highlight w:val="none"/>
                <w:lang w:val="en-US" w:eastAsia="zh-CN"/>
              </w:rPr>
              <w:t>罐车运输一次最大量在2t，用</w:t>
            </w:r>
            <w:r>
              <w:rPr>
                <w:rFonts w:hint="eastAsia" w:ascii="Times New Roman" w:hAnsi="Times New Roman" w:eastAsia="宋体" w:cs="Times New Roman"/>
                <w:color w:val="auto"/>
                <w:sz w:val="24"/>
                <w:szCs w:val="24"/>
                <w:highlight w:val="none"/>
                <w:lang w:val="en-US" w:eastAsia="zh-CN"/>
              </w:rPr>
              <w:t>规格为</w:t>
            </w:r>
            <w:r>
              <w:rPr>
                <w:rFonts w:hint="eastAsia" w:cs="Times New Roman"/>
                <w:color w:val="auto"/>
                <w:sz w:val="24"/>
                <w:szCs w:val="24"/>
                <w:highlight w:val="none"/>
                <w:lang w:val="en-US" w:eastAsia="zh-CN"/>
              </w:rPr>
              <w:t>170</w:t>
            </w:r>
            <w:r>
              <w:rPr>
                <w:rFonts w:hint="eastAsia" w:ascii="Times New Roman" w:hAnsi="Times New Roman" w:eastAsia="宋体" w:cs="Times New Roman"/>
                <w:color w:val="auto"/>
                <w:sz w:val="24"/>
                <w:szCs w:val="24"/>
                <w:highlight w:val="none"/>
                <w:lang w:val="en-US" w:eastAsia="zh-CN"/>
              </w:rPr>
              <w:t>kg</w:t>
            </w:r>
            <w:r>
              <w:rPr>
                <w:rFonts w:hint="eastAsia" w:cs="Times New Roman"/>
                <w:color w:val="auto"/>
                <w:sz w:val="24"/>
                <w:szCs w:val="24"/>
                <w:highlight w:val="none"/>
                <w:lang w:val="en-US" w:eastAsia="zh-CN"/>
              </w:rPr>
              <w:t>的空桶盛接</w:t>
            </w:r>
            <w:r>
              <w:rPr>
                <w:rFonts w:hint="eastAsia" w:ascii="Times New Roman" w:hAnsi="Times New Roman" w:eastAsia="宋体" w:cs="Times New Roman"/>
                <w:color w:val="auto"/>
                <w:sz w:val="24"/>
                <w:szCs w:val="24"/>
                <w:highlight w:val="none"/>
                <w:lang w:val="en-US" w:eastAsia="zh-CN"/>
              </w:rPr>
              <w:t>，则年使用约</w:t>
            </w:r>
            <w:r>
              <w:rPr>
                <w:rFonts w:hint="eastAsia" w:cs="Times New Roman"/>
                <w:color w:val="auto"/>
                <w:sz w:val="24"/>
                <w:szCs w:val="24"/>
                <w:highlight w:val="none"/>
                <w:lang w:val="en-US" w:eastAsia="zh-CN"/>
              </w:rPr>
              <w:t>12</w:t>
            </w:r>
            <w:r>
              <w:rPr>
                <w:rFonts w:hint="eastAsia" w:ascii="Times New Roman" w:hAnsi="Times New Roman" w:eastAsia="宋体" w:cs="Times New Roman"/>
                <w:color w:val="auto"/>
                <w:sz w:val="24"/>
                <w:szCs w:val="24"/>
                <w:highlight w:val="none"/>
                <w:lang w:val="en-US" w:eastAsia="zh-CN"/>
              </w:rPr>
              <w:t>桶</w:t>
            </w:r>
            <w:r>
              <w:rPr>
                <w:rFonts w:hint="eastAsia"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 xml:space="preserve"> </w:t>
            </w:r>
            <w:r>
              <w:rPr>
                <w:rFonts w:hint="eastAsia" w:ascii="Times New Roman" w:hAnsi="Times New Roman" w:eastAsia="宋体" w:cs="Times New Roman"/>
                <w:color w:val="auto"/>
                <w:sz w:val="24"/>
                <w:szCs w:val="24"/>
                <w:highlight w:val="none"/>
                <w:lang w:val="en-US" w:eastAsia="zh-CN"/>
              </w:rPr>
              <w:t>规格为1</w:t>
            </w:r>
            <w:r>
              <w:rPr>
                <w:rFonts w:hint="eastAsia" w:cs="Times New Roman"/>
                <w:color w:val="auto"/>
                <w:sz w:val="24"/>
                <w:szCs w:val="24"/>
                <w:highlight w:val="none"/>
                <w:lang w:val="en-US" w:eastAsia="zh-CN"/>
              </w:rPr>
              <w:t>6</w:t>
            </w:r>
            <w:r>
              <w:rPr>
                <w:rFonts w:hint="eastAsia" w:ascii="Times New Roman" w:hAnsi="Times New Roman" w:eastAsia="宋体" w:cs="Times New Roman"/>
                <w:color w:val="auto"/>
                <w:sz w:val="24"/>
                <w:szCs w:val="24"/>
                <w:highlight w:val="none"/>
                <w:lang w:val="en-US" w:eastAsia="zh-CN"/>
              </w:rPr>
              <w:t>0kg的桶重以</w:t>
            </w:r>
            <w:r>
              <w:rPr>
                <w:rFonts w:hint="eastAsia" w:cs="Times New Roman"/>
                <w:color w:val="auto"/>
                <w:sz w:val="24"/>
                <w:szCs w:val="24"/>
                <w:highlight w:val="none"/>
                <w:lang w:val="en-US" w:eastAsia="zh-CN"/>
              </w:rPr>
              <w:t>5</w:t>
            </w:r>
            <w:r>
              <w:rPr>
                <w:rFonts w:hint="eastAsia" w:ascii="Times New Roman" w:hAnsi="Times New Roman" w:eastAsia="宋体" w:cs="Times New Roman"/>
                <w:color w:val="auto"/>
                <w:sz w:val="24"/>
                <w:szCs w:val="24"/>
                <w:highlight w:val="none"/>
                <w:lang w:val="en-US" w:eastAsia="zh-CN"/>
              </w:rPr>
              <w:t>kg计，规格为1</w:t>
            </w:r>
            <w:r>
              <w:rPr>
                <w:rFonts w:hint="eastAsia" w:cs="Times New Roman"/>
                <w:color w:val="auto"/>
                <w:sz w:val="24"/>
                <w:szCs w:val="24"/>
                <w:highlight w:val="none"/>
                <w:lang w:val="en-US" w:eastAsia="zh-CN"/>
              </w:rPr>
              <w:t>65</w:t>
            </w:r>
            <w:r>
              <w:rPr>
                <w:rFonts w:hint="eastAsia" w:ascii="Times New Roman" w:hAnsi="Times New Roman" w:eastAsia="宋体" w:cs="Times New Roman"/>
                <w:color w:val="auto"/>
                <w:sz w:val="24"/>
                <w:szCs w:val="24"/>
                <w:highlight w:val="none"/>
                <w:lang w:val="en-US" w:eastAsia="zh-CN"/>
              </w:rPr>
              <w:t>kg的桶重以</w:t>
            </w:r>
            <w:r>
              <w:rPr>
                <w:rFonts w:hint="eastAsia" w:cs="Times New Roman"/>
                <w:color w:val="auto"/>
                <w:sz w:val="24"/>
                <w:szCs w:val="24"/>
                <w:highlight w:val="none"/>
                <w:lang w:val="en-US" w:eastAsia="zh-CN"/>
              </w:rPr>
              <w:t>5.5</w:t>
            </w:r>
            <w:r>
              <w:rPr>
                <w:rFonts w:hint="eastAsia" w:ascii="Times New Roman" w:hAnsi="Times New Roman" w:eastAsia="宋体" w:cs="Times New Roman"/>
                <w:color w:val="auto"/>
                <w:sz w:val="24"/>
                <w:szCs w:val="24"/>
                <w:highlight w:val="none"/>
                <w:lang w:val="en-US" w:eastAsia="zh-CN"/>
              </w:rPr>
              <w:t>kg计，规格为1</w:t>
            </w:r>
            <w:r>
              <w:rPr>
                <w:rFonts w:hint="eastAsia" w:cs="Times New Roman"/>
                <w:color w:val="auto"/>
                <w:sz w:val="24"/>
                <w:szCs w:val="24"/>
                <w:highlight w:val="none"/>
                <w:lang w:val="en-US" w:eastAsia="zh-CN"/>
              </w:rPr>
              <w:t>70</w:t>
            </w:r>
            <w:r>
              <w:rPr>
                <w:rFonts w:hint="eastAsia" w:ascii="Times New Roman" w:hAnsi="Times New Roman" w:eastAsia="宋体" w:cs="Times New Roman"/>
                <w:color w:val="auto"/>
                <w:sz w:val="24"/>
                <w:szCs w:val="24"/>
                <w:highlight w:val="none"/>
                <w:lang w:val="en-US" w:eastAsia="zh-CN"/>
              </w:rPr>
              <w:t>kg的桶重以</w:t>
            </w:r>
            <w:r>
              <w:rPr>
                <w:rFonts w:hint="eastAsia" w:cs="Times New Roman"/>
                <w:color w:val="auto"/>
                <w:sz w:val="24"/>
                <w:szCs w:val="24"/>
                <w:highlight w:val="none"/>
                <w:lang w:val="en-US" w:eastAsia="zh-CN"/>
              </w:rPr>
              <w:t>6</w:t>
            </w:r>
            <w:r>
              <w:rPr>
                <w:rFonts w:hint="eastAsia" w:ascii="Times New Roman" w:hAnsi="Times New Roman" w:eastAsia="宋体" w:cs="Times New Roman"/>
                <w:color w:val="auto"/>
                <w:sz w:val="24"/>
                <w:szCs w:val="24"/>
                <w:highlight w:val="none"/>
                <w:lang w:val="en-US" w:eastAsia="zh-CN"/>
              </w:rPr>
              <w:t>kg计，规格为1</w:t>
            </w:r>
            <w:r>
              <w:rPr>
                <w:rFonts w:hint="eastAsia" w:cs="Times New Roman"/>
                <w:color w:val="auto"/>
                <w:sz w:val="24"/>
                <w:szCs w:val="24"/>
                <w:highlight w:val="none"/>
                <w:lang w:val="en-US" w:eastAsia="zh-CN"/>
              </w:rPr>
              <w:t>75</w:t>
            </w:r>
            <w:r>
              <w:rPr>
                <w:rFonts w:hint="eastAsia" w:ascii="Times New Roman" w:hAnsi="Times New Roman" w:eastAsia="宋体" w:cs="Times New Roman"/>
                <w:color w:val="auto"/>
                <w:sz w:val="24"/>
                <w:szCs w:val="24"/>
                <w:highlight w:val="none"/>
                <w:lang w:val="en-US" w:eastAsia="zh-CN"/>
              </w:rPr>
              <w:t>kg的桶重以</w:t>
            </w:r>
            <w:r>
              <w:rPr>
                <w:rFonts w:hint="eastAsia" w:cs="Times New Roman"/>
                <w:color w:val="auto"/>
                <w:sz w:val="24"/>
                <w:szCs w:val="24"/>
                <w:highlight w:val="none"/>
                <w:lang w:val="en-US" w:eastAsia="zh-CN"/>
              </w:rPr>
              <w:t>6.5</w:t>
            </w:r>
            <w:r>
              <w:rPr>
                <w:rFonts w:hint="eastAsia" w:ascii="Times New Roman" w:hAnsi="Times New Roman" w:eastAsia="宋体" w:cs="Times New Roman"/>
                <w:color w:val="auto"/>
                <w:sz w:val="24"/>
                <w:szCs w:val="24"/>
                <w:highlight w:val="none"/>
                <w:lang w:val="en-US" w:eastAsia="zh-CN"/>
              </w:rPr>
              <w:t>kg计则项目年产生废油桶</w:t>
            </w:r>
            <w:r>
              <w:rPr>
                <w:rFonts w:hint="eastAsia" w:ascii="Times New Roman" w:hAnsi="Times New Roman" w:cs="Times New Roman"/>
                <w:color w:val="auto"/>
                <w:sz w:val="24"/>
                <w:szCs w:val="24"/>
                <w:highlight w:val="none"/>
                <w:lang w:val="en-US" w:eastAsia="zh-CN"/>
              </w:rPr>
              <w:t>约</w:t>
            </w:r>
            <w:r>
              <w:rPr>
                <w:rFonts w:hint="eastAsia" w:cs="Times New Roman"/>
                <w:color w:val="auto"/>
                <w:sz w:val="24"/>
                <w:szCs w:val="24"/>
                <w:highlight w:val="none"/>
                <w:lang w:val="en-US" w:eastAsia="zh-CN"/>
              </w:rPr>
              <w:t>0.221</w:t>
            </w:r>
            <w:r>
              <w:rPr>
                <w:rFonts w:hint="eastAsia" w:ascii="Times New Roman" w:hAnsi="Times New Roman" w:eastAsia="宋体" w:cs="Times New Roman"/>
                <w:color w:val="auto"/>
                <w:sz w:val="24"/>
                <w:szCs w:val="24"/>
                <w:highlight w:val="none"/>
                <w:lang w:val="en-US" w:eastAsia="zh-CN"/>
              </w:rPr>
              <w:t>t。</w:t>
            </w:r>
            <w:r>
              <w:rPr>
                <w:rFonts w:hint="default" w:ascii="Times New Roman" w:hAnsi="Times New Roman" w:eastAsia="宋体" w:cs="Times New Roman"/>
                <w:color w:val="auto"/>
                <w:sz w:val="24"/>
                <w:highlight w:val="none"/>
                <w:lang w:val="en-US" w:eastAsia="zh-CN"/>
              </w:rPr>
              <w:t>经对照《国家危险废物名录》（20</w:t>
            </w:r>
            <w:r>
              <w:rPr>
                <w:rFonts w:hint="eastAsia" w:cs="Times New Roman"/>
                <w:color w:val="auto"/>
                <w:sz w:val="24"/>
                <w:highlight w:val="none"/>
                <w:lang w:val="en-US" w:eastAsia="zh-CN"/>
              </w:rPr>
              <w:t>21</w:t>
            </w:r>
            <w:r>
              <w:rPr>
                <w:rFonts w:hint="default" w:ascii="Times New Roman" w:hAnsi="Times New Roman" w:eastAsia="宋体" w:cs="Times New Roman"/>
                <w:color w:val="auto"/>
                <w:sz w:val="24"/>
                <w:highlight w:val="none"/>
                <w:lang w:val="en-US" w:eastAsia="zh-CN"/>
              </w:rPr>
              <w:t>版），属于危险废物HW</w:t>
            </w:r>
            <w:r>
              <w:rPr>
                <w:rFonts w:hint="eastAsia" w:ascii="Times New Roman" w:hAnsi="Times New Roman" w:cs="Times New Roman"/>
                <w:color w:val="auto"/>
                <w:sz w:val="24"/>
                <w:highlight w:val="none"/>
                <w:lang w:val="en-US" w:eastAsia="zh-CN"/>
              </w:rPr>
              <w:t>49其他废物</w:t>
            </w:r>
            <w:r>
              <w:rPr>
                <w:rFonts w:hint="default" w:ascii="Times New Roman" w:hAnsi="Times New Roman" w:eastAsia="宋体" w:cs="Times New Roman"/>
                <w:color w:val="auto"/>
                <w:sz w:val="24"/>
                <w:highlight w:val="none"/>
                <w:lang w:val="en-US" w:eastAsia="zh-CN"/>
              </w:rPr>
              <w:t>，代码为900-041-49</w:t>
            </w:r>
            <w:r>
              <w:rPr>
                <w:rFonts w:hint="eastAsia" w:ascii="Times New Roman" w:hAnsi="Times New Roman" w:eastAsia="宋体" w:cs="Times New Roman"/>
                <w:color w:val="auto"/>
                <w:sz w:val="24"/>
                <w:szCs w:val="24"/>
                <w:highlight w:val="none"/>
                <w:lang w:val="en-US" w:eastAsia="zh-CN"/>
              </w:rPr>
              <w:t>，统一收集后交由有资质单位处理。</w:t>
            </w:r>
          </w:p>
          <w:p>
            <w:pPr>
              <w:keepNext w:val="0"/>
              <w:keepLines w:val="0"/>
              <w:pageBreakBefore w:val="0"/>
              <w:widowControl w:val="0"/>
              <w:kinsoku/>
              <w:wordWrap/>
              <w:overflowPunct/>
              <w:topLinePunct w:val="0"/>
              <w:autoSpaceDE/>
              <w:autoSpaceDN/>
              <w:bidi w:val="0"/>
              <w:adjustRightInd w:val="0"/>
              <w:snapToGrid w:val="0"/>
              <w:spacing w:line="360" w:lineRule="auto"/>
              <w:ind w:left="479" w:leftChars="228" w:firstLine="0" w:firstLineChars="0"/>
              <w:jc w:val="both"/>
              <w:textAlignment w:val="auto"/>
              <w:rPr>
                <w:rFonts w:hint="eastAsia" w:cs="Times New Roman"/>
                <w:color w:val="auto"/>
                <w:sz w:val="24"/>
                <w:szCs w:val="24"/>
                <w:highlight w:val="none"/>
                <w:lang w:eastAsia="zh-CN"/>
              </w:rPr>
            </w:pPr>
            <w:r>
              <w:rPr>
                <w:rFonts w:hint="eastAsia" w:eastAsia="宋体" w:cs="Times New Roman"/>
                <w:color w:val="auto"/>
                <w:sz w:val="24"/>
                <w:szCs w:val="24"/>
                <w:highlight w:val="none"/>
                <w:lang w:eastAsia="zh-CN"/>
              </w:rPr>
              <w:t>③</w:t>
            </w:r>
            <w:r>
              <w:rPr>
                <w:rFonts w:hint="eastAsia" w:cs="Times New Roman"/>
                <w:color w:val="auto"/>
                <w:sz w:val="24"/>
                <w:szCs w:val="24"/>
                <w:highlight w:val="none"/>
                <w:lang w:eastAsia="zh-CN"/>
              </w:rPr>
              <w:t>废活性炭纤维毡</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本项目活性炭纤维毡吸收有机废气一段时间后，因沾染油雾阻力变大，需定期更换，活性炭纤维毡更换周期3-6个月1次，更换量依据现场设备实际使用状况按需跟换，（最大不得超过5.91t</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eastAsia="zh-CN"/>
              </w:rPr>
              <w:t>a）。对照《国家危险废物名录》，其废物类别为HW49其他废物，废物代码为900- 041-49，经收集后放入专用的储存桶内暂存于车间危险废物暂存间内，定期委托有资质的危废公司处理。</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表</w:t>
            </w:r>
            <w:r>
              <w:rPr>
                <w:rFonts w:hint="default" w:ascii="Times New Roman" w:hAnsi="Times New Roman" w:eastAsia="宋体" w:cs="Times New Roman"/>
                <w:b/>
                <w:bCs/>
                <w:color w:val="auto"/>
                <w:sz w:val="24"/>
                <w:szCs w:val="24"/>
                <w:lang w:val="en-US" w:eastAsia="zh-CN"/>
              </w:rPr>
              <w:t>4.</w:t>
            </w:r>
            <w:r>
              <w:rPr>
                <w:rFonts w:hint="eastAsia" w:cs="Times New Roman"/>
                <w:b/>
                <w:bCs/>
                <w:color w:val="auto"/>
                <w:sz w:val="24"/>
                <w:szCs w:val="24"/>
                <w:lang w:val="en-US" w:eastAsia="zh-CN"/>
              </w:rPr>
              <w:t xml:space="preserve">12 </w:t>
            </w:r>
            <w:r>
              <w:rPr>
                <w:rFonts w:hint="default" w:ascii="Times New Roman" w:hAnsi="Times New Roman" w:eastAsia="宋体" w:cs="Times New Roman"/>
                <w:b/>
                <w:bCs/>
                <w:color w:val="auto"/>
                <w:sz w:val="24"/>
                <w:szCs w:val="24"/>
              </w:rPr>
              <w:t xml:space="preserve"> 项目固体废物产</w:t>
            </w:r>
            <w:r>
              <w:rPr>
                <w:rFonts w:hint="eastAsia" w:ascii="Times New Roman" w:hAnsi="Times New Roman" w:eastAsia="宋体" w:cs="Times New Roman"/>
                <w:b/>
                <w:bCs/>
                <w:color w:val="auto"/>
                <w:sz w:val="24"/>
                <w:szCs w:val="24"/>
                <w:lang w:eastAsia="zh-CN"/>
              </w:rPr>
              <w:t>排污</w:t>
            </w:r>
            <w:r>
              <w:rPr>
                <w:rFonts w:hint="default" w:ascii="Times New Roman" w:hAnsi="Times New Roman" w:eastAsia="宋体" w:cs="Times New Roman"/>
                <w:b/>
                <w:bCs/>
                <w:color w:val="auto"/>
                <w:sz w:val="24"/>
                <w:szCs w:val="24"/>
              </w:rPr>
              <w:t>情况</w:t>
            </w:r>
            <w:r>
              <w:rPr>
                <w:rFonts w:hint="eastAsia" w:ascii="Times New Roman" w:hAnsi="Times New Roman" w:eastAsia="宋体" w:cs="Times New Roman"/>
                <w:b/>
                <w:bCs/>
                <w:color w:val="auto"/>
                <w:sz w:val="24"/>
                <w:szCs w:val="24"/>
                <w:lang w:eastAsia="zh-CN"/>
              </w:rPr>
              <w:t>一览</w:t>
            </w:r>
            <w:r>
              <w:rPr>
                <w:rFonts w:hint="default" w:ascii="Times New Roman" w:hAnsi="Times New Roman" w:eastAsia="宋体" w:cs="Times New Roman"/>
                <w:b/>
                <w:bCs/>
                <w:color w:val="auto"/>
                <w:sz w:val="24"/>
                <w:szCs w:val="24"/>
              </w:rPr>
              <w:t>表</w:t>
            </w:r>
          </w:p>
          <w:tbl>
            <w:tblPr>
              <w:tblStyle w:val="26"/>
              <w:tblW w:w="83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
              <w:gridCol w:w="761"/>
              <w:gridCol w:w="672"/>
              <w:gridCol w:w="461"/>
              <w:gridCol w:w="876"/>
              <w:gridCol w:w="528"/>
              <w:gridCol w:w="853"/>
              <w:gridCol w:w="790"/>
              <w:gridCol w:w="582"/>
              <w:gridCol w:w="876"/>
              <w:gridCol w:w="901"/>
              <w:gridCol w:w="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序号</w:t>
                  </w:r>
                </w:p>
              </w:tc>
              <w:tc>
                <w:tcPr>
                  <w:tcW w:w="7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产生环节</w:t>
                  </w:r>
                </w:p>
              </w:tc>
              <w:tc>
                <w:tcPr>
                  <w:tcW w:w="6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固废名称</w:t>
                  </w:r>
                </w:p>
              </w:tc>
              <w:tc>
                <w:tcPr>
                  <w:tcW w:w="4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属性</w:t>
                  </w:r>
                </w:p>
              </w:tc>
              <w:tc>
                <w:tcPr>
                  <w:tcW w:w="87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主要有毒有害物质名称</w:t>
                  </w:r>
                </w:p>
              </w:tc>
              <w:tc>
                <w:tcPr>
                  <w:tcW w:w="52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物理性状</w:t>
                  </w:r>
                </w:p>
              </w:tc>
              <w:tc>
                <w:tcPr>
                  <w:tcW w:w="85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环境危险特性</w:t>
                  </w:r>
                </w:p>
              </w:tc>
              <w:tc>
                <w:tcPr>
                  <w:tcW w:w="7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产生量（</w:t>
                  </w:r>
                  <w:r>
                    <w:rPr>
                      <w:rFonts w:hint="default" w:ascii="Times New Roman" w:hAnsi="Times New Roman" w:eastAsia="宋体" w:cs="Times New Roman"/>
                      <w:color w:val="auto"/>
                      <w:sz w:val="21"/>
                      <w:szCs w:val="21"/>
                      <w:lang w:val="en-US" w:eastAsia="zh-CN"/>
                    </w:rPr>
                    <w:t>t/a</w:t>
                  </w:r>
                  <w:r>
                    <w:rPr>
                      <w:rFonts w:hint="default" w:ascii="Times New Roman" w:hAnsi="Times New Roman" w:eastAsia="宋体" w:cs="Times New Roman"/>
                      <w:color w:val="auto"/>
                      <w:sz w:val="21"/>
                      <w:szCs w:val="21"/>
                      <w:lang w:eastAsia="zh-CN"/>
                    </w:rPr>
                    <w:t>）</w:t>
                  </w:r>
                </w:p>
              </w:tc>
              <w:tc>
                <w:tcPr>
                  <w:tcW w:w="58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贮存方式</w:t>
                  </w:r>
                </w:p>
              </w:tc>
              <w:tc>
                <w:tcPr>
                  <w:tcW w:w="87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利用处置方式和去向</w:t>
                  </w:r>
                </w:p>
              </w:tc>
              <w:tc>
                <w:tcPr>
                  <w:tcW w:w="9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利用量或处置量（</w:t>
                  </w:r>
                  <w:r>
                    <w:rPr>
                      <w:rFonts w:hint="default" w:ascii="Times New Roman" w:hAnsi="Times New Roman" w:eastAsia="宋体" w:cs="Times New Roman"/>
                      <w:color w:val="auto"/>
                      <w:sz w:val="21"/>
                      <w:szCs w:val="21"/>
                      <w:lang w:val="en-US" w:eastAsia="zh-CN"/>
                    </w:rPr>
                    <w:t>t/a</w:t>
                  </w:r>
                  <w:r>
                    <w:rPr>
                      <w:rFonts w:hint="default" w:ascii="Times New Roman" w:hAnsi="Times New Roman" w:eastAsia="宋体" w:cs="Times New Roman"/>
                      <w:color w:val="auto"/>
                      <w:sz w:val="21"/>
                      <w:szCs w:val="21"/>
                      <w:lang w:eastAsia="zh-CN"/>
                    </w:rPr>
                    <w:t>）</w:t>
                  </w:r>
                </w:p>
              </w:tc>
              <w:tc>
                <w:tcPr>
                  <w:tcW w:w="59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环境管理要求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761"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eastAsia="zh-CN"/>
                    </w:rPr>
                    <w:t>职工生活</w:t>
                  </w:r>
                </w:p>
              </w:tc>
              <w:tc>
                <w:tcPr>
                  <w:tcW w:w="672"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eastAsia="zh-CN"/>
                    </w:rPr>
                    <w:t>生活垃圾</w:t>
                  </w:r>
                </w:p>
              </w:tc>
              <w:tc>
                <w:tcPr>
                  <w:tcW w:w="461"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一般</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固废</w:t>
                  </w:r>
                </w:p>
              </w:tc>
              <w:tc>
                <w:tcPr>
                  <w:tcW w:w="87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2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固态</w:t>
                  </w:r>
                </w:p>
              </w:tc>
              <w:tc>
                <w:tcPr>
                  <w:tcW w:w="85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90"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15</w:t>
                  </w:r>
                </w:p>
              </w:tc>
              <w:tc>
                <w:tcPr>
                  <w:tcW w:w="58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袋装</w:t>
                  </w:r>
                </w:p>
              </w:tc>
              <w:tc>
                <w:tcPr>
                  <w:tcW w:w="87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环卫部门</w:t>
                  </w:r>
                </w:p>
              </w:tc>
              <w:tc>
                <w:tcPr>
                  <w:tcW w:w="901"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15</w:t>
                  </w:r>
                </w:p>
              </w:tc>
              <w:tc>
                <w:tcPr>
                  <w:tcW w:w="59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垃圾桶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w:t>
                  </w:r>
                </w:p>
              </w:tc>
              <w:tc>
                <w:tcPr>
                  <w:tcW w:w="761"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成品检验</w:t>
                  </w:r>
                </w:p>
              </w:tc>
              <w:tc>
                <w:tcPr>
                  <w:tcW w:w="672"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不合格品</w:t>
                  </w:r>
                </w:p>
              </w:tc>
              <w:tc>
                <w:tcPr>
                  <w:tcW w:w="46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87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2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固态</w:t>
                  </w:r>
                </w:p>
              </w:tc>
              <w:tc>
                <w:tcPr>
                  <w:tcW w:w="85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790"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11</w:t>
                  </w:r>
                </w:p>
              </w:tc>
              <w:tc>
                <w:tcPr>
                  <w:tcW w:w="58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袋装</w:t>
                  </w:r>
                </w:p>
              </w:tc>
              <w:tc>
                <w:tcPr>
                  <w:tcW w:w="87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定期外售</w:t>
                  </w:r>
                </w:p>
              </w:tc>
              <w:tc>
                <w:tcPr>
                  <w:tcW w:w="901"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kern w:val="2"/>
                      <w:sz w:val="21"/>
                      <w:szCs w:val="21"/>
                      <w:vertAlign w:val="baseline"/>
                      <w:lang w:val="en-US" w:eastAsia="zh-CN" w:bidi="ar-SA"/>
                    </w:rPr>
                    <w:t>11</w:t>
                  </w:r>
                </w:p>
              </w:tc>
              <w:tc>
                <w:tcPr>
                  <w:tcW w:w="594"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一般固废暂存间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761"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光磨、硬磨</w:t>
                  </w:r>
                </w:p>
              </w:tc>
              <w:tc>
                <w:tcPr>
                  <w:tcW w:w="672"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废钢屑、废钢球</w:t>
                  </w:r>
                </w:p>
              </w:tc>
              <w:tc>
                <w:tcPr>
                  <w:tcW w:w="46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87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2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固态</w:t>
                  </w:r>
                </w:p>
              </w:tc>
              <w:tc>
                <w:tcPr>
                  <w:tcW w:w="85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790"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700</w:t>
                  </w:r>
                </w:p>
              </w:tc>
              <w:tc>
                <w:tcPr>
                  <w:tcW w:w="58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袋装</w:t>
                  </w:r>
                </w:p>
              </w:tc>
              <w:tc>
                <w:tcPr>
                  <w:tcW w:w="87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收集后统一外售至物资回收公司</w:t>
                  </w:r>
                </w:p>
              </w:tc>
              <w:tc>
                <w:tcPr>
                  <w:tcW w:w="901"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700</w:t>
                  </w:r>
                </w:p>
              </w:tc>
              <w:tc>
                <w:tcPr>
                  <w:tcW w:w="59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761"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eastAsia="zh-CN"/>
                    </w:rPr>
                    <w:t>精研、初研</w:t>
                  </w:r>
                </w:p>
              </w:tc>
              <w:tc>
                <w:tcPr>
                  <w:tcW w:w="672"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eastAsia="zh-CN"/>
                    </w:rPr>
                    <w:t>废磨液桶</w:t>
                  </w:r>
                </w:p>
              </w:tc>
              <w:tc>
                <w:tcPr>
                  <w:tcW w:w="46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87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2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固态</w:t>
                  </w:r>
                </w:p>
              </w:tc>
              <w:tc>
                <w:tcPr>
                  <w:tcW w:w="85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790"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4.45</w:t>
                  </w:r>
                </w:p>
              </w:tc>
              <w:tc>
                <w:tcPr>
                  <w:tcW w:w="58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桶装</w:t>
                  </w:r>
                </w:p>
              </w:tc>
              <w:tc>
                <w:tcPr>
                  <w:tcW w:w="87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统一回收后由原厂家回收利用</w:t>
                  </w:r>
                </w:p>
              </w:tc>
              <w:tc>
                <w:tcPr>
                  <w:tcW w:w="901"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4.45</w:t>
                  </w:r>
                </w:p>
              </w:tc>
              <w:tc>
                <w:tcPr>
                  <w:tcW w:w="59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w:t>
                  </w:r>
                </w:p>
              </w:tc>
              <w:tc>
                <w:tcPr>
                  <w:tcW w:w="761"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eastAsia="zh-CN"/>
                    </w:rPr>
                    <w:t>回收废油</w:t>
                  </w:r>
                </w:p>
              </w:tc>
              <w:tc>
                <w:tcPr>
                  <w:tcW w:w="672"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eastAsia="zh-CN"/>
                    </w:rPr>
                    <w:t>油渣</w:t>
                  </w:r>
                </w:p>
              </w:tc>
              <w:tc>
                <w:tcPr>
                  <w:tcW w:w="461"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危险废物</w:t>
                  </w:r>
                </w:p>
              </w:tc>
              <w:tc>
                <w:tcPr>
                  <w:tcW w:w="87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废矿物油</w:t>
                  </w:r>
                </w:p>
              </w:tc>
              <w:tc>
                <w:tcPr>
                  <w:tcW w:w="52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固态</w:t>
                  </w:r>
                </w:p>
              </w:tc>
              <w:tc>
                <w:tcPr>
                  <w:tcW w:w="85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T，I</w:t>
                  </w:r>
                </w:p>
              </w:tc>
              <w:tc>
                <w:tcPr>
                  <w:tcW w:w="790"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0.12</w:t>
                  </w:r>
                </w:p>
              </w:tc>
              <w:tc>
                <w:tcPr>
                  <w:tcW w:w="58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桶装</w:t>
                  </w:r>
                </w:p>
              </w:tc>
              <w:tc>
                <w:tcPr>
                  <w:tcW w:w="876"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委托有资质单位处理</w:t>
                  </w:r>
                </w:p>
              </w:tc>
              <w:tc>
                <w:tcPr>
                  <w:tcW w:w="901"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0.12</w:t>
                  </w:r>
                </w:p>
              </w:tc>
              <w:tc>
                <w:tcPr>
                  <w:tcW w:w="594"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危废暂存间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6</w:t>
                  </w:r>
                </w:p>
              </w:tc>
              <w:tc>
                <w:tcPr>
                  <w:tcW w:w="761"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eastAsia="zh-CN"/>
                    </w:rPr>
                    <w:t>物料使用</w:t>
                  </w:r>
                </w:p>
              </w:tc>
              <w:tc>
                <w:tcPr>
                  <w:tcW w:w="672"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spacing w:val="0"/>
                      <w:sz w:val="21"/>
                      <w:szCs w:val="21"/>
                      <w:lang w:eastAsia="zh-CN"/>
                    </w:rPr>
                    <w:t>废油桶</w:t>
                  </w:r>
                </w:p>
              </w:tc>
              <w:tc>
                <w:tcPr>
                  <w:tcW w:w="46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p>
              </w:tc>
              <w:tc>
                <w:tcPr>
                  <w:tcW w:w="87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sz w:val="21"/>
                      <w:szCs w:val="21"/>
                    </w:rPr>
                    <w:t>废矿物油</w:t>
                  </w:r>
                </w:p>
              </w:tc>
              <w:tc>
                <w:tcPr>
                  <w:tcW w:w="52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固态</w:t>
                  </w:r>
                </w:p>
              </w:tc>
              <w:tc>
                <w:tcPr>
                  <w:tcW w:w="85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T/In</w:t>
                  </w:r>
                </w:p>
              </w:tc>
              <w:tc>
                <w:tcPr>
                  <w:tcW w:w="790"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0.221</w:t>
                  </w:r>
                </w:p>
              </w:tc>
              <w:tc>
                <w:tcPr>
                  <w:tcW w:w="58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防渗托盘</w:t>
                  </w:r>
                </w:p>
              </w:tc>
              <w:tc>
                <w:tcPr>
                  <w:tcW w:w="87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p>
              </w:tc>
              <w:tc>
                <w:tcPr>
                  <w:tcW w:w="901"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0.221</w:t>
                  </w:r>
                </w:p>
              </w:tc>
              <w:tc>
                <w:tcPr>
                  <w:tcW w:w="59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7</w:t>
                  </w:r>
                </w:p>
              </w:tc>
              <w:tc>
                <w:tcPr>
                  <w:tcW w:w="761"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lang w:eastAsia="zh-CN"/>
                    </w:rPr>
                  </w:pPr>
                  <w:r>
                    <w:rPr>
                      <w:rFonts w:hint="eastAsia" w:cs="Times New Roman"/>
                      <w:color w:val="auto"/>
                      <w:spacing w:val="0"/>
                      <w:sz w:val="21"/>
                      <w:szCs w:val="21"/>
                      <w:lang w:eastAsia="zh-CN"/>
                    </w:rPr>
                    <w:t>废活性炭纤维毡</w:t>
                  </w:r>
                </w:p>
              </w:tc>
              <w:tc>
                <w:tcPr>
                  <w:tcW w:w="672"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lang w:eastAsia="zh-CN"/>
                    </w:rPr>
                  </w:pPr>
                  <w:r>
                    <w:rPr>
                      <w:rFonts w:hint="eastAsia" w:cs="Times New Roman"/>
                      <w:color w:val="auto"/>
                      <w:spacing w:val="0"/>
                      <w:sz w:val="21"/>
                      <w:szCs w:val="21"/>
                      <w:lang w:eastAsia="zh-CN"/>
                    </w:rPr>
                    <w:t>活性炭纤维</w:t>
                  </w:r>
                </w:p>
              </w:tc>
              <w:tc>
                <w:tcPr>
                  <w:tcW w:w="46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p>
              </w:tc>
              <w:tc>
                <w:tcPr>
                  <w:tcW w:w="87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油类</w:t>
                  </w:r>
                </w:p>
              </w:tc>
              <w:tc>
                <w:tcPr>
                  <w:tcW w:w="52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固态</w:t>
                  </w:r>
                </w:p>
              </w:tc>
              <w:tc>
                <w:tcPr>
                  <w:tcW w:w="85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T/In</w:t>
                  </w:r>
                </w:p>
              </w:tc>
              <w:tc>
                <w:tcPr>
                  <w:tcW w:w="790"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5.91</w:t>
                  </w:r>
                </w:p>
              </w:tc>
              <w:tc>
                <w:tcPr>
                  <w:tcW w:w="58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桶装</w:t>
                  </w:r>
                </w:p>
              </w:tc>
              <w:tc>
                <w:tcPr>
                  <w:tcW w:w="87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p>
              </w:tc>
              <w:tc>
                <w:tcPr>
                  <w:tcW w:w="901"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5.91</w:t>
                  </w:r>
                </w:p>
              </w:tc>
              <w:tc>
                <w:tcPr>
                  <w:tcW w:w="59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0" w:firstLineChars="0"/>
              <w:jc w:val="center"/>
              <w:textAlignment w:val="auto"/>
              <w:rPr>
                <w:rFonts w:hint="eastAsia"/>
                <w:color w:val="auto"/>
                <w:lang w:val="en-US" w:eastAsia="zh-CN"/>
              </w:rPr>
            </w:pPr>
            <w:r>
              <w:rPr>
                <w:rFonts w:hint="default" w:ascii="Times New Roman" w:hAnsi="Times New Roman" w:eastAsia="宋体" w:cs="Times New Roman"/>
                <w:b/>
                <w:bCs/>
                <w:color w:val="auto"/>
                <w:sz w:val="24"/>
                <w:szCs w:val="24"/>
              </w:rPr>
              <w:t>表</w:t>
            </w:r>
            <w:r>
              <w:rPr>
                <w:rFonts w:hint="default" w:ascii="Times New Roman" w:hAnsi="Times New Roman" w:eastAsia="宋体" w:cs="Times New Roman"/>
                <w:b/>
                <w:bCs/>
                <w:color w:val="auto"/>
                <w:sz w:val="24"/>
                <w:szCs w:val="24"/>
                <w:lang w:val="en-US" w:eastAsia="zh-CN"/>
              </w:rPr>
              <w:t>4.</w:t>
            </w:r>
            <w:r>
              <w:rPr>
                <w:rFonts w:hint="eastAsia" w:ascii="Times New Roman" w:hAnsi="Times New Roman" w:eastAsia="宋体" w:cs="Times New Roman"/>
                <w:b/>
                <w:bCs/>
                <w:color w:val="auto"/>
                <w:sz w:val="24"/>
                <w:szCs w:val="24"/>
                <w:lang w:val="en-US" w:eastAsia="zh-CN"/>
              </w:rPr>
              <w:t>1</w:t>
            </w:r>
            <w:r>
              <w:rPr>
                <w:rFonts w:hint="eastAsia" w:cs="Times New Roman"/>
                <w:b/>
                <w:bCs/>
                <w:color w:val="auto"/>
                <w:sz w:val="24"/>
                <w:szCs w:val="24"/>
                <w:lang w:val="en-US" w:eastAsia="zh-CN"/>
              </w:rPr>
              <w:t>3</w:t>
            </w:r>
            <w:r>
              <w:rPr>
                <w:rFonts w:hint="eastAsia"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rPr>
              <w:t xml:space="preserve"> 项目</w:t>
            </w:r>
            <w:r>
              <w:rPr>
                <w:rFonts w:hint="eastAsia" w:ascii="Times New Roman" w:hAnsi="Times New Roman" w:eastAsia="宋体" w:cs="Times New Roman"/>
                <w:b/>
                <w:bCs/>
                <w:color w:val="auto"/>
                <w:sz w:val="24"/>
                <w:szCs w:val="24"/>
                <w:lang w:eastAsia="zh-CN"/>
              </w:rPr>
              <w:t>一般工业固体废物</w:t>
            </w:r>
            <w:r>
              <w:rPr>
                <w:rFonts w:hint="default" w:ascii="Times New Roman" w:hAnsi="Times New Roman" w:eastAsia="宋体" w:cs="Times New Roman"/>
                <w:b/>
                <w:bCs/>
                <w:color w:val="auto"/>
                <w:sz w:val="24"/>
                <w:szCs w:val="24"/>
              </w:rPr>
              <w:t>产</w:t>
            </w:r>
            <w:r>
              <w:rPr>
                <w:rFonts w:hint="eastAsia" w:ascii="Times New Roman" w:hAnsi="Times New Roman" w:eastAsia="宋体" w:cs="Times New Roman"/>
                <w:b/>
                <w:bCs/>
                <w:color w:val="auto"/>
                <w:sz w:val="24"/>
                <w:szCs w:val="24"/>
                <w:lang w:eastAsia="zh-CN"/>
              </w:rPr>
              <w:t>生及处置统计一览</w:t>
            </w:r>
            <w:r>
              <w:rPr>
                <w:rFonts w:hint="default" w:ascii="Times New Roman" w:hAnsi="Times New Roman" w:eastAsia="宋体" w:cs="Times New Roman"/>
                <w:b/>
                <w:bCs/>
                <w:color w:val="auto"/>
                <w:sz w:val="24"/>
                <w:szCs w:val="24"/>
              </w:rPr>
              <w:t>表</w:t>
            </w:r>
          </w:p>
          <w:tbl>
            <w:tblPr>
              <w:tblStyle w:val="26"/>
              <w:tblW w:w="83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2"/>
              <w:gridCol w:w="1349"/>
              <w:gridCol w:w="936"/>
              <w:gridCol w:w="932"/>
              <w:gridCol w:w="1083"/>
              <w:gridCol w:w="612"/>
              <w:gridCol w:w="841"/>
              <w:gridCol w:w="809"/>
              <w:gridCol w:w="12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2" w:type="dxa"/>
                  <w:noWrap w:val="0"/>
                  <w:vAlign w:val="center"/>
                </w:tcPr>
                <w:p>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序号</w:t>
                  </w:r>
                </w:p>
              </w:tc>
              <w:tc>
                <w:tcPr>
                  <w:tcW w:w="1349" w:type="dxa"/>
                  <w:noWrap w:val="0"/>
                  <w:vAlign w:val="center"/>
                </w:tcPr>
                <w:p>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一般工业固体废物</w:t>
                  </w:r>
                </w:p>
              </w:tc>
              <w:tc>
                <w:tcPr>
                  <w:tcW w:w="936" w:type="dxa"/>
                  <w:noWrap w:val="0"/>
                  <w:vAlign w:val="center"/>
                </w:tcPr>
                <w:p>
                  <w:pPr>
                    <w:adjustRightInd w:val="0"/>
                    <w:snapToGrid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废物</w:t>
                  </w:r>
                </w:p>
                <w:p>
                  <w:pPr>
                    <w:adjustRightInd w:val="0"/>
                    <w:snapToGrid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代码</w:t>
                  </w:r>
                </w:p>
              </w:tc>
              <w:tc>
                <w:tcPr>
                  <w:tcW w:w="932" w:type="dxa"/>
                  <w:noWrap w:val="0"/>
                  <w:vAlign w:val="center"/>
                </w:tcPr>
                <w:p>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产生量（</w:t>
                  </w:r>
                  <w:r>
                    <w:rPr>
                      <w:rFonts w:hint="default" w:ascii="Times New Roman" w:hAnsi="Times New Roman" w:eastAsia="宋体" w:cs="Times New Roman"/>
                      <w:color w:val="auto"/>
                      <w:sz w:val="21"/>
                      <w:szCs w:val="21"/>
                      <w:lang w:val="en-US" w:eastAsia="zh-CN"/>
                    </w:rPr>
                    <w:t>t/a</w:t>
                  </w:r>
                  <w:r>
                    <w:rPr>
                      <w:rFonts w:hint="default" w:ascii="Times New Roman" w:hAnsi="Times New Roman" w:eastAsia="宋体" w:cs="Times New Roman"/>
                      <w:color w:val="auto"/>
                      <w:sz w:val="21"/>
                      <w:szCs w:val="21"/>
                      <w:lang w:eastAsia="zh-CN"/>
                    </w:rPr>
                    <w:t>）</w:t>
                  </w:r>
                </w:p>
              </w:tc>
              <w:tc>
                <w:tcPr>
                  <w:tcW w:w="1083" w:type="dxa"/>
                  <w:noWrap w:val="0"/>
                  <w:vAlign w:val="center"/>
                </w:tcPr>
                <w:p>
                  <w:pPr>
                    <w:adjustRightInd w:val="0"/>
                    <w:snapToGrid w:val="0"/>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产生工序及装置</w:t>
                  </w:r>
                </w:p>
              </w:tc>
              <w:tc>
                <w:tcPr>
                  <w:tcW w:w="612" w:type="dxa"/>
                  <w:noWrap w:val="0"/>
                  <w:vAlign w:val="center"/>
                </w:tcPr>
                <w:p>
                  <w:pPr>
                    <w:adjustRightInd w:val="0"/>
                    <w:snapToGrid w:val="0"/>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形态</w:t>
                  </w:r>
                </w:p>
              </w:tc>
              <w:tc>
                <w:tcPr>
                  <w:tcW w:w="841" w:type="dxa"/>
                  <w:noWrap w:val="0"/>
                  <w:vAlign w:val="center"/>
                </w:tcPr>
                <w:p>
                  <w:pPr>
                    <w:adjustRightInd w:val="0"/>
                    <w:snapToGrid w:val="0"/>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主要成分</w:t>
                  </w:r>
                </w:p>
              </w:tc>
              <w:tc>
                <w:tcPr>
                  <w:tcW w:w="809" w:type="dxa"/>
                  <w:noWrap w:val="0"/>
                  <w:vAlign w:val="center"/>
                </w:tcPr>
                <w:p>
                  <w:pPr>
                    <w:adjustRightInd w:val="0"/>
                    <w:snapToGrid w:val="0"/>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产废周期</w:t>
                  </w:r>
                </w:p>
              </w:tc>
              <w:tc>
                <w:tcPr>
                  <w:tcW w:w="1273" w:type="dxa"/>
                  <w:noWrap w:val="0"/>
                  <w:vAlign w:val="center"/>
                </w:tcPr>
                <w:p>
                  <w:pPr>
                    <w:adjustRightInd w:val="0"/>
                    <w:snapToGrid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2"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c>
                <w:tcPr>
                  <w:tcW w:w="1349" w:type="dxa"/>
                  <w:noWrap w:val="0"/>
                  <w:vAlign w:val="center"/>
                </w:tcPr>
                <w:p>
                  <w:pPr>
                    <w:spacing w:line="240" w:lineRule="auto"/>
                    <w:jc w:val="center"/>
                    <w:rPr>
                      <w:rFonts w:hint="eastAsia"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b w:val="0"/>
                      <w:bCs w:val="0"/>
                      <w:color w:val="auto"/>
                      <w:sz w:val="21"/>
                      <w:szCs w:val="21"/>
                      <w:vertAlign w:val="baseline"/>
                      <w:lang w:eastAsia="zh-CN"/>
                    </w:rPr>
                    <w:t>生活垃圾</w:t>
                  </w:r>
                </w:p>
              </w:tc>
              <w:tc>
                <w:tcPr>
                  <w:tcW w:w="936" w:type="dxa"/>
                  <w:noWrap w:val="0"/>
                  <w:vAlign w:val="center"/>
                </w:tcPr>
                <w:p>
                  <w:pPr>
                    <w:keepNext w:val="0"/>
                    <w:keepLines w:val="0"/>
                    <w:widowControl/>
                    <w:suppressLineNumbers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0"/>
                      <w:sz w:val="21"/>
                      <w:szCs w:val="21"/>
                      <w:lang w:val="en-US" w:eastAsia="zh-CN" w:bidi="ar"/>
                    </w:rPr>
                    <w:t>99</w:t>
                  </w:r>
                </w:p>
              </w:tc>
              <w:tc>
                <w:tcPr>
                  <w:tcW w:w="932" w:type="dxa"/>
                  <w:noWrap w:val="0"/>
                  <w:vAlign w:val="center"/>
                </w:tcPr>
                <w:p>
                  <w:pPr>
                    <w:spacing w:line="240" w:lineRule="auto"/>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kern w:val="2"/>
                      <w:sz w:val="21"/>
                      <w:szCs w:val="21"/>
                      <w:vertAlign w:val="baseline"/>
                      <w:lang w:val="en-US" w:eastAsia="zh-CN" w:bidi="ar-SA"/>
                    </w:rPr>
                    <w:t>15</w:t>
                  </w:r>
                </w:p>
              </w:tc>
              <w:tc>
                <w:tcPr>
                  <w:tcW w:w="1083" w:type="dxa"/>
                  <w:noWrap w:val="0"/>
                  <w:vAlign w:val="center"/>
                </w:tcPr>
                <w:p>
                  <w:pPr>
                    <w:spacing w:line="240" w:lineRule="auto"/>
                    <w:jc w:val="center"/>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sz w:val="21"/>
                      <w:szCs w:val="21"/>
                      <w:vertAlign w:val="baseline"/>
                      <w:lang w:eastAsia="zh-CN"/>
                    </w:rPr>
                    <w:t>职工</w:t>
                  </w:r>
                  <w:r>
                    <w:rPr>
                      <w:rFonts w:hint="default" w:ascii="Times New Roman" w:hAnsi="Times New Roman" w:cs="Times New Roman"/>
                      <w:b w:val="0"/>
                      <w:bCs w:val="0"/>
                      <w:color w:val="auto"/>
                      <w:sz w:val="21"/>
                      <w:szCs w:val="21"/>
                      <w:vertAlign w:val="baseline"/>
                      <w:lang w:eastAsia="zh-CN"/>
                    </w:rPr>
                    <w:t>生活</w:t>
                  </w:r>
                </w:p>
              </w:tc>
              <w:tc>
                <w:tcPr>
                  <w:tcW w:w="612" w:type="dxa"/>
                  <w:noWrap w:val="0"/>
                  <w:vAlign w:val="center"/>
                </w:tcPr>
                <w:p>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固态</w:t>
                  </w:r>
                </w:p>
              </w:tc>
              <w:tc>
                <w:tcPr>
                  <w:tcW w:w="841" w:type="dxa"/>
                  <w:noWrap w:val="0"/>
                  <w:vAlign w:val="center"/>
                </w:tcPr>
                <w:p>
                  <w:pPr>
                    <w:adjustRightInd w:val="0"/>
                    <w:snapToGrid w:val="0"/>
                    <w:jc w:val="center"/>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sz w:val="21"/>
                      <w:szCs w:val="21"/>
                      <w:vertAlign w:val="baseline"/>
                      <w:lang w:val="en-US" w:eastAsia="zh-CN"/>
                    </w:rPr>
                    <w:t>废纸等</w:t>
                  </w:r>
                </w:p>
              </w:tc>
              <w:tc>
                <w:tcPr>
                  <w:tcW w:w="809" w:type="dxa"/>
                  <w:noWrap w:val="0"/>
                  <w:vAlign w:val="center"/>
                </w:tcPr>
                <w:p>
                  <w:pPr>
                    <w:adjustRightInd w:val="0"/>
                    <w:snapToGrid w:val="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1天</w:t>
                  </w:r>
                </w:p>
              </w:tc>
              <w:tc>
                <w:tcPr>
                  <w:tcW w:w="1273"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环卫部门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2"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p>
              </w:tc>
              <w:tc>
                <w:tcPr>
                  <w:tcW w:w="1349" w:type="dxa"/>
                  <w:noWrap w:val="0"/>
                  <w:vAlign w:val="center"/>
                </w:tcPr>
                <w:p>
                  <w:pPr>
                    <w:jc w:val="center"/>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不合格品</w:t>
                  </w:r>
                </w:p>
              </w:tc>
              <w:tc>
                <w:tcPr>
                  <w:tcW w:w="936" w:type="dxa"/>
                  <w:noWrap w:val="0"/>
                  <w:vAlign w:val="center"/>
                </w:tcPr>
                <w:p>
                  <w:pPr>
                    <w:adjustRightInd w:val="0"/>
                    <w:snapToGrid w:val="0"/>
                    <w:jc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09</w:t>
                  </w:r>
                </w:p>
              </w:tc>
              <w:tc>
                <w:tcPr>
                  <w:tcW w:w="932" w:type="dxa"/>
                  <w:noWrap w:val="0"/>
                  <w:vAlign w:val="center"/>
                </w:tcPr>
                <w:p>
                  <w:pPr>
                    <w:spacing w:line="240" w:lineRule="exact"/>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kern w:val="2"/>
                      <w:sz w:val="21"/>
                      <w:szCs w:val="21"/>
                      <w:vertAlign w:val="baseline"/>
                      <w:lang w:val="en-US" w:eastAsia="zh-CN" w:bidi="ar-SA"/>
                    </w:rPr>
                    <w:t>11</w:t>
                  </w:r>
                </w:p>
              </w:tc>
              <w:tc>
                <w:tcPr>
                  <w:tcW w:w="1083" w:type="dxa"/>
                  <w:noWrap w:val="0"/>
                  <w:vAlign w:val="center"/>
                </w:tcPr>
                <w:p>
                  <w:pPr>
                    <w:spacing w:line="240" w:lineRule="auto"/>
                    <w:jc w:val="center"/>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kern w:val="2"/>
                      <w:sz w:val="21"/>
                      <w:szCs w:val="21"/>
                      <w:vertAlign w:val="baseline"/>
                      <w:lang w:val="en-US" w:eastAsia="zh-CN" w:bidi="ar-SA"/>
                    </w:rPr>
                    <w:t>成品检验</w:t>
                  </w:r>
                </w:p>
              </w:tc>
              <w:tc>
                <w:tcPr>
                  <w:tcW w:w="612" w:type="dxa"/>
                  <w:noWrap w:val="0"/>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固态</w:t>
                  </w:r>
                </w:p>
              </w:tc>
              <w:tc>
                <w:tcPr>
                  <w:tcW w:w="841" w:type="dxa"/>
                  <w:noWrap w:val="0"/>
                  <w:vAlign w:val="center"/>
                </w:tcPr>
                <w:p>
                  <w:pPr>
                    <w:adjustRightInd w:val="0"/>
                    <w:snapToGrid w:val="0"/>
                    <w:jc w:val="center"/>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eastAsia="宋体" w:cs="Times New Roman"/>
                      <w:b w:val="0"/>
                      <w:bCs w:val="0"/>
                      <w:color w:val="auto"/>
                      <w:kern w:val="2"/>
                      <w:sz w:val="21"/>
                      <w:szCs w:val="21"/>
                      <w:vertAlign w:val="baseline"/>
                      <w:lang w:val="en-US" w:eastAsia="zh-CN" w:bidi="ar-SA"/>
                    </w:rPr>
                    <w:t>钢</w:t>
                  </w:r>
                </w:p>
              </w:tc>
              <w:tc>
                <w:tcPr>
                  <w:tcW w:w="809" w:type="dxa"/>
                  <w:noWrap w:val="0"/>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1个月</w:t>
                  </w:r>
                </w:p>
              </w:tc>
              <w:tc>
                <w:tcPr>
                  <w:tcW w:w="1273"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定期外售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2" w:type="dxa"/>
                  <w:noWrap w:val="0"/>
                  <w:vAlign w:val="center"/>
                </w:tcPr>
                <w:p>
                  <w:pPr>
                    <w:adjustRightInd w:val="0"/>
                    <w:snapToGrid w:val="0"/>
                    <w:jc w:val="center"/>
                    <w:rPr>
                      <w:rFonts w:hint="default" w:cs="Times New Roman"/>
                      <w:color w:val="auto"/>
                      <w:sz w:val="21"/>
                      <w:szCs w:val="21"/>
                      <w:lang w:val="en-US" w:eastAsia="zh-CN"/>
                    </w:rPr>
                  </w:pPr>
                  <w:r>
                    <w:rPr>
                      <w:rFonts w:hint="eastAsia" w:cs="Times New Roman"/>
                      <w:color w:val="auto"/>
                      <w:sz w:val="21"/>
                      <w:szCs w:val="21"/>
                      <w:lang w:val="en-US" w:eastAsia="zh-CN"/>
                    </w:rPr>
                    <w:t>3</w:t>
                  </w:r>
                </w:p>
              </w:tc>
              <w:tc>
                <w:tcPr>
                  <w:tcW w:w="1349" w:type="dxa"/>
                  <w:noWrap w:val="0"/>
                  <w:vAlign w:val="center"/>
                </w:tcPr>
                <w:p>
                  <w:pPr>
                    <w:jc w:val="center"/>
                    <w:rPr>
                      <w:rFonts w:hint="default" w:ascii="Times New Roman" w:hAnsi="Times New Roman" w:cs="Times New Roman"/>
                      <w:bCs/>
                      <w:color w:val="auto"/>
                      <w:kern w:val="2"/>
                      <w:sz w:val="21"/>
                      <w:szCs w:val="21"/>
                      <w:lang w:val="en-US" w:eastAsia="zh-CN" w:bidi="ar-SA"/>
                    </w:rPr>
                  </w:pPr>
                  <w:r>
                    <w:rPr>
                      <w:rFonts w:hint="eastAsia" w:eastAsia="宋体" w:cs="Times New Roman"/>
                      <w:color w:val="auto"/>
                      <w:sz w:val="21"/>
                      <w:szCs w:val="21"/>
                      <w:lang w:eastAsia="zh-CN"/>
                    </w:rPr>
                    <w:t>废磨液桶</w:t>
                  </w:r>
                </w:p>
              </w:tc>
              <w:tc>
                <w:tcPr>
                  <w:tcW w:w="936" w:type="dxa"/>
                  <w:noWrap w:val="0"/>
                  <w:vAlign w:val="center"/>
                </w:tcPr>
                <w:p>
                  <w:pPr>
                    <w:adjustRightInd w:val="0"/>
                    <w:snapToGrid w:val="0"/>
                    <w:jc w:val="center"/>
                    <w:rPr>
                      <w:rFonts w:hint="eastAsia" w:cs="Times New Roman"/>
                      <w:color w:val="auto"/>
                      <w:kern w:val="0"/>
                      <w:sz w:val="21"/>
                      <w:szCs w:val="21"/>
                      <w:lang w:val="en-US" w:eastAsia="zh-CN" w:bidi="ar"/>
                    </w:rPr>
                  </w:pPr>
                  <w:r>
                    <w:rPr>
                      <w:rFonts w:hint="eastAsia" w:cs="Times New Roman"/>
                      <w:color w:val="auto"/>
                      <w:kern w:val="0"/>
                      <w:sz w:val="21"/>
                      <w:szCs w:val="21"/>
                      <w:lang w:val="en-US" w:eastAsia="zh-CN" w:bidi="ar"/>
                    </w:rPr>
                    <w:t>09</w:t>
                  </w:r>
                </w:p>
              </w:tc>
              <w:tc>
                <w:tcPr>
                  <w:tcW w:w="932" w:type="dxa"/>
                  <w:noWrap w:val="0"/>
                  <w:vAlign w:val="center"/>
                </w:tcPr>
                <w:p>
                  <w:pPr>
                    <w:spacing w:line="240" w:lineRule="exact"/>
                    <w:jc w:val="center"/>
                    <w:rPr>
                      <w:rFonts w:hint="default" w:cs="Times New Roman"/>
                      <w:b w:val="0"/>
                      <w:bCs w:val="0"/>
                      <w:color w:val="auto"/>
                      <w:kern w:val="2"/>
                      <w:sz w:val="21"/>
                      <w:szCs w:val="21"/>
                      <w:vertAlign w:val="baseline"/>
                      <w:lang w:val="en-US" w:eastAsia="zh-CN" w:bidi="ar-SA"/>
                    </w:rPr>
                  </w:pPr>
                  <w:r>
                    <w:rPr>
                      <w:rFonts w:hint="eastAsia" w:cs="Times New Roman"/>
                      <w:b w:val="0"/>
                      <w:bCs w:val="0"/>
                      <w:color w:val="auto"/>
                      <w:kern w:val="2"/>
                      <w:sz w:val="21"/>
                      <w:szCs w:val="21"/>
                      <w:vertAlign w:val="baseline"/>
                      <w:lang w:val="en-US" w:eastAsia="zh-CN" w:bidi="ar-SA"/>
                    </w:rPr>
                    <w:t>4.45</w:t>
                  </w:r>
                </w:p>
              </w:tc>
              <w:tc>
                <w:tcPr>
                  <w:tcW w:w="1083" w:type="dxa"/>
                  <w:noWrap w:val="0"/>
                  <w:vAlign w:val="center"/>
                </w:tcPr>
                <w:p>
                  <w:pPr>
                    <w:spacing w:line="240" w:lineRule="auto"/>
                    <w:jc w:val="center"/>
                    <w:rPr>
                      <w:rFonts w:hint="eastAsia" w:cs="Times New Roman"/>
                      <w:b w:val="0"/>
                      <w:bCs w:val="0"/>
                      <w:color w:val="auto"/>
                      <w:kern w:val="2"/>
                      <w:sz w:val="21"/>
                      <w:szCs w:val="21"/>
                      <w:vertAlign w:val="baseline"/>
                      <w:lang w:val="en-US" w:eastAsia="zh-CN" w:bidi="ar-SA"/>
                    </w:rPr>
                  </w:pPr>
                  <w:r>
                    <w:rPr>
                      <w:rFonts w:hint="eastAsia" w:cs="Times New Roman"/>
                      <w:b w:val="0"/>
                      <w:bCs w:val="0"/>
                      <w:color w:val="auto"/>
                      <w:kern w:val="2"/>
                      <w:sz w:val="21"/>
                      <w:szCs w:val="21"/>
                      <w:vertAlign w:val="baseline"/>
                      <w:lang w:val="en-US" w:eastAsia="zh-CN" w:bidi="ar-SA"/>
                    </w:rPr>
                    <w:t>物料使用</w:t>
                  </w:r>
                </w:p>
              </w:tc>
              <w:tc>
                <w:tcPr>
                  <w:tcW w:w="612" w:type="dxa"/>
                  <w:noWrap w:val="0"/>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固态</w:t>
                  </w:r>
                </w:p>
              </w:tc>
              <w:tc>
                <w:tcPr>
                  <w:tcW w:w="841" w:type="dxa"/>
                  <w:noWrap w:val="0"/>
                  <w:vAlign w:val="center"/>
                </w:tcPr>
                <w:p>
                  <w:pPr>
                    <w:adjustRightInd w:val="0"/>
                    <w:snapToGrid w:val="0"/>
                    <w:jc w:val="center"/>
                    <w:rPr>
                      <w:rFonts w:hint="eastAsia" w:eastAsia="宋体" w:cs="Times New Roman"/>
                      <w:b w:val="0"/>
                      <w:bCs w:val="0"/>
                      <w:color w:val="auto"/>
                      <w:kern w:val="2"/>
                      <w:sz w:val="21"/>
                      <w:szCs w:val="21"/>
                      <w:vertAlign w:val="baseline"/>
                      <w:lang w:val="en-US" w:eastAsia="zh-CN" w:bidi="ar-SA"/>
                    </w:rPr>
                  </w:pPr>
                  <w:r>
                    <w:rPr>
                      <w:rFonts w:hint="eastAsia" w:cs="Times New Roman"/>
                      <w:b w:val="0"/>
                      <w:bCs w:val="0"/>
                      <w:color w:val="auto"/>
                      <w:kern w:val="2"/>
                      <w:sz w:val="21"/>
                      <w:szCs w:val="21"/>
                      <w:vertAlign w:val="baseline"/>
                      <w:lang w:val="en-US" w:eastAsia="zh-CN" w:bidi="ar-SA"/>
                    </w:rPr>
                    <w:t>铁</w:t>
                  </w:r>
                </w:p>
              </w:tc>
              <w:tc>
                <w:tcPr>
                  <w:tcW w:w="809" w:type="dxa"/>
                  <w:noWrap w:val="0"/>
                  <w:vAlign w:val="center"/>
                </w:tcPr>
                <w:p>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1个月</w:t>
                  </w:r>
                </w:p>
              </w:tc>
              <w:tc>
                <w:tcPr>
                  <w:tcW w:w="1273"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统一回收后由原厂家回收利用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2" w:type="dxa"/>
                  <w:noWrap w:val="0"/>
                  <w:vAlign w:val="center"/>
                </w:tcPr>
                <w:p>
                  <w:pPr>
                    <w:adjustRightInd w:val="0"/>
                    <w:snapToGrid w:val="0"/>
                    <w:jc w:val="center"/>
                    <w:rPr>
                      <w:rFonts w:hint="default" w:cs="Times New Roman"/>
                      <w:color w:val="auto"/>
                      <w:sz w:val="21"/>
                      <w:szCs w:val="21"/>
                      <w:lang w:val="en-US" w:eastAsia="zh-CN"/>
                    </w:rPr>
                  </w:pPr>
                  <w:r>
                    <w:rPr>
                      <w:rFonts w:hint="eastAsia" w:cs="Times New Roman"/>
                      <w:color w:val="auto"/>
                      <w:sz w:val="21"/>
                      <w:szCs w:val="21"/>
                      <w:lang w:val="en-US" w:eastAsia="zh-CN"/>
                    </w:rPr>
                    <w:t>4</w:t>
                  </w:r>
                </w:p>
              </w:tc>
              <w:tc>
                <w:tcPr>
                  <w:tcW w:w="1349" w:type="dxa"/>
                  <w:noWrap w:val="0"/>
                  <w:vAlign w:val="center"/>
                </w:tcPr>
                <w:p>
                  <w:pPr>
                    <w:jc w:val="center"/>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废钢屑、废钢球</w:t>
                  </w:r>
                </w:p>
              </w:tc>
              <w:tc>
                <w:tcPr>
                  <w:tcW w:w="936" w:type="dxa"/>
                  <w:noWrap w:val="0"/>
                  <w:vAlign w:val="center"/>
                </w:tcPr>
                <w:p>
                  <w:pPr>
                    <w:adjustRightInd w:val="0"/>
                    <w:snapToGrid w:val="0"/>
                    <w:jc w:val="center"/>
                    <w:rPr>
                      <w:rFonts w:hint="eastAsia" w:cs="Times New Roman"/>
                      <w:color w:val="auto"/>
                      <w:kern w:val="0"/>
                      <w:sz w:val="21"/>
                      <w:szCs w:val="21"/>
                      <w:lang w:val="en-US" w:eastAsia="zh-CN" w:bidi="ar"/>
                    </w:rPr>
                  </w:pPr>
                  <w:r>
                    <w:rPr>
                      <w:rFonts w:hint="eastAsia" w:cs="Times New Roman"/>
                      <w:color w:val="auto"/>
                      <w:kern w:val="0"/>
                      <w:sz w:val="21"/>
                      <w:szCs w:val="21"/>
                      <w:lang w:val="en-US" w:eastAsia="zh-CN" w:bidi="ar"/>
                    </w:rPr>
                    <w:t>09</w:t>
                  </w:r>
                </w:p>
              </w:tc>
              <w:tc>
                <w:tcPr>
                  <w:tcW w:w="932" w:type="dxa"/>
                  <w:noWrap w:val="0"/>
                  <w:vAlign w:val="center"/>
                </w:tcPr>
                <w:p>
                  <w:pPr>
                    <w:spacing w:line="240" w:lineRule="exact"/>
                    <w:jc w:val="center"/>
                    <w:rPr>
                      <w:rFonts w:hint="default" w:cs="Times New Roman"/>
                      <w:b w:val="0"/>
                      <w:bCs w:val="0"/>
                      <w:color w:val="auto"/>
                      <w:kern w:val="2"/>
                      <w:sz w:val="21"/>
                      <w:szCs w:val="21"/>
                      <w:vertAlign w:val="baseline"/>
                      <w:lang w:val="en-US" w:eastAsia="zh-CN" w:bidi="ar-SA"/>
                    </w:rPr>
                  </w:pPr>
                  <w:r>
                    <w:rPr>
                      <w:rFonts w:hint="eastAsia" w:cs="Times New Roman"/>
                      <w:b w:val="0"/>
                      <w:bCs w:val="0"/>
                      <w:color w:val="auto"/>
                      <w:kern w:val="2"/>
                      <w:sz w:val="21"/>
                      <w:szCs w:val="21"/>
                      <w:vertAlign w:val="baseline"/>
                      <w:lang w:val="en-US" w:eastAsia="zh-CN" w:bidi="ar-SA"/>
                    </w:rPr>
                    <w:t>700</w:t>
                  </w:r>
                </w:p>
              </w:tc>
              <w:tc>
                <w:tcPr>
                  <w:tcW w:w="1083" w:type="dxa"/>
                  <w:noWrap w:val="0"/>
                  <w:vAlign w:val="center"/>
                </w:tcPr>
                <w:p>
                  <w:pPr>
                    <w:spacing w:line="240" w:lineRule="auto"/>
                    <w:jc w:val="center"/>
                    <w:rPr>
                      <w:rFonts w:hint="eastAsia" w:cs="Times New Roman"/>
                      <w:b w:val="0"/>
                      <w:bCs w:val="0"/>
                      <w:color w:val="auto"/>
                      <w:kern w:val="2"/>
                      <w:sz w:val="21"/>
                      <w:szCs w:val="21"/>
                      <w:vertAlign w:val="baseline"/>
                      <w:lang w:val="en-US" w:eastAsia="zh-CN" w:bidi="ar-SA"/>
                    </w:rPr>
                  </w:pPr>
                  <w:r>
                    <w:rPr>
                      <w:rFonts w:hint="eastAsia" w:cs="Times New Roman"/>
                      <w:b w:val="0"/>
                      <w:bCs w:val="0"/>
                      <w:color w:val="auto"/>
                      <w:kern w:val="2"/>
                      <w:sz w:val="21"/>
                      <w:szCs w:val="21"/>
                      <w:vertAlign w:val="baseline"/>
                      <w:lang w:val="en-US" w:eastAsia="zh-CN" w:bidi="ar-SA"/>
                    </w:rPr>
                    <w:t>精研、初研</w:t>
                  </w:r>
                </w:p>
              </w:tc>
              <w:tc>
                <w:tcPr>
                  <w:tcW w:w="612" w:type="dxa"/>
                  <w:noWrap w:val="0"/>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固态</w:t>
                  </w:r>
                </w:p>
              </w:tc>
              <w:tc>
                <w:tcPr>
                  <w:tcW w:w="841" w:type="dxa"/>
                  <w:noWrap w:val="0"/>
                  <w:vAlign w:val="center"/>
                </w:tcPr>
                <w:p>
                  <w:pPr>
                    <w:adjustRightInd w:val="0"/>
                    <w:snapToGrid w:val="0"/>
                    <w:jc w:val="center"/>
                    <w:rPr>
                      <w:rFonts w:hint="eastAsia" w:eastAsia="宋体" w:cs="Times New Roman"/>
                      <w:b w:val="0"/>
                      <w:bCs w:val="0"/>
                      <w:color w:val="auto"/>
                      <w:kern w:val="2"/>
                      <w:sz w:val="21"/>
                      <w:szCs w:val="21"/>
                      <w:vertAlign w:val="baseline"/>
                      <w:lang w:val="en-US" w:eastAsia="zh-CN" w:bidi="ar-SA"/>
                    </w:rPr>
                  </w:pPr>
                  <w:r>
                    <w:rPr>
                      <w:rFonts w:hint="eastAsia" w:eastAsia="宋体" w:cs="Times New Roman"/>
                      <w:b w:val="0"/>
                      <w:bCs w:val="0"/>
                      <w:color w:val="auto"/>
                      <w:kern w:val="2"/>
                      <w:sz w:val="21"/>
                      <w:szCs w:val="21"/>
                      <w:vertAlign w:val="baseline"/>
                      <w:lang w:val="en-US" w:eastAsia="zh-CN" w:bidi="ar-SA"/>
                    </w:rPr>
                    <w:t>钢</w:t>
                  </w:r>
                </w:p>
              </w:tc>
              <w:tc>
                <w:tcPr>
                  <w:tcW w:w="809" w:type="dxa"/>
                  <w:noWrap w:val="0"/>
                  <w:vAlign w:val="center"/>
                </w:tcPr>
                <w:p>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1个月</w:t>
                  </w:r>
                </w:p>
              </w:tc>
              <w:tc>
                <w:tcPr>
                  <w:tcW w:w="1273"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收集后统一外售至物资回收公司</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0" w:firstLineChars="0"/>
              <w:jc w:val="center"/>
              <w:textAlignment w:val="auto"/>
              <w:rPr>
                <w:rFonts w:hint="eastAsia"/>
                <w:color w:val="auto"/>
                <w:lang w:val="en-US" w:eastAsia="zh-CN"/>
              </w:rPr>
            </w:pPr>
            <w:r>
              <w:rPr>
                <w:rFonts w:hint="default" w:ascii="Times New Roman" w:hAnsi="Times New Roman" w:eastAsia="宋体" w:cs="Times New Roman"/>
                <w:b/>
                <w:bCs/>
                <w:color w:val="auto"/>
                <w:sz w:val="24"/>
                <w:szCs w:val="24"/>
              </w:rPr>
              <w:t>表</w:t>
            </w:r>
            <w:r>
              <w:rPr>
                <w:rFonts w:hint="default" w:ascii="Times New Roman" w:hAnsi="Times New Roman" w:eastAsia="宋体" w:cs="Times New Roman"/>
                <w:b/>
                <w:bCs/>
                <w:color w:val="auto"/>
                <w:sz w:val="24"/>
                <w:szCs w:val="24"/>
                <w:lang w:val="en-US" w:eastAsia="zh-CN"/>
              </w:rPr>
              <w:t>4.</w:t>
            </w:r>
            <w:r>
              <w:rPr>
                <w:rFonts w:hint="eastAsia" w:ascii="Times New Roman" w:hAnsi="Times New Roman" w:eastAsia="宋体" w:cs="Times New Roman"/>
                <w:b/>
                <w:bCs/>
                <w:color w:val="auto"/>
                <w:sz w:val="24"/>
                <w:szCs w:val="24"/>
                <w:lang w:val="en-US" w:eastAsia="zh-CN"/>
              </w:rPr>
              <w:t>1</w:t>
            </w:r>
            <w:r>
              <w:rPr>
                <w:rFonts w:hint="eastAsia" w:cs="Times New Roman"/>
                <w:b/>
                <w:bCs/>
                <w:color w:val="auto"/>
                <w:sz w:val="24"/>
                <w:szCs w:val="24"/>
                <w:lang w:val="en-US" w:eastAsia="zh-CN"/>
              </w:rPr>
              <w:t xml:space="preserve">4 </w:t>
            </w:r>
            <w:r>
              <w:rPr>
                <w:rFonts w:hint="default" w:ascii="Times New Roman" w:hAnsi="Times New Roman" w:eastAsia="宋体" w:cs="Times New Roman"/>
                <w:b/>
                <w:bCs/>
                <w:color w:val="auto"/>
                <w:sz w:val="24"/>
                <w:szCs w:val="24"/>
              </w:rPr>
              <w:t xml:space="preserve"> 项目</w:t>
            </w:r>
            <w:r>
              <w:rPr>
                <w:rFonts w:hint="eastAsia" w:ascii="Times New Roman" w:hAnsi="Times New Roman" w:eastAsia="宋体" w:cs="Times New Roman"/>
                <w:b/>
                <w:bCs/>
                <w:color w:val="auto"/>
                <w:sz w:val="24"/>
                <w:szCs w:val="24"/>
                <w:lang w:eastAsia="zh-CN"/>
              </w:rPr>
              <w:t>危险</w:t>
            </w:r>
            <w:r>
              <w:rPr>
                <w:rFonts w:hint="default" w:ascii="Times New Roman" w:hAnsi="Times New Roman" w:eastAsia="宋体" w:cs="Times New Roman"/>
                <w:b/>
                <w:bCs/>
                <w:color w:val="auto"/>
                <w:sz w:val="24"/>
                <w:szCs w:val="24"/>
              </w:rPr>
              <w:t>废物产</w:t>
            </w:r>
            <w:r>
              <w:rPr>
                <w:rFonts w:hint="eastAsia" w:ascii="Times New Roman" w:hAnsi="Times New Roman" w:eastAsia="宋体" w:cs="Times New Roman"/>
                <w:b/>
                <w:bCs/>
                <w:color w:val="auto"/>
                <w:sz w:val="24"/>
                <w:szCs w:val="24"/>
                <w:lang w:eastAsia="zh-CN"/>
              </w:rPr>
              <w:t>生及处置统计一览</w:t>
            </w:r>
            <w:r>
              <w:rPr>
                <w:rFonts w:hint="default" w:ascii="Times New Roman" w:hAnsi="Times New Roman" w:eastAsia="宋体" w:cs="Times New Roman"/>
                <w:b/>
                <w:bCs/>
                <w:color w:val="auto"/>
                <w:sz w:val="24"/>
                <w:szCs w:val="24"/>
              </w:rPr>
              <w:t>表</w:t>
            </w:r>
          </w:p>
          <w:tbl>
            <w:tblPr>
              <w:tblStyle w:val="26"/>
              <w:tblW w:w="83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
              <w:gridCol w:w="706"/>
              <w:gridCol w:w="1014"/>
              <w:gridCol w:w="815"/>
              <w:gridCol w:w="885"/>
              <w:gridCol w:w="873"/>
              <w:gridCol w:w="454"/>
              <w:gridCol w:w="813"/>
              <w:gridCol w:w="705"/>
              <w:gridCol w:w="753"/>
              <w:gridCol w:w="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0" w:type="dxa"/>
                  <w:noWrap w:val="0"/>
                  <w:vAlign w:val="center"/>
                </w:tcPr>
                <w:p>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序号</w:t>
                  </w:r>
                </w:p>
              </w:tc>
              <w:tc>
                <w:tcPr>
                  <w:tcW w:w="706" w:type="dxa"/>
                  <w:noWrap w:val="0"/>
                  <w:vAlign w:val="center"/>
                </w:tcPr>
                <w:p>
                  <w:pPr>
                    <w:adjustRightInd w:val="0"/>
                    <w:snapToGrid w:val="0"/>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危险废物</w:t>
                  </w:r>
                </w:p>
              </w:tc>
              <w:tc>
                <w:tcPr>
                  <w:tcW w:w="1014" w:type="dxa"/>
                  <w:noWrap w:val="0"/>
                  <w:vAlign w:val="center"/>
                </w:tcPr>
                <w:p>
                  <w:pPr>
                    <w:adjustRightInd w:val="0"/>
                    <w:snapToGrid w:val="0"/>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危险废物类别</w:t>
                  </w:r>
                </w:p>
              </w:tc>
              <w:tc>
                <w:tcPr>
                  <w:tcW w:w="815" w:type="dxa"/>
                  <w:noWrap w:val="0"/>
                  <w:vAlign w:val="center"/>
                </w:tcPr>
                <w:p>
                  <w:pPr>
                    <w:adjustRightInd w:val="0"/>
                    <w:snapToGrid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废物代码</w:t>
                  </w:r>
                </w:p>
              </w:tc>
              <w:tc>
                <w:tcPr>
                  <w:tcW w:w="885" w:type="dxa"/>
                  <w:noWrap w:val="0"/>
                  <w:vAlign w:val="center"/>
                </w:tcPr>
                <w:p>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产生量（</w:t>
                  </w:r>
                  <w:r>
                    <w:rPr>
                      <w:rFonts w:hint="default" w:ascii="Times New Roman" w:hAnsi="Times New Roman" w:eastAsia="宋体" w:cs="Times New Roman"/>
                      <w:color w:val="auto"/>
                      <w:sz w:val="21"/>
                      <w:szCs w:val="21"/>
                      <w:lang w:val="en-US" w:eastAsia="zh-CN"/>
                    </w:rPr>
                    <w:t>t/a</w:t>
                  </w:r>
                  <w:r>
                    <w:rPr>
                      <w:rFonts w:hint="default" w:ascii="Times New Roman" w:hAnsi="Times New Roman" w:eastAsia="宋体" w:cs="Times New Roman"/>
                      <w:color w:val="auto"/>
                      <w:sz w:val="21"/>
                      <w:szCs w:val="21"/>
                      <w:lang w:eastAsia="zh-CN"/>
                    </w:rPr>
                    <w:t>）</w:t>
                  </w:r>
                </w:p>
              </w:tc>
              <w:tc>
                <w:tcPr>
                  <w:tcW w:w="873" w:type="dxa"/>
                  <w:noWrap w:val="0"/>
                  <w:vAlign w:val="center"/>
                </w:tcPr>
                <w:p>
                  <w:pPr>
                    <w:adjustRightInd w:val="0"/>
                    <w:snapToGrid w:val="0"/>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产生工序及装置</w:t>
                  </w:r>
                </w:p>
              </w:tc>
              <w:tc>
                <w:tcPr>
                  <w:tcW w:w="454" w:type="dxa"/>
                  <w:noWrap w:val="0"/>
                  <w:vAlign w:val="center"/>
                </w:tcPr>
                <w:p>
                  <w:pPr>
                    <w:adjustRightInd w:val="0"/>
                    <w:snapToGrid w:val="0"/>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形态</w:t>
                  </w:r>
                </w:p>
              </w:tc>
              <w:tc>
                <w:tcPr>
                  <w:tcW w:w="813" w:type="dxa"/>
                  <w:noWrap w:val="0"/>
                  <w:vAlign w:val="center"/>
                </w:tcPr>
                <w:p>
                  <w:pPr>
                    <w:adjustRightInd w:val="0"/>
                    <w:snapToGrid w:val="0"/>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主要成分</w:t>
                  </w:r>
                </w:p>
              </w:tc>
              <w:tc>
                <w:tcPr>
                  <w:tcW w:w="705" w:type="dxa"/>
                  <w:noWrap w:val="0"/>
                  <w:vAlign w:val="center"/>
                </w:tcPr>
                <w:p>
                  <w:pPr>
                    <w:adjustRightInd w:val="0"/>
                    <w:snapToGrid w:val="0"/>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产废周期</w:t>
                  </w:r>
                </w:p>
              </w:tc>
              <w:tc>
                <w:tcPr>
                  <w:tcW w:w="753" w:type="dxa"/>
                  <w:noWrap w:val="0"/>
                  <w:vAlign w:val="center"/>
                </w:tcPr>
                <w:p>
                  <w:pPr>
                    <w:adjustRightInd w:val="0"/>
                    <w:snapToGrid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危险特性</w:t>
                  </w:r>
                </w:p>
              </w:tc>
              <w:tc>
                <w:tcPr>
                  <w:tcW w:w="878" w:type="dxa"/>
                  <w:noWrap w:val="0"/>
                  <w:vAlign w:val="center"/>
                </w:tcPr>
                <w:p>
                  <w:pPr>
                    <w:adjustRightInd w:val="0"/>
                    <w:snapToGrid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0"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w:t>
                  </w:r>
                </w:p>
              </w:tc>
              <w:tc>
                <w:tcPr>
                  <w:tcW w:w="706" w:type="dxa"/>
                  <w:noWrap w:val="0"/>
                  <w:vAlign w:val="center"/>
                </w:tcPr>
                <w:p>
                  <w:pPr>
                    <w:jc w:val="center"/>
                    <w:rPr>
                      <w:rFonts w:hint="eastAsia" w:ascii="Times New Roman" w:hAnsi="Times New Roman" w:eastAsia="宋体" w:cs="Times New Roman"/>
                      <w:color w:val="auto"/>
                      <w:spacing w:val="0"/>
                      <w:kern w:val="2"/>
                      <w:sz w:val="21"/>
                      <w:szCs w:val="24"/>
                      <w:lang w:val="en-US" w:eastAsia="zh-CN" w:bidi="ar-SA"/>
                    </w:rPr>
                  </w:pPr>
                  <w:r>
                    <w:rPr>
                      <w:rFonts w:hint="eastAsia" w:cs="Times New Roman"/>
                      <w:color w:val="auto"/>
                      <w:spacing w:val="0"/>
                      <w:lang w:eastAsia="zh-CN"/>
                    </w:rPr>
                    <w:t>油渣</w:t>
                  </w:r>
                </w:p>
              </w:tc>
              <w:tc>
                <w:tcPr>
                  <w:tcW w:w="1014" w:type="dxa"/>
                  <w:noWrap w:val="0"/>
                  <w:vAlign w:val="center"/>
                </w:tcPr>
                <w:p>
                  <w:pPr>
                    <w:adjustRightInd w:val="0"/>
                    <w:snapToGrid w:val="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HW0</w:t>
                  </w:r>
                  <w:r>
                    <w:rPr>
                      <w:rFonts w:hint="eastAsia" w:ascii="Times New Roman" w:hAnsi="Times New Roman" w:eastAsia="宋体" w:cs="Times New Roman"/>
                      <w:color w:val="auto"/>
                      <w:sz w:val="21"/>
                      <w:szCs w:val="21"/>
                      <w:lang w:val="en-US" w:eastAsia="zh-CN"/>
                    </w:rPr>
                    <w:t>8</w:t>
                  </w:r>
                </w:p>
              </w:tc>
              <w:tc>
                <w:tcPr>
                  <w:tcW w:w="815" w:type="dxa"/>
                  <w:noWrap w:val="0"/>
                  <w:vAlign w:val="center"/>
                </w:tcPr>
                <w:p>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900-2</w:t>
                  </w:r>
                  <w:r>
                    <w:rPr>
                      <w:rFonts w:hint="eastAsia"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3-08</w:t>
                  </w:r>
                </w:p>
              </w:tc>
              <w:tc>
                <w:tcPr>
                  <w:tcW w:w="885" w:type="dxa"/>
                  <w:noWrap w:val="0"/>
                  <w:vAlign w:val="center"/>
                </w:tcPr>
                <w:p>
                  <w:pPr>
                    <w:spacing w:line="240" w:lineRule="exact"/>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0.12</w:t>
                  </w:r>
                </w:p>
              </w:tc>
              <w:tc>
                <w:tcPr>
                  <w:tcW w:w="873" w:type="dxa"/>
                  <w:noWrap w:val="0"/>
                  <w:vAlign w:val="center"/>
                </w:tcPr>
                <w:p>
                  <w:pPr>
                    <w:spacing w:line="240" w:lineRule="auto"/>
                    <w:jc w:val="center"/>
                    <w:rPr>
                      <w:rFonts w:hint="eastAsia" w:ascii="Times New Roman" w:hAnsi="Times New Roman" w:eastAsia="宋体" w:cs="Times New Roman"/>
                      <w:color w:val="auto"/>
                      <w:spacing w:val="0"/>
                      <w:kern w:val="2"/>
                      <w:sz w:val="21"/>
                      <w:szCs w:val="21"/>
                      <w:lang w:val="en-US" w:eastAsia="zh-CN" w:bidi="ar-SA"/>
                    </w:rPr>
                  </w:pPr>
                  <w:r>
                    <w:rPr>
                      <w:rFonts w:hint="eastAsia" w:cs="Times New Roman"/>
                      <w:color w:val="auto"/>
                      <w:spacing w:val="0"/>
                      <w:sz w:val="21"/>
                      <w:szCs w:val="21"/>
                      <w:lang w:eastAsia="zh-CN"/>
                    </w:rPr>
                    <w:t>回收废油</w:t>
                  </w:r>
                </w:p>
              </w:tc>
              <w:tc>
                <w:tcPr>
                  <w:tcW w:w="454" w:type="dxa"/>
                  <w:noWrap w:val="0"/>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液</w:t>
                  </w:r>
                  <w:r>
                    <w:rPr>
                      <w:rFonts w:hint="eastAsia" w:ascii="Times New Roman" w:hAnsi="Times New Roman" w:eastAsia="宋体" w:cs="Times New Roman"/>
                      <w:color w:val="auto"/>
                      <w:sz w:val="21"/>
                      <w:szCs w:val="21"/>
                      <w:lang w:val="en-US" w:eastAsia="zh-CN"/>
                    </w:rPr>
                    <w:t>态</w:t>
                  </w:r>
                </w:p>
              </w:tc>
              <w:tc>
                <w:tcPr>
                  <w:tcW w:w="813" w:type="dxa"/>
                  <w:noWrap w:val="0"/>
                  <w:vAlign w:val="center"/>
                </w:tcPr>
                <w:p>
                  <w:pPr>
                    <w:adjustRightInd w:val="0"/>
                    <w:snapToGrid w:val="0"/>
                    <w:jc w:val="center"/>
                    <w:rPr>
                      <w:rFonts w:hint="eastAsia" w:ascii="Times New Roman" w:hAnsi="Times New Roman" w:eastAsia="宋体" w:cs="Times New Roman"/>
                      <w:bCs/>
                      <w:color w:val="auto"/>
                      <w:kern w:val="2"/>
                      <w:sz w:val="21"/>
                      <w:szCs w:val="21"/>
                      <w:lang w:val="en-US" w:eastAsia="zh-CN" w:bidi="ar-SA"/>
                    </w:rPr>
                  </w:pPr>
                  <w:r>
                    <w:rPr>
                      <w:rFonts w:hint="eastAsia"/>
                      <w:color w:val="auto"/>
                      <w:sz w:val="21"/>
                      <w:szCs w:val="21"/>
                    </w:rPr>
                    <w:t>废矿物油</w:t>
                  </w:r>
                </w:p>
              </w:tc>
              <w:tc>
                <w:tcPr>
                  <w:tcW w:w="705"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1年</w:t>
                  </w:r>
                </w:p>
              </w:tc>
              <w:tc>
                <w:tcPr>
                  <w:tcW w:w="753" w:type="dxa"/>
                  <w:noWrap w:val="0"/>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T，I</w:t>
                  </w:r>
                </w:p>
              </w:tc>
              <w:tc>
                <w:tcPr>
                  <w:tcW w:w="878" w:type="dxa"/>
                  <w:vMerge w:val="restart"/>
                  <w:noWrap w:val="0"/>
                  <w:vAlign w:val="center"/>
                </w:tcPr>
                <w:p>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委托有资质单位处理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0"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w:t>
                  </w:r>
                </w:p>
              </w:tc>
              <w:tc>
                <w:tcPr>
                  <w:tcW w:w="706" w:type="dxa"/>
                  <w:noWrap w:val="0"/>
                  <w:vAlign w:val="center"/>
                </w:tcPr>
                <w:p>
                  <w:pPr>
                    <w:jc w:val="center"/>
                    <w:rPr>
                      <w:rFonts w:hint="eastAsia" w:ascii="Times New Roman" w:hAnsi="Times New Roman" w:eastAsia="宋体" w:cs="Times New Roman"/>
                      <w:bCs/>
                      <w:color w:val="auto"/>
                      <w:kern w:val="2"/>
                      <w:sz w:val="21"/>
                      <w:szCs w:val="21"/>
                      <w:lang w:val="en-US" w:eastAsia="zh-CN" w:bidi="ar-SA"/>
                    </w:rPr>
                  </w:pPr>
                  <w:r>
                    <w:rPr>
                      <w:rFonts w:hint="eastAsia" w:eastAsia="宋体" w:cs="Times New Roman"/>
                      <w:color w:val="auto"/>
                      <w:spacing w:val="0"/>
                      <w:lang w:eastAsia="zh-CN"/>
                    </w:rPr>
                    <w:t>废油桶</w:t>
                  </w:r>
                </w:p>
              </w:tc>
              <w:tc>
                <w:tcPr>
                  <w:tcW w:w="1014" w:type="dxa"/>
                  <w:noWrap w:val="0"/>
                  <w:vAlign w:val="center"/>
                </w:tcPr>
                <w:p>
                  <w:pPr>
                    <w:adjustRightInd w:val="0"/>
                    <w:snapToGrid w:val="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HW</w:t>
                  </w:r>
                  <w:r>
                    <w:rPr>
                      <w:rFonts w:hint="eastAsia" w:ascii="Times New Roman" w:hAnsi="Times New Roman" w:cs="Times New Roman"/>
                      <w:color w:val="auto"/>
                      <w:sz w:val="21"/>
                      <w:szCs w:val="21"/>
                      <w:lang w:val="en-US" w:eastAsia="zh-CN"/>
                    </w:rPr>
                    <w:t>49</w:t>
                  </w:r>
                </w:p>
              </w:tc>
              <w:tc>
                <w:tcPr>
                  <w:tcW w:w="815" w:type="dxa"/>
                  <w:noWrap w:val="0"/>
                  <w:vAlign w:val="center"/>
                </w:tcPr>
                <w:p>
                  <w:pPr>
                    <w:adjustRightInd w:val="0"/>
                    <w:snapToGrid w:val="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900-041-49</w:t>
                  </w:r>
                </w:p>
              </w:tc>
              <w:tc>
                <w:tcPr>
                  <w:tcW w:w="885" w:type="dxa"/>
                  <w:noWrap w:val="0"/>
                  <w:vAlign w:val="center"/>
                </w:tcPr>
                <w:p>
                  <w:pPr>
                    <w:spacing w:line="240" w:lineRule="exact"/>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0.221</w:t>
                  </w:r>
                </w:p>
              </w:tc>
              <w:tc>
                <w:tcPr>
                  <w:tcW w:w="873" w:type="dxa"/>
                  <w:noWrap w:val="0"/>
                  <w:vAlign w:val="center"/>
                </w:tcPr>
                <w:p>
                  <w:pPr>
                    <w:spacing w:line="240" w:lineRule="auto"/>
                    <w:jc w:val="center"/>
                    <w:rPr>
                      <w:rFonts w:hint="eastAsia" w:ascii="Times New Roman" w:hAnsi="Times New Roman" w:eastAsia="宋体" w:cs="Times New Roman"/>
                      <w:color w:val="auto"/>
                      <w:spacing w:val="0"/>
                      <w:kern w:val="2"/>
                      <w:sz w:val="21"/>
                      <w:szCs w:val="21"/>
                      <w:lang w:val="en-US" w:eastAsia="zh-CN" w:bidi="ar-SA"/>
                    </w:rPr>
                  </w:pPr>
                  <w:r>
                    <w:rPr>
                      <w:rFonts w:hint="eastAsia" w:cs="Times New Roman"/>
                      <w:color w:val="auto"/>
                      <w:spacing w:val="0"/>
                      <w:sz w:val="21"/>
                      <w:szCs w:val="21"/>
                      <w:lang w:eastAsia="zh-CN"/>
                    </w:rPr>
                    <w:t>物料使用</w:t>
                  </w:r>
                </w:p>
              </w:tc>
              <w:tc>
                <w:tcPr>
                  <w:tcW w:w="454" w:type="dxa"/>
                  <w:noWrap w:val="0"/>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固态</w:t>
                  </w:r>
                </w:p>
              </w:tc>
              <w:tc>
                <w:tcPr>
                  <w:tcW w:w="813" w:type="dxa"/>
                  <w:noWrap w:val="0"/>
                  <w:vAlign w:val="center"/>
                </w:tcPr>
                <w:p>
                  <w:pPr>
                    <w:adjustRightInd w:val="0"/>
                    <w:snapToGrid w:val="0"/>
                    <w:jc w:val="center"/>
                    <w:rPr>
                      <w:rFonts w:hint="eastAsia" w:ascii="Times New Roman" w:hAnsi="Times New Roman" w:eastAsia="宋体" w:cs="Times New Roman"/>
                      <w:bCs/>
                      <w:color w:val="auto"/>
                      <w:kern w:val="2"/>
                      <w:sz w:val="21"/>
                      <w:szCs w:val="21"/>
                      <w:lang w:val="en-US" w:eastAsia="zh-CN" w:bidi="ar-SA"/>
                    </w:rPr>
                  </w:pPr>
                  <w:r>
                    <w:rPr>
                      <w:rFonts w:hint="eastAsia"/>
                      <w:color w:val="auto"/>
                      <w:sz w:val="21"/>
                      <w:szCs w:val="21"/>
                    </w:rPr>
                    <w:t>废矿物油</w:t>
                  </w:r>
                </w:p>
              </w:tc>
              <w:tc>
                <w:tcPr>
                  <w:tcW w:w="705" w:type="dxa"/>
                  <w:noWrap w:val="0"/>
                  <w:vAlign w:val="center"/>
                </w:tcPr>
                <w:p>
                  <w:pPr>
                    <w:adjustRightInd w:val="0"/>
                    <w:snapToGrid w:val="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1个月</w:t>
                  </w:r>
                </w:p>
              </w:tc>
              <w:tc>
                <w:tcPr>
                  <w:tcW w:w="753" w:type="dxa"/>
                  <w:noWrap w:val="0"/>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T/In</w:t>
                  </w:r>
                </w:p>
              </w:tc>
              <w:tc>
                <w:tcPr>
                  <w:tcW w:w="878" w:type="dxa"/>
                  <w:vMerge w:val="continue"/>
                  <w:noWrap w:val="0"/>
                  <w:vAlign w:val="center"/>
                </w:tcPr>
                <w:p>
                  <w:pPr>
                    <w:adjustRightInd w:val="0"/>
                    <w:snapToGrid w:val="0"/>
                    <w:jc w:val="center"/>
                    <w:rPr>
                      <w:rFonts w:hint="default" w:ascii="Times New Roman" w:hAnsi="Times New Roman" w:eastAsia="宋体" w:cs="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0" w:type="dxa"/>
                  <w:noWrap w:val="0"/>
                  <w:vAlign w:val="center"/>
                </w:tcPr>
                <w:p>
                  <w:pPr>
                    <w:adjustRightInd w:val="0"/>
                    <w:snapToGrid w:val="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c>
                <w:tcPr>
                  <w:tcW w:w="706" w:type="dxa"/>
                  <w:noWrap w:val="0"/>
                  <w:vAlign w:val="center"/>
                </w:tcPr>
                <w:p>
                  <w:pPr>
                    <w:jc w:val="center"/>
                    <w:rPr>
                      <w:rFonts w:hint="eastAsia" w:eastAsia="宋体" w:cs="Times New Roman"/>
                      <w:color w:val="auto"/>
                      <w:spacing w:val="0"/>
                      <w:highlight w:val="none"/>
                      <w:lang w:eastAsia="zh-CN"/>
                    </w:rPr>
                  </w:pPr>
                  <w:r>
                    <w:rPr>
                      <w:rFonts w:hint="eastAsia" w:cs="Times New Roman"/>
                      <w:color w:val="auto"/>
                      <w:spacing w:val="0"/>
                      <w:highlight w:val="none"/>
                      <w:lang w:eastAsia="zh-CN"/>
                    </w:rPr>
                    <w:t>废活性炭纤维毡</w:t>
                  </w:r>
                </w:p>
              </w:tc>
              <w:tc>
                <w:tcPr>
                  <w:tcW w:w="1014" w:type="dxa"/>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HW</w:t>
                  </w:r>
                  <w:r>
                    <w:rPr>
                      <w:rFonts w:hint="eastAsia" w:ascii="Times New Roman" w:hAnsi="Times New Roman" w:cs="Times New Roman"/>
                      <w:color w:val="auto"/>
                      <w:sz w:val="21"/>
                      <w:szCs w:val="21"/>
                      <w:lang w:val="en-US" w:eastAsia="zh-CN"/>
                    </w:rPr>
                    <w:t>49</w:t>
                  </w:r>
                </w:p>
              </w:tc>
              <w:tc>
                <w:tcPr>
                  <w:tcW w:w="815" w:type="dxa"/>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900-041-49</w:t>
                  </w:r>
                </w:p>
              </w:tc>
              <w:tc>
                <w:tcPr>
                  <w:tcW w:w="885" w:type="dxa"/>
                  <w:noWrap w:val="0"/>
                  <w:vAlign w:val="center"/>
                </w:tcPr>
                <w:p>
                  <w:pPr>
                    <w:spacing w:line="240" w:lineRule="exact"/>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5.91</w:t>
                  </w:r>
                </w:p>
              </w:tc>
              <w:tc>
                <w:tcPr>
                  <w:tcW w:w="873" w:type="dxa"/>
                  <w:noWrap w:val="0"/>
                  <w:vAlign w:val="center"/>
                </w:tcPr>
                <w:p>
                  <w:pPr>
                    <w:spacing w:line="240" w:lineRule="auto"/>
                    <w:jc w:val="center"/>
                    <w:rPr>
                      <w:rFonts w:hint="eastAsia" w:ascii="Times New Roman" w:hAnsi="Times New Roman" w:eastAsia="宋体" w:cs="Times New Roman"/>
                      <w:color w:val="auto"/>
                      <w:spacing w:val="0"/>
                      <w:kern w:val="2"/>
                      <w:sz w:val="21"/>
                      <w:szCs w:val="21"/>
                      <w:lang w:val="en-US" w:eastAsia="zh-CN" w:bidi="ar-SA"/>
                    </w:rPr>
                  </w:pPr>
                  <w:r>
                    <w:rPr>
                      <w:rFonts w:hint="eastAsia" w:cs="Times New Roman"/>
                      <w:color w:val="auto"/>
                      <w:spacing w:val="0"/>
                      <w:kern w:val="2"/>
                      <w:sz w:val="21"/>
                      <w:szCs w:val="21"/>
                      <w:lang w:val="en-US" w:eastAsia="zh-CN" w:bidi="ar-SA"/>
                    </w:rPr>
                    <w:t>废气处理</w:t>
                  </w:r>
                </w:p>
              </w:tc>
              <w:tc>
                <w:tcPr>
                  <w:tcW w:w="454" w:type="dxa"/>
                  <w:noWrap w:val="0"/>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固态</w:t>
                  </w:r>
                </w:p>
              </w:tc>
              <w:tc>
                <w:tcPr>
                  <w:tcW w:w="813" w:type="dxa"/>
                  <w:noWrap w:val="0"/>
                  <w:vAlign w:val="center"/>
                </w:tcPr>
                <w:p>
                  <w:pPr>
                    <w:adjustRightInd w:val="0"/>
                    <w:snapToGrid w:val="0"/>
                    <w:jc w:val="center"/>
                    <w:rPr>
                      <w:rFonts w:hint="eastAsia" w:ascii="Times New Roman" w:hAnsi="Times New Roman" w:eastAsia="宋体" w:cs="Times New Roman"/>
                      <w:bCs/>
                      <w:color w:val="auto"/>
                      <w:kern w:val="2"/>
                      <w:sz w:val="21"/>
                      <w:szCs w:val="21"/>
                      <w:lang w:val="en-US" w:eastAsia="zh-CN" w:bidi="ar-SA"/>
                    </w:rPr>
                  </w:pPr>
                  <w:r>
                    <w:rPr>
                      <w:rFonts w:hint="eastAsia"/>
                      <w:color w:val="auto"/>
                      <w:sz w:val="21"/>
                      <w:szCs w:val="21"/>
                    </w:rPr>
                    <w:t>废</w:t>
                  </w:r>
                  <w:r>
                    <w:rPr>
                      <w:rFonts w:hint="eastAsia"/>
                      <w:color w:val="auto"/>
                      <w:sz w:val="21"/>
                      <w:szCs w:val="21"/>
                      <w:lang w:eastAsia="zh-CN"/>
                    </w:rPr>
                    <w:t>活性炭纤维</w:t>
                  </w:r>
                </w:p>
              </w:tc>
              <w:tc>
                <w:tcPr>
                  <w:tcW w:w="705" w:type="dxa"/>
                  <w:noWrap w:val="0"/>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3-6个月</w:t>
                  </w:r>
                </w:p>
              </w:tc>
              <w:tc>
                <w:tcPr>
                  <w:tcW w:w="753" w:type="dxa"/>
                  <w:noWrap w:val="0"/>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T/In</w:t>
                  </w:r>
                </w:p>
              </w:tc>
              <w:tc>
                <w:tcPr>
                  <w:tcW w:w="878" w:type="dxa"/>
                  <w:vMerge w:val="continue"/>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textAlignment w:val="auto"/>
              <w:rPr>
                <w:rFonts w:hint="eastAsia"/>
                <w:b/>
                <w:bCs/>
                <w:color w:val="auto"/>
                <w:sz w:val="24"/>
                <w:szCs w:val="24"/>
                <w:lang w:val="en-US" w:eastAsia="zh-CN"/>
              </w:rPr>
            </w:pPr>
            <w:r>
              <w:rPr>
                <w:rFonts w:hint="eastAsia"/>
                <w:b/>
                <w:bCs/>
                <w:color w:val="auto"/>
                <w:sz w:val="24"/>
                <w:szCs w:val="24"/>
                <w:lang w:val="en-US" w:eastAsia="zh-CN"/>
              </w:rPr>
              <w:t>环境管理要求：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szCs w:val="24"/>
              </w:rPr>
            </w:pPr>
            <w:r>
              <w:rPr>
                <w:rFonts w:hint="eastAsia"/>
                <w:color w:val="auto"/>
                <w:sz w:val="24"/>
                <w:lang w:eastAsia="zh-CN"/>
              </w:rPr>
              <w:t>本项目</w:t>
            </w:r>
            <w:r>
              <w:rPr>
                <w:rFonts w:hint="eastAsia"/>
                <w:color w:val="auto"/>
                <w:sz w:val="24"/>
              </w:rPr>
              <w:t>运营期</w:t>
            </w:r>
            <w:r>
              <w:rPr>
                <w:rFonts w:hint="eastAsia" w:ascii="Times New Roman" w:hAnsi="Times New Roman" w:cs="Times New Roman"/>
                <w:color w:val="auto"/>
                <w:kern w:val="0"/>
                <w:sz w:val="24"/>
                <w:szCs w:val="24"/>
                <w:lang w:eastAsia="zh-CN"/>
              </w:rPr>
              <w:t>产生的</w:t>
            </w:r>
            <w:r>
              <w:rPr>
                <w:rFonts w:hint="eastAsia" w:ascii="Times New Roman" w:hAnsi="Times New Roman" w:eastAsia="宋体" w:cs="Times New Roman"/>
                <w:color w:val="auto"/>
                <w:kern w:val="0"/>
                <w:sz w:val="24"/>
                <w:szCs w:val="24"/>
                <w:lang w:eastAsia="zh-CN"/>
              </w:rPr>
              <w:t>一般工业固体</w:t>
            </w:r>
            <w:r>
              <w:rPr>
                <w:rFonts w:hint="eastAsia" w:cs="Times New Roman"/>
                <w:color w:val="auto"/>
                <w:kern w:val="0"/>
                <w:sz w:val="24"/>
                <w:szCs w:val="24"/>
                <w:lang w:eastAsia="zh-CN"/>
              </w:rPr>
              <w:t>废物</w:t>
            </w:r>
            <w:r>
              <w:rPr>
                <w:rFonts w:hint="eastAsia" w:cs="Times New Roman"/>
                <w:b w:val="0"/>
                <w:bCs w:val="0"/>
                <w:color w:val="auto"/>
                <w:sz w:val="24"/>
                <w:szCs w:val="24"/>
                <w:lang w:val="en-US" w:eastAsia="zh-CN"/>
              </w:rPr>
              <w:t>不合格品</w:t>
            </w:r>
            <w:r>
              <w:rPr>
                <w:rFonts w:hint="default" w:ascii="Times New Roman" w:hAnsi="Times New Roman" w:cs="Times New Roman"/>
                <w:color w:val="auto"/>
                <w:kern w:val="2"/>
                <w:sz w:val="24"/>
                <w:szCs w:val="24"/>
                <w:highlight w:val="none"/>
                <w:lang w:val="en-US" w:eastAsia="zh-CN" w:bidi="ar-SA"/>
              </w:rPr>
              <w:t>统一收集后定期外售</w:t>
            </w:r>
            <w:r>
              <w:rPr>
                <w:rFonts w:hint="eastAsia" w:cs="Times New Roman"/>
                <w:color w:val="auto"/>
                <w:kern w:val="2"/>
                <w:sz w:val="24"/>
                <w:szCs w:val="24"/>
                <w:highlight w:val="none"/>
                <w:lang w:val="en-US" w:eastAsia="zh-CN" w:bidi="ar-SA"/>
              </w:rPr>
              <w:t>，废磨液桶统一回收后由原厂家回收利用，废钢屑、废钢球收集后统一外售至物资回收公司</w:t>
            </w:r>
            <w:r>
              <w:rPr>
                <w:rFonts w:hint="eastAsia" w:ascii="Times New Roman" w:hAnsi="Times New Roman" w:cs="Times New Roman"/>
                <w:color w:val="auto"/>
                <w:kern w:val="2"/>
                <w:sz w:val="24"/>
                <w:szCs w:val="24"/>
                <w:highlight w:val="none"/>
                <w:lang w:val="en-US" w:eastAsia="zh-CN" w:bidi="ar-SA"/>
              </w:rPr>
              <w:t>。</w:t>
            </w:r>
            <w:r>
              <w:rPr>
                <w:rFonts w:hint="eastAsia" w:ascii="Times New Roman" w:hAnsi="Times New Roman" w:eastAsia="宋体" w:cs="Times New Roman"/>
                <w:color w:val="auto"/>
                <w:kern w:val="0"/>
                <w:sz w:val="24"/>
                <w:szCs w:val="24"/>
                <w:lang w:eastAsia="zh-CN"/>
              </w:rPr>
              <w:t>危险废物</w:t>
            </w:r>
            <w:r>
              <w:rPr>
                <w:rFonts w:hint="eastAsia" w:ascii="Times New Roman" w:hAnsi="Times New Roman" w:cs="Times New Roman"/>
                <w:color w:val="auto"/>
                <w:kern w:val="0"/>
                <w:sz w:val="24"/>
                <w:szCs w:val="24"/>
                <w:lang w:eastAsia="zh-CN"/>
              </w:rPr>
              <w:t>包括</w:t>
            </w:r>
            <w:r>
              <w:rPr>
                <w:rFonts w:hint="eastAsia" w:cs="Times New Roman"/>
                <w:color w:val="auto"/>
                <w:kern w:val="0"/>
                <w:sz w:val="24"/>
                <w:szCs w:val="24"/>
                <w:lang w:val="en-US" w:eastAsia="zh-CN"/>
              </w:rPr>
              <w:t>油渣、废油桶、废活性炭纤维毡</w:t>
            </w:r>
            <w:r>
              <w:rPr>
                <w:rFonts w:hint="eastAsia" w:ascii="宋体" w:hAnsi="宋体" w:cs="宋体"/>
                <w:b w:val="0"/>
                <w:bCs w:val="0"/>
                <w:color w:val="auto"/>
                <w:sz w:val="24"/>
                <w:szCs w:val="24"/>
                <w:lang w:val="en-US" w:eastAsia="zh-CN"/>
              </w:rPr>
              <w:t>收集后</w:t>
            </w:r>
            <w:r>
              <w:rPr>
                <w:rFonts w:hint="default" w:ascii="Times New Roman" w:hAnsi="Times New Roman" w:cs="Times New Roman"/>
                <w:color w:val="auto"/>
                <w:sz w:val="24"/>
                <w:lang w:val="en-US" w:eastAsia="zh-CN"/>
              </w:rPr>
              <w:t>于厂内危废暂存场所暂存后委托有资质单位妥善处置</w:t>
            </w:r>
            <w:r>
              <w:rPr>
                <w:rFonts w:hint="eastAsia" w:ascii="Times New Roman" w:hAnsi="Times New Roman" w:eastAsia="宋体" w:cs="Times New Roman"/>
                <w:color w:val="auto"/>
                <w:kern w:val="0"/>
                <w:sz w:val="24"/>
                <w:szCs w:val="24"/>
                <w:lang w:eastAsia="zh-CN"/>
              </w:rPr>
              <w:t>。</w:t>
            </w:r>
            <w:r>
              <w:rPr>
                <w:rFonts w:hint="eastAsia"/>
                <w:color w:val="auto"/>
                <w:sz w:val="24"/>
                <w:szCs w:val="24"/>
              </w:rPr>
              <w:t>生活垃圾委托环卫部门统一处理</w:t>
            </w:r>
            <w:r>
              <w:rPr>
                <w:color w:val="auto"/>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eastAsia="宋体"/>
                <w:color w:val="auto"/>
                <w:sz w:val="24"/>
                <w:szCs w:val="24"/>
                <w:lang w:val="en-US" w:eastAsia="zh-CN"/>
              </w:rPr>
            </w:pPr>
            <w:r>
              <w:rPr>
                <w:rFonts w:hint="eastAsia"/>
                <w:color w:val="auto"/>
                <w:sz w:val="24"/>
                <w:szCs w:val="24"/>
                <w:lang w:eastAsia="zh-CN"/>
              </w:rPr>
              <w:t>（</w:t>
            </w:r>
            <w:r>
              <w:rPr>
                <w:rFonts w:hint="eastAsia"/>
                <w:color w:val="auto"/>
                <w:sz w:val="24"/>
                <w:szCs w:val="24"/>
                <w:lang w:val="en-US" w:eastAsia="zh-CN"/>
              </w:rPr>
              <w:t>1）一般固体废物防治措施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szCs w:val="24"/>
              </w:rPr>
            </w:pPr>
            <w:r>
              <w:rPr>
                <w:rFonts w:hint="eastAsia"/>
                <w:color w:val="auto"/>
                <w:sz w:val="24"/>
                <w:lang w:eastAsia="zh-CN"/>
              </w:rPr>
              <w:t>本项目</w:t>
            </w:r>
            <w:r>
              <w:rPr>
                <w:rFonts w:hint="eastAsia"/>
                <w:color w:val="auto"/>
                <w:sz w:val="24"/>
              </w:rPr>
              <w:t>运营期</w:t>
            </w:r>
            <w:r>
              <w:rPr>
                <w:rFonts w:hint="eastAsia" w:ascii="Times New Roman" w:hAnsi="Times New Roman" w:cs="Times New Roman"/>
                <w:color w:val="auto"/>
                <w:kern w:val="0"/>
                <w:sz w:val="24"/>
                <w:szCs w:val="24"/>
                <w:lang w:eastAsia="zh-CN"/>
              </w:rPr>
              <w:t>产生的</w:t>
            </w:r>
            <w:r>
              <w:rPr>
                <w:rFonts w:hint="eastAsia" w:ascii="Times New Roman" w:hAnsi="Times New Roman" w:eastAsia="宋体" w:cs="Times New Roman"/>
                <w:color w:val="auto"/>
                <w:kern w:val="0"/>
                <w:sz w:val="24"/>
                <w:szCs w:val="24"/>
                <w:lang w:eastAsia="zh-CN"/>
              </w:rPr>
              <w:t>一般工业固体</w:t>
            </w:r>
            <w:r>
              <w:rPr>
                <w:rFonts w:hint="eastAsia" w:cs="Times New Roman"/>
                <w:color w:val="auto"/>
                <w:kern w:val="0"/>
                <w:sz w:val="24"/>
                <w:szCs w:val="24"/>
                <w:lang w:eastAsia="zh-CN"/>
              </w:rPr>
              <w:t>废物</w:t>
            </w:r>
            <w:r>
              <w:rPr>
                <w:rFonts w:hint="eastAsia" w:cs="Times New Roman"/>
                <w:b w:val="0"/>
                <w:bCs w:val="0"/>
                <w:color w:val="auto"/>
                <w:sz w:val="24"/>
                <w:szCs w:val="24"/>
                <w:lang w:val="en-US" w:eastAsia="zh-CN"/>
              </w:rPr>
              <w:t>不合格品</w:t>
            </w:r>
            <w:r>
              <w:rPr>
                <w:rFonts w:hint="default" w:ascii="Times New Roman" w:hAnsi="Times New Roman" w:cs="Times New Roman"/>
                <w:color w:val="auto"/>
                <w:kern w:val="2"/>
                <w:sz w:val="24"/>
                <w:szCs w:val="24"/>
                <w:highlight w:val="none"/>
                <w:lang w:val="en-US" w:eastAsia="zh-CN" w:bidi="ar-SA"/>
              </w:rPr>
              <w:t>统一收集后</w:t>
            </w:r>
            <w:r>
              <w:rPr>
                <w:rFonts w:hint="eastAsia" w:ascii="Times New Roman" w:hAnsi="Times New Roman" w:cs="Times New Roman"/>
                <w:color w:val="auto"/>
                <w:kern w:val="2"/>
                <w:sz w:val="24"/>
                <w:szCs w:val="24"/>
                <w:highlight w:val="none"/>
                <w:lang w:val="en-US" w:eastAsia="zh-CN" w:bidi="ar-SA"/>
              </w:rPr>
              <w:t>置于一般工业固体废物暂存间后</w:t>
            </w:r>
            <w:r>
              <w:rPr>
                <w:rFonts w:hint="default" w:ascii="Times New Roman" w:hAnsi="Times New Roman" w:cs="Times New Roman"/>
                <w:color w:val="auto"/>
                <w:kern w:val="2"/>
                <w:sz w:val="24"/>
                <w:szCs w:val="24"/>
                <w:highlight w:val="none"/>
                <w:lang w:val="en-US" w:eastAsia="zh-CN" w:bidi="ar-SA"/>
              </w:rPr>
              <w:t>定期外售</w:t>
            </w:r>
            <w:r>
              <w:rPr>
                <w:rFonts w:hint="eastAsia" w:cs="Times New Roman"/>
                <w:color w:val="auto"/>
                <w:kern w:val="2"/>
                <w:sz w:val="24"/>
                <w:szCs w:val="24"/>
                <w:highlight w:val="none"/>
                <w:lang w:val="en-US" w:eastAsia="zh-CN" w:bidi="ar-SA"/>
              </w:rPr>
              <w:t>，</w:t>
            </w:r>
            <w:r>
              <w:rPr>
                <w:rFonts w:hint="eastAsia"/>
                <w:color w:val="auto"/>
                <w:sz w:val="24"/>
                <w:szCs w:val="24"/>
              </w:rPr>
              <w:t>生活垃圾委托环卫部门统一处理</w:t>
            </w:r>
            <w:r>
              <w:rPr>
                <w:color w:val="auto"/>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宋体"/>
                <w:color w:val="auto"/>
                <w:sz w:val="24"/>
                <w:szCs w:val="24"/>
                <w:lang w:val="en-US" w:eastAsia="zh-CN"/>
              </w:rPr>
            </w:pPr>
            <w:r>
              <w:rPr>
                <w:color w:val="auto"/>
                <w:sz w:val="24"/>
                <w:szCs w:val="24"/>
              </w:rPr>
              <w:t>建</w:t>
            </w:r>
            <w:r>
              <w:rPr>
                <w:rFonts w:hint="eastAsia" w:ascii="Times New Roman" w:hAnsi="Times New Roman" w:eastAsia="宋体" w:cs="Times New Roman"/>
                <w:color w:val="auto"/>
                <w:sz w:val="24"/>
                <w:lang w:eastAsia="zh-CN"/>
              </w:rPr>
              <w:t>设单位应按照</w:t>
            </w:r>
            <w:r>
              <w:rPr>
                <w:rFonts w:hint="default" w:ascii="Times New Roman" w:hAnsi="Times New Roman" w:eastAsia="宋体" w:cs="Times New Roman"/>
                <w:color w:val="auto"/>
                <w:sz w:val="24"/>
                <w:lang w:eastAsia="zh-CN"/>
              </w:rPr>
              <w:t>《一般工业固体废物贮存</w:t>
            </w:r>
            <w:r>
              <w:rPr>
                <w:rFonts w:hint="eastAsia" w:ascii="Times New Roman" w:hAnsi="Times New Roman" w:eastAsia="宋体" w:cs="Times New Roman"/>
                <w:color w:val="auto"/>
                <w:sz w:val="24"/>
                <w:lang w:eastAsia="zh-CN"/>
              </w:rPr>
              <w:t>和填埋污染控制标准</w:t>
            </w:r>
            <w:r>
              <w:rPr>
                <w:rFonts w:hint="default" w:ascii="Times New Roman" w:hAnsi="Times New Roman" w:eastAsia="宋体" w:cs="Times New Roman"/>
                <w:color w:val="auto"/>
                <w:sz w:val="24"/>
                <w:lang w:eastAsia="zh-CN"/>
              </w:rPr>
              <w:t>》（GB18599-20</w:t>
            </w:r>
            <w:r>
              <w:rPr>
                <w:rFonts w:hint="eastAsia" w:ascii="Times New Roman" w:hAnsi="Times New Roman" w:eastAsia="宋体" w:cs="Times New Roman"/>
                <w:color w:val="auto"/>
                <w:sz w:val="24"/>
                <w:lang w:val="en-US" w:eastAsia="zh-CN"/>
              </w:rPr>
              <w:t>20</w:t>
            </w:r>
            <w:r>
              <w:rPr>
                <w:rFonts w:hint="default"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eastAsia="zh-CN"/>
              </w:rPr>
              <w:t>在厂区内设置</w:t>
            </w:r>
            <w:r>
              <w:rPr>
                <w:rFonts w:hint="eastAsia" w:ascii="Times New Roman" w:hAnsi="Times New Roman" w:cs="Times New Roman"/>
                <w:color w:val="auto"/>
                <w:kern w:val="2"/>
                <w:sz w:val="24"/>
                <w:szCs w:val="24"/>
                <w:highlight w:val="none"/>
                <w:lang w:val="en-US" w:eastAsia="zh-CN" w:bidi="ar-SA"/>
              </w:rPr>
              <w:t>一般工业固体废物暂存间</w:t>
            </w:r>
            <w:r>
              <w:rPr>
                <w:rFonts w:hint="eastAsia" w:ascii="Times New Roman" w:hAnsi="Times New Roman" w:eastAsia="宋体" w:cs="Times New Roman"/>
                <w:color w:val="auto"/>
                <w:sz w:val="24"/>
                <w:lang w:eastAsia="zh-CN"/>
              </w:rPr>
              <w:t>。具体要求如下：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olor w:val="auto"/>
                <w:sz w:val="24"/>
                <w:szCs w:val="24"/>
                <w:lang w:eastAsia="zh-CN"/>
              </w:rPr>
            </w:pPr>
            <w:r>
              <w:rPr>
                <w:rFonts w:hint="eastAsia"/>
                <w:color w:val="auto"/>
                <w:sz w:val="24"/>
                <w:szCs w:val="24"/>
              </w:rPr>
              <w:t>贮存、处置场的建设类型，必须与将要堆放的一般工业固体废物的类别相一致</w:t>
            </w:r>
            <w:r>
              <w:rPr>
                <w:rFonts w:hint="eastAsia"/>
                <w:color w:val="auto"/>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olor w:val="auto"/>
                <w:sz w:val="24"/>
                <w:szCs w:val="24"/>
                <w:lang w:val="en-US" w:eastAsia="zh-CN"/>
              </w:rPr>
            </w:pPr>
            <w:r>
              <w:rPr>
                <w:rFonts w:hint="eastAsia"/>
                <w:color w:val="auto"/>
                <w:sz w:val="24"/>
                <w:szCs w:val="24"/>
                <w:lang w:val="en-US" w:eastAsia="zh-CN"/>
              </w:rPr>
              <w:t>贮存、处置场应采取防止粉尘污染的措施；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olor w:val="auto"/>
                <w:sz w:val="24"/>
                <w:szCs w:val="24"/>
                <w:lang w:val="en-US" w:eastAsia="zh-CN"/>
              </w:rPr>
            </w:pPr>
            <w:r>
              <w:rPr>
                <w:rFonts w:hint="eastAsia"/>
                <w:color w:val="auto"/>
                <w:sz w:val="24"/>
                <w:szCs w:val="24"/>
                <w:lang w:val="en-US" w:eastAsia="zh-CN"/>
              </w:rPr>
              <w:t>为保障设施、设备正常运营，必要时应采取措施防止地基下沉，尤其是防止不均匀或局部下沉。</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eastAsia="宋体"/>
                <w:color w:val="auto"/>
                <w:sz w:val="24"/>
                <w:szCs w:val="24"/>
                <w:lang w:val="en-US" w:eastAsia="zh-CN"/>
              </w:rPr>
            </w:pPr>
            <w:r>
              <w:rPr>
                <w:rFonts w:hint="eastAsia"/>
                <w:color w:val="auto"/>
                <w:sz w:val="24"/>
                <w:szCs w:val="24"/>
                <w:lang w:eastAsia="zh-CN"/>
              </w:rPr>
              <w:t>（</w:t>
            </w:r>
            <w:r>
              <w:rPr>
                <w:rFonts w:hint="eastAsia"/>
                <w:color w:val="auto"/>
                <w:sz w:val="24"/>
                <w:szCs w:val="24"/>
                <w:lang w:val="en-US" w:eastAsia="zh-CN"/>
              </w:rPr>
              <w:t>2）危险废物防治措施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olor w:val="0000FF"/>
                <w:sz w:val="24"/>
                <w:szCs w:val="24"/>
                <w:lang w:val="en-US" w:eastAsia="zh-CN"/>
              </w:rPr>
            </w:pPr>
            <w:r>
              <w:rPr>
                <w:color w:val="auto"/>
                <w:sz w:val="24"/>
                <w:szCs w:val="24"/>
              </w:rPr>
              <w:t>本项目</w:t>
            </w:r>
            <w:r>
              <w:rPr>
                <w:rFonts w:hint="eastAsia"/>
                <w:color w:val="auto"/>
                <w:sz w:val="24"/>
              </w:rPr>
              <w:t>运营期</w:t>
            </w:r>
            <w:r>
              <w:rPr>
                <w:rFonts w:hint="eastAsia" w:ascii="Times New Roman" w:hAnsi="Times New Roman" w:cs="Times New Roman"/>
                <w:color w:val="auto"/>
                <w:kern w:val="0"/>
                <w:sz w:val="24"/>
                <w:szCs w:val="24"/>
                <w:lang w:eastAsia="zh-CN"/>
              </w:rPr>
              <w:t>产生的</w:t>
            </w:r>
            <w:r>
              <w:rPr>
                <w:color w:val="auto"/>
                <w:sz w:val="24"/>
                <w:szCs w:val="24"/>
              </w:rPr>
              <w:t>危险废物</w:t>
            </w:r>
            <w:r>
              <w:rPr>
                <w:rFonts w:hint="eastAsia" w:cs="Times New Roman"/>
                <w:color w:val="auto"/>
                <w:sz w:val="24"/>
                <w:szCs w:val="24"/>
                <w:highlight w:val="none"/>
                <w:lang w:val="en-US" w:eastAsia="zh-CN"/>
              </w:rPr>
              <w:t>油渣、废活性炭纤维毡</w:t>
            </w:r>
            <w:r>
              <w:rPr>
                <w:rFonts w:hint="eastAsia"/>
                <w:color w:val="auto"/>
                <w:sz w:val="24"/>
                <w:szCs w:val="24"/>
                <w:lang w:val="en-US" w:eastAsia="zh-CN"/>
              </w:rPr>
              <w:t>采用油品专用桶进行包装，废油桶使用缠绕膜打包后防治防渗托盘上，在包装不损坏的前提下，基本不会泄露。</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shd w:val="clear" w:color="auto" w:fill="auto"/>
              </w:rPr>
            </w:pPr>
            <w:r>
              <w:rPr>
                <w:color w:val="auto"/>
                <w:sz w:val="24"/>
                <w:szCs w:val="24"/>
              </w:rPr>
              <w:t>建</w:t>
            </w:r>
            <w:r>
              <w:rPr>
                <w:rFonts w:hint="eastAsia" w:ascii="Times New Roman" w:hAnsi="Times New Roman" w:eastAsia="宋体" w:cs="Times New Roman"/>
                <w:color w:val="auto"/>
                <w:sz w:val="24"/>
                <w:lang w:eastAsia="zh-CN"/>
              </w:rPr>
              <w:t>设单位应按照《</w:t>
            </w:r>
            <w:r>
              <w:rPr>
                <w:rFonts w:hint="default" w:ascii="Times New Roman" w:hAnsi="Times New Roman" w:eastAsia="宋体" w:cs="Times New Roman"/>
                <w:color w:val="auto"/>
                <w:sz w:val="24"/>
                <w:szCs w:val="24"/>
              </w:rPr>
              <w:t>危险废物贮存污染控制标准》（GB18597-20</w:t>
            </w:r>
            <w:r>
              <w:rPr>
                <w:rFonts w:hint="eastAsia" w:cs="Times New Roman"/>
                <w:color w:val="auto"/>
                <w:sz w:val="24"/>
                <w:szCs w:val="24"/>
                <w:lang w:val="en-US" w:eastAsia="zh-CN"/>
              </w:rPr>
              <w:t>23</w:t>
            </w:r>
            <w:r>
              <w:rPr>
                <w:rFonts w:hint="default" w:ascii="Times New Roman" w:hAnsi="Times New Roman" w:eastAsia="宋体" w:cs="Times New Roman"/>
                <w:color w:val="auto"/>
                <w:sz w:val="24"/>
                <w:szCs w:val="24"/>
              </w:rPr>
              <w:t>）规定</w:t>
            </w:r>
            <w:r>
              <w:rPr>
                <w:rFonts w:hint="eastAsia" w:ascii="Times New Roman" w:hAnsi="Times New Roman" w:eastAsia="宋体" w:cs="Times New Roman"/>
                <w:color w:val="auto"/>
                <w:sz w:val="24"/>
                <w:szCs w:val="24"/>
                <w:lang w:eastAsia="zh-CN"/>
              </w:rPr>
              <w:t>在厂区设置危险废物暂存间，</w:t>
            </w:r>
            <w:r>
              <w:rPr>
                <w:rFonts w:hint="default" w:ascii="Times New Roman" w:hAnsi="Times New Roman" w:eastAsia="宋体" w:cs="Times New Roman"/>
                <w:color w:val="auto"/>
                <w:sz w:val="24"/>
                <w:szCs w:val="24"/>
              </w:rPr>
              <w:t>危险废物临时贮存的一般要求、危险废物临时贮存容器的选取、危废临时贮存设施的选址与设计原则、危废临时贮存设施的运行与管理、危废临时贮存设施的安全防护与监测、危废临时贮存设施的关闭等均需严格按照规定执行。一般固废不得与危险废物混</w:t>
            </w:r>
            <w:r>
              <w:rPr>
                <w:rFonts w:hint="default" w:ascii="Times New Roman" w:hAnsi="Times New Roman" w:eastAsia="宋体" w:cs="Times New Roman"/>
                <w:color w:val="auto"/>
                <w:sz w:val="24"/>
                <w:szCs w:val="24"/>
                <w:shd w:val="clear" w:color="auto" w:fill="auto"/>
              </w:rPr>
              <w:t>合，需分开存放并及时处置，危险固废定期委托有资质单位处置。</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ascii="Times New Roman" w:hAnsi="Times New Roman" w:eastAsia="宋体"/>
                <w:color w:val="auto"/>
                <w:sz w:val="24"/>
                <w:szCs w:val="24"/>
              </w:rPr>
            </w:pPr>
            <w:r>
              <w:rPr>
                <w:rFonts w:hint="default" w:ascii="Times New Roman" w:hAnsi="Times New Roman" w:eastAsia="宋体" w:cs="Times New Roman"/>
                <w:color w:val="auto"/>
                <w:sz w:val="24"/>
                <w:szCs w:val="24"/>
                <w:lang w:val="en-US" w:eastAsia="zh-CN"/>
              </w:rPr>
              <w:t>①</w:t>
            </w:r>
            <w:r>
              <w:rPr>
                <w:rFonts w:hint="eastAsia" w:ascii="Times New Roman" w:hAnsi="Times New Roman" w:eastAsia="宋体" w:cs="Times New Roman"/>
                <w:color w:val="auto"/>
                <w:sz w:val="24"/>
                <w:szCs w:val="24"/>
                <w:lang w:val="en-US" w:eastAsia="zh-CN"/>
              </w:rPr>
              <w:t xml:space="preserve"> </w:t>
            </w:r>
            <w:r>
              <w:rPr>
                <w:color w:val="auto"/>
                <w:sz w:val="24"/>
                <w:szCs w:val="24"/>
              </w:rPr>
              <w:t>危废暂存</w:t>
            </w:r>
            <w:r>
              <w:rPr>
                <w:rFonts w:hint="eastAsia"/>
                <w:color w:val="auto"/>
                <w:sz w:val="24"/>
                <w:szCs w:val="24"/>
                <w:lang w:eastAsia="zh-CN"/>
              </w:rPr>
              <w:t>间</w:t>
            </w:r>
            <w:r>
              <w:rPr>
                <w:rFonts w:ascii="Times New Roman" w:hAnsi="Times New Roman" w:eastAsia="宋体"/>
                <w:color w:val="auto"/>
                <w:sz w:val="24"/>
                <w:szCs w:val="24"/>
              </w:rPr>
              <w:t>设计时遵循以下原则：</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ascii="Times New Roman" w:hAnsi="Times New Roman" w:eastAsia="宋体"/>
                <w:color w:val="auto"/>
                <w:sz w:val="24"/>
                <w:szCs w:val="24"/>
              </w:rPr>
            </w:pPr>
            <w:r>
              <w:rPr>
                <w:rFonts w:ascii="Times New Roman" w:hAnsi="Times New Roman" w:eastAsia="宋体"/>
                <w:color w:val="auto"/>
                <w:sz w:val="24"/>
                <w:szCs w:val="24"/>
              </w:rPr>
              <w:t>1）地面与裙脚要用坚固、防渗的材料建造，建筑材料必须与危险废物相容。</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ascii="Times New Roman" w:hAnsi="Times New Roman" w:eastAsia="宋体"/>
                <w:color w:val="auto"/>
                <w:sz w:val="24"/>
                <w:szCs w:val="24"/>
              </w:rPr>
            </w:pPr>
            <w:r>
              <w:rPr>
                <w:rFonts w:ascii="Times New Roman" w:hAnsi="Times New Roman" w:eastAsia="宋体"/>
                <w:color w:val="auto"/>
                <w:sz w:val="24"/>
                <w:szCs w:val="24"/>
              </w:rPr>
              <w:t>2）必须有泄漏液体收集装置、气体导出口及气体净化装置。</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ascii="Times New Roman" w:hAnsi="Times New Roman" w:eastAsia="宋体"/>
                <w:color w:val="auto"/>
                <w:sz w:val="24"/>
                <w:szCs w:val="24"/>
              </w:rPr>
            </w:pPr>
            <w:r>
              <w:rPr>
                <w:rFonts w:ascii="Times New Roman" w:hAnsi="Times New Roman" w:eastAsia="宋体"/>
                <w:color w:val="auto"/>
                <w:sz w:val="24"/>
                <w:szCs w:val="24"/>
              </w:rPr>
              <w:t>3）设施内要有安全照明设施和观察窗口。</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ascii="Times New Roman" w:hAnsi="Times New Roman" w:eastAsia="宋体"/>
                <w:color w:val="auto"/>
                <w:sz w:val="24"/>
                <w:szCs w:val="24"/>
              </w:rPr>
            </w:pPr>
            <w:r>
              <w:rPr>
                <w:rFonts w:ascii="Times New Roman" w:hAnsi="Times New Roman" w:eastAsia="宋体"/>
                <w:color w:val="auto"/>
                <w:sz w:val="24"/>
                <w:szCs w:val="24"/>
              </w:rPr>
              <w:t>4）用以存放装载液体、半固体危险废物容器的地方，必须有耐腐蚀的硬化地面，且表面无裂隙。</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ascii="Times New Roman" w:hAnsi="Times New Roman" w:eastAsia="宋体"/>
                <w:color w:val="auto"/>
                <w:sz w:val="24"/>
                <w:szCs w:val="24"/>
              </w:rPr>
            </w:pPr>
            <w:r>
              <w:rPr>
                <w:rFonts w:ascii="Times New Roman" w:hAnsi="Times New Roman" w:eastAsia="宋体"/>
                <w:color w:val="auto"/>
                <w:sz w:val="24"/>
                <w:szCs w:val="24"/>
              </w:rPr>
              <w:t>5）应设计堵截泄漏的裙脚，地面与裙脚所围建的容积不低于堵截最大容器的最大储量或总储量的五分之一。</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ascii="Times New Roman" w:hAnsi="Times New Roman" w:eastAsia="宋体"/>
                <w:color w:val="auto"/>
                <w:sz w:val="24"/>
                <w:szCs w:val="24"/>
              </w:rPr>
            </w:pPr>
            <w:r>
              <w:rPr>
                <w:rFonts w:ascii="Times New Roman" w:hAnsi="Times New Roman" w:eastAsia="宋体"/>
                <w:color w:val="auto"/>
                <w:sz w:val="24"/>
                <w:szCs w:val="24"/>
              </w:rPr>
              <w:t>6）不相容的危险废物必须分开存放，并设有隔离间隔断。</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ascii="Times New Roman" w:hAnsi="Times New Roman" w:eastAsia="宋体"/>
                <w:color w:val="auto"/>
                <w:sz w:val="24"/>
                <w:szCs w:val="24"/>
              </w:rPr>
            </w:pPr>
            <w:r>
              <w:rPr>
                <w:rFonts w:ascii="Times New Roman" w:hAnsi="Times New Roman" w:eastAsia="宋体"/>
                <w:color w:val="auto"/>
                <w:sz w:val="24"/>
                <w:szCs w:val="24"/>
              </w:rPr>
              <w:t>②</w:t>
            </w:r>
            <w:r>
              <w:rPr>
                <w:rFonts w:hint="eastAsia" w:ascii="Times New Roman" w:hAnsi="Times New Roman" w:eastAsia="宋体"/>
                <w:color w:val="auto"/>
                <w:sz w:val="24"/>
                <w:szCs w:val="24"/>
                <w:lang w:val="en-US" w:eastAsia="zh-CN"/>
              </w:rPr>
              <w:t xml:space="preserve"> </w:t>
            </w:r>
            <w:r>
              <w:rPr>
                <w:rFonts w:ascii="Times New Roman" w:hAnsi="Times New Roman" w:eastAsia="宋体"/>
                <w:color w:val="auto"/>
                <w:sz w:val="24"/>
                <w:szCs w:val="24"/>
              </w:rPr>
              <w:t>同时应对危险废物存放设施实施严格的管理：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ascii="Times New Roman" w:hAnsi="Times New Roman" w:eastAsia="宋体"/>
                <w:color w:val="auto"/>
                <w:sz w:val="24"/>
                <w:szCs w:val="24"/>
              </w:rPr>
            </w:pPr>
            <w:r>
              <w:rPr>
                <w:rFonts w:ascii="Times New Roman" w:hAnsi="Times New Roman" w:eastAsia="宋体"/>
                <w:color w:val="auto"/>
                <w:sz w:val="24"/>
                <w:szCs w:val="24"/>
              </w:rPr>
              <w:t>1）危险废物贮存设施都必须按</w:t>
            </w:r>
            <w:r>
              <w:rPr>
                <w:rFonts w:hint="eastAsia" w:ascii="Times New Roman" w:hAnsi="Times New Roman" w:eastAsia="宋体"/>
                <w:color w:val="auto"/>
                <w:sz w:val="24"/>
                <w:szCs w:val="24"/>
              </w:rPr>
              <w:t>《环境保护图形标志固体废物贮存（处置）场所》（</w:t>
            </w:r>
            <w:r>
              <w:rPr>
                <w:rFonts w:ascii="Times New Roman" w:hAnsi="Times New Roman" w:eastAsia="宋体"/>
                <w:color w:val="auto"/>
                <w:sz w:val="24"/>
                <w:szCs w:val="24"/>
              </w:rPr>
              <w:t>GB1556 2.2</w:t>
            </w:r>
            <w:r>
              <w:rPr>
                <w:rFonts w:hint="eastAsia" w:ascii="Times New Roman" w:hAnsi="Times New Roman" w:eastAsia="宋体"/>
                <w:color w:val="auto"/>
                <w:sz w:val="24"/>
                <w:szCs w:val="24"/>
              </w:rPr>
              <w:t>-1996）</w:t>
            </w:r>
            <w:r>
              <w:rPr>
                <w:rFonts w:ascii="Times New Roman" w:hAnsi="Times New Roman" w:eastAsia="宋体"/>
                <w:color w:val="auto"/>
                <w:sz w:val="24"/>
                <w:szCs w:val="24"/>
              </w:rPr>
              <w:t>的规定设置警示标志。</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ascii="Times New Roman" w:hAnsi="Times New Roman" w:eastAsia="宋体"/>
                <w:color w:val="auto"/>
                <w:sz w:val="24"/>
                <w:szCs w:val="24"/>
              </w:rPr>
            </w:pPr>
            <w:r>
              <w:rPr>
                <w:rFonts w:ascii="Times New Roman" w:hAnsi="Times New Roman" w:eastAsia="宋体"/>
                <w:color w:val="auto"/>
                <w:sz w:val="24"/>
                <w:szCs w:val="24"/>
              </w:rPr>
              <w:t>2）危险废物贮存设施周围应设置围墙或其它防护栅栏。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ascii="Times New Roman" w:hAnsi="Times New Roman" w:eastAsia="宋体"/>
                <w:color w:val="auto"/>
                <w:sz w:val="24"/>
                <w:szCs w:val="24"/>
              </w:rPr>
            </w:pPr>
            <w:r>
              <w:rPr>
                <w:rFonts w:ascii="Times New Roman" w:hAnsi="Times New Roman" w:eastAsia="宋体"/>
                <w:color w:val="auto"/>
                <w:sz w:val="24"/>
                <w:szCs w:val="24"/>
              </w:rPr>
              <w:t>3）危险废物贮存设施应配备通讯设备、照明设施、安全防护服装及工具，并设有应急防护设施。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ascii="Times New Roman" w:hAnsi="Times New Roman" w:eastAsia="宋体"/>
                <w:color w:val="auto"/>
                <w:sz w:val="24"/>
                <w:szCs w:val="24"/>
              </w:rPr>
            </w:pPr>
            <w:r>
              <w:rPr>
                <w:rFonts w:ascii="Times New Roman" w:hAnsi="Times New Roman" w:eastAsia="宋体"/>
                <w:color w:val="auto"/>
                <w:sz w:val="24"/>
                <w:szCs w:val="24"/>
              </w:rPr>
              <w:t>4）危险废物贮存设施内清理出来的泄漏物，一律按危险废物处理。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szCs w:val="24"/>
              </w:rPr>
            </w:pPr>
            <w:r>
              <w:rPr>
                <w:rFonts w:ascii="Times New Roman" w:hAnsi="Times New Roman" w:eastAsia="宋体"/>
                <w:color w:val="auto"/>
                <w:sz w:val="24"/>
                <w:szCs w:val="24"/>
              </w:rPr>
              <w:t>5）必须与生活垃圾存放地分开，并有防扬散措施，同时符合消防安全要求</w:t>
            </w:r>
            <w:r>
              <w:rPr>
                <w:rFonts w:hint="eastAsia" w:ascii="Times New Roman" w:hAnsi="Times New Roman" w:eastAsia="宋体"/>
                <w:color w:val="auto"/>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color w:val="auto"/>
                <w:sz w:val="24"/>
                <w:szCs w:val="24"/>
                <w:highlight w:val="none"/>
                <w:shd w:val="clear" w:color="auto" w:fill="auto"/>
                <w:lang w:val="en-US" w:eastAsia="zh-CN"/>
              </w:rPr>
            </w:pPr>
            <w:r>
              <w:rPr>
                <w:rFonts w:hint="eastAsia" w:ascii="Times New Roman" w:hAnsi="Times New Roman" w:eastAsia="宋体" w:cs="Times New Roman"/>
                <w:b/>
                <w:bCs/>
                <w:color w:val="auto"/>
                <w:sz w:val="24"/>
                <w:szCs w:val="24"/>
                <w:highlight w:val="none"/>
                <w:shd w:val="clear" w:color="auto" w:fill="auto"/>
                <w:lang w:val="en-US" w:eastAsia="zh-CN"/>
              </w:rPr>
              <w:t>5、地下水、土壤环境</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lang w:val="en-US" w:eastAsia="zh-CN"/>
              </w:rPr>
            </w:pPr>
            <w:r>
              <w:rPr>
                <w:rFonts w:hint="default" w:ascii="Times New Roman" w:hAnsi="Times New Roman" w:cs="Times New Roman"/>
                <w:color w:val="auto"/>
                <w:sz w:val="24"/>
                <w:szCs w:val="24"/>
                <w:lang w:val="en-US" w:eastAsia="zh-CN"/>
              </w:rPr>
              <w:t>表4.</w:t>
            </w:r>
            <w:r>
              <w:rPr>
                <w:rFonts w:hint="eastAsia" w:ascii="Times New Roman" w:hAnsi="Times New Roman" w:cs="Times New Roman"/>
                <w:color w:val="auto"/>
                <w:sz w:val="24"/>
                <w:szCs w:val="24"/>
                <w:lang w:val="en-US" w:eastAsia="zh-CN"/>
              </w:rPr>
              <w:t>1</w:t>
            </w:r>
            <w:r>
              <w:rPr>
                <w:rFonts w:hint="eastAsia" w:cs="Times New Roman"/>
                <w:color w:val="auto"/>
                <w:sz w:val="24"/>
                <w:szCs w:val="24"/>
                <w:lang w:val="en-US" w:eastAsia="zh-CN"/>
              </w:rPr>
              <w:t>5</w:t>
            </w:r>
            <w:r>
              <w:rPr>
                <w:rFonts w:hint="eastAsia" w:ascii="Times New Roman" w:hAnsi="Times New Roman" w:cs="Times New Roman"/>
                <w:color w:val="auto"/>
                <w:sz w:val="24"/>
                <w:szCs w:val="24"/>
                <w:lang w:val="en-US" w:eastAsia="zh-CN"/>
              </w:rPr>
              <w:t xml:space="preserve"> </w:t>
            </w:r>
            <w:r>
              <w:rPr>
                <w:rFonts w:hint="default" w:ascii="Times New Roman" w:hAnsi="Times New Roman" w:cs="Times New Roman"/>
                <w:color w:val="auto"/>
                <w:sz w:val="24"/>
                <w:szCs w:val="24"/>
                <w:lang w:val="en-US" w:eastAsia="zh-CN"/>
              </w:rPr>
              <w:t xml:space="preserve"> 项目</w:t>
            </w:r>
            <w:r>
              <w:rPr>
                <w:rFonts w:hint="eastAsia" w:cs="Times New Roman"/>
                <w:color w:val="auto"/>
                <w:sz w:val="24"/>
                <w:szCs w:val="24"/>
                <w:lang w:val="en-US" w:eastAsia="zh-CN"/>
              </w:rPr>
              <w:t>地下水、</w:t>
            </w:r>
            <w:r>
              <w:rPr>
                <w:rFonts w:hint="default" w:ascii="Times New Roman" w:hAnsi="Times New Roman" w:cs="Times New Roman"/>
                <w:color w:val="auto"/>
                <w:sz w:val="24"/>
                <w:szCs w:val="24"/>
                <w:lang w:val="en-US" w:eastAsia="zh-CN"/>
              </w:rPr>
              <w:t>土壤环境影响途径表</w:t>
            </w:r>
            <w:r>
              <w:rPr>
                <w:rFonts w:hint="default" w:ascii="Times New Roman" w:hAnsi="Times New Roman" w:cs="Times New Roman"/>
                <w:color w:val="auto"/>
                <w:lang w:val="en-US" w:eastAsia="zh-CN"/>
              </w:rPr>
              <w:t xml:space="preserve"> </w:t>
            </w:r>
          </w:p>
          <w:tbl>
            <w:tblPr>
              <w:tblStyle w:val="26"/>
              <w:tblW w:w="835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70"/>
              <w:gridCol w:w="1670"/>
              <w:gridCol w:w="1672"/>
              <w:gridCol w:w="1672"/>
              <w:gridCol w:w="16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70" w:type="dxa"/>
                  <w:vMerge w:val="restart"/>
                  <w:tcBorders>
                    <w:top w:val="single" w:color="auto" w:sz="4" w:space="0"/>
                    <w:left w:val="single" w:color="auto" w:sz="0" w:space="0"/>
                  </w:tcBorders>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不同时段</w:t>
                  </w:r>
                </w:p>
              </w:tc>
              <w:tc>
                <w:tcPr>
                  <w:tcW w:w="6686" w:type="dxa"/>
                  <w:gridSpan w:val="4"/>
                  <w:tcBorders>
                    <w:top w:val="single" w:color="auto" w:sz="4" w:space="0"/>
                    <w:right w:val="single" w:color="auto" w:sz="4" w:space="0"/>
                  </w:tcBorders>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污染影响型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70" w:type="dxa"/>
                  <w:vMerge w:val="continue"/>
                  <w:tcBorders>
                    <w:left w:val="single" w:color="auto" w:sz="4" w:space="0"/>
                  </w:tcBorders>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ind w:firstLine="0" w:firstLineChars="0"/>
                    <w:jc w:val="center"/>
                    <w:textAlignment w:val="auto"/>
                    <w:rPr>
                      <w:rFonts w:hint="default"/>
                      <w:color w:val="auto"/>
                      <w:sz w:val="21"/>
                      <w:szCs w:val="21"/>
                      <w:vertAlign w:val="baseline"/>
                      <w:lang w:val="en-US" w:eastAsia="zh-CN"/>
                    </w:rPr>
                  </w:pPr>
                </w:p>
              </w:tc>
              <w:tc>
                <w:tcPr>
                  <w:tcW w:w="1670"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大气沉降</w:t>
                  </w:r>
                </w:p>
              </w:tc>
              <w:tc>
                <w:tcPr>
                  <w:tcW w:w="1672"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地面漫流</w:t>
                  </w:r>
                </w:p>
              </w:tc>
              <w:tc>
                <w:tcPr>
                  <w:tcW w:w="1672"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垂直入渗</w:t>
                  </w:r>
                </w:p>
              </w:tc>
              <w:tc>
                <w:tcPr>
                  <w:tcW w:w="1672" w:type="dxa"/>
                  <w:tcBorders>
                    <w:right w:val="single" w:color="auto" w:sz="4" w:space="0"/>
                  </w:tcBorders>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其他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70" w:type="dxa"/>
                  <w:tcBorders>
                    <w:left w:val="single" w:color="auto" w:sz="4" w:space="0"/>
                  </w:tcBorders>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建设期</w:t>
                  </w:r>
                </w:p>
              </w:tc>
              <w:tc>
                <w:tcPr>
                  <w:tcW w:w="1670"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ind w:firstLine="0" w:firstLineChars="0"/>
                    <w:jc w:val="center"/>
                    <w:textAlignment w:val="auto"/>
                    <w:rPr>
                      <w:rFonts w:hint="default"/>
                      <w:color w:val="auto"/>
                      <w:sz w:val="21"/>
                      <w:szCs w:val="21"/>
                      <w:vertAlign w:val="baseline"/>
                      <w:lang w:val="en-US" w:eastAsia="zh-CN"/>
                    </w:rPr>
                  </w:pPr>
                </w:p>
              </w:tc>
              <w:tc>
                <w:tcPr>
                  <w:tcW w:w="1672"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ind w:firstLine="0" w:firstLineChars="0"/>
                    <w:jc w:val="center"/>
                    <w:textAlignment w:val="auto"/>
                    <w:rPr>
                      <w:rFonts w:hint="default"/>
                      <w:color w:val="auto"/>
                      <w:sz w:val="21"/>
                      <w:szCs w:val="21"/>
                      <w:vertAlign w:val="baseline"/>
                      <w:lang w:val="en-US" w:eastAsia="zh-CN"/>
                    </w:rPr>
                  </w:pPr>
                </w:p>
              </w:tc>
              <w:tc>
                <w:tcPr>
                  <w:tcW w:w="1672"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ind w:firstLine="0" w:firstLineChars="0"/>
                    <w:jc w:val="center"/>
                    <w:textAlignment w:val="auto"/>
                    <w:rPr>
                      <w:rFonts w:hint="default"/>
                      <w:color w:val="auto"/>
                      <w:sz w:val="21"/>
                      <w:szCs w:val="21"/>
                      <w:vertAlign w:val="baseline"/>
                      <w:lang w:val="en-US" w:eastAsia="zh-CN"/>
                    </w:rPr>
                  </w:pPr>
                </w:p>
              </w:tc>
              <w:tc>
                <w:tcPr>
                  <w:tcW w:w="1672" w:type="dxa"/>
                  <w:tcBorders>
                    <w:right w:val="single" w:color="auto" w:sz="4" w:space="0"/>
                  </w:tcBorders>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ind w:firstLine="0" w:firstLineChars="0"/>
                    <w:jc w:val="center"/>
                    <w:textAlignment w:val="auto"/>
                    <w:rPr>
                      <w:rFonts w:hint="default"/>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70" w:type="dxa"/>
                  <w:tcBorders>
                    <w:left w:val="single" w:color="auto" w:sz="4" w:space="0"/>
                  </w:tcBorders>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运营期</w:t>
                  </w:r>
                </w:p>
              </w:tc>
              <w:tc>
                <w:tcPr>
                  <w:tcW w:w="1670"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ind w:firstLine="0" w:firstLineChars="0"/>
                    <w:jc w:val="center"/>
                    <w:textAlignment w:val="auto"/>
                    <w:rPr>
                      <w:rFonts w:hint="default"/>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1672"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ind w:firstLine="0" w:firstLineChars="0"/>
                    <w:jc w:val="center"/>
                    <w:textAlignment w:val="auto"/>
                    <w:rPr>
                      <w:rFonts w:hint="default"/>
                      <w:color w:val="auto"/>
                      <w:sz w:val="21"/>
                      <w:szCs w:val="21"/>
                      <w:vertAlign w:val="baseline"/>
                      <w:lang w:val="en-US" w:eastAsia="zh-CN"/>
                    </w:rPr>
                  </w:pPr>
                </w:p>
              </w:tc>
              <w:tc>
                <w:tcPr>
                  <w:tcW w:w="1672"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ind w:firstLine="0" w:firstLineChars="0"/>
                    <w:jc w:val="center"/>
                    <w:textAlignment w:val="auto"/>
                    <w:rPr>
                      <w:rFonts w:hint="default"/>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1672" w:type="dxa"/>
                  <w:tcBorders>
                    <w:right w:val="single" w:color="auto" w:sz="4" w:space="0"/>
                  </w:tcBorders>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ind w:firstLine="0" w:firstLineChars="0"/>
                    <w:jc w:val="center"/>
                    <w:textAlignment w:val="auto"/>
                    <w:rPr>
                      <w:rFonts w:hint="default"/>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70" w:type="dxa"/>
                  <w:tcBorders>
                    <w:left w:val="single" w:color="auto" w:sz="4" w:space="0"/>
                  </w:tcBorders>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服务期满后</w:t>
                  </w:r>
                </w:p>
              </w:tc>
              <w:tc>
                <w:tcPr>
                  <w:tcW w:w="1670"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ind w:firstLine="0" w:firstLineChars="0"/>
                    <w:jc w:val="center"/>
                    <w:textAlignment w:val="auto"/>
                    <w:rPr>
                      <w:rFonts w:hint="default"/>
                      <w:color w:val="auto"/>
                      <w:sz w:val="21"/>
                      <w:szCs w:val="21"/>
                      <w:vertAlign w:val="baseline"/>
                      <w:lang w:val="en-US" w:eastAsia="zh-CN"/>
                    </w:rPr>
                  </w:pPr>
                </w:p>
              </w:tc>
              <w:tc>
                <w:tcPr>
                  <w:tcW w:w="1672"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ind w:firstLine="0" w:firstLineChars="0"/>
                    <w:jc w:val="center"/>
                    <w:textAlignment w:val="auto"/>
                    <w:rPr>
                      <w:rFonts w:hint="default"/>
                      <w:color w:val="auto"/>
                      <w:sz w:val="21"/>
                      <w:szCs w:val="21"/>
                      <w:vertAlign w:val="baseline"/>
                      <w:lang w:val="en-US" w:eastAsia="zh-CN"/>
                    </w:rPr>
                  </w:pPr>
                </w:p>
              </w:tc>
              <w:tc>
                <w:tcPr>
                  <w:tcW w:w="1672"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ind w:firstLine="0" w:firstLineChars="0"/>
                    <w:jc w:val="center"/>
                    <w:textAlignment w:val="auto"/>
                    <w:rPr>
                      <w:rFonts w:hint="default"/>
                      <w:color w:val="auto"/>
                      <w:sz w:val="21"/>
                      <w:szCs w:val="21"/>
                      <w:vertAlign w:val="baseline"/>
                      <w:lang w:val="en-US" w:eastAsia="zh-CN"/>
                    </w:rPr>
                  </w:pPr>
                </w:p>
              </w:tc>
              <w:tc>
                <w:tcPr>
                  <w:tcW w:w="1672" w:type="dxa"/>
                  <w:tcBorders>
                    <w:right w:val="single" w:color="auto" w:sz="4" w:space="0"/>
                  </w:tcBorders>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ind w:firstLine="0" w:firstLineChars="0"/>
                    <w:jc w:val="center"/>
                    <w:textAlignment w:val="auto"/>
                    <w:rPr>
                      <w:rFonts w:hint="default"/>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56" w:type="dxa"/>
                  <w:gridSpan w:val="5"/>
                  <w:tcBorders>
                    <w:left w:val="single" w:color="auto" w:sz="4" w:space="0"/>
                    <w:bottom w:val="single" w:color="auto" w:sz="4" w:space="0"/>
                    <w:right w:val="single" w:color="auto" w:sz="4" w:space="0"/>
                  </w:tcBorders>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ind w:firstLine="0" w:firstLineChars="0"/>
                    <w:jc w:val="left"/>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注：在可能产生的土壤环境类型处打“</w:t>
                  </w:r>
                  <w:r>
                    <w:rPr>
                      <w:rFonts w:hint="default" w:ascii="Times New Roman" w:hAnsi="Times New Roman" w:eastAsia="宋体" w:cs="Times New Roman"/>
                      <w:color w:val="auto"/>
                      <w:sz w:val="21"/>
                      <w:szCs w:val="21"/>
                      <w:vertAlign w:val="baseline"/>
                      <w:lang w:val="en-US" w:eastAsia="zh-CN"/>
                    </w:rPr>
                    <w:t>√</w:t>
                  </w:r>
                  <w:r>
                    <w:rPr>
                      <w:rFonts w:hint="eastAsia"/>
                      <w:color w:val="auto"/>
                      <w:sz w:val="21"/>
                      <w:szCs w:val="21"/>
                      <w:vertAlign w:val="baseline"/>
                      <w:lang w:val="en-US" w:eastAsia="zh-CN"/>
                    </w:rPr>
                    <w:t>”</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eastAsia"/>
                <w:color w:val="auto"/>
                <w:sz w:val="24"/>
                <w:szCs w:val="24"/>
                <w:lang w:eastAsia="zh-CN"/>
              </w:rPr>
            </w:pPr>
            <w:r>
              <w:rPr>
                <w:rFonts w:hint="eastAsia" w:ascii="宋体" w:hAnsi="宋体" w:eastAsia="宋体" w:cs="宋体"/>
                <w:color w:val="auto"/>
                <w:sz w:val="24"/>
                <w:szCs w:val="24"/>
                <w:lang w:val="en-US" w:eastAsia="zh-CN"/>
              </w:rPr>
              <w:t>项目</w:t>
            </w:r>
            <w:r>
              <w:rPr>
                <w:rFonts w:hint="eastAsia" w:ascii="宋体" w:hAnsi="宋体" w:cs="宋体"/>
                <w:color w:val="auto"/>
                <w:sz w:val="24"/>
                <w:szCs w:val="24"/>
                <w:lang w:val="en-US" w:eastAsia="zh-CN"/>
              </w:rPr>
              <w:t>施工期</w:t>
            </w:r>
            <w:r>
              <w:rPr>
                <w:rFonts w:hint="eastAsia"/>
                <w:color w:val="auto"/>
                <w:sz w:val="24"/>
                <w:szCs w:val="24"/>
                <w:highlight w:val="none"/>
                <w:lang w:val="en-US" w:eastAsia="zh-CN"/>
              </w:rPr>
              <w:t>无需土建施工，</w:t>
            </w:r>
            <w:r>
              <w:rPr>
                <w:rFonts w:hint="eastAsia"/>
                <w:color w:val="auto"/>
                <w:sz w:val="24"/>
                <w:szCs w:val="24"/>
                <w:lang w:eastAsia="zh-CN"/>
              </w:rPr>
              <w:t>只需对厂房进行简单的装修和生产设备安装，</w:t>
            </w:r>
            <w:r>
              <w:rPr>
                <w:rFonts w:hint="default" w:ascii="Times New Roman" w:hAnsi="Times New Roman" w:cs="Times New Roman"/>
                <w:bCs/>
                <w:color w:val="auto"/>
                <w:kern w:val="2"/>
                <w:sz w:val="24"/>
                <w:szCs w:val="24"/>
                <w:lang w:val="en-US" w:eastAsia="zh-CN" w:bidi="ar-SA"/>
              </w:rPr>
              <w:t>对地下水及土壤环境影响较小</w:t>
            </w:r>
            <w:r>
              <w:rPr>
                <w:rFonts w:hint="eastAsia" w:ascii="Times New Roman" w:hAnsi="Times New Roman" w:cs="Times New Roman"/>
                <w:bCs/>
                <w:color w:val="auto"/>
                <w:kern w:val="2"/>
                <w:sz w:val="24"/>
                <w:szCs w:val="24"/>
                <w:lang w:val="en-US" w:eastAsia="zh-CN" w:bidi="ar-SA"/>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lang w:val="en-US" w:eastAsia="zh-CN"/>
              </w:rPr>
            </w:pPr>
            <w:r>
              <w:rPr>
                <w:rFonts w:hint="eastAsia" w:ascii="宋体" w:hAnsi="宋体" w:eastAsia="宋体" w:cs="宋体"/>
                <w:color w:val="auto"/>
                <w:sz w:val="24"/>
                <w:szCs w:val="24"/>
                <w:lang w:val="en-US" w:eastAsia="zh-CN"/>
              </w:rPr>
              <w:t>项目运营期对地下水、土壤环境主要影响</w:t>
            </w:r>
            <w:r>
              <w:rPr>
                <w:rFonts w:hint="eastAsia" w:ascii="宋体" w:hAnsi="宋体" w:cs="宋体"/>
                <w:color w:val="auto"/>
                <w:sz w:val="24"/>
                <w:szCs w:val="24"/>
                <w:lang w:val="en-US" w:eastAsia="zh-CN"/>
              </w:rPr>
              <w:t>途径为冷镦、淬火及回火</w:t>
            </w:r>
            <w:r>
              <w:rPr>
                <w:rFonts w:hint="default" w:ascii="Times New Roman" w:hAnsi="Times New Roman" w:eastAsia="宋体" w:cs="Times New Roman"/>
                <w:bCs/>
                <w:color w:val="auto"/>
                <w:sz w:val="24"/>
                <w:szCs w:val="24"/>
                <w:lang w:val="en-US" w:eastAsia="zh-CN"/>
              </w:rPr>
              <w:t>废气</w:t>
            </w:r>
            <w:r>
              <w:rPr>
                <w:rFonts w:hint="eastAsia" w:eastAsia="宋体" w:cs="Times New Roman"/>
                <w:bCs/>
                <w:color w:val="auto"/>
                <w:sz w:val="24"/>
                <w:szCs w:val="24"/>
                <w:lang w:val="en-US" w:eastAsia="zh-CN"/>
              </w:rPr>
              <w:t>和</w:t>
            </w:r>
            <w:r>
              <w:rPr>
                <w:rFonts w:hint="eastAsia" w:ascii="Times New Roman" w:hAnsi="Times New Roman" w:eastAsia="宋体" w:cs="Times New Roman"/>
                <w:bCs/>
                <w:color w:val="auto"/>
                <w:sz w:val="24"/>
                <w:szCs w:val="24"/>
                <w:lang w:val="en-US" w:eastAsia="zh-CN"/>
              </w:rPr>
              <w:t>清洗</w:t>
            </w:r>
            <w:r>
              <w:rPr>
                <w:rFonts w:hint="default" w:ascii="Times New Roman" w:hAnsi="Times New Roman" w:eastAsia="宋体" w:cs="Times New Roman"/>
                <w:bCs/>
                <w:color w:val="auto"/>
                <w:sz w:val="24"/>
                <w:szCs w:val="24"/>
                <w:lang w:val="en-US" w:eastAsia="zh-CN"/>
              </w:rPr>
              <w:t>废气</w:t>
            </w:r>
            <w:r>
              <w:rPr>
                <w:rFonts w:hint="default" w:ascii="Times New Roman" w:hAnsi="Times New Roman" w:eastAsia="宋体" w:cs="Times New Roman"/>
                <w:color w:val="auto"/>
                <w:sz w:val="24"/>
                <w:szCs w:val="24"/>
                <w:lang w:val="en-US" w:eastAsia="zh-CN"/>
              </w:rPr>
              <w:t>的大气沉降，生活污水、危险废物暂存间、危化品库、热处理区发生泄漏等垂直入渗。项目运营期冷镦废气：集气罩+活性炭纤维毡处理后经1根15m高排气筒（DA001）排放。淬火、回火废气经油雾静电捕集器+活性炭纤维毡处理后经1根15m高排气筒（DA001）排放。清洗废气：集气罩+活性炭纤维毡++15m高排气筒（DA002）</w:t>
            </w:r>
            <w:r>
              <w:rPr>
                <w:rFonts w:hint="default" w:ascii="Times New Roman" w:hAnsi="Times New Roman" w:eastAsia="宋体" w:cs="Times New Roman"/>
                <w:b w:val="0"/>
                <w:bCs/>
                <w:color w:val="auto"/>
                <w:sz w:val="24"/>
                <w:szCs w:val="24"/>
                <w:lang w:val="en-US" w:eastAsia="zh-CN"/>
              </w:rPr>
              <w:t>；</w:t>
            </w:r>
            <w:r>
              <w:rPr>
                <w:rFonts w:hint="default" w:ascii="Times New Roman" w:hAnsi="Times New Roman" w:eastAsia="宋体" w:cs="Times New Roman"/>
                <w:color w:val="auto"/>
                <w:kern w:val="0"/>
                <w:sz w:val="24"/>
                <w:szCs w:val="24"/>
                <w:lang w:val="en-US" w:eastAsia="zh-CN" w:bidi="ar-SA"/>
              </w:rPr>
              <w:t>生</w:t>
            </w:r>
            <w:r>
              <w:rPr>
                <w:rFonts w:hint="default" w:ascii="Times New Roman" w:hAnsi="Times New Roman" w:eastAsia="宋体" w:cs="Times New Roman"/>
                <w:color w:val="auto"/>
                <w:kern w:val="0"/>
                <w:sz w:val="24"/>
                <w:szCs w:val="28"/>
                <w:lang w:val="en-US" w:eastAsia="zh-CN" w:bidi="ar-SA"/>
              </w:rPr>
              <w:t>活污水</w:t>
            </w:r>
            <w:r>
              <w:rPr>
                <w:rFonts w:hint="default" w:ascii="Times New Roman" w:hAnsi="Times New Roman" w:eastAsia="宋体" w:cs="Times New Roman"/>
                <w:color w:val="auto"/>
                <w:sz w:val="24"/>
                <w:szCs w:val="24"/>
                <w:highlight w:val="none"/>
                <w:lang w:val="en-US" w:eastAsia="zh-CN"/>
              </w:rPr>
              <w:t>依托标准化厂房已建化粪池预处理</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lang w:val="en-US" w:eastAsia="zh-CN"/>
              </w:rPr>
              <w:t>达到《污水综合排放标准》（GB8978-1996）中三级排放标准及</w:t>
            </w:r>
            <w:r>
              <w:rPr>
                <w:rFonts w:hint="eastAsia" w:cs="Times New Roman"/>
                <w:color w:val="auto"/>
                <w:sz w:val="24"/>
                <w:szCs w:val="24"/>
                <w:lang w:val="en-US" w:eastAsia="zh-CN"/>
              </w:rPr>
              <w:t>灵璧经济开发区新北污水处理厂</w:t>
            </w:r>
            <w:r>
              <w:rPr>
                <w:rFonts w:hint="default" w:ascii="Times New Roman" w:hAnsi="Times New Roman" w:eastAsia="宋体" w:cs="Times New Roman"/>
                <w:color w:val="auto"/>
                <w:sz w:val="24"/>
                <w:szCs w:val="24"/>
                <w:lang w:val="en-US" w:eastAsia="zh-CN"/>
              </w:rPr>
              <w:t>的接管标准</w:t>
            </w:r>
            <w:r>
              <w:rPr>
                <w:rFonts w:hint="eastAsia" w:ascii="Times New Roman" w:hAnsi="Times New Roman" w:eastAsia="宋体" w:cs="Times New Roman"/>
                <w:color w:val="auto"/>
                <w:sz w:val="24"/>
                <w:szCs w:val="24"/>
                <w:lang w:val="en-US" w:eastAsia="zh-CN"/>
              </w:rPr>
              <w:t>后，</w:t>
            </w:r>
            <w:r>
              <w:rPr>
                <w:rFonts w:hint="default" w:ascii="Times New Roman" w:hAnsi="Times New Roman" w:eastAsia="宋体" w:cs="Times New Roman"/>
                <w:color w:val="auto"/>
                <w:sz w:val="24"/>
                <w:szCs w:val="24"/>
                <w:highlight w:val="none"/>
                <w:lang w:val="en-US" w:eastAsia="zh-CN"/>
              </w:rPr>
              <w:t>经市政污水管网排入</w:t>
            </w:r>
            <w:r>
              <w:rPr>
                <w:rFonts w:hint="eastAsia" w:cs="Times New Roman"/>
                <w:color w:val="auto"/>
                <w:sz w:val="24"/>
                <w:szCs w:val="24"/>
                <w:highlight w:val="none"/>
                <w:lang w:val="en-US" w:eastAsia="zh-CN"/>
              </w:rPr>
              <w:t>灵璧经济开发区新北污水处理厂</w:t>
            </w:r>
            <w:r>
              <w:rPr>
                <w:rFonts w:hint="eastAsia" w:ascii="Times New Roman" w:hAnsi="Times New Roman" w:eastAsia="宋体" w:cs="Times New Roman"/>
                <w:color w:val="auto"/>
                <w:sz w:val="24"/>
                <w:szCs w:val="22"/>
                <w:highlight w:val="none"/>
                <w:lang w:eastAsia="zh-CN"/>
              </w:rPr>
              <w:t>处理</w:t>
            </w:r>
            <w:r>
              <w:rPr>
                <w:rFonts w:hint="eastAsia" w:cs="Times New Roman"/>
                <w:color w:val="auto"/>
                <w:sz w:val="24"/>
                <w:szCs w:val="24"/>
                <w:lang w:val="en-US" w:eastAsia="zh-CN"/>
              </w:rPr>
              <w:t>，</w:t>
            </w:r>
            <w:r>
              <w:rPr>
                <w:rFonts w:ascii="Times New Roman" w:hAnsi="Times New Roman"/>
                <w:color w:val="auto"/>
                <w:sz w:val="24"/>
                <w:szCs w:val="24"/>
              </w:rPr>
              <w:t>按照项目总平面布置，</w:t>
            </w:r>
            <w:r>
              <w:rPr>
                <w:rFonts w:hint="default" w:ascii="Times New Roman" w:hAnsi="Times New Roman"/>
                <w:color w:val="auto"/>
                <w:sz w:val="24"/>
                <w:szCs w:val="24"/>
                <w:lang w:val="en-US" w:eastAsia="zh-CN"/>
              </w:rPr>
              <w:t>项目</w:t>
            </w:r>
            <w:r>
              <w:rPr>
                <w:rFonts w:hint="eastAsia" w:ascii="Times New Roman" w:hAnsi="Times New Roman"/>
                <w:color w:val="auto"/>
                <w:sz w:val="24"/>
                <w:szCs w:val="24"/>
                <w:lang w:val="en-US" w:eastAsia="zh-CN"/>
              </w:rPr>
              <w:t>危险废物暂存间、危化品库、热处理区</w:t>
            </w:r>
            <w:r>
              <w:rPr>
                <w:rFonts w:hint="eastAsia"/>
                <w:color w:val="auto"/>
                <w:sz w:val="24"/>
                <w:szCs w:val="24"/>
                <w:lang w:val="en-US" w:eastAsia="zh-CN"/>
              </w:rPr>
              <w:t>、清洗区、泄漏收集池及消防水收集池等</w:t>
            </w:r>
            <w:r>
              <w:rPr>
                <w:rFonts w:hint="default" w:ascii="Times New Roman" w:hAnsi="Times New Roman"/>
                <w:color w:val="auto"/>
                <w:sz w:val="24"/>
                <w:szCs w:val="24"/>
                <w:lang w:val="en-US" w:eastAsia="zh-CN"/>
              </w:rPr>
              <w:t>为重点防渗区域，需采取地坪硬化、防渗措施</w:t>
            </w:r>
            <w:r>
              <w:rPr>
                <w:rFonts w:hint="eastAsia" w:ascii="Times New Roman" w:hAnsi="Times New Roman"/>
                <w:color w:val="auto"/>
                <w:sz w:val="24"/>
                <w:szCs w:val="24"/>
                <w:lang w:val="en-US" w:eastAsia="zh-CN"/>
              </w:rPr>
              <w:t>，则</w:t>
            </w:r>
            <w:r>
              <w:rPr>
                <w:rFonts w:hint="eastAsia" w:ascii="宋体" w:hAnsi="宋体" w:eastAsia="宋体" w:cs="宋体"/>
                <w:color w:val="auto"/>
                <w:sz w:val="24"/>
                <w:szCs w:val="24"/>
                <w:lang w:val="en-US" w:eastAsia="zh-CN"/>
              </w:rPr>
              <w:t>项目运营期</w:t>
            </w:r>
            <w:r>
              <w:rPr>
                <w:rFonts w:hint="default" w:ascii="Times New Roman" w:hAnsi="Times New Roman" w:cs="Times New Roman"/>
                <w:bCs/>
                <w:color w:val="auto"/>
                <w:kern w:val="2"/>
                <w:sz w:val="24"/>
                <w:szCs w:val="24"/>
                <w:lang w:val="en-US" w:eastAsia="zh-CN" w:bidi="ar-SA"/>
              </w:rPr>
              <w:t>对地下水及土壤环境影响较小</w:t>
            </w:r>
            <w:r>
              <w:rPr>
                <w:rFonts w:hint="default" w:ascii="Times New Roman" w:hAnsi="Times New Roman"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项目服务期满后，厂区内停止生产，且不再贮存原料、产品等，不会产生新的污染物，对</w:t>
            </w:r>
            <w:r>
              <w:rPr>
                <w:rFonts w:hint="default" w:ascii="Times New Roman" w:hAnsi="Times New Roman" w:cs="Times New Roman"/>
                <w:bCs/>
                <w:color w:val="auto"/>
                <w:kern w:val="2"/>
                <w:sz w:val="24"/>
                <w:szCs w:val="24"/>
                <w:lang w:val="en-US" w:eastAsia="zh-CN" w:bidi="ar-SA"/>
              </w:rPr>
              <w:t>地下水及</w:t>
            </w:r>
            <w:r>
              <w:rPr>
                <w:rFonts w:hint="default" w:ascii="Times New Roman" w:hAnsi="Times New Roman" w:cs="Times New Roman"/>
                <w:color w:val="auto"/>
                <w:sz w:val="24"/>
                <w:szCs w:val="24"/>
                <w:lang w:val="en-US" w:eastAsia="zh-CN"/>
              </w:rPr>
              <w:t>土壤环境不会产生新的污染。</w:t>
            </w:r>
          </w:p>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w:t>
            </w:r>
            <w:r>
              <w:rPr>
                <w:rFonts w:hint="eastAsia" w:ascii="Times New Roman" w:hAnsi="Times New Roman"/>
                <w:b/>
                <w:bCs/>
                <w:color w:val="auto"/>
                <w:sz w:val="24"/>
                <w:szCs w:val="24"/>
                <w:lang w:val="en-US" w:eastAsia="zh-CN"/>
              </w:rPr>
              <w:t>4.1</w:t>
            </w:r>
            <w:r>
              <w:rPr>
                <w:rFonts w:hint="eastAsia"/>
                <w:b/>
                <w:bCs/>
                <w:color w:val="auto"/>
                <w:sz w:val="24"/>
                <w:szCs w:val="24"/>
                <w:lang w:val="en-US" w:eastAsia="zh-CN"/>
              </w:rPr>
              <w:t>6</w:t>
            </w:r>
            <w:r>
              <w:rPr>
                <w:rFonts w:hint="default"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rPr>
              <w:t xml:space="preserve"> 地下水污染防渗区要求</w:t>
            </w:r>
          </w:p>
          <w:tbl>
            <w:tblPr>
              <w:tblStyle w:val="26"/>
              <w:tblW w:w="83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2"/>
              <w:gridCol w:w="2038"/>
              <w:gridCol w:w="45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52"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序号</w:t>
                  </w:r>
                </w:p>
              </w:tc>
              <w:tc>
                <w:tcPr>
                  <w:tcW w:w="2038"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防渗分区</w:t>
                  </w:r>
                </w:p>
              </w:tc>
              <w:tc>
                <w:tcPr>
                  <w:tcW w:w="4557"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防渗技术要求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52"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w:t>
                  </w:r>
                </w:p>
              </w:tc>
              <w:tc>
                <w:tcPr>
                  <w:tcW w:w="2038"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重点防渗区</w:t>
                  </w:r>
                </w:p>
              </w:tc>
              <w:tc>
                <w:tcPr>
                  <w:tcW w:w="4557"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等效黏土防渗层Mb≥6.0m，K≤1×10</w:t>
                  </w:r>
                  <w:r>
                    <w:rPr>
                      <w:rFonts w:hint="default" w:ascii="Times New Roman" w:hAnsi="Times New Roman" w:eastAsia="宋体" w:cs="Times New Roman"/>
                      <w:b w:val="0"/>
                      <w:bCs w:val="0"/>
                      <w:color w:val="auto"/>
                      <w:sz w:val="21"/>
                      <w:szCs w:val="21"/>
                      <w:vertAlign w:val="superscript"/>
                    </w:rPr>
                    <w:t>-7</w:t>
                  </w:r>
                  <w:r>
                    <w:rPr>
                      <w:rFonts w:hint="default" w:ascii="Times New Roman" w:hAnsi="Times New Roman" w:eastAsia="宋体" w:cs="Times New Roman"/>
                      <w:b w:val="0"/>
                      <w:bCs w:val="0"/>
                      <w:color w:val="auto"/>
                      <w:sz w:val="21"/>
                      <w:szCs w:val="21"/>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52"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w:t>
                  </w:r>
                </w:p>
              </w:tc>
              <w:tc>
                <w:tcPr>
                  <w:tcW w:w="2038"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一般防渗区</w:t>
                  </w:r>
                </w:p>
              </w:tc>
              <w:tc>
                <w:tcPr>
                  <w:tcW w:w="4557"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等效黏土防渗层Mb≥1.5m，K≤1×10</w:t>
                  </w:r>
                  <w:r>
                    <w:rPr>
                      <w:rFonts w:hint="default" w:ascii="Times New Roman" w:hAnsi="Times New Roman" w:eastAsia="宋体" w:cs="Times New Roman"/>
                      <w:b w:val="0"/>
                      <w:bCs w:val="0"/>
                      <w:color w:val="auto"/>
                      <w:sz w:val="21"/>
                      <w:szCs w:val="21"/>
                      <w:vertAlign w:val="superscript"/>
                    </w:rPr>
                    <w:t>-7</w:t>
                  </w:r>
                  <w:r>
                    <w:rPr>
                      <w:rFonts w:hint="default" w:ascii="Times New Roman" w:hAnsi="Times New Roman" w:eastAsia="宋体" w:cs="Times New Roman"/>
                      <w:b w:val="0"/>
                      <w:bCs w:val="0"/>
                      <w:color w:val="auto"/>
                      <w:sz w:val="21"/>
                      <w:szCs w:val="21"/>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52"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w:t>
                  </w:r>
                </w:p>
              </w:tc>
              <w:tc>
                <w:tcPr>
                  <w:tcW w:w="2038"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简单防渗区</w:t>
                  </w:r>
                </w:p>
              </w:tc>
              <w:tc>
                <w:tcPr>
                  <w:tcW w:w="4557"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一般地面硬化</w:t>
                  </w:r>
                </w:p>
              </w:tc>
            </w:tr>
          </w:tbl>
          <w:p>
            <w:pPr>
              <w:pStyle w:val="45"/>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0" w:firstLineChars="0"/>
              <w:jc w:val="center"/>
              <w:textAlignment w:val="auto"/>
              <w:rPr>
                <w:rFonts w:hint="default" w:ascii="Times New Roman" w:hAnsi="Times New Roman" w:eastAsia="宋体"/>
                <w:b/>
                <w:bCs/>
                <w:color w:val="auto"/>
                <w:sz w:val="24"/>
                <w:szCs w:val="24"/>
                <w:lang w:val="en-US" w:eastAsia="zh-CN"/>
              </w:rPr>
            </w:pPr>
            <w:r>
              <w:rPr>
                <w:rFonts w:hint="eastAsia" w:ascii="Times New Roman" w:hAnsi="Times New Roman"/>
                <w:b/>
                <w:bCs/>
                <w:color w:val="auto"/>
                <w:sz w:val="24"/>
                <w:szCs w:val="24"/>
                <w:lang w:eastAsia="zh-CN"/>
              </w:rPr>
              <w:t>表</w:t>
            </w:r>
            <w:r>
              <w:rPr>
                <w:rFonts w:hint="eastAsia" w:ascii="Times New Roman" w:hAnsi="Times New Roman"/>
                <w:b/>
                <w:bCs/>
                <w:color w:val="auto"/>
                <w:sz w:val="24"/>
                <w:szCs w:val="24"/>
                <w:lang w:val="en-US" w:eastAsia="zh-CN"/>
              </w:rPr>
              <w:t>4.1</w:t>
            </w:r>
            <w:r>
              <w:rPr>
                <w:rFonts w:hint="eastAsia"/>
                <w:b/>
                <w:bCs/>
                <w:color w:val="auto"/>
                <w:sz w:val="24"/>
                <w:szCs w:val="24"/>
                <w:lang w:val="en-US" w:eastAsia="zh-CN"/>
              </w:rPr>
              <w:t>7</w:t>
            </w:r>
            <w:r>
              <w:rPr>
                <w:rFonts w:hint="eastAsia" w:ascii="Times New Roman" w:hAnsi="Times New Roman"/>
                <w:b/>
                <w:bCs/>
                <w:color w:val="auto"/>
                <w:sz w:val="24"/>
                <w:szCs w:val="24"/>
                <w:lang w:val="en-US" w:eastAsia="zh-CN"/>
              </w:rPr>
              <w:t xml:space="preserve">  </w:t>
            </w:r>
            <w:r>
              <w:rPr>
                <w:rFonts w:ascii="Times New Roman" w:hAnsi="Times New Roman"/>
                <w:b/>
                <w:bCs/>
                <w:color w:val="auto"/>
                <w:sz w:val="24"/>
                <w:szCs w:val="24"/>
              </w:rPr>
              <w:t>地下水污染防渗分区参照表</w:t>
            </w:r>
          </w:p>
          <w:tbl>
            <w:tblPr>
              <w:tblStyle w:val="26"/>
              <w:tblW w:w="83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9"/>
              <w:gridCol w:w="1407"/>
              <w:gridCol w:w="1617"/>
              <w:gridCol w:w="1530"/>
              <w:gridCol w:w="24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3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防渗区域</w:t>
                  </w:r>
                </w:p>
              </w:tc>
              <w:tc>
                <w:tcPr>
                  <w:tcW w:w="14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天然包气带防污性能</w:t>
                  </w:r>
                </w:p>
              </w:tc>
              <w:tc>
                <w:tcPr>
                  <w:tcW w:w="16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污染控制难易程度</w:t>
                  </w:r>
                </w:p>
              </w:tc>
              <w:tc>
                <w:tcPr>
                  <w:tcW w:w="15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污染物类型</w:t>
                  </w:r>
                </w:p>
              </w:tc>
              <w:tc>
                <w:tcPr>
                  <w:tcW w:w="24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污染物防渗技术要求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6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重点防渗区</w:t>
                  </w:r>
                </w:p>
              </w:tc>
              <w:tc>
                <w:tcPr>
                  <w:tcW w:w="14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弱</w:t>
                  </w:r>
                </w:p>
              </w:tc>
              <w:tc>
                <w:tcPr>
                  <w:tcW w:w="16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难</w:t>
                  </w:r>
                </w:p>
              </w:tc>
              <w:tc>
                <w:tcPr>
                  <w:tcW w:w="153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持久性有机污染物</w:t>
                  </w:r>
                </w:p>
              </w:tc>
              <w:tc>
                <w:tcPr>
                  <w:tcW w:w="242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等效黏土防渗层Mb≧6m，K≦1*10</w:t>
                  </w:r>
                  <w:r>
                    <w:rPr>
                      <w:rFonts w:ascii="Times New Roman" w:hAnsi="Times New Roman"/>
                      <w:color w:val="auto"/>
                      <w:sz w:val="21"/>
                      <w:szCs w:val="21"/>
                      <w:vertAlign w:val="superscript"/>
                    </w:rPr>
                    <w:t>-7</w:t>
                  </w:r>
                  <w:r>
                    <w:rPr>
                      <w:rFonts w:ascii="Times New Roman" w:hAnsi="Times New Roman"/>
                      <w:color w:val="auto"/>
                      <w:sz w:val="21"/>
                      <w:szCs w:val="21"/>
                    </w:rPr>
                    <w:t>cm/s，或参照《危险废物填埋污染控制标准》（GB18598-20</w:t>
                  </w:r>
                  <w:r>
                    <w:rPr>
                      <w:rFonts w:hint="eastAsia" w:ascii="Times New Roman" w:hAnsi="Times New Roman"/>
                      <w:color w:val="auto"/>
                      <w:sz w:val="21"/>
                      <w:szCs w:val="21"/>
                      <w:lang w:val="en-US" w:eastAsia="zh-CN"/>
                    </w:rPr>
                    <w:t>20</w:t>
                  </w:r>
                  <w:r>
                    <w:rPr>
                      <w:rFonts w:ascii="Times New Roman" w:hAnsi="Times New Roman"/>
                      <w:color w:val="auto"/>
                      <w:sz w:val="21"/>
                      <w:szCs w:val="21"/>
                    </w:rPr>
                    <w:t>）执行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6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rPr>
                  </w:pPr>
                </w:p>
              </w:tc>
              <w:tc>
                <w:tcPr>
                  <w:tcW w:w="14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中-强</w:t>
                  </w:r>
                </w:p>
              </w:tc>
              <w:tc>
                <w:tcPr>
                  <w:tcW w:w="16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难</w:t>
                  </w:r>
                </w:p>
              </w:tc>
              <w:tc>
                <w:tcPr>
                  <w:tcW w:w="153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rPr>
                  </w:pPr>
                </w:p>
              </w:tc>
              <w:tc>
                <w:tcPr>
                  <w:tcW w:w="242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6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rPr>
                  </w:pPr>
                </w:p>
              </w:tc>
              <w:tc>
                <w:tcPr>
                  <w:tcW w:w="14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弱</w:t>
                  </w:r>
                </w:p>
              </w:tc>
              <w:tc>
                <w:tcPr>
                  <w:tcW w:w="16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易</w:t>
                  </w:r>
                </w:p>
              </w:tc>
              <w:tc>
                <w:tcPr>
                  <w:tcW w:w="153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rPr>
                  </w:pPr>
                </w:p>
              </w:tc>
              <w:tc>
                <w:tcPr>
                  <w:tcW w:w="242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6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一般防渗区</w:t>
                  </w:r>
                </w:p>
              </w:tc>
              <w:tc>
                <w:tcPr>
                  <w:tcW w:w="14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弱</w:t>
                  </w:r>
                </w:p>
              </w:tc>
              <w:tc>
                <w:tcPr>
                  <w:tcW w:w="16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易-难</w:t>
                  </w:r>
                </w:p>
              </w:tc>
              <w:tc>
                <w:tcPr>
                  <w:tcW w:w="153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其他类型</w:t>
                  </w:r>
                </w:p>
              </w:tc>
              <w:tc>
                <w:tcPr>
                  <w:tcW w:w="242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等效黏土防渗层Mb≧1.5m，K≦1*10</w:t>
                  </w:r>
                  <w:r>
                    <w:rPr>
                      <w:rFonts w:ascii="Times New Roman" w:hAnsi="Times New Roman"/>
                      <w:color w:val="auto"/>
                      <w:sz w:val="21"/>
                      <w:szCs w:val="21"/>
                      <w:vertAlign w:val="superscript"/>
                    </w:rPr>
                    <w:t>-7</w:t>
                  </w:r>
                  <w:r>
                    <w:rPr>
                      <w:rFonts w:ascii="Times New Roman" w:hAnsi="Times New Roman"/>
                      <w:color w:val="auto"/>
                      <w:sz w:val="21"/>
                      <w:szCs w:val="21"/>
                    </w:rPr>
                    <w:t>cm/s，或参照《危险废物填埋污染控制标准》（GB18598-20</w:t>
                  </w:r>
                  <w:r>
                    <w:rPr>
                      <w:rFonts w:hint="eastAsia" w:ascii="Times New Roman" w:hAnsi="Times New Roman"/>
                      <w:color w:val="auto"/>
                      <w:sz w:val="21"/>
                      <w:szCs w:val="21"/>
                      <w:lang w:val="en-US" w:eastAsia="zh-CN"/>
                    </w:rPr>
                    <w:t>20</w:t>
                  </w:r>
                  <w:r>
                    <w:rPr>
                      <w:rFonts w:ascii="Times New Roman" w:hAnsi="Times New Roman"/>
                      <w:color w:val="auto"/>
                      <w:sz w:val="21"/>
                      <w:szCs w:val="21"/>
                    </w:rPr>
                    <w:t>）执行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6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rPr>
                  </w:pPr>
                </w:p>
              </w:tc>
              <w:tc>
                <w:tcPr>
                  <w:tcW w:w="14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中-强</w:t>
                  </w:r>
                </w:p>
              </w:tc>
              <w:tc>
                <w:tcPr>
                  <w:tcW w:w="16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难</w:t>
                  </w:r>
                </w:p>
              </w:tc>
              <w:tc>
                <w:tcPr>
                  <w:tcW w:w="153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rPr>
                  </w:pPr>
                </w:p>
              </w:tc>
              <w:tc>
                <w:tcPr>
                  <w:tcW w:w="242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6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rPr>
                  </w:pPr>
                </w:p>
              </w:tc>
              <w:tc>
                <w:tcPr>
                  <w:tcW w:w="14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中</w:t>
                  </w:r>
                </w:p>
              </w:tc>
              <w:tc>
                <w:tcPr>
                  <w:tcW w:w="16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易</w:t>
                  </w:r>
                </w:p>
              </w:tc>
              <w:tc>
                <w:tcPr>
                  <w:tcW w:w="153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持久性有机污染物</w:t>
                  </w:r>
                </w:p>
              </w:tc>
              <w:tc>
                <w:tcPr>
                  <w:tcW w:w="242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6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rPr>
                  </w:pPr>
                </w:p>
              </w:tc>
              <w:tc>
                <w:tcPr>
                  <w:tcW w:w="14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强</w:t>
                  </w:r>
                </w:p>
              </w:tc>
              <w:tc>
                <w:tcPr>
                  <w:tcW w:w="16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易</w:t>
                  </w:r>
                </w:p>
              </w:tc>
              <w:tc>
                <w:tcPr>
                  <w:tcW w:w="153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rPr>
                  </w:pPr>
                </w:p>
              </w:tc>
              <w:tc>
                <w:tcPr>
                  <w:tcW w:w="242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rPr>
                  </w:pP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color w:val="auto"/>
                <w:sz w:val="24"/>
                <w:szCs w:val="24"/>
                <w:lang w:val="en-US" w:eastAsia="zh-CN"/>
              </w:rPr>
              <w:t>综上，采取上述措施后，项目</w:t>
            </w:r>
            <w:r>
              <w:rPr>
                <w:rFonts w:hint="default" w:ascii="Times New Roman" w:hAnsi="Times New Roman" w:cs="Times New Roman"/>
                <w:bCs/>
                <w:color w:val="auto"/>
                <w:kern w:val="2"/>
                <w:sz w:val="24"/>
                <w:szCs w:val="24"/>
                <w:lang w:val="en-US" w:eastAsia="zh-CN" w:bidi="ar-SA"/>
              </w:rPr>
              <w:t>对地下水及土壤环境影响较小</w:t>
            </w:r>
            <w:r>
              <w:rPr>
                <w:rFonts w:hint="eastAsia" w:cs="Times New Roman"/>
                <w:bCs/>
                <w:color w:val="auto"/>
                <w:kern w:val="2"/>
                <w:sz w:val="24"/>
                <w:szCs w:val="24"/>
                <w:lang w:val="en-US" w:eastAsia="zh-CN" w:bidi="ar-SA"/>
              </w:rPr>
              <w:t>，不对地下水环境及土壤环境进行跟踪监测</w:t>
            </w:r>
            <w:r>
              <w:rPr>
                <w:rFonts w:hint="default" w:ascii="Times New Roman" w:hAnsi="Times New Roman" w:cs="Times New Roman"/>
                <w:bCs/>
                <w:color w:val="auto"/>
                <w:kern w:val="2"/>
                <w:sz w:val="24"/>
                <w:szCs w:val="24"/>
                <w:lang w:val="en-US" w:eastAsia="zh-CN" w:bidi="ar-SA"/>
              </w:rPr>
              <w:t>。</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6</w:t>
            </w:r>
            <w:r>
              <w:rPr>
                <w:rFonts w:hint="eastAsia"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lang w:val="en-US" w:eastAsia="zh-CN"/>
              </w:rPr>
              <w:t>环境风险</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境风险评价是对项目建设和运营期间发生的可预测突发事件（一般不包括人为破坏和自然灾害）或事故引起有毒有害、易燃易爆等物质泄露，或突发事件产生的新的有毒有害物质，所造成的人身安全和环境的影响进行评估，并提出防范、应急与缓解措施。根据《建设项目环境风险评价技术导则》（HJ 169-2018）的要求，本次环评将着重从风险识别、源项分析、事故后果分析、事故防范措施、事故应急预案等方面对本项目存在的环境风险进行评价；再根据评价结果，对项目提出可行的风险防范措施和建议，达到降低风险性、危害程度，保护环境之目的。</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szCs w:val="24"/>
                <w:highlight w:val="none"/>
              </w:rPr>
              <w:t>本次环境风险评价重点主要对</w:t>
            </w:r>
            <w:r>
              <w:rPr>
                <w:rFonts w:hint="default" w:ascii="Times New Roman" w:hAnsi="Times New Roman" w:cs="Times New Roman"/>
                <w:color w:val="auto"/>
                <w:sz w:val="24"/>
                <w:szCs w:val="24"/>
                <w:highlight w:val="none"/>
                <w:lang w:eastAsia="zh-CN"/>
              </w:rPr>
              <w:t>项目</w:t>
            </w:r>
            <w:r>
              <w:rPr>
                <w:rFonts w:hint="default" w:ascii="Times New Roman" w:hAnsi="Times New Roman" w:cs="Times New Roman"/>
                <w:color w:val="auto"/>
                <w:sz w:val="24"/>
                <w:szCs w:val="24"/>
                <w:highlight w:val="none"/>
              </w:rPr>
              <w:t>运营期间可能存在的危险、有害因素进行分析，并对可能发生的突发性事件及事故所造成的人身安全与环境影响、损害程度，提出合理可行的防范、应急与减缓措施。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val="en-US" w:eastAsia="zh-CN"/>
              </w:rPr>
              <w:t>物质风险性调查</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bidi="ar-SA"/>
              </w:rPr>
              <w:t>本项目的原辅材料主要是轴承钢</w:t>
            </w:r>
            <w:r>
              <w:rPr>
                <w:rFonts w:hint="eastAsia" w:cs="Times New Roman"/>
                <w:b w:val="0"/>
                <w:bCs w:val="0"/>
                <w:color w:val="auto"/>
                <w:sz w:val="24"/>
                <w:szCs w:val="24"/>
                <w:highlight w:val="none"/>
                <w:lang w:val="en-US" w:eastAsia="zh-CN" w:bidi="ar-SA"/>
              </w:rPr>
              <w:t>丝、冷镦机油</w:t>
            </w:r>
            <w:r>
              <w:rPr>
                <w:rFonts w:hint="eastAsia" w:ascii="Times New Roman" w:hAnsi="Times New Roman" w:eastAsia="宋体" w:cs="Times New Roman"/>
                <w:b w:val="0"/>
                <w:bCs w:val="0"/>
                <w:color w:val="auto"/>
                <w:sz w:val="24"/>
                <w:szCs w:val="24"/>
                <w:highlight w:val="none"/>
                <w:lang w:val="en-US" w:eastAsia="zh-CN" w:bidi="ar-SA"/>
              </w:rPr>
              <w:t>、</w:t>
            </w:r>
            <w:r>
              <w:rPr>
                <w:rFonts w:hint="eastAsia" w:cs="Times New Roman"/>
                <w:b w:val="0"/>
                <w:bCs w:val="0"/>
                <w:color w:val="auto"/>
                <w:sz w:val="24"/>
                <w:szCs w:val="24"/>
                <w:highlight w:val="none"/>
                <w:lang w:val="en-US" w:eastAsia="zh-CN" w:bidi="ar-SA"/>
              </w:rPr>
              <w:t>特磨</w:t>
            </w:r>
            <w:r>
              <w:rPr>
                <w:rFonts w:hint="eastAsia" w:ascii="Times New Roman" w:hAnsi="Times New Roman" w:eastAsia="宋体" w:cs="Times New Roman"/>
                <w:b w:val="0"/>
                <w:bCs w:val="0"/>
                <w:color w:val="auto"/>
                <w:sz w:val="24"/>
                <w:szCs w:val="24"/>
                <w:highlight w:val="none"/>
                <w:lang w:val="en-US" w:eastAsia="zh-CN" w:bidi="ar-SA"/>
              </w:rPr>
              <w:t>液、</w:t>
            </w:r>
            <w:r>
              <w:rPr>
                <w:rFonts w:hint="eastAsia" w:cs="Times New Roman"/>
                <w:b w:val="0"/>
                <w:bCs w:val="0"/>
                <w:color w:val="auto"/>
                <w:sz w:val="24"/>
                <w:szCs w:val="24"/>
                <w:highlight w:val="none"/>
                <w:lang w:val="en-US" w:eastAsia="zh-CN" w:bidi="ar-SA"/>
              </w:rPr>
              <w:t>精研</w:t>
            </w:r>
            <w:r>
              <w:rPr>
                <w:rFonts w:hint="eastAsia" w:ascii="Times New Roman" w:hAnsi="Times New Roman" w:eastAsia="宋体" w:cs="Times New Roman"/>
                <w:b w:val="0"/>
                <w:bCs w:val="0"/>
                <w:color w:val="auto"/>
                <w:sz w:val="24"/>
                <w:szCs w:val="24"/>
                <w:highlight w:val="none"/>
                <w:lang w:val="en-US" w:eastAsia="zh-CN" w:bidi="ar-SA"/>
              </w:rPr>
              <w:t>液</w:t>
            </w:r>
            <w:r>
              <w:rPr>
                <w:rFonts w:hint="eastAsia" w:cs="Times New Roman"/>
                <w:b w:val="0"/>
                <w:bCs w:val="0"/>
                <w:color w:val="auto"/>
                <w:sz w:val="24"/>
                <w:szCs w:val="24"/>
                <w:highlight w:val="none"/>
                <w:lang w:val="en-US" w:eastAsia="zh-CN" w:bidi="ar-SA"/>
              </w:rPr>
              <w:t>、循环液、甲醇、淬火油、工业白油、防锈油</w:t>
            </w:r>
            <w:r>
              <w:rPr>
                <w:rFonts w:hint="eastAsia" w:ascii="Times New Roman" w:hAnsi="Times New Roman" w:eastAsia="宋体" w:cs="Times New Roman"/>
                <w:b w:val="0"/>
                <w:bCs w:val="0"/>
                <w:color w:val="auto"/>
                <w:sz w:val="24"/>
                <w:szCs w:val="24"/>
                <w:highlight w:val="none"/>
                <w:lang w:val="en-US" w:eastAsia="zh-CN" w:bidi="ar-SA"/>
              </w:rPr>
              <w:t>等</w:t>
            </w:r>
            <w:r>
              <w:rPr>
                <w:rFonts w:hint="eastAsia" w:ascii="Times New Roman" w:hAnsi="Times New Roman" w:eastAsia="宋体" w:cs="Times New Roman"/>
                <w:b w:val="0"/>
                <w:bCs w:val="0"/>
                <w:color w:val="auto"/>
                <w:sz w:val="24"/>
                <w:szCs w:val="24"/>
                <w:highlight w:val="none"/>
                <w:vertAlign w:val="baseline"/>
                <w:lang w:val="en-US" w:eastAsia="zh-CN" w:bidi="ar-SA"/>
              </w:rPr>
              <w:t>。</w:t>
            </w:r>
            <w:r>
              <w:rPr>
                <w:rFonts w:hint="default" w:ascii="Times New Roman" w:hAnsi="Times New Roman" w:cs="Times New Roman"/>
                <w:color w:val="auto"/>
                <w:sz w:val="24"/>
                <w:szCs w:val="24"/>
                <w:highlight w:val="none"/>
                <w:lang w:val="en-US" w:eastAsia="zh-CN"/>
              </w:rPr>
              <w:t>与《建设项目环境风险评价技术导则》（HJ169-2018）附录</w:t>
            </w:r>
            <w:r>
              <w:rPr>
                <w:rFonts w:hint="eastAsia" w:ascii="Times New Roman" w:hAnsi="Times New Roman" w:cs="Times New Roman"/>
                <w:color w:val="auto"/>
                <w:sz w:val="24"/>
                <w:szCs w:val="24"/>
                <w:highlight w:val="none"/>
                <w:lang w:val="en-US" w:eastAsia="zh-CN"/>
              </w:rPr>
              <w:t>B中表</w:t>
            </w:r>
            <w:r>
              <w:rPr>
                <w:rFonts w:hint="default" w:ascii="Times New Roman" w:hAnsi="Times New Roman" w:cs="Times New Roman"/>
                <w:color w:val="auto"/>
                <w:sz w:val="24"/>
                <w:szCs w:val="24"/>
                <w:highlight w:val="none"/>
                <w:lang w:val="en-US" w:eastAsia="zh-CN"/>
              </w:rPr>
              <w:t>B</w:t>
            </w:r>
            <w:r>
              <w:rPr>
                <w:rFonts w:hint="eastAsia" w:ascii="Times New Roman" w:hAnsi="Times New Roman" w:cs="Times New Roman"/>
                <w:color w:val="auto"/>
                <w:sz w:val="24"/>
                <w:szCs w:val="24"/>
                <w:highlight w:val="none"/>
                <w:lang w:val="en-US" w:eastAsia="zh-CN"/>
              </w:rPr>
              <w:t>.1及表B.2</w:t>
            </w:r>
            <w:r>
              <w:rPr>
                <w:rFonts w:hint="default" w:ascii="Times New Roman" w:hAnsi="Times New Roman" w:cs="Times New Roman"/>
                <w:color w:val="auto"/>
                <w:sz w:val="24"/>
                <w:szCs w:val="24"/>
                <w:highlight w:val="none"/>
                <w:lang w:val="en-US" w:eastAsia="zh-CN"/>
              </w:rPr>
              <w:t>中重点关注的危险物质进行对比，</w:t>
            </w:r>
            <w:r>
              <w:rPr>
                <w:rFonts w:hint="default" w:ascii="Times New Roman" w:hAnsi="Times New Roman" w:cs="Times New Roman"/>
                <w:color w:val="auto"/>
                <w:sz w:val="24"/>
                <w:szCs w:val="24"/>
                <w:lang w:val="en-US" w:eastAsia="zh-CN"/>
              </w:rPr>
              <w:t>确定本项目的危险物质为</w:t>
            </w:r>
            <w:r>
              <w:rPr>
                <w:rFonts w:hint="eastAsia" w:cs="Times New Roman"/>
                <w:b w:val="0"/>
                <w:bCs w:val="0"/>
                <w:color w:val="auto"/>
                <w:sz w:val="24"/>
                <w:szCs w:val="24"/>
                <w:highlight w:val="none"/>
                <w:lang w:val="en-US" w:eastAsia="zh-CN" w:bidi="ar-SA"/>
              </w:rPr>
              <w:t>冷镦机油</w:t>
            </w:r>
            <w:r>
              <w:rPr>
                <w:rFonts w:hint="eastAsia" w:ascii="Times New Roman" w:hAnsi="Times New Roman" w:eastAsia="宋体" w:cs="Times New Roman"/>
                <w:b w:val="0"/>
                <w:bCs w:val="0"/>
                <w:color w:val="auto"/>
                <w:sz w:val="24"/>
                <w:szCs w:val="24"/>
                <w:highlight w:val="none"/>
                <w:lang w:val="en-US" w:eastAsia="zh-CN" w:bidi="ar-SA"/>
              </w:rPr>
              <w:t>、</w:t>
            </w:r>
            <w:r>
              <w:rPr>
                <w:rFonts w:hint="eastAsia" w:cs="Times New Roman"/>
                <w:b w:val="0"/>
                <w:bCs w:val="0"/>
                <w:color w:val="auto"/>
                <w:sz w:val="24"/>
                <w:szCs w:val="24"/>
                <w:highlight w:val="none"/>
                <w:lang w:val="en-US" w:eastAsia="zh-CN" w:bidi="ar-SA"/>
              </w:rPr>
              <w:t>特磨</w:t>
            </w:r>
            <w:r>
              <w:rPr>
                <w:rFonts w:hint="eastAsia" w:ascii="Times New Roman" w:hAnsi="Times New Roman" w:eastAsia="宋体" w:cs="Times New Roman"/>
                <w:b w:val="0"/>
                <w:bCs w:val="0"/>
                <w:color w:val="auto"/>
                <w:sz w:val="24"/>
                <w:szCs w:val="24"/>
                <w:highlight w:val="none"/>
                <w:lang w:val="en-US" w:eastAsia="zh-CN" w:bidi="ar-SA"/>
              </w:rPr>
              <w:t>液、</w:t>
            </w:r>
            <w:r>
              <w:rPr>
                <w:rFonts w:hint="eastAsia" w:cs="Times New Roman"/>
                <w:b w:val="0"/>
                <w:bCs w:val="0"/>
                <w:color w:val="auto"/>
                <w:sz w:val="24"/>
                <w:szCs w:val="24"/>
                <w:highlight w:val="none"/>
                <w:lang w:val="en-US" w:eastAsia="zh-CN" w:bidi="ar-SA"/>
              </w:rPr>
              <w:t>精研</w:t>
            </w:r>
            <w:r>
              <w:rPr>
                <w:rFonts w:hint="eastAsia" w:ascii="Times New Roman" w:hAnsi="Times New Roman" w:eastAsia="宋体" w:cs="Times New Roman"/>
                <w:b w:val="0"/>
                <w:bCs w:val="0"/>
                <w:color w:val="auto"/>
                <w:sz w:val="24"/>
                <w:szCs w:val="24"/>
                <w:highlight w:val="none"/>
                <w:lang w:val="en-US" w:eastAsia="zh-CN" w:bidi="ar-SA"/>
              </w:rPr>
              <w:t>液</w:t>
            </w:r>
            <w:r>
              <w:rPr>
                <w:rFonts w:hint="eastAsia" w:cs="Times New Roman"/>
                <w:b w:val="0"/>
                <w:bCs w:val="0"/>
                <w:color w:val="auto"/>
                <w:sz w:val="24"/>
                <w:szCs w:val="24"/>
                <w:highlight w:val="none"/>
                <w:lang w:val="en-US" w:eastAsia="zh-CN" w:bidi="ar-SA"/>
              </w:rPr>
              <w:t>、循环液、甲醇、淬火油、工业白油、防锈油</w:t>
            </w:r>
            <w:r>
              <w:rPr>
                <w:rFonts w:hint="default"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厂区最大储存量分别为：</w:t>
            </w:r>
            <w:r>
              <w:rPr>
                <w:rFonts w:hint="eastAsia" w:cs="Times New Roman"/>
                <w:b w:val="0"/>
                <w:bCs w:val="0"/>
                <w:color w:val="auto"/>
                <w:sz w:val="24"/>
                <w:szCs w:val="24"/>
                <w:highlight w:val="none"/>
                <w:lang w:val="en-US" w:eastAsia="zh-CN" w:bidi="ar-SA"/>
              </w:rPr>
              <w:t>冷镦机油：1.0t</w:t>
            </w:r>
            <w:r>
              <w:rPr>
                <w:rFonts w:hint="eastAsia" w:ascii="Times New Roman" w:hAnsi="Times New Roman" w:eastAsia="宋体" w:cs="Times New Roman"/>
                <w:b w:val="0"/>
                <w:bCs w:val="0"/>
                <w:color w:val="auto"/>
                <w:sz w:val="24"/>
                <w:szCs w:val="24"/>
                <w:highlight w:val="none"/>
                <w:lang w:val="en-US" w:eastAsia="zh-CN" w:bidi="ar-SA"/>
              </w:rPr>
              <w:t>、</w:t>
            </w:r>
            <w:r>
              <w:rPr>
                <w:rFonts w:hint="eastAsia" w:cs="Times New Roman"/>
                <w:b w:val="0"/>
                <w:bCs w:val="0"/>
                <w:color w:val="auto"/>
                <w:sz w:val="24"/>
                <w:szCs w:val="24"/>
                <w:highlight w:val="none"/>
                <w:lang w:val="en-US" w:eastAsia="zh-CN" w:bidi="ar-SA"/>
              </w:rPr>
              <w:t>甲醇：0.495t、淬火油：1.0t、工业白油：2.0t、防锈油：2.0t。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val="en-US" w:eastAsia="zh-CN"/>
              </w:rPr>
              <w:t>风险潜势初判</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计算所涉及的每种危险物质在厂界内的最大存在总量与其在《建设项目环境风险评价技术导则》（HJ169-2018）附录B中对应临界量的比值Q。在不同厂区的同一种物质，按其在厂界内的最大存在总量计算。</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当只涉及一种危险物质时，计算该物质的总量与其临界量比值，即为Q；</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当存在多种危险物质时，则按下式计算物质总量与其临界量比值Q；</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center"/>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position w:val="-30"/>
                <w:sz w:val="24"/>
                <w:szCs w:val="24"/>
                <w:highlight w:val="none"/>
                <w:lang w:val="en-US" w:eastAsia="zh-CN"/>
              </w:rPr>
              <w:object>
                <v:shape id="_x0000_i1028" o:spt="75" type="#_x0000_t75" style="height:34pt;width:100pt;" o:ole="t" filled="f" o:preferrelative="t" stroked="f" coordsize="21600,21600">
                  <v:path/>
                  <v:fill on="f" focussize="0,0"/>
                  <v:stroke on="f"/>
                  <v:imagedata r:id="rId21" o:title=""/>
                  <o:lock v:ext="edit" aspectratio="t"/>
                  <w10:wrap type="none"/>
                  <w10:anchorlock/>
                </v:shape>
                <o:OLEObject Type="Embed" ProgID="Equation.KSEE3" ShapeID="_x0000_i1028" DrawAspect="Content" ObjectID="_1468075728" r:id="rId20">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式中：q</w:t>
            </w:r>
            <w:r>
              <w:rPr>
                <w:rFonts w:hint="default" w:ascii="Times New Roman" w:hAnsi="Times New Roman" w:cs="Times New Roman"/>
                <w:color w:val="auto"/>
                <w:sz w:val="24"/>
                <w:szCs w:val="24"/>
                <w:highlight w:val="none"/>
                <w:vertAlign w:val="subscript"/>
                <w:lang w:val="en-US" w:eastAsia="zh-CN"/>
              </w:rPr>
              <w:t>1</w:t>
            </w:r>
            <w:r>
              <w:rPr>
                <w:rFonts w:hint="default" w:ascii="Times New Roman" w:hAnsi="Times New Roman" w:cs="Times New Roman"/>
                <w:color w:val="auto"/>
                <w:sz w:val="24"/>
                <w:szCs w:val="24"/>
                <w:highlight w:val="none"/>
                <w:lang w:val="en-US" w:eastAsia="zh-CN"/>
              </w:rPr>
              <w:t>、q</w:t>
            </w:r>
            <w:r>
              <w:rPr>
                <w:rFonts w:hint="default" w:ascii="Times New Roman" w:hAnsi="Times New Roman" w:cs="Times New Roman"/>
                <w:color w:val="auto"/>
                <w:sz w:val="24"/>
                <w:szCs w:val="24"/>
                <w:highlight w:val="none"/>
                <w:vertAlign w:val="subscript"/>
                <w:lang w:val="en-US" w:eastAsia="zh-CN"/>
              </w:rPr>
              <w:t>2</w:t>
            </w:r>
            <w:r>
              <w:rPr>
                <w:rFonts w:hint="default" w:ascii="Times New Roman" w:hAnsi="Times New Roman" w:cs="Times New Roman"/>
                <w:color w:val="auto"/>
                <w:sz w:val="24"/>
                <w:szCs w:val="24"/>
                <w:highlight w:val="none"/>
                <w:lang w:val="en-US" w:eastAsia="zh-CN"/>
              </w:rPr>
              <w:t>…q</w:t>
            </w:r>
            <w:r>
              <w:rPr>
                <w:rFonts w:hint="default" w:ascii="Times New Roman" w:hAnsi="Times New Roman" w:cs="Times New Roman"/>
                <w:color w:val="auto"/>
                <w:sz w:val="24"/>
                <w:szCs w:val="24"/>
                <w:highlight w:val="none"/>
                <w:vertAlign w:val="subscript"/>
                <w:lang w:val="en-US" w:eastAsia="zh-CN"/>
              </w:rPr>
              <w:t>n</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eastAsia="zh-CN"/>
              </w:rPr>
              <w:t>每种危险废物实际存在量，</w:t>
            </w:r>
            <w:r>
              <w:rPr>
                <w:rFonts w:hint="default" w:ascii="Times New Roman" w:hAnsi="Times New Roman" w:cs="Times New Roman"/>
                <w:color w:val="auto"/>
                <w:sz w:val="24"/>
                <w:szCs w:val="24"/>
                <w:highlight w:val="none"/>
                <w:lang w:val="en-US" w:eastAsia="zh-CN"/>
              </w:rPr>
              <w:t>t。</w:t>
            </w:r>
          </w:p>
          <w:p>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3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Q</w:t>
            </w:r>
            <w:r>
              <w:rPr>
                <w:rFonts w:hint="default" w:ascii="Times New Roman" w:hAnsi="Times New Roman" w:cs="Times New Roman"/>
                <w:color w:val="auto"/>
                <w:sz w:val="24"/>
                <w:szCs w:val="24"/>
                <w:highlight w:val="none"/>
                <w:vertAlign w:val="subscript"/>
                <w:lang w:val="en-US" w:eastAsia="zh-CN"/>
              </w:rPr>
              <w:t>1</w:t>
            </w:r>
            <w:r>
              <w:rPr>
                <w:rFonts w:hint="default" w:ascii="Times New Roman" w:hAnsi="Times New Roman" w:cs="Times New Roman"/>
                <w:color w:val="auto"/>
                <w:sz w:val="24"/>
                <w:szCs w:val="24"/>
                <w:highlight w:val="none"/>
                <w:lang w:val="en-US" w:eastAsia="zh-CN"/>
              </w:rPr>
              <w:t>、Q</w:t>
            </w:r>
            <w:r>
              <w:rPr>
                <w:rFonts w:hint="default" w:ascii="Times New Roman" w:hAnsi="Times New Roman" w:cs="Times New Roman"/>
                <w:color w:val="auto"/>
                <w:sz w:val="24"/>
                <w:szCs w:val="24"/>
                <w:highlight w:val="none"/>
                <w:vertAlign w:val="subscript"/>
                <w:lang w:val="en-US" w:eastAsia="zh-CN"/>
              </w:rPr>
              <w:t>2</w:t>
            </w:r>
            <w:r>
              <w:rPr>
                <w:rFonts w:hint="default" w:ascii="Times New Roman" w:hAnsi="Times New Roman" w:cs="Times New Roman"/>
                <w:color w:val="auto"/>
                <w:sz w:val="24"/>
                <w:szCs w:val="24"/>
                <w:highlight w:val="none"/>
                <w:lang w:val="en-US" w:eastAsia="zh-CN"/>
              </w:rPr>
              <w:t>…Q</w:t>
            </w:r>
            <w:r>
              <w:rPr>
                <w:rFonts w:hint="default" w:ascii="Times New Roman" w:hAnsi="Times New Roman" w:cs="Times New Roman"/>
                <w:color w:val="auto"/>
                <w:sz w:val="24"/>
                <w:szCs w:val="24"/>
                <w:highlight w:val="none"/>
                <w:vertAlign w:val="subscript"/>
                <w:lang w:val="en-US" w:eastAsia="zh-CN"/>
              </w:rPr>
              <w:t>n</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rPr>
              <w:t>——与各危险物质相对应的生产场所或贮存区的临界量，t。</w:t>
            </w:r>
          </w:p>
          <w:p>
            <w:pPr>
              <w:pStyle w:val="37"/>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当</w:t>
            </w:r>
            <w:r>
              <w:rPr>
                <w:rFonts w:hint="default" w:ascii="Times New Roman" w:hAnsi="Times New Roman" w:eastAsia="宋体" w:cs="Times New Roman"/>
                <w:color w:val="auto"/>
                <w:sz w:val="24"/>
                <w:szCs w:val="24"/>
                <w:highlight w:val="none"/>
                <w:lang w:val="en-US" w:eastAsia="zh-CN"/>
              </w:rPr>
              <w:t>Q&lt;1时，该项目风险潜势为Ⅰ。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当Q≥1时，将Q值划分为：（1）1≤Q&lt;10；（2）10≤Q&lt;100；（3）Q≥100。</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szCs w:val="24"/>
              </w:rPr>
            </w:pPr>
            <w:r>
              <w:rPr>
                <w:rFonts w:hint="eastAsia"/>
                <w:color w:val="auto"/>
                <w:sz w:val="24"/>
                <w:szCs w:val="24"/>
              </w:rPr>
              <w:t>本项目生产过程中，项目涉及</w:t>
            </w:r>
            <w:r>
              <w:rPr>
                <w:rFonts w:hint="default" w:ascii="Times New Roman" w:hAnsi="Times New Roman" w:cs="Times New Roman"/>
                <w:color w:val="auto"/>
                <w:sz w:val="24"/>
                <w:szCs w:val="24"/>
                <w:lang w:val="en-US" w:eastAsia="zh-CN"/>
              </w:rPr>
              <w:t>危险物质为</w:t>
            </w:r>
            <w:r>
              <w:rPr>
                <w:rFonts w:hint="eastAsia" w:cs="Times New Roman"/>
                <w:b w:val="0"/>
                <w:bCs w:val="0"/>
                <w:color w:val="auto"/>
                <w:sz w:val="24"/>
                <w:szCs w:val="24"/>
                <w:highlight w:val="none"/>
                <w:lang w:val="en-US" w:eastAsia="zh-CN" w:bidi="ar-SA"/>
              </w:rPr>
              <w:t>冷镦机油</w:t>
            </w:r>
            <w:r>
              <w:rPr>
                <w:rFonts w:hint="eastAsia" w:ascii="Times New Roman" w:hAnsi="Times New Roman" w:eastAsia="宋体" w:cs="Times New Roman"/>
                <w:b w:val="0"/>
                <w:bCs w:val="0"/>
                <w:color w:val="auto"/>
                <w:sz w:val="24"/>
                <w:szCs w:val="24"/>
                <w:highlight w:val="none"/>
                <w:lang w:val="en-US" w:eastAsia="zh-CN" w:bidi="ar-SA"/>
              </w:rPr>
              <w:t>、</w:t>
            </w:r>
            <w:r>
              <w:rPr>
                <w:rFonts w:hint="eastAsia" w:cs="Times New Roman"/>
                <w:b w:val="0"/>
                <w:bCs w:val="0"/>
                <w:color w:val="auto"/>
                <w:sz w:val="24"/>
                <w:szCs w:val="24"/>
                <w:highlight w:val="none"/>
                <w:lang w:val="en-US" w:eastAsia="zh-CN" w:bidi="ar-SA"/>
              </w:rPr>
              <w:t>特磨</w:t>
            </w:r>
            <w:r>
              <w:rPr>
                <w:rFonts w:hint="eastAsia" w:ascii="Times New Roman" w:hAnsi="Times New Roman" w:eastAsia="宋体" w:cs="Times New Roman"/>
                <w:b w:val="0"/>
                <w:bCs w:val="0"/>
                <w:color w:val="auto"/>
                <w:sz w:val="24"/>
                <w:szCs w:val="24"/>
                <w:highlight w:val="none"/>
                <w:lang w:val="en-US" w:eastAsia="zh-CN" w:bidi="ar-SA"/>
              </w:rPr>
              <w:t>液、</w:t>
            </w:r>
            <w:r>
              <w:rPr>
                <w:rFonts w:hint="eastAsia" w:cs="Times New Roman"/>
                <w:b w:val="0"/>
                <w:bCs w:val="0"/>
                <w:color w:val="auto"/>
                <w:sz w:val="24"/>
                <w:szCs w:val="24"/>
                <w:highlight w:val="none"/>
                <w:lang w:val="en-US" w:eastAsia="zh-CN" w:bidi="ar-SA"/>
              </w:rPr>
              <w:t>精研</w:t>
            </w:r>
            <w:r>
              <w:rPr>
                <w:rFonts w:hint="eastAsia" w:ascii="Times New Roman" w:hAnsi="Times New Roman" w:eastAsia="宋体" w:cs="Times New Roman"/>
                <w:b w:val="0"/>
                <w:bCs w:val="0"/>
                <w:color w:val="auto"/>
                <w:sz w:val="24"/>
                <w:szCs w:val="24"/>
                <w:highlight w:val="none"/>
                <w:lang w:val="en-US" w:eastAsia="zh-CN" w:bidi="ar-SA"/>
              </w:rPr>
              <w:t>液</w:t>
            </w:r>
            <w:r>
              <w:rPr>
                <w:rFonts w:hint="eastAsia" w:cs="Times New Roman"/>
                <w:b w:val="0"/>
                <w:bCs w:val="0"/>
                <w:color w:val="auto"/>
                <w:sz w:val="24"/>
                <w:szCs w:val="24"/>
                <w:highlight w:val="none"/>
                <w:lang w:val="en-US" w:eastAsia="zh-CN" w:bidi="ar-SA"/>
              </w:rPr>
              <w:t>、循环液、甲醇、淬火油、工业白油、防锈油</w:t>
            </w:r>
            <w:r>
              <w:rPr>
                <w:rFonts w:hint="default"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厂区最大储存量分别为：</w:t>
            </w:r>
            <w:r>
              <w:rPr>
                <w:rFonts w:hint="eastAsia" w:cs="Times New Roman"/>
                <w:b w:val="0"/>
                <w:bCs w:val="0"/>
                <w:color w:val="auto"/>
                <w:sz w:val="24"/>
                <w:szCs w:val="24"/>
                <w:highlight w:val="none"/>
                <w:lang w:val="en-US" w:eastAsia="zh-CN" w:bidi="ar-SA"/>
              </w:rPr>
              <w:t>冷镦机油：1.0t</w:t>
            </w:r>
            <w:r>
              <w:rPr>
                <w:rFonts w:hint="eastAsia" w:ascii="Times New Roman" w:hAnsi="Times New Roman" w:eastAsia="宋体" w:cs="Times New Roman"/>
                <w:b w:val="0"/>
                <w:bCs w:val="0"/>
                <w:color w:val="auto"/>
                <w:sz w:val="24"/>
                <w:szCs w:val="24"/>
                <w:highlight w:val="none"/>
                <w:lang w:val="en-US" w:eastAsia="zh-CN" w:bidi="ar-SA"/>
              </w:rPr>
              <w:t>、</w:t>
            </w:r>
            <w:r>
              <w:rPr>
                <w:rFonts w:hint="eastAsia" w:cs="Times New Roman"/>
                <w:b w:val="0"/>
                <w:bCs w:val="0"/>
                <w:color w:val="auto"/>
                <w:sz w:val="24"/>
                <w:szCs w:val="24"/>
                <w:highlight w:val="none"/>
                <w:lang w:val="en-US" w:eastAsia="zh-CN" w:bidi="ar-SA"/>
              </w:rPr>
              <w:t>甲醇：0.495t、淬火油：1.0t、工业白油：2.0t、防锈油：2.0t。其最大储存量与对应的临界量的对比情况见下表：</w:t>
            </w:r>
          </w:p>
          <w:p>
            <w:pPr>
              <w:pStyle w:val="37"/>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eastAsia="zh-CN"/>
              </w:rPr>
              <w:t>表</w:t>
            </w:r>
            <w:r>
              <w:rPr>
                <w:rFonts w:hint="eastAsia" w:ascii="Times New Roman" w:hAnsi="Times New Roman" w:cs="Times New Roman"/>
                <w:b/>
                <w:bCs/>
                <w:color w:val="auto"/>
                <w:lang w:val="en-US" w:eastAsia="zh-CN"/>
              </w:rPr>
              <w:t>4.</w:t>
            </w:r>
            <w:r>
              <w:rPr>
                <w:rFonts w:hint="eastAsia" w:cs="Times New Roman"/>
                <w:b/>
                <w:bCs/>
                <w:color w:val="auto"/>
                <w:lang w:val="en-US" w:eastAsia="zh-CN"/>
              </w:rPr>
              <w:t>18</w:t>
            </w:r>
            <w:r>
              <w:rPr>
                <w:rFonts w:hint="eastAsia" w:ascii="Times New Roman" w:hAnsi="Times New Roman" w:cs="Times New Roman"/>
                <w:b/>
                <w:bCs/>
                <w:color w:val="auto"/>
                <w:lang w:val="en-US" w:eastAsia="zh-CN"/>
              </w:rPr>
              <w:t xml:space="preserve"> </w:t>
            </w:r>
            <w:r>
              <w:rPr>
                <w:rFonts w:hint="default" w:ascii="Times New Roman" w:hAnsi="Times New Roman" w:cs="Times New Roman"/>
                <w:b/>
                <w:bCs/>
                <w:color w:val="auto"/>
                <w:lang w:val="en-US" w:eastAsia="zh-CN"/>
              </w:rPr>
              <w:t xml:space="preserve"> 危险物质储存量与临界量一览表</w:t>
            </w:r>
          </w:p>
          <w:tbl>
            <w:tblPr>
              <w:tblStyle w:val="26"/>
              <w:tblW w:w="83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2"/>
              <w:gridCol w:w="2201"/>
              <w:gridCol w:w="2087"/>
              <w:gridCol w:w="2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72"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物质名称</w:t>
                  </w:r>
                </w:p>
              </w:tc>
              <w:tc>
                <w:tcPr>
                  <w:tcW w:w="2201"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本项目最大储存量，t</w:t>
                  </w:r>
                </w:p>
              </w:tc>
              <w:tc>
                <w:tcPr>
                  <w:tcW w:w="2087"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临界量，t</w:t>
                  </w:r>
                </w:p>
              </w:tc>
              <w:tc>
                <w:tcPr>
                  <w:tcW w:w="2087"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jc w:val="center"/>
                    <w:textAlignment w:val="auto"/>
                    <w:rPr>
                      <w:rFonts w:hint="eastAsia" w:ascii="Times New Roman" w:hAnsi="Times New Roman" w:cs="Times New Roman"/>
                      <w:color w:val="auto"/>
                      <w:sz w:val="21"/>
                      <w:szCs w:val="21"/>
                      <w:vertAlign w:val="baseline"/>
                      <w:lang w:val="en-US" w:eastAsia="zh-CN"/>
                    </w:rPr>
                  </w:pPr>
                  <w:r>
                    <w:rPr>
                      <w:rFonts w:hint="default" w:ascii="Times New Roman" w:hAnsi="Times New Roman" w:eastAsia="Times New Roman" w:cs="Times New Roman"/>
                      <w:color w:val="auto"/>
                      <w:sz w:val="21"/>
                      <w:szCs w:val="21"/>
                    </w:rPr>
                    <w:t>q/Q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72"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冷镦机油</w:t>
                  </w:r>
                </w:p>
              </w:tc>
              <w:tc>
                <w:tcPr>
                  <w:tcW w:w="2201"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1.0</w:t>
                  </w:r>
                </w:p>
              </w:tc>
              <w:tc>
                <w:tcPr>
                  <w:tcW w:w="2087"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2500</w:t>
                  </w:r>
                </w:p>
              </w:tc>
              <w:tc>
                <w:tcPr>
                  <w:tcW w:w="2087"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0.0004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72"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甲醇</w:t>
                  </w:r>
                </w:p>
              </w:tc>
              <w:tc>
                <w:tcPr>
                  <w:tcW w:w="2201"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0.495</w:t>
                  </w:r>
                </w:p>
              </w:tc>
              <w:tc>
                <w:tcPr>
                  <w:tcW w:w="2087"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10</w:t>
                  </w:r>
                </w:p>
              </w:tc>
              <w:tc>
                <w:tcPr>
                  <w:tcW w:w="2087"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0.0495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72"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淬火油</w:t>
                  </w:r>
                </w:p>
              </w:tc>
              <w:tc>
                <w:tcPr>
                  <w:tcW w:w="2201"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1.0</w:t>
                  </w:r>
                </w:p>
              </w:tc>
              <w:tc>
                <w:tcPr>
                  <w:tcW w:w="2087"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2500</w:t>
                  </w:r>
                </w:p>
              </w:tc>
              <w:tc>
                <w:tcPr>
                  <w:tcW w:w="2087"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0.0004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72"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工业白油</w:t>
                  </w:r>
                </w:p>
              </w:tc>
              <w:tc>
                <w:tcPr>
                  <w:tcW w:w="2201"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2.0</w:t>
                  </w:r>
                </w:p>
              </w:tc>
              <w:tc>
                <w:tcPr>
                  <w:tcW w:w="2087"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2500</w:t>
                  </w:r>
                </w:p>
              </w:tc>
              <w:tc>
                <w:tcPr>
                  <w:tcW w:w="2087"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0.0008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72"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防锈油</w:t>
                  </w:r>
                </w:p>
              </w:tc>
              <w:tc>
                <w:tcPr>
                  <w:tcW w:w="2201"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2.0</w:t>
                  </w:r>
                </w:p>
              </w:tc>
              <w:tc>
                <w:tcPr>
                  <w:tcW w:w="2087"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2500</w:t>
                  </w:r>
                </w:p>
              </w:tc>
              <w:tc>
                <w:tcPr>
                  <w:tcW w:w="2087"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0.0008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60" w:type="dxa"/>
                  <w:gridSpan w:val="3"/>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jc w:val="center"/>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合计</w:t>
                  </w:r>
                </w:p>
              </w:tc>
              <w:tc>
                <w:tcPr>
                  <w:tcW w:w="2087" w:type="dxa"/>
                  <w:noWrap w:val="0"/>
                  <w:vAlign w:val="center"/>
                </w:tcPr>
                <w:p>
                  <w:pPr>
                    <w:pStyle w:val="37"/>
                    <w:keepNext w:val="0"/>
                    <w:keepLines w:val="0"/>
                    <w:pageBreakBefore w:val="0"/>
                    <w:widowControl w:val="0"/>
                    <w:kinsoku/>
                    <w:wordWrap/>
                    <w:overflowPunct/>
                    <w:topLinePunct w:val="0"/>
                    <w:autoSpaceDE w:val="0"/>
                    <w:autoSpaceDN w:val="0"/>
                    <w:bidi w:val="0"/>
                    <w:adjustRightInd w:val="0"/>
                    <w:snapToGrid w:val="0"/>
                    <w:spacing w:before="63" w:beforeLines="20"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0.0519</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由表</w:t>
            </w:r>
            <w:r>
              <w:rPr>
                <w:rFonts w:hint="eastAsia" w:cs="Times New Roman"/>
                <w:color w:val="auto"/>
                <w:sz w:val="24"/>
                <w:szCs w:val="24"/>
                <w:highlight w:val="none"/>
                <w:lang w:val="en-US" w:eastAsia="zh-CN"/>
              </w:rPr>
              <w:t>4.18</w:t>
            </w:r>
            <w:r>
              <w:rPr>
                <w:rFonts w:hint="eastAsia" w:ascii="Times New Roman" w:hAnsi="Times New Roman" w:cs="Times New Roman"/>
                <w:color w:val="auto"/>
                <w:sz w:val="24"/>
                <w:szCs w:val="24"/>
                <w:highlight w:val="none"/>
                <w:lang w:val="en-US" w:eastAsia="zh-CN"/>
              </w:rPr>
              <w:t>知，本项目物质总量与其临界量比值Q =</w:t>
            </w:r>
            <w:r>
              <w:rPr>
                <w:rFonts w:hint="eastAsia" w:cs="Times New Roman"/>
                <w:color w:val="auto"/>
                <w:sz w:val="24"/>
                <w:szCs w:val="24"/>
                <w:highlight w:val="none"/>
                <w:lang w:val="en-US" w:eastAsia="zh-CN"/>
              </w:rPr>
              <w:t>0.0519</w:t>
            </w:r>
            <w:r>
              <w:rPr>
                <w:rFonts w:hint="eastAsia" w:ascii="Times New Roman" w:hAnsi="Times New Roman" w:cs="Times New Roman"/>
                <w:color w:val="auto"/>
                <w:sz w:val="24"/>
                <w:szCs w:val="24"/>
                <w:highlight w:val="none"/>
                <w:lang w:val="en-US" w:eastAsia="zh-CN"/>
              </w:rPr>
              <w:t>&lt; 1。</w:t>
            </w:r>
            <w:r>
              <w:rPr>
                <w:rFonts w:hint="default" w:ascii="Times New Roman" w:hAnsi="Times New Roman" w:cs="Times New Roman"/>
                <w:color w:val="auto"/>
                <w:sz w:val="24"/>
                <w:szCs w:val="24"/>
                <w:highlight w:val="none"/>
                <w:lang w:val="en-US" w:eastAsia="zh-CN"/>
              </w:rPr>
              <w:t>根据《建设项目环境风险评价技术导则》（HJ/T169-2018），当 Q</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lang w:val="en-US" w:eastAsia="zh-CN"/>
              </w:rPr>
              <w:t>&lt;1 时，该项目</w:t>
            </w:r>
            <w:r>
              <w:rPr>
                <w:rFonts w:hint="eastAsia" w:ascii="Times New Roman" w:hAnsi="Times New Roman" w:cs="Times New Roman"/>
                <w:color w:val="auto"/>
                <w:sz w:val="24"/>
                <w:szCs w:val="24"/>
                <w:highlight w:val="none"/>
                <w:lang w:val="en-US" w:eastAsia="zh-CN"/>
              </w:rPr>
              <w:t>环境</w:t>
            </w:r>
            <w:r>
              <w:rPr>
                <w:rFonts w:hint="default" w:ascii="Times New Roman" w:hAnsi="Times New Roman" w:cs="Times New Roman"/>
                <w:color w:val="auto"/>
                <w:sz w:val="24"/>
                <w:szCs w:val="24"/>
                <w:highlight w:val="none"/>
                <w:lang w:val="en-US" w:eastAsia="zh-CN"/>
              </w:rPr>
              <w:t>风险潜势为</w:t>
            </w:r>
            <w:r>
              <w:rPr>
                <w:rFonts w:hint="default" w:ascii="Times New Roman" w:hAnsi="Times New Roman" w:eastAsia="宋体" w:cs="Times New Roman"/>
                <w:color w:val="auto"/>
                <w:sz w:val="24"/>
                <w:szCs w:val="24"/>
                <w:highlight w:val="none"/>
                <w:lang w:val="en-US" w:eastAsia="zh-CN"/>
              </w:rPr>
              <w:t>Ⅰ</w:t>
            </w:r>
            <w:r>
              <w:rPr>
                <w:rFonts w:hint="eastAsia" w:ascii="Times New Roman" w:hAnsi="Times New Roman" w:eastAsia="宋体" w:cs="Times New Roman"/>
                <w:color w:val="auto"/>
                <w:sz w:val="24"/>
                <w:szCs w:val="24"/>
                <w:highlight w:val="none"/>
                <w:lang w:val="en-US" w:eastAsia="zh-CN"/>
              </w:rPr>
              <w:t>，进行简单分析</w:t>
            </w:r>
            <w:r>
              <w:rPr>
                <w:rFonts w:hint="default" w:ascii="Times New Roman" w:hAnsi="Times New Roman" w:eastAsia="宋体" w:cs="Times New Roman"/>
                <w:color w:val="auto"/>
                <w:sz w:val="24"/>
                <w:szCs w:val="24"/>
                <w:highlight w:val="none"/>
                <w:lang w:val="en-US" w:eastAsia="zh-CN"/>
              </w:rPr>
              <w:t>。</w:t>
            </w:r>
          </w:p>
          <w:p>
            <w:pPr>
              <w:pStyle w:val="37"/>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b w:val="0"/>
                <w:bCs w:val="0"/>
                <w:color w:val="auto"/>
                <w:highlight w:val="none"/>
                <w:lang w:eastAsia="zh-CN"/>
              </w:rPr>
            </w:pPr>
            <w:r>
              <w:rPr>
                <w:rFonts w:hint="eastAsia"/>
                <w:b w:val="0"/>
                <w:bCs w:val="0"/>
                <w:color w:val="auto"/>
                <w:highlight w:val="none"/>
                <w:lang w:eastAsia="zh-CN"/>
              </w:rPr>
              <w:t>（</w:t>
            </w:r>
            <w:r>
              <w:rPr>
                <w:rFonts w:hint="eastAsia"/>
                <w:b w:val="0"/>
                <w:bCs w:val="0"/>
                <w:color w:val="auto"/>
                <w:highlight w:val="none"/>
                <w:lang w:val="en-US" w:eastAsia="zh-CN"/>
              </w:rPr>
              <w:t>3）</w:t>
            </w:r>
            <w:r>
              <w:rPr>
                <w:b w:val="0"/>
                <w:bCs w:val="0"/>
                <w:color w:val="auto"/>
                <w:highlight w:val="none"/>
              </w:rPr>
              <w:t>环境风险</w:t>
            </w:r>
            <w:r>
              <w:rPr>
                <w:rFonts w:hint="eastAsia"/>
                <w:b w:val="0"/>
                <w:bCs w:val="0"/>
                <w:color w:val="auto"/>
                <w:highlight w:val="none"/>
              </w:rPr>
              <w:t>识别</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val="en-US" w:eastAsia="zh-CN"/>
              </w:rPr>
              <w:t>风险识别范围和风险类型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按照《建设项目环境风险评价技术导则》（HJ</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169-2018）的要求，项目风险识别范围主要包括物质风险性识别、生产系统危险性识别、危险物质向环境转移的途径识别。</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物质危险性识别，包括主要原辅材料、燃料、中间产品、副产品、最终产品、污染物、火灾和爆炸伴生/次生物等。</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生产系统危险性识别，包括主要生产装置、储运设施、公用工程和辅助生产设施，以及环境保护设施等。</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危险物质向环境转移的途径识别，包括分析危险物质特性及可能的环境风险类型，识别危险物质影响环境的途径，分析可能影响的环境敏感目标。</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val="en-US" w:eastAsia="zh-CN"/>
              </w:rPr>
              <w:t>风险物质识别</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eastAsia" w:cs="Times New Roman"/>
                <w:b w:val="0"/>
                <w:bCs w:val="0"/>
                <w:color w:val="auto"/>
                <w:sz w:val="24"/>
                <w:szCs w:val="24"/>
                <w:highlight w:val="none"/>
                <w:lang w:val="en-US" w:eastAsia="zh-CN"/>
              </w:rPr>
            </w:pPr>
            <w:r>
              <w:rPr>
                <w:rFonts w:hint="eastAsia" w:cs="Times New Roman"/>
                <w:b/>
                <w:bCs/>
                <w:color w:val="auto"/>
                <w:sz w:val="24"/>
                <w:szCs w:val="24"/>
                <w:highlight w:val="none"/>
                <w:lang w:val="en-US" w:eastAsia="zh-CN"/>
              </w:rPr>
              <w:t>冷镦机油：</w:t>
            </w:r>
            <w:r>
              <w:rPr>
                <w:rFonts w:hint="eastAsia" w:cs="Times New Roman"/>
                <w:b w:val="0"/>
                <w:bCs w:val="0"/>
                <w:color w:val="auto"/>
                <w:sz w:val="24"/>
                <w:szCs w:val="24"/>
                <w:highlight w:val="none"/>
                <w:lang w:val="en-US" w:eastAsia="zh-CN"/>
              </w:rPr>
              <w:t>46#机械油，是一种通用润滑油，密度约为 0.91</w:t>
            </w:r>
            <w:r>
              <w:rPr>
                <w:rFonts w:hint="default" w:ascii="Arial" w:hAnsi="Arial" w:cs="Arial"/>
                <w:b w:val="0"/>
                <w:bCs w:val="0"/>
                <w:color w:val="auto"/>
                <w:sz w:val="24"/>
                <w:szCs w:val="24"/>
                <w:highlight w:val="none"/>
                <w:lang w:val="en-US" w:eastAsia="zh-CN"/>
              </w:rPr>
              <w:t>×</w:t>
            </w:r>
            <w:r>
              <w:rPr>
                <w:rFonts w:hint="eastAsia" w:cs="Times New Roman"/>
                <w:b w:val="0"/>
                <w:bCs w:val="0"/>
                <w:color w:val="auto"/>
                <w:sz w:val="24"/>
                <w:szCs w:val="24"/>
                <w:highlight w:val="none"/>
                <w:lang w:val="en-US" w:eastAsia="zh-CN"/>
              </w:rPr>
              <w:t>10</w:t>
            </w:r>
            <w:r>
              <w:rPr>
                <w:rFonts w:hint="eastAsia" w:cs="Times New Roman"/>
                <w:b w:val="0"/>
                <w:bCs w:val="0"/>
                <w:color w:val="auto"/>
                <w:sz w:val="24"/>
                <w:szCs w:val="24"/>
                <w:highlight w:val="none"/>
                <w:vertAlign w:val="superscript"/>
                <w:lang w:val="en-US" w:eastAsia="zh-CN"/>
              </w:rPr>
              <w:t>3</w:t>
            </w:r>
            <w:r>
              <w:rPr>
                <w:rFonts w:hint="eastAsia" w:cs="Times New Roman"/>
                <w:b w:val="0"/>
                <w:bCs w:val="0"/>
                <w:color w:val="auto"/>
                <w:sz w:val="24"/>
                <w:szCs w:val="24"/>
                <w:highlight w:val="none"/>
                <w:lang w:val="en-US" w:eastAsia="zh-CN"/>
              </w:rPr>
              <w:t>（kg/m</w:t>
            </w:r>
            <w:r>
              <w:rPr>
                <w:rFonts w:hint="eastAsia" w:cs="Times New Roman"/>
                <w:b w:val="0"/>
                <w:bCs w:val="0"/>
                <w:color w:val="auto"/>
                <w:sz w:val="24"/>
                <w:szCs w:val="24"/>
                <w:highlight w:val="none"/>
                <w:vertAlign w:val="superscript"/>
                <w:lang w:val="en-US" w:eastAsia="zh-CN"/>
              </w:rPr>
              <w:t>3</w:t>
            </w:r>
            <w:r>
              <w:rPr>
                <w:rFonts w:hint="eastAsia" w:cs="Times New Roman"/>
                <w:b w:val="0"/>
                <w:bCs w:val="0"/>
                <w:color w:val="auto"/>
                <w:sz w:val="24"/>
                <w:szCs w:val="24"/>
                <w:highlight w:val="none"/>
                <w:lang w:val="en-US" w:eastAsia="zh-CN"/>
              </w:rPr>
              <w:t>），</w:t>
            </w:r>
            <w:r>
              <w:rPr>
                <w:rFonts w:hint="eastAsia" w:cs="Times New Roman"/>
                <w:b w:val="0"/>
                <w:bCs w:val="0"/>
                <w:color w:val="auto"/>
                <w:sz w:val="24"/>
                <w:szCs w:val="24"/>
                <w:lang w:val="en-US" w:eastAsia="zh-CN"/>
              </w:rPr>
              <w:t>运动粘度（40</w:t>
            </w:r>
            <w:r>
              <w:rPr>
                <w:rFonts w:hint="eastAsia" w:ascii="宋体" w:hAnsi="宋体" w:eastAsia="宋体" w:cs="宋体"/>
                <w:b w:val="0"/>
                <w:bCs w:val="0"/>
                <w:color w:val="auto"/>
                <w:sz w:val="24"/>
                <w:szCs w:val="24"/>
                <w:lang w:val="en-US" w:eastAsia="zh-CN"/>
              </w:rPr>
              <w:t>℃</w:t>
            </w:r>
            <w:r>
              <w:rPr>
                <w:rFonts w:hint="eastAsia" w:cs="Times New Roman"/>
                <w:b w:val="0"/>
                <w:bCs w:val="0"/>
                <w:color w:val="auto"/>
                <w:sz w:val="24"/>
                <w:szCs w:val="24"/>
                <w:lang w:val="en-US" w:eastAsia="zh-CN"/>
              </w:rPr>
              <w:t>）为45.5mm</w:t>
            </w:r>
            <w:r>
              <w:rPr>
                <w:rFonts w:hint="eastAsia" w:cs="Times New Roman"/>
                <w:b w:val="0"/>
                <w:bCs w:val="0"/>
                <w:color w:val="auto"/>
                <w:sz w:val="24"/>
                <w:szCs w:val="24"/>
                <w:vertAlign w:val="superscript"/>
                <w:lang w:val="en-US" w:eastAsia="zh-CN"/>
              </w:rPr>
              <w:t>2</w:t>
            </w:r>
            <w:r>
              <w:rPr>
                <w:rFonts w:hint="eastAsia" w:cs="Times New Roman"/>
                <w:b w:val="0"/>
                <w:bCs w:val="0"/>
                <w:color w:val="auto"/>
                <w:sz w:val="24"/>
                <w:szCs w:val="24"/>
                <w:lang w:val="en-US" w:eastAsia="zh-CN"/>
              </w:rPr>
              <w:t>/s，</w:t>
            </w:r>
            <w:r>
              <w:rPr>
                <w:rFonts w:hint="eastAsia" w:ascii="宋体" w:hAnsi="宋体" w:eastAsia="宋体" w:cs="宋体"/>
                <w:b w:val="0"/>
                <w:bCs w:val="0"/>
                <w:color w:val="auto"/>
                <w:sz w:val="24"/>
                <w:szCs w:val="24"/>
                <w:lang w:val="en-US" w:eastAsia="zh-CN"/>
              </w:rPr>
              <w:t>闪点</w:t>
            </w:r>
            <w:r>
              <w:rPr>
                <w:rFonts w:hint="eastAsia" w:cs="Times New Roman"/>
                <w:b w:val="0"/>
                <w:bCs w:val="0"/>
                <w:color w:val="auto"/>
                <w:sz w:val="24"/>
                <w:szCs w:val="24"/>
                <w:lang w:val="en-US" w:eastAsia="zh-CN"/>
              </w:rPr>
              <w:t>（</w:t>
            </w:r>
            <w:r>
              <w:rPr>
                <w:rFonts w:hint="eastAsia" w:ascii="宋体" w:hAnsi="宋体" w:eastAsia="宋体" w:cs="宋体"/>
                <w:b w:val="0"/>
                <w:bCs w:val="0"/>
                <w:color w:val="auto"/>
                <w:sz w:val="24"/>
                <w:szCs w:val="24"/>
                <w:lang w:val="en-US" w:eastAsia="zh-CN"/>
              </w:rPr>
              <w:t>℃</w:t>
            </w:r>
            <w:r>
              <w:rPr>
                <w:rFonts w:hint="eastAsia" w:cs="Times New Roman"/>
                <w:b w:val="0"/>
                <w:bCs w:val="0"/>
                <w:color w:val="auto"/>
                <w:sz w:val="24"/>
                <w:szCs w:val="24"/>
                <w:lang w:val="en-US" w:eastAsia="zh-CN"/>
              </w:rPr>
              <w:t>）170</w:t>
            </w:r>
            <w:r>
              <w:rPr>
                <w:rFonts w:hint="eastAsia" w:ascii="宋体" w:hAnsi="宋体" w:eastAsia="宋体" w:cs="宋体"/>
                <w:b w:val="0"/>
                <w:bCs w:val="0"/>
                <w:color w:val="auto"/>
                <w:sz w:val="24"/>
                <w:szCs w:val="24"/>
                <w:lang w:val="en-US" w:eastAsia="zh-CN"/>
              </w:rPr>
              <w:t>℃</w:t>
            </w:r>
            <w:r>
              <w:rPr>
                <w:rFonts w:hint="eastAsia" w:ascii="宋体" w:hAnsi="宋体" w:cs="宋体"/>
                <w:b w:val="0"/>
                <w:bCs w:val="0"/>
                <w:color w:val="auto"/>
                <w:sz w:val="24"/>
                <w:szCs w:val="24"/>
                <w:lang w:val="en-US" w:eastAsia="zh-CN"/>
              </w:rPr>
              <w:t>，</w:t>
            </w:r>
            <w:r>
              <w:rPr>
                <w:rFonts w:hint="eastAsia" w:cs="Times New Roman"/>
                <w:b w:val="0"/>
                <w:bCs w:val="0"/>
                <w:color w:val="auto"/>
                <w:sz w:val="24"/>
                <w:szCs w:val="24"/>
                <w:highlight w:val="none"/>
                <w:lang w:val="en-US" w:eastAsia="zh-CN"/>
              </w:rPr>
              <w:t>可燃，长时间接触可引起眼、鼻刺激症状，头晕及头痛。</w:t>
            </w:r>
          </w:p>
          <w:p>
            <w:pPr>
              <w:pStyle w:val="37"/>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eastAsia" w:ascii="Times New Roman" w:hAnsi="Times New Roman" w:cs="Times New Roman"/>
                <w:color w:val="auto"/>
                <w:sz w:val="24"/>
                <w:szCs w:val="24"/>
                <w:lang w:val="en-US" w:eastAsia="zh-CN"/>
              </w:rPr>
            </w:pPr>
            <w:r>
              <w:rPr>
                <w:rFonts w:hint="eastAsia"/>
                <w:b/>
                <w:bCs/>
                <w:color w:val="auto"/>
                <w:lang w:val="en-US" w:eastAsia="zh-CN"/>
              </w:rPr>
              <w:t>甲醇：</w:t>
            </w:r>
            <w:r>
              <w:rPr>
                <w:rFonts w:hint="eastAsia"/>
                <w:b w:val="0"/>
                <w:bCs w:val="0"/>
                <w:color w:val="auto"/>
                <w:lang w:val="en-US" w:eastAsia="zh-CN"/>
              </w:rPr>
              <w:t>分子式为</w:t>
            </w:r>
            <w:r>
              <w:rPr>
                <w:rFonts w:hint="eastAsia" w:ascii="Times New Roman" w:hAnsi="Times New Roman" w:cs="Times New Roman"/>
                <w:color w:val="auto"/>
                <w:sz w:val="24"/>
                <w:szCs w:val="24"/>
                <w:lang w:val="en-US" w:eastAsia="zh-CN"/>
              </w:rPr>
              <w:t>CH</w:t>
            </w:r>
            <w:r>
              <w:rPr>
                <w:rFonts w:hint="eastAsia" w:ascii="Times New Roman" w:hAnsi="Times New Roman" w:cs="Times New Roman"/>
                <w:color w:val="auto"/>
                <w:sz w:val="24"/>
                <w:szCs w:val="24"/>
                <w:vertAlign w:val="subscript"/>
                <w:lang w:val="en-US" w:eastAsia="zh-CN"/>
              </w:rPr>
              <w:t>4</w:t>
            </w:r>
            <w:r>
              <w:rPr>
                <w:rFonts w:hint="eastAsia" w:ascii="Times New Roman" w:hAnsi="Times New Roman" w:cs="Times New Roman"/>
                <w:color w:val="auto"/>
                <w:sz w:val="24"/>
                <w:szCs w:val="24"/>
                <w:lang w:val="en-US" w:eastAsia="zh-CN"/>
              </w:rPr>
              <w:t>O，分子量32.</w:t>
            </w:r>
            <w:r>
              <w:rPr>
                <w:rFonts w:hint="eastAsia" w:cs="Times New Roman"/>
                <w:color w:val="auto"/>
                <w:sz w:val="24"/>
                <w:szCs w:val="24"/>
                <w:lang w:val="en-US" w:eastAsia="zh-CN"/>
              </w:rPr>
              <w:t>0</w:t>
            </w:r>
            <w:r>
              <w:rPr>
                <w:rFonts w:hint="eastAsia" w:ascii="Times New Roman" w:hAnsi="Times New Roman" w:cs="Times New Roman"/>
                <w:color w:val="auto"/>
                <w:sz w:val="24"/>
                <w:szCs w:val="24"/>
                <w:lang w:val="en-US" w:eastAsia="zh-CN"/>
              </w:rPr>
              <w:t>4，熔点-97.8℃，沸点64.</w:t>
            </w:r>
            <w:r>
              <w:rPr>
                <w:rFonts w:hint="eastAsia" w:cs="Times New Roman"/>
                <w:color w:val="auto"/>
                <w:sz w:val="24"/>
                <w:szCs w:val="24"/>
                <w:lang w:val="en-US" w:eastAsia="zh-CN"/>
              </w:rPr>
              <w:t>7</w:t>
            </w:r>
            <w:r>
              <w:rPr>
                <w:rFonts w:hint="eastAsia" w:ascii="Times New Roman" w:hAnsi="Times New Roman" w:cs="Times New Roman"/>
                <w:color w:val="auto"/>
                <w:sz w:val="24"/>
                <w:szCs w:val="24"/>
                <w:lang w:val="en-US" w:eastAsia="zh-CN"/>
              </w:rPr>
              <w:t>℃，相对密度（水=1）为0.79，相对密度（空气=1）1.11。闪点11℃，无色透明液体，有刺激性气味，与水互溶，可混溶于醇类、乙醚等多数有机溶剂。危险标记：易燃液体。健康危害：对中枢神经系统有麻醉作用，对视神经和视网膜有特殊选择作用，引起病变，可致代谢性酸中毒。LD50：5628mg/kg（大鼠经口）；15800mg/kg（兔经皮）；LC50：83776mg/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lang w:val="en-US" w:eastAsia="zh-CN"/>
              </w:rPr>
              <w:t>，4小时（大鼠吸入）；人经口5</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10mL，潜伏期8</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36小时，致昏迷；人经口15mL，48小时内产生视网膜炎，失明；人经口30</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100mL中枢神经系统严重损害，呼吸衰弱，死亡。</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lang w:val="en-US" w:eastAsia="zh-CN"/>
              </w:rPr>
              <w:t>由物化性质可知，甲醇易燃，并且具有一定的毒性。</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eastAsia" w:ascii="Times New Roman" w:hAnsi="Times New Roman" w:eastAsia="宋体" w:cs="Times New Roman"/>
                <w:b w:val="0"/>
                <w:bCs w:val="0"/>
                <w:color w:val="auto"/>
                <w:sz w:val="24"/>
                <w:szCs w:val="24"/>
                <w:lang w:val="en-US" w:eastAsia="zh-CN"/>
              </w:rPr>
            </w:pPr>
            <w:r>
              <w:rPr>
                <w:rFonts w:hint="eastAsia" w:cs="Times New Roman"/>
                <w:b/>
                <w:bCs/>
                <w:color w:val="auto"/>
                <w:sz w:val="24"/>
                <w:szCs w:val="24"/>
                <w:lang w:val="en-US" w:eastAsia="zh-CN"/>
              </w:rPr>
              <w:t>淬火油：</w:t>
            </w:r>
            <w:r>
              <w:rPr>
                <w:rFonts w:hint="eastAsia" w:cs="Times New Roman"/>
                <w:b w:val="0"/>
                <w:bCs w:val="0"/>
                <w:color w:val="auto"/>
                <w:sz w:val="24"/>
                <w:szCs w:val="24"/>
                <w:lang w:val="en-US" w:eastAsia="zh-CN"/>
              </w:rPr>
              <w:t>是一种工艺用油，淬火油是零件在可控气氛下加热淬火的一种冷却介质，具有较高的闪点和燃点，良好的冷却性能。本项目所使用淬火油是深棕色液体，无味，运动粘度（40</w:t>
            </w:r>
            <w:r>
              <w:rPr>
                <w:rFonts w:hint="eastAsia" w:ascii="宋体" w:hAnsi="宋体" w:eastAsia="宋体" w:cs="宋体"/>
                <w:b w:val="0"/>
                <w:bCs w:val="0"/>
                <w:color w:val="auto"/>
                <w:sz w:val="24"/>
                <w:szCs w:val="24"/>
                <w:lang w:val="en-US" w:eastAsia="zh-CN"/>
              </w:rPr>
              <w:t>℃</w:t>
            </w:r>
            <w:r>
              <w:rPr>
                <w:rFonts w:hint="eastAsia" w:cs="Times New Roman"/>
                <w:b w:val="0"/>
                <w:bCs w:val="0"/>
                <w:color w:val="auto"/>
                <w:sz w:val="24"/>
                <w:szCs w:val="24"/>
                <w:lang w:val="en-US" w:eastAsia="zh-CN"/>
              </w:rPr>
              <w:t>）为40.0mm</w:t>
            </w:r>
            <w:r>
              <w:rPr>
                <w:rFonts w:hint="eastAsia" w:cs="Times New Roman"/>
                <w:b w:val="0"/>
                <w:bCs w:val="0"/>
                <w:color w:val="auto"/>
                <w:sz w:val="24"/>
                <w:szCs w:val="24"/>
                <w:vertAlign w:val="superscript"/>
                <w:lang w:val="en-US" w:eastAsia="zh-CN"/>
              </w:rPr>
              <w:t>2</w:t>
            </w:r>
            <w:r>
              <w:rPr>
                <w:rFonts w:hint="eastAsia" w:cs="Times New Roman"/>
                <w:b w:val="0"/>
                <w:bCs w:val="0"/>
                <w:color w:val="auto"/>
                <w:sz w:val="24"/>
                <w:szCs w:val="24"/>
                <w:lang w:val="en-US" w:eastAsia="zh-CN"/>
              </w:rPr>
              <w:t>/s，</w:t>
            </w:r>
            <w:r>
              <w:rPr>
                <w:rFonts w:hint="eastAsia" w:ascii="宋体" w:hAnsi="宋体" w:eastAsia="宋体" w:cs="宋体"/>
                <w:b w:val="0"/>
                <w:bCs w:val="0"/>
                <w:color w:val="auto"/>
                <w:sz w:val="24"/>
                <w:szCs w:val="24"/>
                <w:lang w:val="en-US" w:eastAsia="zh-CN"/>
              </w:rPr>
              <w:t>闪点</w:t>
            </w:r>
            <w:r>
              <w:rPr>
                <w:rFonts w:hint="eastAsia" w:cs="Times New Roman"/>
                <w:b w:val="0"/>
                <w:bCs w:val="0"/>
                <w:color w:val="auto"/>
                <w:sz w:val="24"/>
                <w:szCs w:val="24"/>
                <w:lang w:val="en-US" w:eastAsia="zh-CN"/>
              </w:rPr>
              <w:t>（</w:t>
            </w:r>
            <w:r>
              <w:rPr>
                <w:rFonts w:hint="eastAsia" w:ascii="宋体" w:hAnsi="宋体" w:eastAsia="宋体" w:cs="宋体"/>
                <w:b w:val="0"/>
                <w:bCs w:val="0"/>
                <w:color w:val="auto"/>
                <w:sz w:val="24"/>
                <w:szCs w:val="24"/>
                <w:lang w:val="en-US" w:eastAsia="zh-CN"/>
              </w:rPr>
              <w:t>℃</w:t>
            </w:r>
            <w:r>
              <w:rPr>
                <w:rFonts w:hint="eastAsia" w:cs="Times New Roman"/>
                <w:b w:val="0"/>
                <w:bCs w:val="0"/>
                <w:color w:val="auto"/>
                <w:sz w:val="24"/>
                <w:szCs w:val="24"/>
                <w:lang w:val="en-US" w:eastAsia="zh-CN"/>
              </w:rPr>
              <w:t>）222</w:t>
            </w:r>
            <w:r>
              <w:rPr>
                <w:rFonts w:hint="eastAsia" w:ascii="宋体" w:hAnsi="宋体" w:eastAsia="宋体" w:cs="宋体"/>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w:t>
            </w:r>
            <w:r>
              <w:rPr>
                <w:rFonts w:hint="eastAsia" w:cs="Times New Roman"/>
                <w:b w:val="0"/>
                <w:bCs w:val="0"/>
                <w:color w:val="auto"/>
                <w:sz w:val="24"/>
                <w:szCs w:val="24"/>
                <w:lang w:val="en-US" w:eastAsia="zh-CN"/>
              </w:rPr>
              <w:t>光亮级为2级，酸值为0.259mgKOH/g，</w:t>
            </w:r>
            <w:r>
              <w:rPr>
                <w:rFonts w:hint="eastAsia" w:ascii="Times New Roman" w:hAnsi="Times New Roman" w:eastAsia="宋体" w:cs="Times New Roman"/>
                <w:b w:val="0"/>
                <w:bCs w:val="0"/>
                <w:color w:val="auto"/>
                <w:sz w:val="24"/>
                <w:szCs w:val="24"/>
                <w:lang w:val="en-US" w:eastAsia="zh-CN"/>
              </w:rPr>
              <w:t>不溶于水。</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eastAsia" w:cs="Times New Roman"/>
                <w:b w:val="0"/>
                <w:bCs w:val="0"/>
                <w:color w:val="auto"/>
                <w:sz w:val="24"/>
                <w:szCs w:val="24"/>
                <w:highlight w:val="none"/>
                <w:lang w:val="en-US" w:eastAsia="zh-CN"/>
              </w:rPr>
            </w:pPr>
            <w:r>
              <w:rPr>
                <w:rFonts w:hint="eastAsia" w:cs="Times New Roman"/>
                <w:b/>
                <w:bCs/>
                <w:color w:val="auto"/>
                <w:sz w:val="24"/>
                <w:szCs w:val="24"/>
                <w:highlight w:val="none"/>
                <w:lang w:val="en-US" w:eastAsia="zh-CN"/>
              </w:rPr>
              <w:t>工业白油：</w:t>
            </w:r>
            <w:r>
              <w:rPr>
                <w:rFonts w:hint="eastAsia" w:cs="Times New Roman"/>
                <w:b w:val="0"/>
                <w:bCs w:val="0"/>
                <w:color w:val="auto"/>
                <w:sz w:val="24"/>
                <w:szCs w:val="24"/>
                <w:highlight w:val="none"/>
                <w:lang w:val="en-US" w:eastAsia="zh-CN"/>
              </w:rPr>
              <w:t>是高度精炼产品，无色、无味，无毒。运动黏度40℃为2.5～3.5mm</w:t>
            </w:r>
            <w:r>
              <w:rPr>
                <w:rFonts w:hint="eastAsia" w:cs="Times New Roman"/>
                <w:b w:val="0"/>
                <w:bCs w:val="0"/>
                <w:color w:val="auto"/>
                <w:sz w:val="24"/>
                <w:szCs w:val="24"/>
                <w:highlight w:val="none"/>
                <w:vertAlign w:val="superscript"/>
                <w:lang w:val="en-US" w:eastAsia="zh-CN"/>
              </w:rPr>
              <w:t>2</w:t>
            </w:r>
            <w:r>
              <w:rPr>
                <w:rFonts w:hint="eastAsia" w:cs="Times New Roman"/>
                <w:b w:val="0"/>
                <w:bCs w:val="0"/>
                <w:color w:val="auto"/>
                <w:sz w:val="24"/>
                <w:szCs w:val="24"/>
                <w:highlight w:val="none"/>
                <w:lang w:val="en-US" w:eastAsia="zh-CN"/>
              </w:rPr>
              <w:t>/s，闪点130℃，凝点：-20℃，密度20℃为0.777g/cm</w:t>
            </w:r>
            <w:r>
              <w:rPr>
                <w:rFonts w:hint="eastAsia" w:cs="Times New Roman"/>
                <w:b w:val="0"/>
                <w:bCs w:val="0"/>
                <w:color w:val="auto"/>
                <w:sz w:val="24"/>
                <w:szCs w:val="24"/>
                <w:highlight w:val="none"/>
                <w:vertAlign w:val="superscript"/>
                <w:lang w:val="en-US" w:eastAsia="zh-CN"/>
              </w:rPr>
              <w:t>3</w:t>
            </w:r>
            <w:r>
              <w:rPr>
                <w:rFonts w:hint="eastAsia" w:cs="Times New Roman"/>
                <w:b w:val="0"/>
                <w:bCs w:val="0"/>
                <w:color w:val="auto"/>
                <w:sz w:val="24"/>
                <w:szCs w:val="24"/>
                <w:highlight w:val="none"/>
                <w:lang w:val="en-US" w:eastAsia="zh-CN"/>
              </w:rPr>
              <w:t>，</w:t>
            </w:r>
            <w:r>
              <w:rPr>
                <w:rFonts w:hint="eastAsia" w:cs="Times New Roman"/>
                <w:b w:val="0"/>
                <w:bCs w:val="0"/>
                <w:color w:val="auto"/>
                <w:sz w:val="24"/>
                <w:szCs w:val="24"/>
                <w:lang w:val="en-US" w:eastAsia="zh-CN"/>
              </w:rPr>
              <w:t>酸值为0.006mgKOH/g</w:t>
            </w:r>
            <w:r>
              <w:rPr>
                <w:rFonts w:hint="eastAsia" w:cs="Times New Roman"/>
                <w:b w:val="0"/>
                <w:bCs w:val="0"/>
                <w:color w:val="auto"/>
                <w:sz w:val="24"/>
                <w:szCs w:val="24"/>
                <w:highlight w:val="none"/>
                <w:lang w:val="en-US" w:eastAsia="zh-CN"/>
              </w:rPr>
              <w:t>。不溶于水，</w:t>
            </w:r>
            <w:r>
              <w:rPr>
                <w:rFonts w:hint="eastAsia" w:cs="Times New Roman"/>
                <w:b w:val="0"/>
                <w:bCs w:val="0"/>
                <w:color w:val="auto"/>
                <w:sz w:val="24"/>
                <w:szCs w:val="24"/>
                <w:highlight w:val="none"/>
                <w:lang w:val="en-US" w:eastAsia="zh-CN"/>
              </w:rPr>
              <w:fldChar w:fldCharType="begin"/>
            </w:r>
            <w:r>
              <w:rPr>
                <w:rFonts w:hint="eastAsia" w:cs="Times New Roman"/>
                <w:b w:val="0"/>
                <w:bCs w:val="0"/>
                <w:color w:val="auto"/>
                <w:sz w:val="24"/>
                <w:szCs w:val="24"/>
                <w:highlight w:val="none"/>
                <w:lang w:val="en-US" w:eastAsia="zh-CN"/>
              </w:rPr>
              <w:instrText xml:space="preserve"> HYPERLINK "https://baike.so.com/doc/5249044.html" \t "https://baike.so.com/doc/_blank" </w:instrText>
            </w:r>
            <w:r>
              <w:rPr>
                <w:rFonts w:hint="eastAsia" w:cs="Times New Roman"/>
                <w:b w:val="0"/>
                <w:bCs w:val="0"/>
                <w:color w:val="auto"/>
                <w:sz w:val="24"/>
                <w:szCs w:val="24"/>
                <w:highlight w:val="none"/>
                <w:lang w:val="en-US" w:eastAsia="zh-CN"/>
              </w:rPr>
              <w:fldChar w:fldCharType="separate"/>
            </w:r>
            <w:r>
              <w:rPr>
                <w:rFonts w:hint="eastAsia" w:cs="Times New Roman"/>
                <w:b w:val="0"/>
                <w:bCs w:val="0"/>
                <w:color w:val="auto"/>
                <w:sz w:val="24"/>
                <w:szCs w:val="24"/>
                <w:highlight w:val="none"/>
                <w:lang w:val="en-US" w:eastAsia="zh-CN"/>
              </w:rPr>
              <w:t>易溶</w:t>
            </w:r>
            <w:r>
              <w:rPr>
                <w:rFonts w:hint="eastAsia" w:cs="Times New Roman"/>
                <w:b w:val="0"/>
                <w:bCs w:val="0"/>
                <w:color w:val="auto"/>
                <w:sz w:val="24"/>
                <w:szCs w:val="24"/>
                <w:highlight w:val="none"/>
                <w:lang w:val="en-US" w:eastAsia="zh-CN"/>
              </w:rPr>
              <w:fldChar w:fldCharType="end"/>
            </w:r>
            <w:r>
              <w:rPr>
                <w:rFonts w:hint="eastAsia" w:cs="Times New Roman"/>
                <w:b w:val="0"/>
                <w:bCs w:val="0"/>
                <w:color w:val="auto"/>
                <w:sz w:val="24"/>
                <w:szCs w:val="24"/>
                <w:highlight w:val="none"/>
                <w:lang w:val="en-US" w:eastAsia="zh-CN"/>
              </w:rPr>
              <w:t>于醇和其他</w:t>
            </w:r>
            <w:r>
              <w:rPr>
                <w:rFonts w:hint="eastAsia" w:cs="Times New Roman"/>
                <w:b w:val="0"/>
                <w:bCs w:val="0"/>
                <w:color w:val="auto"/>
                <w:sz w:val="24"/>
                <w:szCs w:val="24"/>
                <w:highlight w:val="none"/>
                <w:lang w:val="en-US" w:eastAsia="zh-CN"/>
              </w:rPr>
              <w:fldChar w:fldCharType="begin"/>
            </w:r>
            <w:r>
              <w:rPr>
                <w:rFonts w:hint="eastAsia" w:cs="Times New Roman"/>
                <w:b w:val="0"/>
                <w:bCs w:val="0"/>
                <w:color w:val="auto"/>
                <w:sz w:val="24"/>
                <w:szCs w:val="24"/>
                <w:highlight w:val="none"/>
                <w:lang w:val="en-US" w:eastAsia="zh-CN"/>
              </w:rPr>
              <w:instrText xml:space="preserve"> HYPERLINK "https://baike.so.com/doc/4792021.html" \t "https://baike.so.com/doc/_blank" </w:instrText>
            </w:r>
            <w:r>
              <w:rPr>
                <w:rFonts w:hint="eastAsia" w:cs="Times New Roman"/>
                <w:b w:val="0"/>
                <w:bCs w:val="0"/>
                <w:color w:val="auto"/>
                <w:sz w:val="24"/>
                <w:szCs w:val="24"/>
                <w:highlight w:val="none"/>
                <w:lang w:val="en-US" w:eastAsia="zh-CN"/>
              </w:rPr>
              <w:fldChar w:fldCharType="separate"/>
            </w:r>
            <w:r>
              <w:rPr>
                <w:rFonts w:hint="eastAsia" w:cs="Times New Roman"/>
                <w:b w:val="0"/>
                <w:bCs w:val="0"/>
                <w:color w:val="auto"/>
                <w:sz w:val="24"/>
                <w:szCs w:val="24"/>
                <w:highlight w:val="none"/>
                <w:lang w:val="en-US" w:eastAsia="zh-CN"/>
              </w:rPr>
              <w:t>有机溶剂</w:t>
            </w:r>
            <w:r>
              <w:rPr>
                <w:rFonts w:hint="eastAsia" w:cs="Times New Roman"/>
                <w:b w:val="0"/>
                <w:bCs w:val="0"/>
                <w:color w:val="auto"/>
                <w:sz w:val="24"/>
                <w:szCs w:val="24"/>
                <w:highlight w:val="none"/>
                <w:lang w:val="en-US" w:eastAsia="zh-CN"/>
              </w:rPr>
              <w:fldChar w:fldCharType="end"/>
            </w:r>
            <w:r>
              <w:rPr>
                <w:rFonts w:hint="eastAsia" w:cs="Times New Roman"/>
                <w:b w:val="0"/>
                <w:bCs w:val="0"/>
                <w:color w:val="auto"/>
                <w:sz w:val="24"/>
                <w:szCs w:val="24"/>
                <w:highlight w:val="none"/>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default" w:ascii="Times New Roman" w:hAnsi="Times New Roman" w:cs="Times New Roman"/>
                <w:b w:val="0"/>
                <w:bCs w:val="0"/>
                <w:color w:val="auto"/>
                <w:sz w:val="24"/>
                <w:szCs w:val="24"/>
                <w:lang w:val="en-US" w:eastAsia="zh-CN"/>
              </w:rPr>
            </w:pPr>
            <w:r>
              <w:rPr>
                <w:rFonts w:hint="eastAsia" w:cs="Times New Roman"/>
                <w:b/>
                <w:bCs/>
                <w:color w:val="auto"/>
                <w:sz w:val="24"/>
                <w:szCs w:val="24"/>
                <w:highlight w:val="none"/>
                <w:lang w:val="en-US" w:eastAsia="zh-CN"/>
              </w:rPr>
              <w:t>防锈油：</w:t>
            </w:r>
            <w:r>
              <w:rPr>
                <w:rFonts w:hint="eastAsia" w:cs="Times New Roman"/>
                <w:b w:val="0"/>
                <w:bCs w:val="0"/>
                <w:color w:val="auto"/>
                <w:sz w:val="24"/>
                <w:szCs w:val="24"/>
                <w:highlight w:val="none"/>
                <w:lang w:val="en-US" w:eastAsia="zh-CN"/>
              </w:rPr>
              <w:t>黄褐色透明液体，脂肪族碳氢化合物气味，可燃，熔点＜-20℃，沸点290～330℃，相对密度（水=1）0.850，相对蒸汽密度（空气=1）＞1.00，饱和蒸气压 0.017kPa（20℃），闪点：＞220℃，引燃温度：＞300℃，爆炸上限：7%体积百分比，主要用于材料冲剪加工及材料防锈。</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lang w:val="en-US" w:eastAsia="zh-CN"/>
              </w:rPr>
              <w:t>生产过程潜在危险性识别</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根据生产企业的一般工艺特点，生产设施可划分为七大单元，具体见下表：</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表</w:t>
            </w:r>
            <w:r>
              <w:rPr>
                <w:rFonts w:hint="eastAsia" w:ascii="Times New Roman" w:hAnsi="Times New Roman" w:cs="Times New Roman"/>
                <w:color w:val="auto"/>
                <w:sz w:val="24"/>
                <w:szCs w:val="24"/>
                <w:highlight w:val="none"/>
                <w:lang w:val="en-US" w:eastAsia="zh-CN"/>
              </w:rPr>
              <w:t>4.1</w:t>
            </w:r>
            <w:r>
              <w:rPr>
                <w:rFonts w:hint="eastAsia" w:cs="Times New Roman"/>
                <w:color w:val="auto"/>
                <w:sz w:val="24"/>
                <w:szCs w:val="24"/>
                <w:highlight w:val="none"/>
                <w:lang w:val="en-US" w:eastAsia="zh-CN"/>
              </w:rPr>
              <w:t>9</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lang w:val="en-US" w:eastAsia="zh-CN"/>
              </w:rPr>
              <w:t xml:space="preserve"> 生产设施划分表</w:t>
            </w:r>
          </w:p>
          <w:tbl>
            <w:tblPr>
              <w:tblStyle w:val="26"/>
              <w:tblW w:w="83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1321"/>
              <w:gridCol w:w="5430"/>
              <w:gridCol w:w="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48" w:type="dxa"/>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val="0"/>
                    <w:snapToGrid w:val="0"/>
                    <w:spacing w:before="63" w:beforeLines="20"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序号</w:t>
                  </w:r>
                </w:p>
              </w:tc>
              <w:tc>
                <w:tcPr>
                  <w:tcW w:w="1321" w:type="dxa"/>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val="0"/>
                    <w:snapToGrid w:val="0"/>
                    <w:spacing w:before="63" w:beforeLines="20"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系统名称</w:t>
                  </w:r>
                </w:p>
              </w:tc>
              <w:tc>
                <w:tcPr>
                  <w:tcW w:w="5430" w:type="dxa"/>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val="0"/>
                    <w:snapToGrid w:val="0"/>
                    <w:spacing w:before="63" w:beforeLines="20"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涉及功能单元</w:t>
                  </w:r>
                </w:p>
              </w:tc>
              <w:tc>
                <w:tcPr>
                  <w:tcW w:w="748" w:type="dxa"/>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val="0"/>
                    <w:snapToGrid w:val="0"/>
                    <w:spacing w:before="63" w:beforeLines="20"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48" w:type="dxa"/>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val="0"/>
                    <w:snapToGrid w:val="0"/>
                    <w:spacing w:before="63" w:beforeLines="20"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1</w:t>
                  </w:r>
                </w:p>
              </w:tc>
              <w:tc>
                <w:tcPr>
                  <w:tcW w:w="1321" w:type="dxa"/>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val="0"/>
                    <w:snapToGrid w:val="0"/>
                    <w:spacing w:before="63" w:beforeLines="20"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生产装置</w:t>
                  </w:r>
                </w:p>
              </w:tc>
              <w:tc>
                <w:tcPr>
                  <w:tcW w:w="5430" w:type="dxa"/>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val="0"/>
                    <w:snapToGrid w:val="0"/>
                    <w:spacing w:before="63" w:beforeLines="20"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各生产工段的主要设备和原料输送管道</w:t>
                  </w:r>
                </w:p>
              </w:tc>
              <w:tc>
                <w:tcPr>
                  <w:tcW w:w="748" w:type="dxa"/>
                  <w:vMerge w:val="restart"/>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val="0"/>
                    <w:snapToGrid w:val="0"/>
                    <w:spacing w:before="63" w:beforeLines="20"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功能系统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48" w:type="dxa"/>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val="0"/>
                    <w:snapToGrid w:val="0"/>
                    <w:spacing w:before="63" w:beforeLines="20"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2</w:t>
                  </w:r>
                </w:p>
              </w:tc>
              <w:tc>
                <w:tcPr>
                  <w:tcW w:w="1321" w:type="dxa"/>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val="0"/>
                    <w:snapToGrid w:val="0"/>
                    <w:spacing w:before="63" w:beforeLines="20"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储运装置</w:t>
                  </w:r>
                </w:p>
              </w:tc>
              <w:tc>
                <w:tcPr>
                  <w:tcW w:w="5430" w:type="dxa"/>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val="0"/>
                    <w:snapToGrid w:val="0"/>
                    <w:spacing w:before="63" w:beforeLines="20"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原料、中间体、产品的运输及储存</w:t>
                  </w:r>
                </w:p>
              </w:tc>
              <w:tc>
                <w:tcPr>
                  <w:tcW w:w="748" w:type="dxa"/>
                  <w:vMerge w:val="continue"/>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val="0"/>
                    <w:snapToGrid w:val="0"/>
                    <w:spacing w:before="63" w:beforeLines="20"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48" w:type="dxa"/>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val="0"/>
                    <w:snapToGrid w:val="0"/>
                    <w:spacing w:before="63" w:beforeLines="20"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3</w:t>
                  </w:r>
                </w:p>
              </w:tc>
              <w:tc>
                <w:tcPr>
                  <w:tcW w:w="1321" w:type="dxa"/>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val="0"/>
                    <w:snapToGrid w:val="0"/>
                    <w:spacing w:before="63" w:beforeLines="20"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公用工程</w:t>
                  </w:r>
                </w:p>
              </w:tc>
              <w:tc>
                <w:tcPr>
                  <w:tcW w:w="5430" w:type="dxa"/>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val="0"/>
                    <w:snapToGrid w:val="0"/>
                    <w:spacing w:before="63" w:beforeLines="20"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水、电等</w:t>
                  </w:r>
                </w:p>
              </w:tc>
              <w:tc>
                <w:tcPr>
                  <w:tcW w:w="748" w:type="dxa"/>
                  <w:vMerge w:val="continue"/>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val="0"/>
                    <w:snapToGrid w:val="0"/>
                    <w:spacing w:before="63" w:beforeLines="20"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48" w:type="dxa"/>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val="0"/>
                    <w:snapToGrid w:val="0"/>
                    <w:spacing w:before="63" w:beforeLines="20"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4</w:t>
                  </w:r>
                </w:p>
              </w:tc>
              <w:tc>
                <w:tcPr>
                  <w:tcW w:w="1321" w:type="dxa"/>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val="0"/>
                    <w:snapToGrid w:val="0"/>
                    <w:spacing w:before="63" w:beforeLines="20"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生产辅助</w:t>
                  </w:r>
                </w:p>
              </w:tc>
              <w:tc>
                <w:tcPr>
                  <w:tcW w:w="5430" w:type="dxa"/>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val="0"/>
                    <w:snapToGrid w:val="0"/>
                    <w:spacing w:before="63" w:beforeLines="20"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机械、设备、仪表维修等</w:t>
                  </w:r>
                </w:p>
              </w:tc>
              <w:tc>
                <w:tcPr>
                  <w:tcW w:w="748" w:type="dxa"/>
                  <w:vMerge w:val="continue"/>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val="0"/>
                    <w:snapToGrid w:val="0"/>
                    <w:spacing w:before="63" w:beforeLines="20"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48" w:type="dxa"/>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val="0"/>
                    <w:snapToGrid w:val="0"/>
                    <w:spacing w:before="63" w:beforeLines="20"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5</w:t>
                  </w:r>
                </w:p>
              </w:tc>
              <w:tc>
                <w:tcPr>
                  <w:tcW w:w="1321" w:type="dxa"/>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val="0"/>
                    <w:snapToGrid w:val="0"/>
                    <w:spacing w:before="63" w:beforeLines="20"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环保工程</w:t>
                  </w:r>
                </w:p>
              </w:tc>
              <w:tc>
                <w:tcPr>
                  <w:tcW w:w="5430" w:type="dxa"/>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val="0"/>
                    <w:snapToGrid w:val="0"/>
                    <w:spacing w:before="63" w:beforeLines="20"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厂区布置和废气、废水、噪声、固体废物等处理处置装置等</w:t>
                  </w:r>
                </w:p>
              </w:tc>
              <w:tc>
                <w:tcPr>
                  <w:tcW w:w="748" w:type="dxa"/>
                  <w:vMerge w:val="continue"/>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val="0"/>
                    <w:snapToGrid w:val="0"/>
                    <w:spacing w:before="63" w:beforeLines="20"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48" w:type="dxa"/>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val="0"/>
                    <w:snapToGrid w:val="0"/>
                    <w:spacing w:before="63" w:beforeLines="20"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6</w:t>
                  </w:r>
                </w:p>
              </w:tc>
              <w:tc>
                <w:tcPr>
                  <w:tcW w:w="1321" w:type="dxa"/>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val="0"/>
                    <w:snapToGrid w:val="0"/>
                    <w:spacing w:before="63" w:beforeLines="20"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安全消防</w:t>
                  </w:r>
                </w:p>
              </w:tc>
              <w:tc>
                <w:tcPr>
                  <w:tcW w:w="5430" w:type="dxa"/>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val="0"/>
                    <w:snapToGrid w:val="0"/>
                    <w:spacing w:before="63" w:beforeLines="20"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安全制度、安全教育、安全检查、消防器材、警报系统、消防管理等</w:t>
                  </w:r>
                </w:p>
              </w:tc>
              <w:tc>
                <w:tcPr>
                  <w:tcW w:w="748" w:type="dxa"/>
                  <w:vMerge w:val="continue"/>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val="0"/>
                    <w:snapToGrid w:val="0"/>
                    <w:spacing w:before="63" w:beforeLines="20"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48" w:type="dxa"/>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val="0"/>
                    <w:snapToGrid w:val="0"/>
                    <w:spacing w:before="63" w:beforeLines="20"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7</w:t>
                  </w:r>
                </w:p>
              </w:tc>
              <w:tc>
                <w:tcPr>
                  <w:tcW w:w="1321" w:type="dxa"/>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val="0"/>
                    <w:snapToGrid w:val="0"/>
                    <w:spacing w:before="63" w:beforeLines="20"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工业卫生</w:t>
                  </w:r>
                </w:p>
              </w:tc>
              <w:tc>
                <w:tcPr>
                  <w:tcW w:w="5430" w:type="dxa"/>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val="0"/>
                    <w:snapToGrid w:val="0"/>
                    <w:spacing w:before="63" w:beforeLines="20"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工业卫生管理、劳防用品等</w:t>
                  </w:r>
                </w:p>
              </w:tc>
              <w:tc>
                <w:tcPr>
                  <w:tcW w:w="748" w:type="dxa"/>
                  <w:vMerge w:val="continue"/>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val="0"/>
                    <w:snapToGrid w:val="0"/>
                    <w:spacing w:before="63" w:beforeLines="20"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本项目主要为</w:t>
            </w:r>
            <w:r>
              <w:rPr>
                <w:rFonts w:hint="eastAsia" w:cs="Times New Roman"/>
                <w:color w:val="auto"/>
                <w:sz w:val="24"/>
                <w:szCs w:val="24"/>
                <w:highlight w:val="none"/>
                <w:lang w:eastAsia="zh-CN"/>
              </w:rPr>
              <w:t>轴承钢球</w:t>
            </w:r>
            <w:r>
              <w:rPr>
                <w:rFonts w:hint="default" w:ascii="Times New Roman" w:hAnsi="Times New Roman" w:cs="Times New Roman"/>
                <w:color w:val="auto"/>
                <w:sz w:val="24"/>
                <w:szCs w:val="24"/>
                <w:highlight w:val="none"/>
              </w:rPr>
              <w:t>的生产。根据分析，本项目在生产过程中发生的主要环境风险事故为：1、</w:t>
            </w:r>
            <w:r>
              <w:rPr>
                <w:rFonts w:hint="eastAsia" w:ascii="Times New Roman" w:hAnsi="Times New Roman" w:cs="Times New Roman"/>
                <w:color w:val="auto"/>
                <w:sz w:val="24"/>
                <w:szCs w:val="24"/>
                <w:highlight w:val="none"/>
                <w:lang w:eastAsia="zh-CN"/>
              </w:rPr>
              <w:t>废气</w:t>
            </w:r>
            <w:r>
              <w:rPr>
                <w:rFonts w:hint="default" w:ascii="Times New Roman" w:hAnsi="Times New Roman" w:cs="Times New Roman"/>
                <w:color w:val="auto"/>
                <w:sz w:val="24"/>
                <w:szCs w:val="24"/>
                <w:highlight w:val="none"/>
              </w:rPr>
              <w:t>的事故性排放；2</w:t>
            </w:r>
            <w:r>
              <w:rPr>
                <w:rFonts w:hint="eastAsia" w:cs="Times New Roman"/>
                <w:color w:val="auto"/>
                <w:sz w:val="24"/>
                <w:szCs w:val="24"/>
                <w:highlight w:val="none"/>
                <w:lang w:val="en-US" w:eastAsia="zh-CN"/>
              </w:rPr>
              <w:t>、危险物质</w:t>
            </w:r>
            <w:r>
              <w:rPr>
                <w:rFonts w:hint="default" w:ascii="Times New Roman" w:hAnsi="Times New Roman" w:eastAsia="宋体" w:cs="Times New Roman"/>
                <w:b w:val="0"/>
                <w:i w:val="0"/>
                <w:color w:val="auto"/>
                <w:sz w:val="24"/>
                <w:szCs w:val="24"/>
              </w:rPr>
              <w:t>运输</w:t>
            </w:r>
            <w:r>
              <w:rPr>
                <w:rFonts w:hint="eastAsia" w:cs="Times New Roman"/>
                <w:b w:val="0"/>
                <w:i w:val="0"/>
                <w:color w:val="auto"/>
                <w:sz w:val="24"/>
                <w:szCs w:val="24"/>
                <w:lang w:eastAsia="zh-CN"/>
              </w:rPr>
              <w:t>、</w:t>
            </w:r>
            <w:r>
              <w:rPr>
                <w:rFonts w:hint="default" w:ascii="Times New Roman" w:hAnsi="Times New Roman" w:eastAsia="宋体" w:cs="Times New Roman"/>
                <w:b w:val="0"/>
                <w:i w:val="0"/>
                <w:color w:val="auto"/>
                <w:sz w:val="24"/>
                <w:szCs w:val="24"/>
                <w:lang w:val="en-US" w:eastAsia="zh-CN"/>
              </w:rPr>
              <w:t>储存</w:t>
            </w:r>
            <w:r>
              <w:rPr>
                <w:rFonts w:hint="eastAsia" w:cs="Times New Roman"/>
                <w:b w:val="0"/>
                <w:i w:val="0"/>
                <w:color w:val="auto"/>
                <w:sz w:val="24"/>
                <w:szCs w:val="24"/>
                <w:lang w:val="en-US" w:eastAsia="zh-CN"/>
              </w:rPr>
              <w:t>风险</w:t>
            </w:r>
            <w:r>
              <w:rPr>
                <w:rFonts w:hint="default" w:ascii="Times New Roman" w:hAnsi="Times New Roman" w:cs="Times New Roman"/>
                <w:color w:val="auto"/>
                <w:sz w:val="24"/>
                <w:szCs w:val="24"/>
                <w:highlight w:val="none"/>
              </w:rPr>
              <w:t>。</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lang w:val="en-US" w:eastAsia="zh-CN"/>
              </w:rPr>
              <w:t>向环境转移途径</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空气、水体和土壤等环境要素是危险性物质向环境转移的最基本的途径，同时这三种要素之间又随时发生着物质和能量的传递，污染物进入环境后，随着空气和水体环境发生推流迁移、分散稀释和降解转化运动。本项目事故状态下气态污染物可进入大气环境，部分污染物随消防废水进入水体。</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lang w:val="en-US" w:eastAsia="zh-CN"/>
              </w:rPr>
              <w:t>次生/伴生污染</w:t>
            </w:r>
          </w:p>
          <w:p>
            <w:pPr>
              <w:pStyle w:val="37"/>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rPr>
            </w:pPr>
            <w:r>
              <w:rPr>
                <w:rFonts w:hint="eastAsia" w:cs="Times New Roman"/>
                <w:color w:val="auto"/>
                <w:sz w:val="24"/>
                <w:szCs w:val="24"/>
                <w:highlight w:val="none"/>
                <w:lang w:val="en-US" w:eastAsia="zh-CN"/>
              </w:rPr>
              <w:t>化学品</w:t>
            </w:r>
            <w:r>
              <w:rPr>
                <w:rFonts w:hint="default" w:ascii="Times New Roman" w:hAnsi="Times New Roman" w:cs="Times New Roman"/>
                <w:color w:val="auto"/>
                <w:sz w:val="24"/>
                <w:szCs w:val="24"/>
                <w:highlight w:val="none"/>
                <w:lang w:val="en-US" w:eastAsia="zh-CN"/>
              </w:rPr>
              <w:t>库易燃物质发生火灾，其可能产生的次生污染为火灾消防废水及燃烧废气。</w:t>
            </w:r>
          </w:p>
          <w:p>
            <w:pPr>
              <w:pStyle w:val="37"/>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b w:val="0"/>
                <w:bCs w:val="0"/>
                <w:color w:val="auto"/>
                <w:highlight w:val="none"/>
                <w:lang w:val="en-US" w:eastAsia="zh-CN"/>
              </w:rPr>
            </w:pPr>
            <w:r>
              <w:rPr>
                <w:rFonts w:hint="eastAsia"/>
                <w:b w:val="0"/>
                <w:bCs w:val="0"/>
                <w:color w:val="auto"/>
                <w:highlight w:val="none"/>
                <w:lang w:val="en-US" w:eastAsia="zh-CN"/>
              </w:rPr>
              <w:t>（4）环境风险分析</w:t>
            </w:r>
          </w:p>
          <w:p>
            <w:pPr>
              <w:pStyle w:val="37"/>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color w:val="auto"/>
                <w:sz w:val="24"/>
                <w:szCs w:val="24"/>
                <w:highlight w:val="none"/>
              </w:rPr>
            </w:pPr>
            <w:r>
              <w:rPr>
                <w:rFonts w:hint="default" w:ascii="Times New Roman" w:hAnsi="Times New Roman" w:cs="Times New Roman"/>
                <w:color w:val="auto"/>
                <w:sz w:val="24"/>
                <w:szCs w:val="24"/>
                <w:highlight w:val="none"/>
              </w:rPr>
              <w:t>1</w:t>
            </w:r>
            <w:r>
              <w:rPr>
                <w:rFonts w:hint="eastAsia"/>
                <w:color w:val="auto"/>
                <w:sz w:val="24"/>
                <w:szCs w:val="24"/>
                <w:highlight w:val="none"/>
              </w:rPr>
              <w:t>）</w:t>
            </w:r>
            <w:r>
              <w:rPr>
                <w:color w:val="auto"/>
                <w:sz w:val="24"/>
                <w:szCs w:val="24"/>
                <w:highlight w:val="none"/>
              </w:rPr>
              <w:t>废气事故性排放对大气环境影响分析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szCs w:val="24"/>
                <w:highlight w:val="none"/>
              </w:rPr>
            </w:pPr>
            <w:r>
              <w:rPr>
                <w:color w:val="auto"/>
                <w:sz w:val="24"/>
                <w:szCs w:val="24"/>
                <w:highlight w:val="none"/>
              </w:rPr>
              <w:t>在废气治理设施故障，废气事故排放的情况下，各污染物浓度相对正常排放情况，浓度增值将增加。非正常排放情况下将对外界环境造成一定影响，对各关心点的影响也大大增加。因此，为了减轻本项目对周围环境的影响程度和范围，保证该地区的可持续发展，建设方须建立严格、规范的大气污染应急预案，加强废气净化设施的日常管理、维护。当废气处理设备出现故障不能正常运行时，应尽快停产进行维修，避免对周围环境造成污染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b w:val="0"/>
                <w:i w:val="0"/>
                <w:color w:val="auto"/>
                <w:sz w:val="24"/>
                <w:szCs w:val="24"/>
                <w:lang w:val="en-US" w:eastAsia="zh-CN"/>
              </w:rPr>
            </w:pPr>
            <w:r>
              <w:rPr>
                <w:rFonts w:hint="eastAsia" w:cs="Times New Roman"/>
                <w:color w:val="auto"/>
                <w:sz w:val="24"/>
                <w:szCs w:val="24"/>
                <w:highlight w:val="none"/>
                <w:lang w:val="en-US" w:eastAsia="zh-CN"/>
              </w:rPr>
              <w:t>2）危险物质</w:t>
            </w:r>
            <w:r>
              <w:rPr>
                <w:rFonts w:hint="default" w:ascii="Times New Roman" w:hAnsi="Times New Roman" w:eastAsia="宋体" w:cs="Times New Roman"/>
                <w:b w:val="0"/>
                <w:i w:val="0"/>
                <w:color w:val="auto"/>
                <w:sz w:val="24"/>
                <w:szCs w:val="24"/>
              </w:rPr>
              <w:t>运输</w:t>
            </w:r>
            <w:r>
              <w:rPr>
                <w:rFonts w:hint="eastAsia" w:cs="Times New Roman"/>
                <w:b w:val="0"/>
                <w:i w:val="0"/>
                <w:color w:val="auto"/>
                <w:sz w:val="24"/>
                <w:szCs w:val="24"/>
                <w:lang w:eastAsia="zh-CN"/>
              </w:rPr>
              <w:t>、</w:t>
            </w:r>
            <w:r>
              <w:rPr>
                <w:rFonts w:hint="default" w:ascii="Times New Roman" w:hAnsi="Times New Roman" w:eastAsia="宋体" w:cs="Times New Roman"/>
                <w:b w:val="0"/>
                <w:i w:val="0"/>
                <w:color w:val="auto"/>
                <w:sz w:val="24"/>
                <w:szCs w:val="24"/>
                <w:lang w:val="en-US" w:eastAsia="zh-CN"/>
              </w:rPr>
              <w:t>储存</w:t>
            </w:r>
            <w:r>
              <w:rPr>
                <w:rFonts w:hint="default" w:ascii="Times New Roman" w:hAnsi="Times New Roman" w:cs="Times New Roman"/>
                <w:color w:val="auto"/>
                <w:sz w:val="24"/>
                <w:szCs w:val="24"/>
                <w:highlight w:val="none"/>
              </w:rPr>
              <w:t>风险影响分析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运输过程风险主要是工业白油、淬火油、甲醇和防锈油等物料泄漏，物料在厂内输送，若控制不当将产生泄漏，另因厂区的平面布置、厂内道路的设计、交通标志和安全标志的设置、照明的质量、绿化的规划、厂房内行驶通道、车辆的管理等方面的缺陷，均能引发厂内运输的车辆伤害事故，造成泄露，最终造成水体和土壤污染事故。</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lang w:val="en-US" w:eastAsia="zh-CN"/>
              </w:rPr>
            </w:pPr>
            <w:r>
              <w:rPr>
                <w:rFonts w:hint="default" w:ascii="Times New Roman" w:hAnsi="Times New Roman" w:eastAsia="宋体" w:cs="Times New Roman"/>
                <w:b w:val="0"/>
                <w:i w:val="0"/>
                <w:color w:val="auto"/>
                <w:sz w:val="24"/>
                <w:szCs w:val="24"/>
                <w:lang w:val="en-US" w:eastAsia="zh-CN"/>
              </w:rPr>
              <w:t>厂区内</w:t>
            </w:r>
            <w:r>
              <w:rPr>
                <w:rFonts w:hint="eastAsia" w:cs="Times New Roman"/>
                <w:color w:val="auto"/>
                <w:sz w:val="24"/>
                <w:szCs w:val="24"/>
                <w:highlight w:val="none"/>
                <w:lang w:val="en-US" w:eastAsia="zh-CN"/>
              </w:rPr>
              <w:t>工业白油、淬火油、防锈油</w:t>
            </w:r>
            <w:r>
              <w:rPr>
                <w:rFonts w:hint="default" w:ascii="Times New Roman" w:hAnsi="Times New Roman" w:eastAsia="宋体" w:cs="Times New Roman"/>
                <w:b w:val="0"/>
                <w:i w:val="0"/>
                <w:color w:val="auto"/>
                <w:sz w:val="24"/>
                <w:szCs w:val="24"/>
                <w:lang w:eastAsia="zh-CN"/>
              </w:rPr>
              <w:t>等物料</w:t>
            </w:r>
            <w:r>
              <w:rPr>
                <w:rFonts w:hint="eastAsia" w:cs="Times New Roman"/>
                <w:b w:val="0"/>
                <w:i w:val="0"/>
                <w:color w:val="auto"/>
                <w:sz w:val="24"/>
                <w:szCs w:val="24"/>
                <w:lang w:eastAsia="zh-CN"/>
              </w:rPr>
              <w:t>贮存</w:t>
            </w:r>
            <w:r>
              <w:rPr>
                <w:rFonts w:hint="default" w:ascii="Times New Roman" w:hAnsi="Times New Roman" w:eastAsia="宋体" w:cs="Times New Roman"/>
                <w:b w:val="0"/>
                <w:i w:val="0"/>
                <w:color w:val="auto"/>
                <w:sz w:val="24"/>
                <w:szCs w:val="24"/>
                <w:lang w:val="en-US" w:eastAsia="zh-CN"/>
              </w:rPr>
              <w:t>在</w:t>
            </w:r>
            <w:r>
              <w:rPr>
                <w:rFonts w:hint="eastAsia" w:cs="Times New Roman"/>
                <w:b w:val="0"/>
                <w:i w:val="0"/>
                <w:color w:val="auto"/>
                <w:sz w:val="24"/>
                <w:szCs w:val="24"/>
                <w:lang w:val="en-US" w:eastAsia="zh-CN"/>
              </w:rPr>
              <w:t>磨液库，甲醇贮存在危化品库</w:t>
            </w:r>
            <w:r>
              <w:rPr>
                <w:rFonts w:hint="default" w:ascii="Times New Roman" w:hAnsi="Times New Roman" w:eastAsia="宋体" w:cs="Times New Roman"/>
                <w:b w:val="0"/>
                <w:i w:val="0"/>
                <w:color w:val="auto"/>
                <w:sz w:val="24"/>
                <w:szCs w:val="24"/>
                <w:lang w:val="en-US" w:eastAsia="zh-CN"/>
              </w:rPr>
              <w:t>，由于仓库管理人员操作不当，导致</w:t>
            </w:r>
            <w:r>
              <w:rPr>
                <w:rFonts w:hint="eastAsia" w:cs="Times New Roman"/>
                <w:color w:val="auto"/>
                <w:sz w:val="24"/>
                <w:szCs w:val="24"/>
                <w:highlight w:val="none"/>
                <w:lang w:val="en-US" w:eastAsia="zh-CN"/>
              </w:rPr>
              <w:t>工业白油、淬火油、甲醇和防锈油</w:t>
            </w:r>
            <w:r>
              <w:rPr>
                <w:rFonts w:hint="default" w:ascii="Times New Roman" w:hAnsi="Times New Roman" w:eastAsia="宋体" w:cs="Times New Roman"/>
                <w:b w:val="0"/>
                <w:i w:val="0"/>
                <w:color w:val="auto"/>
                <w:sz w:val="24"/>
                <w:szCs w:val="24"/>
                <w:lang w:eastAsia="zh-CN"/>
              </w:rPr>
              <w:t>等物料</w:t>
            </w:r>
            <w:r>
              <w:rPr>
                <w:rFonts w:hint="default" w:ascii="Times New Roman" w:hAnsi="Times New Roman" w:eastAsia="宋体" w:cs="Times New Roman"/>
                <w:b w:val="0"/>
                <w:i w:val="0"/>
                <w:color w:val="auto"/>
                <w:sz w:val="24"/>
                <w:szCs w:val="24"/>
                <w:lang w:val="en-US" w:eastAsia="zh-CN"/>
              </w:rPr>
              <w:t>发生泄漏或发生火灾，造成事故，物料进入地表水体，影响周围水体水质，燃烧废气进行大气环境，造成大气环境质量下降。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auto"/>
                <w:sz w:val="24"/>
                <w:szCs w:val="24"/>
                <w:highlight w:val="none"/>
                <w:lang w:eastAsia="zh-CN"/>
              </w:rPr>
            </w:pPr>
            <w:r>
              <w:rPr>
                <w:rFonts w:hint="eastAsia" w:cs="Times New Roman"/>
                <w:b w:val="0"/>
                <w:bCs w:val="0"/>
                <w:color w:val="auto"/>
                <w:sz w:val="24"/>
                <w:szCs w:val="24"/>
                <w:highlight w:val="none"/>
                <w:lang w:eastAsia="zh-CN"/>
              </w:rPr>
              <w:t>（</w:t>
            </w:r>
            <w:r>
              <w:rPr>
                <w:rFonts w:hint="eastAsia" w:cs="Times New Roman"/>
                <w:b w:val="0"/>
                <w:bCs w:val="0"/>
                <w:color w:val="auto"/>
                <w:sz w:val="24"/>
                <w:szCs w:val="24"/>
                <w:highlight w:val="none"/>
                <w:lang w:val="en-US" w:eastAsia="zh-CN"/>
              </w:rPr>
              <w:t>5）</w:t>
            </w:r>
            <w:r>
              <w:rPr>
                <w:rFonts w:hint="default" w:ascii="Times New Roman" w:hAnsi="Times New Roman" w:eastAsia="宋体" w:cs="Times New Roman"/>
                <w:b w:val="0"/>
                <w:bCs w:val="0"/>
                <w:color w:val="auto"/>
                <w:sz w:val="24"/>
                <w:szCs w:val="24"/>
                <w:highlight w:val="none"/>
              </w:rPr>
              <w:t>环境风险防范措施</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i w:val="0"/>
                <w:color w:val="auto"/>
                <w:sz w:val="24"/>
                <w:szCs w:val="24"/>
                <w:highlight w:val="none"/>
                <w:lang w:val="en-US" w:eastAsia="zh-CN"/>
              </w:rPr>
            </w:pPr>
            <w:r>
              <w:rPr>
                <w:rFonts w:hint="default" w:ascii="Times New Roman" w:hAnsi="Times New Roman" w:eastAsia="宋体" w:cs="Times New Roman"/>
                <w:b w:val="0"/>
                <w:i w:val="0"/>
                <w:color w:val="auto"/>
                <w:sz w:val="24"/>
                <w:szCs w:val="24"/>
                <w:highlight w:val="none"/>
                <w:lang w:val="en-US" w:eastAsia="zh-CN"/>
              </w:rPr>
              <w:t>为了减轻危险物品发生泄漏事故的危害后果、频率、影响程度和范围，达到同行业可接受水平，建设单位必须采取相应的风险防范措施，本评价提出以下建议：</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i w:val="0"/>
                <w:color w:val="auto"/>
                <w:sz w:val="24"/>
                <w:szCs w:val="24"/>
                <w:highlight w:val="none"/>
                <w:lang w:val="en-US" w:eastAsia="zh-CN"/>
              </w:rPr>
            </w:pPr>
            <w:r>
              <w:rPr>
                <w:rFonts w:hint="default" w:ascii="Times New Roman" w:hAnsi="Times New Roman" w:eastAsia="宋体" w:cs="Times New Roman"/>
                <w:b w:val="0"/>
                <w:i w:val="0"/>
                <w:color w:val="auto"/>
                <w:sz w:val="24"/>
                <w:szCs w:val="24"/>
                <w:highlight w:val="none"/>
                <w:lang w:val="en-US" w:eastAsia="zh-CN"/>
              </w:rPr>
              <w:t>①</w:t>
            </w:r>
            <w:r>
              <w:rPr>
                <w:rFonts w:hint="eastAsia" w:ascii="Times New Roman" w:hAnsi="Times New Roman" w:cs="Times New Roman"/>
                <w:b w:val="0"/>
                <w:i w:val="0"/>
                <w:color w:val="auto"/>
                <w:sz w:val="24"/>
                <w:szCs w:val="24"/>
                <w:highlight w:val="none"/>
                <w:lang w:val="en-US" w:eastAsia="zh-CN"/>
              </w:rPr>
              <w:t xml:space="preserve"> </w:t>
            </w:r>
            <w:r>
              <w:rPr>
                <w:rFonts w:hint="default" w:ascii="Times New Roman" w:hAnsi="Times New Roman" w:eastAsia="宋体" w:cs="Times New Roman"/>
                <w:b w:val="0"/>
                <w:i w:val="0"/>
                <w:color w:val="auto"/>
                <w:sz w:val="24"/>
                <w:szCs w:val="24"/>
                <w:highlight w:val="none"/>
                <w:lang w:val="en-US" w:eastAsia="zh-CN"/>
              </w:rPr>
              <w:t>总图布置和建筑安全方面</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i w:val="0"/>
                <w:color w:val="auto"/>
                <w:sz w:val="24"/>
                <w:szCs w:val="24"/>
                <w:highlight w:val="none"/>
                <w:lang w:val="en-US" w:eastAsia="zh-CN"/>
              </w:rPr>
            </w:pPr>
            <w:r>
              <w:rPr>
                <w:rFonts w:hint="default" w:ascii="Times New Roman" w:hAnsi="Times New Roman" w:eastAsia="宋体" w:cs="Times New Roman"/>
                <w:b w:val="0"/>
                <w:i w:val="0"/>
                <w:color w:val="auto"/>
                <w:sz w:val="24"/>
                <w:szCs w:val="24"/>
                <w:highlight w:val="none"/>
                <w:lang w:val="en-US" w:eastAsia="zh-CN"/>
              </w:rPr>
              <w:t>在总平面布置中配套设置应急救援设施、救援通道、应急疏散避难所等防护措施。根据火灾危险性等级和防火、防爆要求，建筑物的防火等级均采用国家现行规范要求按一、二级耐火等级设计，满足建筑防火要求。凡禁火区均设置明显标识牌。各种易燃易爆物料储存于阴凉、通风处，远离火源。</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i w:val="0"/>
                <w:color w:val="auto"/>
                <w:sz w:val="24"/>
                <w:szCs w:val="24"/>
                <w:highlight w:val="none"/>
                <w:lang w:val="en-US" w:eastAsia="zh-CN"/>
              </w:rPr>
            </w:pPr>
            <w:r>
              <w:rPr>
                <w:rFonts w:hint="default" w:ascii="Times New Roman" w:hAnsi="Times New Roman" w:eastAsia="宋体" w:cs="Times New Roman"/>
                <w:b w:val="0"/>
                <w:i w:val="0"/>
                <w:color w:val="auto"/>
                <w:sz w:val="24"/>
                <w:szCs w:val="24"/>
                <w:highlight w:val="none"/>
                <w:lang w:val="en-US" w:eastAsia="zh-CN"/>
              </w:rPr>
              <w:t>根据生产装置的特点，在生产车间按物料性质和人身可能意外接触到有害物质而引起烧伤、刺激或伤害皮肤的区域内，均设置紧急淋雨和洗眼器，并加以明显标记。并在装置区设置救护箱，工作人员配备必要的个人防护用品。</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i w:val="0"/>
                <w:color w:val="auto"/>
                <w:sz w:val="24"/>
                <w:szCs w:val="24"/>
                <w:highlight w:val="none"/>
                <w:lang w:val="en-US" w:eastAsia="zh-CN"/>
              </w:rPr>
            </w:pPr>
            <w:r>
              <w:rPr>
                <w:rFonts w:hint="default" w:ascii="Times New Roman" w:hAnsi="Times New Roman" w:eastAsia="宋体" w:cs="Times New Roman"/>
                <w:b w:val="0"/>
                <w:i w:val="0"/>
                <w:color w:val="auto"/>
                <w:sz w:val="24"/>
                <w:szCs w:val="24"/>
                <w:highlight w:val="none"/>
                <w:lang w:val="en-US" w:eastAsia="zh-CN"/>
              </w:rPr>
              <w:t>②</w:t>
            </w:r>
            <w:r>
              <w:rPr>
                <w:rFonts w:hint="eastAsia" w:ascii="Times New Roman" w:hAnsi="Times New Roman" w:cs="Times New Roman"/>
                <w:b w:val="0"/>
                <w:i w:val="0"/>
                <w:color w:val="auto"/>
                <w:sz w:val="24"/>
                <w:szCs w:val="24"/>
                <w:highlight w:val="none"/>
                <w:lang w:val="en-US" w:eastAsia="zh-CN"/>
              </w:rPr>
              <w:t xml:space="preserve"> </w:t>
            </w:r>
            <w:r>
              <w:rPr>
                <w:rFonts w:hint="default" w:ascii="Times New Roman" w:hAnsi="Times New Roman" w:eastAsia="宋体" w:cs="Times New Roman"/>
                <w:b w:val="0"/>
                <w:i w:val="0"/>
                <w:color w:val="auto"/>
                <w:sz w:val="24"/>
                <w:szCs w:val="24"/>
                <w:highlight w:val="none"/>
                <w:lang w:val="en-US" w:eastAsia="zh-CN"/>
              </w:rPr>
              <w:t>日常管理方面</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i w:val="0"/>
                <w:color w:val="auto"/>
                <w:sz w:val="24"/>
                <w:szCs w:val="24"/>
                <w:highlight w:val="none"/>
                <w:lang w:val="en-US" w:eastAsia="zh-CN"/>
              </w:rPr>
            </w:pPr>
            <w:r>
              <w:rPr>
                <w:rFonts w:hint="default" w:ascii="Times New Roman" w:hAnsi="Times New Roman" w:eastAsia="宋体" w:cs="Times New Roman"/>
                <w:b w:val="0"/>
                <w:i w:val="0"/>
                <w:color w:val="auto"/>
                <w:sz w:val="24"/>
                <w:szCs w:val="24"/>
                <w:highlight w:val="none"/>
                <w:lang w:val="en-US" w:eastAsia="zh-CN"/>
              </w:rPr>
              <w:t>在日常生产过程中对</w:t>
            </w:r>
            <w:r>
              <w:rPr>
                <w:rFonts w:hint="eastAsia" w:ascii="Times New Roman" w:hAnsi="Times New Roman" w:cs="Times New Roman"/>
                <w:b w:val="0"/>
                <w:i w:val="0"/>
                <w:color w:val="auto"/>
                <w:sz w:val="24"/>
                <w:szCs w:val="24"/>
                <w:highlight w:val="none"/>
                <w:lang w:val="en-US" w:eastAsia="zh-CN"/>
              </w:rPr>
              <w:t>物料</w:t>
            </w:r>
            <w:r>
              <w:rPr>
                <w:rFonts w:hint="default" w:ascii="Times New Roman" w:hAnsi="Times New Roman" w:eastAsia="宋体" w:cs="Times New Roman"/>
                <w:b w:val="0"/>
                <w:i w:val="0"/>
                <w:color w:val="auto"/>
                <w:sz w:val="24"/>
                <w:szCs w:val="24"/>
                <w:highlight w:val="none"/>
                <w:lang w:val="en-US" w:eastAsia="zh-CN"/>
              </w:rPr>
              <w:t>的储存、使用等方面做好管理；操作人员必须经过专门培训，严格遵守操作规程。</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i w:val="0"/>
                <w:color w:val="auto"/>
                <w:sz w:val="24"/>
                <w:szCs w:val="24"/>
                <w:highlight w:val="none"/>
                <w:lang w:val="en-US" w:eastAsia="zh-CN"/>
              </w:rPr>
            </w:pPr>
            <w:r>
              <w:rPr>
                <w:rFonts w:hint="default" w:ascii="Times New Roman" w:hAnsi="Times New Roman" w:eastAsia="宋体" w:cs="Times New Roman"/>
                <w:b w:val="0"/>
                <w:i w:val="0"/>
                <w:color w:val="auto"/>
                <w:sz w:val="24"/>
                <w:szCs w:val="24"/>
                <w:highlight w:val="none"/>
                <w:lang w:val="en-US" w:eastAsia="zh-CN"/>
              </w:rPr>
              <w:t>③ 废气事故性排放</w:t>
            </w:r>
            <w:r>
              <w:rPr>
                <w:rFonts w:hint="eastAsia" w:cs="Times New Roman"/>
                <w:b w:val="0"/>
                <w:i w:val="0"/>
                <w:color w:val="auto"/>
                <w:sz w:val="24"/>
                <w:szCs w:val="24"/>
                <w:highlight w:val="none"/>
                <w:lang w:val="en-US" w:eastAsia="zh-CN"/>
              </w:rPr>
              <w:t>措施</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0" w:after="0" w:line="360" w:lineRule="auto"/>
              <w:ind w:right="0" w:firstLine="480" w:firstLineChars="200"/>
              <w:textAlignment w:val="auto"/>
              <w:rPr>
                <w:rFonts w:hint="default" w:ascii="Times New Roman" w:hAnsi="Times New Roman" w:eastAsia="宋体" w:cs="Times New Roman"/>
                <w:b w:val="0"/>
                <w:i w:val="0"/>
                <w:color w:val="auto"/>
                <w:sz w:val="24"/>
                <w:szCs w:val="24"/>
                <w:lang w:val="en-US" w:eastAsia="zh-CN"/>
              </w:rPr>
            </w:pPr>
            <w:r>
              <w:rPr>
                <w:rFonts w:hint="eastAsia" w:cs="Times New Roman"/>
                <w:b w:val="0"/>
                <w:i w:val="0"/>
                <w:color w:val="auto"/>
                <w:sz w:val="24"/>
                <w:szCs w:val="24"/>
                <w:lang w:val="en-US" w:eastAsia="zh-CN"/>
              </w:rPr>
              <w:t>由专人负责日常环境管理工作，制订“环保管理人员职责”和“环境污染防治措施”制度，加强废气治理设施的监督和管理；对废气处理系统进行定期的监测和检修，如发生腐蚀、设备运行不稳定的情况，需对设备进行更换和修理，确保废气处理装置的正常运行；引进技术先进、处理效果好的废气治理设备和设施，保证污染物达标排放。</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0" w:after="0" w:line="360" w:lineRule="auto"/>
              <w:ind w:leftChars="200" w:right="113"/>
              <w:textAlignment w:val="auto"/>
              <w:rPr>
                <w:rFonts w:hint="eastAsia" w:cs="Times New Roman"/>
                <w:b w:val="0"/>
                <w:i w:val="0"/>
                <w:color w:val="auto"/>
                <w:sz w:val="24"/>
                <w:szCs w:val="24"/>
                <w:lang w:val="en-US" w:eastAsia="zh-CN"/>
              </w:rPr>
            </w:pPr>
            <w:r>
              <w:rPr>
                <w:rFonts w:hint="default" w:ascii="Times New Roman" w:hAnsi="Times New Roman" w:eastAsia="宋体" w:cs="Times New Roman"/>
                <w:b w:val="0"/>
                <w:i w:val="0"/>
                <w:color w:val="auto"/>
                <w:sz w:val="24"/>
                <w:szCs w:val="24"/>
                <w:lang w:val="en-US" w:eastAsia="zh-CN"/>
              </w:rPr>
              <w:t>④</w:t>
            </w:r>
            <w:r>
              <w:rPr>
                <w:rFonts w:hint="eastAsia" w:cs="Times New Roman"/>
                <w:b w:val="0"/>
                <w:i w:val="0"/>
                <w:color w:val="auto"/>
                <w:sz w:val="24"/>
                <w:szCs w:val="24"/>
                <w:lang w:val="en-US" w:eastAsia="zh-CN"/>
              </w:rPr>
              <w:t xml:space="preserve"> </w:t>
            </w:r>
            <w:r>
              <w:rPr>
                <w:rFonts w:hint="eastAsia" w:cs="Times New Roman"/>
                <w:color w:val="auto"/>
                <w:sz w:val="24"/>
                <w:szCs w:val="24"/>
                <w:highlight w:val="none"/>
                <w:lang w:val="en-US" w:eastAsia="zh-CN"/>
              </w:rPr>
              <w:t>危险物质</w:t>
            </w:r>
            <w:r>
              <w:rPr>
                <w:rFonts w:hint="default" w:ascii="Times New Roman" w:hAnsi="Times New Roman" w:eastAsia="宋体" w:cs="Times New Roman"/>
                <w:b w:val="0"/>
                <w:i w:val="0"/>
                <w:color w:val="auto"/>
                <w:sz w:val="24"/>
                <w:szCs w:val="24"/>
              </w:rPr>
              <w:t>运输</w:t>
            </w:r>
            <w:r>
              <w:rPr>
                <w:rFonts w:hint="eastAsia" w:cs="Times New Roman"/>
                <w:b w:val="0"/>
                <w:i w:val="0"/>
                <w:color w:val="auto"/>
                <w:sz w:val="24"/>
                <w:szCs w:val="24"/>
                <w:lang w:eastAsia="zh-CN"/>
              </w:rPr>
              <w:t>、</w:t>
            </w:r>
            <w:r>
              <w:rPr>
                <w:rFonts w:hint="default" w:ascii="Times New Roman" w:hAnsi="Times New Roman" w:eastAsia="宋体" w:cs="Times New Roman"/>
                <w:b w:val="0"/>
                <w:i w:val="0"/>
                <w:color w:val="auto"/>
                <w:sz w:val="24"/>
                <w:szCs w:val="24"/>
                <w:lang w:val="en-US" w:eastAsia="zh-CN"/>
              </w:rPr>
              <w:t>储存</w:t>
            </w:r>
            <w:r>
              <w:rPr>
                <w:rFonts w:hint="default" w:ascii="Times New Roman" w:hAnsi="Times New Roman" w:cs="Times New Roman"/>
                <w:color w:val="auto"/>
                <w:sz w:val="24"/>
                <w:szCs w:val="24"/>
                <w:highlight w:val="none"/>
              </w:rPr>
              <w:t>风险</w:t>
            </w:r>
            <w:r>
              <w:rPr>
                <w:rFonts w:hint="eastAsia" w:cs="Times New Roman"/>
                <w:b w:val="0"/>
                <w:i w:val="0"/>
                <w:color w:val="auto"/>
                <w:sz w:val="24"/>
                <w:szCs w:val="24"/>
                <w:lang w:val="en-US" w:eastAsia="zh-CN"/>
              </w:rPr>
              <w:t>事故防范措施</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0" w:after="0" w:line="360" w:lineRule="auto"/>
              <w:ind w:right="0" w:firstLine="480" w:firstLineChars="200"/>
              <w:textAlignment w:val="auto"/>
              <w:rPr>
                <w:rFonts w:hint="eastAsia" w:eastAsia="宋体" w:cs="Times New Roman"/>
                <w:b w:val="0"/>
                <w:i w:val="0"/>
                <w:color w:val="auto"/>
                <w:sz w:val="24"/>
                <w:szCs w:val="24"/>
                <w:lang w:val="en-US" w:eastAsia="zh-CN"/>
              </w:rPr>
            </w:pPr>
            <w:r>
              <w:rPr>
                <w:rFonts w:hint="eastAsia" w:cs="Times New Roman"/>
                <w:b w:val="0"/>
                <w:i w:val="0"/>
                <w:color w:val="auto"/>
                <w:sz w:val="24"/>
                <w:szCs w:val="24"/>
                <w:lang w:val="en-US" w:eastAsia="zh-CN"/>
              </w:rPr>
              <w:t>按相关标准在危化品库设置围堰，建议本项目从风险的角度考虑，制定完善的堵漏防范措施；对危化品库应考虑围堰内设置导流沟及泄漏收集池（约0.5m</w:t>
            </w:r>
            <w:r>
              <w:rPr>
                <w:rFonts w:hint="eastAsia" w:cs="Times New Roman"/>
                <w:b w:val="0"/>
                <w:i w:val="0"/>
                <w:color w:val="auto"/>
                <w:sz w:val="24"/>
                <w:szCs w:val="24"/>
                <w:vertAlign w:val="superscript"/>
                <w:lang w:val="en-US" w:eastAsia="zh-CN"/>
              </w:rPr>
              <w:t>3</w:t>
            </w:r>
            <w:r>
              <w:rPr>
                <w:rFonts w:hint="eastAsia" w:cs="Times New Roman"/>
                <w:b w:val="0"/>
                <w:i w:val="0"/>
                <w:color w:val="auto"/>
                <w:sz w:val="24"/>
                <w:szCs w:val="24"/>
                <w:lang w:val="en-US" w:eastAsia="zh-CN"/>
              </w:rPr>
              <w:t>）；当危化品库内的物料发生泄漏事故时，首先切断罐区雨水阀，防止泄漏物料进入雨水系统，尽可能切断泄漏源；严格执行国家有关安全生产的规定，采取生产、贮存的安全技术措施，遵守工业设计防火规定和规范；建立健全安全生产责任制实行定期性安全检查，定期对储罐各管道、阀门进行检修，及时发现事故隐患并迅速给以消除；增强安全意识，加强安全教育，增强职工安全意识，认真贯彻安全法规和制度，防止人的错误行为，制定相应的应急措施；对于贮罐附近须在明显位置张贴危险品标志，以及配备适当的消防器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color w:val="auto"/>
                <w:sz w:val="24"/>
                <w:szCs w:val="24"/>
                <w:highlight w:val="none"/>
                <w:lang w:val="en-US" w:eastAsia="zh-CN"/>
              </w:rPr>
            </w:pPr>
            <w:r>
              <w:rPr>
                <w:rFonts w:hint="eastAsia" w:ascii="宋体" w:hAnsi="宋体" w:eastAsia="宋体" w:cs="宋体"/>
                <w:color w:val="auto"/>
                <w:sz w:val="24"/>
                <w:szCs w:val="24"/>
                <w:highlight w:val="none"/>
              </w:rPr>
              <w:t>⑤</w:t>
            </w:r>
            <w:r>
              <w:rPr>
                <w:rFonts w:hint="eastAsia" w:ascii="Times New Roman" w:hAnsi="Times New Roman" w:eastAsia="宋体" w:cs="Times New Roman"/>
                <w:color w:val="auto"/>
                <w:sz w:val="24"/>
                <w:szCs w:val="24"/>
                <w:highlight w:val="none"/>
                <w:lang w:val="en-US" w:eastAsia="zh-CN"/>
              </w:rPr>
              <w:t xml:space="preserve"> </w:t>
            </w:r>
            <w:r>
              <w:rPr>
                <w:rFonts w:hint="eastAsia" w:cs="Times New Roman"/>
                <w:color w:val="auto"/>
                <w:sz w:val="24"/>
                <w:szCs w:val="24"/>
                <w:highlight w:val="none"/>
                <w:lang w:val="en-US" w:eastAsia="zh-CN"/>
              </w:rPr>
              <w:t>火灾防范措施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b w:val="0"/>
                <w:bCs w:val="0"/>
                <w:color w:val="auto"/>
                <w:sz w:val="24"/>
                <w:szCs w:val="24"/>
                <w:highlight w:val="none"/>
                <w:lang w:val="en-US" w:eastAsia="zh-CN"/>
              </w:rPr>
              <w:t>项目所用的冷镦机油、甲醇等原料易燃，要求厂区配备消防栓及</w:t>
            </w:r>
            <w:r>
              <w:rPr>
                <w:rFonts w:hint="eastAsia" w:cs="Times New Roman"/>
                <w:b w:val="0"/>
                <w:i w:val="0"/>
                <w:color w:val="auto"/>
                <w:sz w:val="24"/>
                <w:szCs w:val="24"/>
                <w:lang w:val="en-US" w:eastAsia="zh-CN"/>
              </w:rPr>
              <w:t>适当的消防器材，并配备消防水收集池对灭火的消防水进行收集，防止消防废水夹带环境风险污染物流出厂外，对周边环境造成污染。</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为保证公司员工和周围居民的生命财产安全，防止重、特大事故的发生，并能在事故发生后迅速有效的控制处理，防止事故扩大，根据公司实际情况，本着</w:t>
            </w:r>
            <w:r>
              <w:rPr>
                <w:rFonts w:hint="eastAsia" w:ascii="宋体" w:hAnsi="宋体" w:eastAsia="宋体" w:cs="宋体"/>
                <w:color w:val="auto"/>
                <w:sz w:val="24"/>
                <w:szCs w:val="24"/>
              </w:rPr>
              <w:t>“安全第一，预防为主；统一指挥，分工负责”的</w:t>
            </w:r>
            <w:r>
              <w:rPr>
                <w:rFonts w:hint="default" w:ascii="Times New Roman" w:hAnsi="Times New Roman" w:cs="Times New Roman"/>
                <w:color w:val="auto"/>
                <w:sz w:val="24"/>
                <w:szCs w:val="24"/>
              </w:rPr>
              <w:t>原则，需要制定《</w:t>
            </w:r>
            <w:r>
              <w:rPr>
                <w:rFonts w:hint="eastAsia" w:cs="Times New Roman"/>
                <w:color w:val="auto"/>
                <w:sz w:val="24"/>
                <w:szCs w:val="24"/>
                <w:lang w:eastAsia="zh-CN"/>
              </w:rPr>
              <w:t>安徽欣明珠轴承科技有限公司</w:t>
            </w:r>
            <w:r>
              <w:rPr>
                <w:rFonts w:hint="default" w:ascii="Times New Roman" w:hAnsi="Times New Roman" w:cs="Times New Roman"/>
                <w:color w:val="auto"/>
                <w:sz w:val="24"/>
                <w:szCs w:val="24"/>
                <w:lang w:eastAsia="zh-CN"/>
              </w:rPr>
              <w:t>突发环境事件</w:t>
            </w:r>
            <w:r>
              <w:rPr>
                <w:rFonts w:hint="default" w:ascii="Times New Roman" w:hAnsi="Times New Roman" w:cs="Times New Roman"/>
                <w:color w:val="auto"/>
                <w:sz w:val="24"/>
                <w:szCs w:val="24"/>
              </w:rPr>
              <w:t>应急预案》。</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b/>
                <w:bCs/>
                <w:color w:val="0000FF"/>
                <w:sz w:val="24"/>
                <w:szCs w:val="24"/>
                <w:highlight w:val="none"/>
                <w:lang w:val="en-US" w:eastAsia="zh-CN"/>
              </w:rPr>
            </w:pPr>
            <w:r>
              <w:rPr>
                <w:rFonts w:hint="default" w:ascii="Times New Roman" w:hAnsi="Times New Roman" w:eastAsia="宋体" w:cs="Times New Roman"/>
                <w:color w:val="auto"/>
                <w:sz w:val="24"/>
                <w:szCs w:val="24"/>
                <w:highlight w:val="none"/>
              </w:rPr>
              <w:t>本项目通过采取相应的风险防范措施，可以将项目的环境风险水平降到较低的水平，因此本项目的风险水平在可接受的范围。</w:t>
            </w:r>
          </w:p>
          <w:p>
            <w:pPr>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rPr>
                <w:rFonts w:hint="default" w:ascii="Times New Roman" w:hAnsi="Times New Roman" w:eastAsia="宋体" w:cs="Times New Roman"/>
                <w:b/>
                <w:bCs/>
                <w:color w:val="auto"/>
                <w:sz w:val="24"/>
                <w:szCs w:val="24"/>
                <w:highlight w:val="none"/>
              </w:rPr>
            </w:pPr>
            <w:r>
              <w:rPr>
                <w:rFonts w:hint="eastAsia" w:cs="Times New Roman"/>
                <w:b/>
                <w:bCs/>
                <w:color w:val="auto"/>
                <w:sz w:val="24"/>
                <w:szCs w:val="24"/>
                <w:highlight w:val="none"/>
                <w:lang w:val="en-US" w:eastAsia="zh-CN"/>
              </w:rPr>
              <w:t>7</w:t>
            </w:r>
            <w:r>
              <w:rPr>
                <w:rFonts w:hint="eastAsia"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rPr>
              <w:t>环保投资估算</w:t>
            </w:r>
          </w:p>
          <w:p>
            <w:pPr>
              <w:keepNext w:val="0"/>
              <w:keepLines w:val="0"/>
              <w:pageBreakBefore w:val="0"/>
              <w:widowControl w:val="0"/>
              <w:kinsoku/>
              <w:wordWrap/>
              <w:overflowPunct/>
              <w:topLinePunct w:val="0"/>
              <w:bidi w:val="0"/>
              <w:snapToGrid w:val="0"/>
              <w:spacing w:line="360" w:lineRule="auto"/>
              <w:ind w:firstLine="480" w:firstLineChars="200"/>
              <w:textAlignment w:val="auto"/>
              <w:rPr>
                <w:rFonts w:hint="default" w:ascii="Times New Roman" w:hAnsi="Times New Roman" w:eastAsia="宋体" w:cs="Times New Roman"/>
                <w:b/>
                <w:color w:val="auto"/>
                <w:sz w:val="24"/>
                <w:szCs w:val="24"/>
                <w:highlight w:val="none"/>
                <w:lang w:val="zh-CN"/>
              </w:rPr>
            </w:pPr>
            <w:r>
              <w:rPr>
                <w:rFonts w:hint="default" w:ascii="Times New Roman" w:hAnsi="Times New Roman" w:eastAsia="宋体" w:cs="Times New Roman"/>
                <w:bCs/>
                <w:color w:val="auto"/>
                <w:sz w:val="24"/>
                <w:szCs w:val="24"/>
                <w:highlight w:val="none"/>
              </w:rPr>
              <w:t>项目总投资</w:t>
            </w:r>
            <w:r>
              <w:rPr>
                <w:rFonts w:hint="eastAsia" w:cs="Times New Roman"/>
                <w:bCs/>
                <w:color w:val="auto"/>
                <w:sz w:val="24"/>
                <w:szCs w:val="24"/>
                <w:highlight w:val="none"/>
                <w:lang w:val="en-US" w:eastAsia="zh-CN"/>
              </w:rPr>
              <w:t>10</w:t>
            </w:r>
            <w:r>
              <w:rPr>
                <w:rFonts w:hint="eastAsia" w:ascii="Times New Roman" w:hAnsi="Times New Roman" w:eastAsia="宋体" w:cs="Times New Roman"/>
                <w:bCs/>
                <w:color w:val="auto"/>
                <w:sz w:val="24"/>
                <w:szCs w:val="24"/>
                <w:highlight w:val="none"/>
                <w:lang w:val="en-US" w:eastAsia="zh-CN"/>
              </w:rPr>
              <w:t>000</w:t>
            </w:r>
            <w:r>
              <w:rPr>
                <w:rFonts w:hint="default" w:ascii="Times New Roman" w:hAnsi="Times New Roman" w:eastAsia="宋体" w:cs="Times New Roman"/>
                <w:bCs/>
                <w:color w:val="auto"/>
                <w:sz w:val="24"/>
                <w:szCs w:val="24"/>
                <w:highlight w:val="none"/>
              </w:rPr>
              <w:t>万元，其中环保投资</w:t>
            </w:r>
            <w:r>
              <w:rPr>
                <w:rFonts w:hint="eastAsia" w:cs="Times New Roman"/>
                <w:bCs/>
                <w:color w:val="auto"/>
                <w:sz w:val="24"/>
                <w:szCs w:val="24"/>
                <w:highlight w:val="none"/>
                <w:lang w:val="en-US" w:eastAsia="zh-CN"/>
              </w:rPr>
              <w:t>102</w:t>
            </w:r>
            <w:r>
              <w:rPr>
                <w:rFonts w:hint="default" w:ascii="Times New Roman" w:hAnsi="Times New Roman" w:eastAsia="宋体" w:cs="Times New Roman"/>
                <w:bCs/>
                <w:color w:val="auto"/>
                <w:sz w:val="24"/>
                <w:szCs w:val="24"/>
                <w:highlight w:val="none"/>
              </w:rPr>
              <w:t>万元</w:t>
            </w:r>
            <w:r>
              <w:rPr>
                <w:rFonts w:hint="default"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rPr>
              <w:t>约占总投资</w:t>
            </w:r>
            <w:r>
              <w:rPr>
                <w:rFonts w:hint="eastAsia" w:cs="Times New Roman"/>
                <w:bCs/>
                <w:color w:val="auto"/>
                <w:sz w:val="24"/>
                <w:szCs w:val="24"/>
                <w:highlight w:val="none"/>
                <w:lang w:val="en-US" w:eastAsia="zh-CN"/>
              </w:rPr>
              <w:t>1.02</w:t>
            </w:r>
            <w:r>
              <w:rPr>
                <w:rFonts w:hint="default" w:ascii="Times New Roman" w:hAnsi="Times New Roman" w:eastAsia="宋体" w:cs="Times New Roman"/>
                <w:bCs/>
                <w:color w:val="auto"/>
                <w:sz w:val="24"/>
                <w:szCs w:val="24"/>
                <w:highlight w:val="none"/>
              </w:rPr>
              <w:t>%，主要用于废水、废气、固体废物和噪声污染的治理。</w:t>
            </w:r>
          </w:p>
          <w:p>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b/>
                <w:color w:val="auto"/>
                <w:sz w:val="24"/>
                <w:szCs w:val="24"/>
                <w:highlight w:val="none"/>
                <w:lang w:val="zh-CN"/>
              </w:rPr>
            </w:pPr>
            <w:r>
              <w:rPr>
                <w:rFonts w:hint="default" w:ascii="Times New Roman" w:hAnsi="Times New Roman" w:eastAsia="宋体" w:cs="Times New Roman"/>
                <w:b/>
                <w:color w:val="auto"/>
                <w:sz w:val="24"/>
                <w:szCs w:val="24"/>
                <w:highlight w:val="none"/>
                <w:lang w:val="zh-CN"/>
              </w:rPr>
              <w:t>表</w:t>
            </w:r>
            <w:r>
              <w:rPr>
                <w:rFonts w:hint="eastAsia" w:ascii="Times New Roman" w:hAnsi="Times New Roman" w:eastAsia="宋体" w:cs="Times New Roman"/>
                <w:b/>
                <w:color w:val="auto"/>
                <w:sz w:val="24"/>
                <w:szCs w:val="24"/>
                <w:highlight w:val="none"/>
                <w:lang w:val="en-US" w:eastAsia="zh-CN"/>
              </w:rPr>
              <w:t>4</w:t>
            </w:r>
            <w:r>
              <w:rPr>
                <w:rFonts w:hint="eastAsia" w:cs="Times New Roman"/>
                <w:b/>
                <w:color w:val="auto"/>
                <w:sz w:val="24"/>
                <w:szCs w:val="24"/>
                <w:highlight w:val="none"/>
                <w:lang w:val="en-US" w:eastAsia="zh-CN"/>
              </w:rPr>
              <w:t>.20</w:t>
            </w:r>
            <w:r>
              <w:rPr>
                <w:rFonts w:hint="default" w:ascii="Times New Roman" w:hAnsi="Times New Roman" w:eastAsia="宋体" w:cs="Times New Roman"/>
                <w:b/>
                <w:color w:val="auto"/>
                <w:sz w:val="24"/>
                <w:szCs w:val="24"/>
                <w:highlight w:val="none"/>
              </w:rPr>
              <w:t xml:space="preserve">  </w:t>
            </w:r>
            <w:r>
              <w:rPr>
                <w:rFonts w:hint="default" w:ascii="Times New Roman" w:hAnsi="Times New Roman" w:eastAsia="宋体" w:cs="Times New Roman"/>
                <w:b/>
                <w:color w:val="auto"/>
                <w:sz w:val="24"/>
                <w:szCs w:val="24"/>
                <w:highlight w:val="none"/>
                <w:lang w:val="zh-CN"/>
              </w:rPr>
              <w:t>项目环保防治措施及投资估算表</w:t>
            </w:r>
          </w:p>
          <w:tbl>
            <w:tblPr>
              <w:tblStyle w:val="25"/>
              <w:tblW w:w="83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3"/>
              <w:gridCol w:w="2239"/>
              <w:gridCol w:w="3457"/>
              <w:gridCol w:w="1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污染类别</w:t>
                  </w:r>
                </w:p>
              </w:tc>
              <w:tc>
                <w:tcPr>
                  <w:tcW w:w="22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污染防治对象</w:t>
                  </w:r>
                </w:p>
              </w:tc>
              <w:tc>
                <w:tcPr>
                  <w:tcW w:w="34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治理措施</w:t>
                  </w:r>
                </w:p>
              </w:tc>
              <w:tc>
                <w:tcPr>
                  <w:tcW w:w="162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投资估算（万元）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eastAsia="zh-CN"/>
                    </w:rPr>
                  </w:pPr>
                  <w:r>
                    <w:rPr>
                      <w:rFonts w:hint="eastAsia" w:ascii="Times New Roman" w:hAnsi="Times New Roman"/>
                      <w:b w:val="0"/>
                      <w:bCs w:val="0"/>
                      <w:color w:val="auto"/>
                      <w:sz w:val="21"/>
                      <w:szCs w:val="21"/>
                      <w:highlight w:val="none"/>
                      <w:lang w:eastAsia="zh-CN"/>
                    </w:rPr>
                    <w:t>废水</w:t>
                  </w:r>
                </w:p>
              </w:tc>
              <w:tc>
                <w:tcPr>
                  <w:tcW w:w="22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生活污水</w:t>
                  </w:r>
                </w:p>
              </w:tc>
              <w:tc>
                <w:tcPr>
                  <w:tcW w:w="34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eastAsia="zh-CN"/>
                    </w:rPr>
                  </w:pPr>
                  <w:r>
                    <w:rPr>
                      <w:rFonts w:hint="eastAsia" w:cs="Times New Roman"/>
                      <w:color w:val="auto"/>
                      <w:sz w:val="21"/>
                      <w:szCs w:val="21"/>
                      <w:vertAlign w:val="baseline"/>
                      <w:lang w:val="en-US" w:eastAsia="zh-CN"/>
                    </w:rPr>
                    <w:t>依托标准化厂房已建化粪池</w:t>
                  </w:r>
                </w:p>
              </w:tc>
              <w:tc>
                <w:tcPr>
                  <w:tcW w:w="162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3"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废气</w:t>
                  </w:r>
                </w:p>
              </w:tc>
              <w:tc>
                <w:tcPr>
                  <w:tcW w:w="2239" w:type="dxa"/>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lang w:eastAsia="zh-CN"/>
                    </w:rPr>
                    <w:t>冷镦废气</w:t>
                  </w:r>
                </w:p>
              </w:tc>
              <w:tc>
                <w:tcPr>
                  <w:tcW w:w="34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color w:val="auto"/>
                      <w:sz w:val="21"/>
                      <w:szCs w:val="21"/>
                      <w:highlight w:val="none"/>
                      <w:lang w:val="en-US" w:eastAsia="zh-CN"/>
                    </w:rPr>
                    <w:t>集气罩+</w:t>
                  </w:r>
                  <w:r>
                    <w:rPr>
                      <w:rFonts w:hint="eastAsia" w:ascii="Times New Roman" w:hAnsi="Times New Roman" w:eastAsia="宋体" w:cs="Times New Roman"/>
                      <w:color w:val="auto"/>
                      <w:sz w:val="21"/>
                      <w:szCs w:val="21"/>
                      <w:highlight w:val="none"/>
                      <w:lang w:val="en-US" w:eastAsia="zh-CN"/>
                    </w:rPr>
                    <w:t>活性炭纤维毡处理后经1根15m高排气筒（DA001）排放</w:t>
                  </w:r>
                </w:p>
              </w:tc>
              <w:tc>
                <w:tcPr>
                  <w:tcW w:w="162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eastAsia="zh-CN"/>
                    </w:rPr>
                  </w:pPr>
                </w:p>
              </w:tc>
              <w:tc>
                <w:tcPr>
                  <w:tcW w:w="2239" w:type="dxa"/>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eastAsia" w:cs="Times New Roman"/>
                      <w:color w:val="auto"/>
                      <w:sz w:val="21"/>
                      <w:szCs w:val="21"/>
                      <w:lang w:eastAsia="zh-CN"/>
                    </w:rPr>
                  </w:pPr>
                  <w:r>
                    <w:rPr>
                      <w:rFonts w:hint="eastAsia" w:cs="Times New Roman"/>
                      <w:color w:val="auto"/>
                      <w:sz w:val="21"/>
                      <w:szCs w:val="21"/>
                      <w:lang w:eastAsia="zh-CN"/>
                    </w:rPr>
                    <w:t>淬火回火废气</w:t>
                  </w:r>
                </w:p>
              </w:tc>
              <w:tc>
                <w:tcPr>
                  <w:tcW w:w="34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eastAsia" w:cs="Times New Roman"/>
                      <w:color w:val="auto"/>
                      <w:sz w:val="21"/>
                      <w:szCs w:val="21"/>
                      <w:highlight w:val="none"/>
                      <w:lang w:val="en-US" w:eastAsia="zh-CN"/>
                    </w:rPr>
                    <w:t>集气罩+</w:t>
                  </w:r>
                  <w:r>
                    <w:rPr>
                      <w:rFonts w:hint="eastAsia" w:ascii="Times New Roman" w:hAnsi="Times New Roman" w:eastAsia="宋体" w:cs="Times New Roman"/>
                      <w:color w:val="auto"/>
                      <w:sz w:val="21"/>
                      <w:szCs w:val="21"/>
                      <w:highlight w:val="none"/>
                      <w:lang w:val="en-US" w:eastAsia="zh-CN"/>
                    </w:rPr>
                    <w:t>油雾静电捕集器+活性炭纤维毡处理后经1根15m高排气筒（DA001）排放</w:t>
                  </w:r>
                  <w:r>
                    <w:rPr>
                      <w:rFonts w:hint="eastAsia" w:cs="Times New Roman"/>
                      <w:color w:val="auto"/>
                      <w:sz w:val="21"/>
                      <w:szCs w:val="21"/>
                      <w:highlight w:val="none"/>
                      <w:lang w:val="en-US" w:eastAsia="zh-CN"/>
                    </w:rPr>
                    <w:t>。</w:t>
                  </w:r>
                </w:p>
              </w:tc>
              <w:tc>
                <w:tcPr>
                  <w:tcW w:w="162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eastAsia="zh-CN"/>
                    </w:rPr>
                  </w:pPr>
                </w:p>
              </w:tc>
              <w:tc>
                <w:tcPr>
                  <w:tcW w:w="2239" w:type="dxa"/>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eastAsia" w:cs="Times New Roman"/>
                      <w:color w:val="auto"/>
                      <w:sz w:val="21"/>
                      <w:szCs w:val="21"/>
                      <w:lang w:eastAsia="zh-CN"/>
                    </w:rPr>
                  </w:pPr>
                  <w:r>
                    <w:rPr>
                      <w:rFonts w:hint="eastAsia" w:cs="Times New Roman"/>
                      <w:color w:val="auto"/>
                      <w:sz w:val="21"/>
                      <w:szCs w:val="21"/>
                      <w:lang w:eastAsia="zh-CN"/>
                    </w:rPr>
                    <w:t>清洗废气</w:t>
                  </w:r>
                </w:p>
              </w:tc>
              <w:tc>
                <w:tcPr>
                  <w:tcW w:w="34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szCs w:val="21"/>
                      <w:highlight w:val="none"/>
                      <w:lang w:eastAsia="zh-CN"/>
                    </w:rPr>
                  </w:pPr>
                  <w:r>
                    <w:rPr>
                      <w:rFonts w:hint="default" w:ascii="Times New Roman" w:hAnsi="Times New Roman" w:eastAsia="宋体" w:cs="Times New Roman"/>
                      <w:color w:val="auto"/>
                      <w:sz w:val="21"/>
                      <w:szCs w:val="21"/>
                      <w:lang w:eastAsia="zh-CN"/>
                    </w:rPr>
                    <w:t>集气罩</w:t>
                  </w:r>
                  <w:r>
                    <w:rPr>
                      <w:rFonts w:hint="default" w:ascii="Times New Roman" w:hAnsi="Times New Roman" w:eastAsia="宋体" w:cs="Times New Roman"/>
                      <w:color w:val="auto"/>
                      <w:sz w:val="21"/>
                      <w:szCs w:val="21"/>
                      <w:lang w:val="en-US" w:eastAsia="zh-CN"/>
                    </w:rPr>
                    <w:t>+</w:t>
                  </w:r>
                  <w:r>
                    <w:rPr>
                      <w:rFonts w:hint="eastAsia" w:ascii="宋体" w:hAnsi="宋体" w:cs="宋体"/>
                      <w:color w:val="auto"/>
                      <w:sz w:val="21"/>
                      <w:szCs w:val="21"/>
                      <w:lang w:val="en-US" w:eastAsia="zh-CN"/>
                    </w:rPr>
                    <w:t>油雾静电捕集器</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15m高排气筒</w:t>
                  </w:r>
                  <w:r>
                    <w:rPr>
                      <w:rFonts w:hint="eastAsia" w:cs="Times New Roman"/>
                      <w:color w:val="auto"/>
                      <w:sz w:val="21"/>
                      <w:szCs w:val="21"/>
                      <w:lang w:eastAsia="zh-CN"/>
                    </w:rPr>
                    <w:t>（</w:t>
                  </w:r>
                  <w:r>
                    <w:rPr>
                      <w:rFonts w:hint="eastAsia" w:cs="Times New Roman"/>
                      <w:color w:val="auto"/>
                      <w:sz w:val="21"/>
                      <w:szCs w:val="21"/>
                      <w:lang w:val="en-US" w:eastAsia="zh-CN"/>
                    </w:rPr>
                    <w:t>DA002</w:t>
                  </w:r>
                  <w:r>
                    <w:rPr>
                      <w:rFonts w:hint="eastAsia" w:cs="Times New Roman"/>
                      <w:color w:val="auto"/>
                      <w:sz w:val="21"/>
                      <w:szCs w:val="21"/>
                      <w:lang w:eastAsia="zh-CN"/>
                    </w:rPr>
                    <w:t>）</w:t>
                  </w:r>
                </w:p>
              </w:tc>
              <w:tc>
                <w:tcPr>
                  <w:tcW w:w="162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噪声</w:t>
                  </w:r>
                </w:p>
              </w:tc>
              <w:tc>
                <w:tcPr>
                  <w:tcW w:w="22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设备噪声等</w:t>
                  </w:r>
                </w:p>
              </w:tc>
              <w:tc>
                <w:tcPr>
                  <w:tcW w:w="34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选用低噪声设备、建筑隔声等</w:t>
                  </w:r>
                </w:p>
              </w:tc>
              <w:tc>
                <w:tcPr>
                  <w:tcW w:w="162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10</w:t>
                  </w:r>
                  <w:r>
                    <w:rPr>
                      <w:rFonts w:hint="default" w:ascii="Times New Roman" w:hAnsi="Times New Roman" w:eastAsia="宋体" w:cs="Times New Roman"/>
                      <w:b w:val="0"/>
                      <w:bCs w:val="0"/>
                      <w:color w:val="auto"/>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3"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固废</w:t>
                  </w:r>
                </w:p>
              </w:tc>
              <w:tc>
                <w:tcPr>
                  <w:tcW w:w="22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一般工业固体废物</w:t>
                  </w:r>
                </w:p>
              </w:tc>
              <w:tc>
                <w:tcPr>
                  <w:tcW w:w="34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color w:val="auto"/>
                      <w:sz w:val="21"/>
                      <w:szCs w:val="21"/>
                    </w:rPr>
                    <w:t>一般工业固体废物暂存间</w:t>
                  </w:r>
                  <w:r>
                    <w:rPr>
                      <w:rFonts w:hint="default" w:ascii="Times New Roman" w:hAnsi="Times New Roman" w:eastAsia="宋体" w:cs="Times New Roman"/>
                      <w:color w:val="auto"/>
                      <w:sz w:val="21"/>
                      <w:szCs w:val="21"/>
                      <w:lang w:eastAsia="zh-CN"/>
                    </w:rPr>
                    <w:t>，位于</w:t>
                  </w:r>
                  <w:r>
                    <w:rPr>
                      <w:rFonts w:hint="default" w:ascii="Times New Roman" w:hAnsi="Times New Roman" w:eastAsia="宋体" w:cs="Times New Roman"/>
                      <w:color w:val="auto"/>
                      <w:sz w:val="21"/>
                      <w:szCs w:val="21"/>
                    </w:rPr>
                    <w:t>生产车间</w:t>
                  </w:r>
                  <w:r>
                    <w:rPr>
                      <w:rFonts w:hint="eastAsia" w:cs="Times New Roman"/>
                      <w:color w:val="auto"/>
                      <w:sz w:val="21"/>
                      <w:szCs w:val="21"/>
                      <w:lang w:eastAsia="zh-CN"/>
                    </w:rPr>
                    <w:t>东</w:t>
                  </w:r>
                  <w:r>
                    <w:rPr>
                      <w:rFonts w:hint="default" w:ascii="Times New Roman" w:hAnsi="Times New Roman" w:eastAsia="宋体" w:cs="Times New Roman"/>
                      <w:color w:val="auto"/>
                      <w:sz w:val="21"/>
                      <w:szCs w:val="21"/>
                      <w:lang w:eastAsia="zh-CN"/>
                    </w:rPr>
                    <w:t>侧，</w:t>
                  </w:r>
                  <w:r>
                    <w:rPr>
                      <w:rFonts w:hint="eastAsia" w:cs="Times New Roman"/>
                      <w:color w:val="auto"/>
                      <w:sz w:val="21"/>
                      <w:szCs w:val="21"/>
                      <w:lang w:eastAsia="zh-CN"/>
                    </w:rPr>
                    <w:t>建筑</w:t>
                  </w:r>
                  <w:r>
                    <w:rPr>
                      <w:rFonts w:hint="default" w:ascii="Times New Roman" w:hAnsi="Times New Roman" w:eastAsia="宋体" w:cs="Times New Roman"/>
                      <w:color w:val="auto"/>
                      <w:sz w:val="21"/>
                      <w:szCs w:val="21"/>
                      <w:lang w:eastAsia="zh-CN"/>
                    </w:rPr>
                    <w:t>面积</w:t>
                  </w:r>
                  <w:r>
                    <w:rPr>
                      <w:rFonts w:hint="eastAsia" w:cs="Times New Roman"/>
                      <w:color w:val="auto"/>
                      <w:sz w:val="21"/>
                      <w:szCs w:val="21"/>
                      <w:lang w:val="en-US" w:eastAsia="zh-CN"/>
                    </w:rPr>
                    <w:t>10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p>
              </w:tc>
              <w:tc>
                <w:tcPr>
                  <w:tcW w:w="162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4</w:t>
                  </w:r>
                  <w:r>
                    <w:rPr>
                      <w:rFonts w:hint="eastAsia" w:ascii="Times New Roman" w:hAnsi="Times New Roman" w:eastAsia="宋体" w:cs="Times New Roman"/>
                      <w:b w:val="0"/>
                      <w:bCs w:val="0"/>
                      <w:color w:val="auto"/>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rPr>
                  </w:pPr>
                </w:p>
              </w:tc>
              <w:tc>
                <w:tcPr>
                  <w:tcW w:w="22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危险废物</w:t>
                  </w:r>
                </w:p>
              </w:tc>
              <w:tc>
                <w:tcPr>
                  <w:tcW w:w="34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color w:val="auto"/>
                      <w:sz w:val="21"/>
                      <w:szCs w:val="21"/>
                    </w:rPr>
                    <w:t>危险废物暂存间</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eastAsia="zh-CN"/>
                    </w:rPr>
                    <w:t>位于</w:t>
                  </w:r>
                  <w:r>
                    <w:rPr>
                      <w:rFonts w:hint="default" w:ascii="Times New Roman" w:hAnsi="Times New Roman" w:eastAsia="宋体" w:cs="Times New Roman"/>
                      <w:color w:val="auto"/>
                      <w:sz w:val="21"/>
                      <w:szCs w:val="21"/>
                    </w:rPr>
                    <w:t>一般工业固体废物暂存间</w:t>
                  </w:r>
                  <w:r>
                    <w:rPr>
                      <w:rFonts w:hint="eastAsia" w:cs="Times New Roman"/>
                      <w:color w:val="auto"/>
                      <w:sz w:val="21"/>
                      <w:szCs w:val="21"/>
                      <w:lang w:eastAsia="zh-CN"/>
                    </w:rPr>
                    <w:t>东</w:t>
                  </w:r>
                  <w:r>
                    <w:rPr>
                      <w:rFonts w:hint="default" w:ascii="Times New Roman" w:hAnsi="Times New Roman" w:eastAsia="宋体" w:cs="Times New Roman"/>
                      <w:color w:val="auto"/>
                      <w:sz w:val="21"/>
                      <w:szCs w:val="21"/>
                      <w:lang w:eastAsia="zh-CN"/>
                    </w:rPr>
                    <w:t>侧，</w:t>
                  </w:r>
                  <w:r>
                    <w:rPr>
                      <w:rFonts w:hint="eastAsia" w:cs="Times New Roman"/>
                      <w:color w:val="auto"/>
                      <w:sz w:val="21"/>
                      <w:szCs w:val="21"/>
                      <w:lang w:eastAsia="zh-CN"/>
                    </w:rPr>
                    <w:t>建筑</w:t>
                  </w:r>
                  <w:r>
                    <w:rPr>
                      <w:rFonts w:hint="default" w:ascii="Times New Roman" w:hAnsi="Times New Roman" w:eastAsia="宋体" w:cs="Times New Roman"/>
                      <w:color w:val="auto"/>
                      <w:sz w:val="21"/>
                      <w:szCs w:val="21"/>
                      <w:lang w:eastAsia="zh-CN"/>
                    </w:rPr>
                    <w:t>面积</w:t>
                  </w:r>
                  <w:r>
                    <w:rPr>
                      <w:rFonts w:hint="eastAsia" w:cs="Times New Roman"/>
                      <w:color w:val="auto"/>
                      <w:sz w:val="21"/>
                      <w:szCs w:val="21"/>
                      <w:lang w:val="en-US" w:eastAsia="zh-CN"/>
                    </w:rPr>
                    <w:t>15</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p>
              </w:tc>
              <w:tc>
                <w:tcPr>
                  <w:tcW w:w="162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7</w:t>
                  </w:r>
                  <w:r>
                    <w:rPr>
                      <w:rFonts w:hint="eastAsia" w:ascii="Times New Roman" w:hAnsi="Times New Roman" w:eastAsia="宋体" w:cs="Times New Roman"/>
                      <w:b w:val="0"/>
                      <w:bCs w:val="0"/>
                      <w:color w:val="auto"/>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rPr>
                  </w:pPr>
                </w:p>
              </w:tc>
              <w:tc>
                <w:tcPr>
                  <w:tcW w:w="22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生活垃圾</w:t>
                  </w:r>
                </w:p>
              </w:tc>
              <w:tc>
                <w:tcPr>
                  <w:tcW w:w="34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垃圾桶等</w:t>
                  </w:r>
                </w:p>
              </w:tc>
              <w:tc>
                <w:tcPr>
                  <w:tcW w:w="162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w:t>
                  </w:r>
                  <w:r>
                    <w:rPr>
                      <w:rFonts w:hint="eastAsia" w:ascii="Times New Roman" w:hAnsi="Times New Roman" w:eastAsia="宋体" w:cs="Times New Roman"/>
                      <w:b w:val="0"/>
                      <w:bCs w:val="0"/>
                      <w:color w:val="auto"/>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z w:val="21"/>
                      <w:szCs w:val="21"/>
                      <w:highlight w:val="none"/>
                      <w:lang w:eastAsia="zh-CN"/>
                    </w:rPr>
                  </w:pPr>
                  <w:r>
                    <w:rPr>
                      <w:rFonts w:hint="eastAsia" w:cs="Times New Roman"/>
                      <w:b w:val="0"/>
                      <w:bCs w:val="0"/>
                      <w:color w:val="auto"/>
                      <w:sz w:val="21"/>
                      <w:szCs w:val="21"/>
                      <w:highlight w:val="none"/>
                      <w:lang w:eastAsia="zh-CN"/>
                    </w:rPr>
                    <w:t>地下水、土壤</w:t>
                  </w:r>
                </w:p>
              </w:tc>
              <w:tc>
                <w:tcPr>
                  <w:tcW w:w="5696"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z w:val="21"/>
                      <w:szCs w:val="21"/>
                      <w:highlight w:val="none"/>
                      <w:lang w:eastAsia="zh-CN"/>
                    </w:rPr>
                  </w:pPr>
                  <w:r>
                    <w:rPr>
                      <w:rFonts w:cs="Times New Roman"/>
                      <w:color w:val="auto"/>
                      <w:sz w:val="21"/>
                      <w:szCs w:val="21"/>
                    </w:rPr>
                    <w:t>重点防渗区域</w:t>
                  </w:r>
                  <w:r>
                    <w:rPr>
                      <w:rFonts w:hint="eastAsia" w:cs="Times New Roman"/>
                      <w:color w:val="auto"/>
                      <w:sz w:val="21"/>
                      <w:szCs w:val="21"/>
                      <w:lang w:eastAsia="zh-CN"/>
                    </w:rPr>
                    <w:t>采用抗渗混凝土（</w:t>
                  </w:r>
                  <w:r>
                    <w:rPr>
                      <w:rFonts w:hint="eastAsia" w:cs="Times New Roman"/>
                      <w:color w:val="auto"/>
                      <w:sz w:val="21"/>
                      <w:szCs w:val="21"/>
                      <w:lang w:val="en-US" w:eastAsia="zh-CN"/>
                    </w:rPr>
                    <w:t>0.2m）+环氧树脂漆</w:t>
                  </w:r>
                  <w:r>
                    <w:rPr>
                      <w:rFonts w:hint="eastAsia" w:cs="Times New Roman"/>
                      <w:color w:val="auto"/>
                      <w:sz w:val="21"/>
                      <w:szCs w:val="21"/>
                      <w:lang w:eastAsia="zh-CN"/>
                    </w:rPr>
                    <w:t>（</w:t>
                  </w:r>
                  <w:r>
                    <w:rPr>
                      <w:rFonts w:hint="eastAsia" w:cs="Times New Roman"/>
                      <w:color w:val="auto"/>
                      <w:sz w:val="21"/>
                      <w:szCs w:val="21"/>
                      <w:lang w:val="en-US" w:eastAsia="zh-CN"/>
                    </w:rPr>
                    <w:t>1.5mm）进行重点防渗，渗透系数</w:t>
                  </w:r>
                  <w:r>
                    <w:rPr>
                      <w:rFonts w:hint="default" w:ascii="Times New Roman" w:hAnsi="Times New Roman" w:eastAsia="宋体" w:cs="Times New Roman"/>
                      <w:color w:val="auto"/>
                      <w:sz w:val="21"/>
                      <w:szCs w:val="21"/>
                    </w:rPr>
                    <w:t>≤1×10</w:t>
                  </w:r>
                  <w:r>
                    <w:rPr>
                      <w:rFonts w:hint="default" w:ascii="Times New Roman" w:hAnsi="Times New Roman" w:eastAsia="宋体" w:cs="Times New Roman"/>
                      <w:color w:val="auto"/>
                      <w:sz w:val="21"/>
                      <w:szCs w:val="21"/>
                      <w:vertAlign w:val="superscript"/>
                    </w:rPr>
                    <w:t>-7</w:t>
                  </w:r>
                  <w:r>
                    <w:rPr>
                      <w:rFonts w:hint="default" w:ascii="Times New Roman" w:hAnsi="Times New Roman" w:eastAsia="宋体" w:cs="Times New Roman"/>
                      <w:color w:val="auto"/>
                      <w:sz w:val="21"/>
                      <w:szCs w:val="21"/>
                    </w:rPr>
                    <w:t>cm/s</w:t>
                  </w:r>
                  <w:r>
                    <w:rPr>
                      <w:rFonts w:hint="eastAsia" w:cs="Times New Roman"/>
                      <w:color w:val="auto"/>
                      <w:sz w:val="21"/>
                      <w:szCs w:val="21"/>
                      <w:lang w:eastAsia="zh-CN"/>
                    </w:rPr>
                    <w:t>；</w:t>
                  </w:r>
                  <w:r>
                    <w:rPr>
                      <w:rFonts w:cs="Times New Roman"/>
                      <w:color w:val="auto"/>
                      <w:sz w:val="21"/>
                      <w:szCs w:val="21"/>
                    </w:rPr>
                    <w:t>一般防渗区域</w:t>
                  </w:r>
                  <w:r>
                    <w:rPr>
                      <w:rFonts w:hint="eastAsia" w:cs="Times New Roman"/>
                      <w:color w:val="auto"/>
                      <w:sz w:val="21"/>
                      <w:szCs w:val="21"/>
                      <w:lang w:eastAsia="zh-CN"/>
                    </w:rPr>
                    <w:t>采用环氧地坪进行一般防渗，渗透系数</w:t>
                  </w:r>
                  <w:r>
                    <w:rPr>
                      <w:rFonts w:hint="default" w:ascii="Times New Roman" w:hAnsi="Times New Roman" w:eastAsia="宋体" w:cs="Times New Roman"/>
                      <w:color w:val="auto"/>
                      <w:sz w:val="21"/>
                      <w:szCs w:val="21"/>
                    </w:rPr>
                    <w:t>≤1×10</w:t>
                  </w:r>
                  <w:r>
                    <w:rPr>
                      <w:rFonts w:hint="default" w:ascii="Times New Roman" w:hAnsi="Times New Roman" w:eastAsia="宋体" w:cs="Times New Roman"/>
                      <w:color w:val="auto"/>
                      <w:sz w:val="21"/>
                      <w:szCs w:val="21"/>
                      <w:vertAlign w:val="superscript"/>
                    </w:rPr>
                    <w:t>-7</w:t>
                  </w:r>
                  <w:r>
                    <w:rPr>
                      <w:rFonts w:hint="default" w:ascii="Times New Roman" w:hAnsi="Times New Roman" w:eastAsia="宋体" w:cs="Times New Roman"/>
                      <w:color w:val="auto"/>
                      <w:sz w:val="21"/>
                      <w:szCs w:val="21"/>
                    </w:rPr>
                    <w:t>cm/s</w:t>
                  </w:r>
                </w:p>
              </w:tc>
              <w:tc>
                <w:tcPr>
                  <w:tcW w:w="162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z w:val="21"/>
                      <w:szCs w:val="21"/>
                      <w:highlight w:val="none"/>
                      <w:lang w:eastAsia="zh-CN"/>
                    </w:rPr>
                  </w:pPr>
                  <w:r>
                    <w:rPr>
                      <w:rFonts w:hint="eastAsia" w:cs="Times New Roman"/>
                      <w:b w:val="0"/>
                      <w:bCs w:val="0"/>
                      <w:color w:val="auto"/>
                      <w:sz w:val="21"/>
                      <w:szCs w:val="21"/>
                      <w:highlight w:val="none"/>
                      <w:lang w:eastAsia="zh-CN"/>
                    </w:rPr>
                    <w:t>风险</w:t>
                  </w:r>
                </w:p>
              </w:tc>
              <w:tc>
                <w:tcPr>
                  <w:tcW w:w="5696"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Times New Roman"/>
                      <w:color w:val="auto"/>
                      <w:sz w:val="21"/>
                      <w:szCs w:val="21"/>
                    </w:rPr>
                  </w:pPr>
                  <w:r>
                    <w:rPr>
                      <w:rFonts w:hint="eastAsia" w:cs="Times New Roman"/>
                      <w:color w:val="auto"/>
                      <w:sz w:val="21"/>
                      <w:szCs w:val="21"/>
                      <w:lang w:val="en-US" w:eastAsia="zh-CN"/>
                    </w:rPr>
                    <w:t>导流沟及泄漏收集池（</w:t>
                  </w:r>
                  <w:r>
                    <w:rPr>
                      <w:rFonts w:hint="eastAsia" w:cs="Times New Roman"/>
                      <w:b w:val="0"/>
                      <w:i w:val="0"/>
                      <w:color w:val="auto"/>
                      <w:sz w:val="21"/>
                      <w:szCs w:val="21"/>
                      <w:lang w:val="en-US" w:eastAsia="zh-CN"/>
                    </w:rPr>
                    <w:t>0.5m</w:t>
                  </w:r>
                  <w:r>
                    <w:rPr>
                      <w:rFonts w:hint="eastAsia" w:cs="Times New Roman"/>
                      <w:b w:val="0"/>
                      <w:i w:val="0"/>
                      <w:color w:val="auto"/>
                      <w:sz w:val="21"/>
                      <w:szCs w:val="21"/>
                      <w:vertAlign w:val="superscript"/>
                      <w:lang w:val="en-US" w:eastAsia="zh-CN"/>
                    </w:rPr>
                    <w:t>3</w:t>
                  </w:r>
                  <w:r>
                    <w:rPr>
                      <w:rFonts w:hint="eastAsia" w:cs="Times New Roman"/>
                      <w:color w:val="auto"/>
                      <w:sz w:val="21"/>
                      <w:szCs w:val="21"/>
                      <w:lang w:val="en-US" w:eastAsia="zh-CN"/>
                    </w:rPr>
                    <w:t>）；事故防范及应急设施等</w:t>
                  </w:r>
                </w:p>
              </w:tc>
              <w:tc>
                <w:tcPr>
                  <w:tcW w:w="162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19"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合计</w:t>
                  </w:r>
                </w:p>
              </w:tc>
              <w:tc>
                <w:tcPr>
                  <w:tcW w:w="162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102</w:t>
                  </w:r>
                </w:p>
              </w:tc>
            </w:tr>
          </w:tbl>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eastAsia="宋体"/>
                <w:color w:val="0000FF"/>
                <w:sz w:val="24"/>
                <w:szCs w:val="24"/>
                <w:lang w:val="en-US" w:eastAsia="zh-CN"/>
              </w:rPr>
            </w:pPr>
          </w:p>
        </w:tc>
      </w:tr>
    </w:tbl>
    <w:p>
      <w:pPr>
        <w:rPr>
          <w:rFonts w:hint="default"/>
          <w:color w:val="0000FF"/>
        </w:rPr>
        <w:sectPr>
          <w:pgSz w:w="11906" w:h="16838"/>
          <w:pgMar w:top="1440" w:right="1803" w:bottom="1440" w:left="1803" w:header="851" w:footer="850" w:gutter="0"/>
          <w:pgBorders>
            <w:top w:val="none" w:sz="0" w:space="0"/>
            <w:left w:val="none" w:sz="0" w:space="0"/>
            <w:bottom w:val="none" w:sz="0" w:space="0"/>
            <w:right w:val="none" w:sz="0" w:space="0"/>
          </w:pgBorders>
          <w:pgNumType w:fmt="decimal"/>
          <w:cols w:space="0" w:num="1"/>
          <w:rtlGutter w:val="0"/>
          <w:docGrid w:linePitch="312" w:charSpace="0"/>
        </w:sectPr>
      </w:pPr>
    </w:p>
    <w:p>
      <w:pPr>
        <w:pStyle w:val="23"/>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auto"/>
        <w:jc w:val="center"/>
        <w:textAlignment w:val="auto"/>
        <w:outlineLvl w:val="0"/>
        <w:rPr>
          <w:rFonts w:hint="default" w:ascii="Times New Roman" w:hAnsi="Times New Roman" w:eastAsia="宋体" w:cs="Times New Roman"/>
          <w:b/>
          <w:bCs/>
          <w:snapToGrid w:val="0"/>
          <w:color w:val="auto"/>
          <w:sz w:val="30"/>
          <w:szCs w:val="30"/>
        </w:rPr>
      </w:pPr>
      <w:r>
        <w:rPr>
          <w:rFonts w:hint="default" w:ascii="Times New Roman" w:hAnsi="Times New Roman" w:eastAsia="宋体" w:cs="Times New Roman"/>
          <w:b/>
          <w:bCs/>
          <w:snapToGrid w:val="0"/>
          <w:color w:val="auto"/>
          <w:sz w:val="30"/>
          <w:szCs w:val="30"/>
        </w:rPr>
        <w:t>五、</w:t>
      </w:r>
      <w:bookmarkStart w:id="1" w:name="_Hlk54167917"/>
      <w:r>
        <w:rPr>
          <w:rFonts w:hint="default" w:ascii="Times New Roman" w:hAnsi="Times New Roman" w:eastAsia="宋体" w:cs="Times New Roman"/>
          <w:b/>
          <w:bCs/>
          <w:snapToGrid w:val="0"/>
          <w:color w:val="auto"/>
          <w:sz w:val="30"/>
          <w:szCs w:val="30"/>
        </w:rPr>
        <w:t>环境保护措施监督检查清单</w:t>
      </w:r>
      <w:bookmarkEnd w:id="1"/>
    </w:p>
    <w:tbl>
      <w:tblPr>
        <w:tblStyle w:val="25"/>
        <w:tblW w:w="880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78"/>
        <w:gridCol w:w="1855"/>
        <w:gridCol w:w="1755"/>
        <w:gridCol w:w="1755"/>
        <w:gridCol w:w="17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78" w:type="dxa"/>
            <w:tcBorders>
              <w:tl2br w:val="single" w:color="auto" w:sz="8" w:space="0"/>
            </w:tcBorders>
            <w:noWrap w:val="0"/>
            <w:vAlign w:val="top"/>
          </w:tcPr>
          <w:p>
            <w:pPr>
              <w:adjustRightInd w:val="0"/>
              <w:snapToGrid w:val="0"/>
              <w:ind w:firstLine="84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内容</w:t>
            </w:r>
          </w:p>
          <w:p>
            <w:pPr>
              <w:adjustRightInd w:val="0"/>
              <w:snapToGrid w:val="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要素</w:t>
            </w:r>
          </w:p>
        </w:tc>
        <w:tc>
          <w:tcPr>
            <w:tcW w:w="1855"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排放口</w:t>
            </w:r>
            <w:r>
              <w:rPr>
                <w:rFonts w:hint="eastAsia" w:ascii="宋体" w:hAnsi="宋体" w:eastAsia="宋体" w:cs="宋体"/>
                <w:color w:val="auto"/>
                <w:sz w:val="24"/>
                <w:szCs w:val="24"/>
              </w:rPr>
              <w:t>(</w:t>
            </w:r>
            <w:r>
              <w:rPr>
                <w:rFonts w:hint="default" w:ascii="Times New Roman" w:hAnsi="Times New Roman" w:eastAsia="宋体" w:cs="Times New Roman"/>
                <w:color w:val="auto"/>
                <w:sz w:val="24"/>
                <w:szCs w:val="24"/>
              </w:rPr>
              <w:t>编号、</w:t>
            </w:r>
          </w:p>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名称</w:t>
            </w:r>
            <w:r>
              <w:rPr>
                <w:rFonts w:hint="eastAsia" w:ascii="宋体" w:hAnsi="宋体" w:eastAsia="宋体" w:cs="宋体"/>
                <w:color w:val="auto"/>
                <w:sz w:val="24"/>
                <w:szCs w:val="24"/>
              </w:rPr>
              <w:t>)</w:t>
            </w:r>
            <w:r>
              <w:rPr>
                <w:rFonts w:hint="default" w:ascii="Times New Roman" w:hAnsi="Times New Roman" w:eastAsia="宋体" w:cs="Times New Roman"/>
                <w:color w:val="auto"/>
                <w:sz w:val="24"/>
                <w:szCs w:val="24"/>
              </w:rPr>
              <w:t>/污染源</w:t>
            </w:r>
          </w:p>
        </w:tc>
        <w:tc>
          <w:tcPr>
            <w:tcW w:w="1755"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污染物项目</w:t>
            </w:r>
          </w:p>
        </w:tc>
        <w:tc>
          <w:tcPr>
            <w:tcW w:w="1755"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环境保护措施</w:t>
            </w:r>
          </w:p>
        </w:tc>
        <w:tc>
          <w:tcPr>
            <w:tcW w:w="1757"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14" w:hRule="atLeast"/>
          <w:jc w:val="center"/>
        </w:trPr>
        <w:tc>
          <w:tcPr>
            <w:tcW w:w="1678" w:type="dxa"/>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大气环境</w:t>
            </w:r>
          </w:p>
        </w:tc>
        <w:tc>
          <w:tcPr>
            <w:tcW w:w="1855"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4"/>
                <w:szCs w:val="24"/>
              </w:rPr>
            </w:pPr>
            <w:r>
              <w:rPr>
                <w:rFonts w:hint="eastAsia" w:cs="Times New Roman"/>
                <w:color w:val="auto"/>
                <w:sz w:val="24"/>
                <w:szCs w:val="24"/>
                <w:lang w:val="en-US" w:eastAsia="zh-CN"/>
              </w:rPr>
              <w:t>冷镦废气（DA001）</w:t>
            </w:r>
            <w:r>
              <w:rPr>
                <w:rFonts w:hint="default" w:ascii="Times New Roman" w:hAnsi="Times New Roman" w:eastAsia="宋体" w:cs="Times New Roman"/>
                <w:color w:val="auto"/>
                <w:sz w:val="24"/>
                <w:szCs w:val="24"/>
                <w:lang w:val="en-US" w:eastAsia="zh-CN"/>
              </w:rPr>
              <w:t>/冷镦</w:t>
            </w:r>
          </w:p>
        </w:tc>
        <w:tc>
          <w:tcPr>
            <w:tcW w:w="1755"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szCs w:val="24"/>
                <w:lang w:eastAsia="zh-CN"/>
              </w:rPr>
              <w:t>挥发性有机物</w:t>
            </w:r>
          </w:p>
        </w:tc>
        <w:tc>
          <w:tcPr>
            <w:tcW w:w="1755"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集气罩</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活性炭纤维毡+</w:t>
            </w:r>
            <w:r>
              <w:rPr>
                <w:rFonts w:hint="default" w:ascii="Times New Roman" w:hAnsi="Times New Roman" w:eastAsia="宋体" w:cs="Times New Roman"/>
                <w:color w:val="auto"/>
                <w:sz w:val="24"/>
                <w:szCs w:val="24"/>
                <w:lang w:val="en-US" w:eastAsia="zh-CN"/>
              </w:rPr>
              <w:t>15m排气筒（DA00</w:t>
            </w:r>
            <w:r>
              <w:rPr>
                <w:rFonts w:hint="eastAsia"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w:t>
            </w:r>
          </w:p>
        </w:tc>
        <w:tc>
          <w:tcPr>
            <w:tcW w:w="1757" w:type="dxa"/>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cs="Times New Roman"/>
                <w:b w:val="0"/>
                <w:bCs/>
                <w:color w:val="auto"/>
                <w:sz w:val="24"/>
                <w:lang w:val="en-US" w:eastAsia="zh-CN"/>
              </w:rPr>
              <w:t>《</w:t>
            </w:r>
            <w:r>
              <w:rPr>
                <w:rFonts w:hint="default" w:ascii="Times New Roman" w:hAnsi="Times New Roman" w:cs="Times New Roman"/>
                <w:b w:val="0"/>
                <w:bCs/>
                <w:color w:val="auto"/>
                <w:sz w:val="24"/>
                <w:lang w:eastAsia="zh-CN"/>
              </w:rPr>
              <w:t>大气污染物综合排放标准</w:t>
            </w:r>
            <w:r>
              <w:rPr>
                <w:rFonts w:hint="default" w:ascii="Times New Roman" w:hAnsi="Times New Roman" w:cs="Times New Roman"/>
                <w:b w:val="0"/>
                <w:bCs/>
                <w:color w:val="auto"/>
                <w:sz w:val="24"/>
                <w:lang w:val="en-US" w:eastAsia="zh-CN"/>
              </w:rPr>
              <w:t>》（</w:t>
            </w:r>
            <w:r>
              <w:rPr>
                <w:rFonts w:hint="eastAsia" w:cs="Times New Roman"/>
                <w:b w:val="0"/>
                <w:bCs/>
                <w:color w:val="auto"/>
                <w:sz w:val="24"/>
                <w:lang w:val="en-US" w:eastAsia="zh-CN"/>
              </w:rPr>
              <w:t>GB16297-1996</w:t>
            </w:r>
            <w:r>
              <w:rPr>
                <w:rFonts w:hint="default" w:ascii="Times New Roman" w:hAnsi="Times New Roman" w:cs="Times New Roman"/>
                <w:b w:val="0"/>
                <w:bCs/>
                <w:color w:val="auto"/>
                <w:sz w:val="24"/>
                <w:lang w:val="en-US" w:eastAsia="zh-CN"/>
              </w:rPr>
              <w:t>）</w:t>
            </w:r>
            <w:r>
              <w:rPr>
                <w:rFonts w:hint="eastAsia" w:cs="Times New Roman"/>
                <w:b w:val="0"/>
                <w:bCs/>
                <w:color w:val="auto"/>
                <w:sz w:val="24"/>
                <w:lang w:val="en-US" w:eastAsia="zh-CN"/>
              </w:rPr>
              <w:t>表2新污染源大气污染物排放限值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14" w:hRule="atLeast"/>
          <w:jc w:val="center"/>
        </w:trPr>
        <w:tc>
          <w:tcPr>
            <w:tcW w:w="1678"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color w:val="auto"/>
                <w:sz w:val="24"/>
                <w:szCs w:val="24"/>
              </w:rPr>
            </w:pPr>
          </w:p>
        </w:tc>
        <w:tc>
          <w:tcPr>
            <w:tcW w:w="1855" w:type="dxa"/>
            <w:tcBorders>
              <w:tl2br w:val="nil"/>
              <w:tr2bl w:val="nil"/>
            </w:tcBorders>
            <w:noWrap w:val="0"/>
            <w:vAlign w:val="center"/>
          </w:tcPr>
          <w:p>
            <w:pPr>
              <w:adjustRightInd w:val="0"/>
              <w:snapToGrid w:val="0"/>
              <w:jc w:val="center"/>
              <w:rPr>
                <w:rFonts w:hint="default" w:cs="Times New Roman"/>
                <w:color w:val="auto"/>
                <w:sz w:val="24"/>
                <w:szCs w:val="24"/>
                <w:lang w:val="en-US" w:eastAsia="zh-CN"/>
              </w:rPr>
            </w:pPr>
            <w:r>
              <w:rPr>
                <w:rFonts w:hint="eastAsia" w:cs="Times New Roman"/>
                <w:color w:val="auto"/>
                <w:sz w:val="24"/>
                <w:szCs w:val="24"/>
                <w:lang w:val="en-US" w:eastAsia="zh-CN"/>
              </w:rPr>
              <w:t>淬火回火废气</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DA00</w:t>
            </w:r>
            <w:r>
              <w:rPr>
                <w:rFonts w:hint="eastAsia"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/淬火回火</w:t>
            </w:r>
          </w:p>
        </w:tc>
        <w:tc>
          <w:tcPr>
            <w:tcW w:w="1755" w:type="dxa"/>
            <w:tcBorders>
              <w:tl2br w:val="nil"/>
              <w:tr2bl w:val="nil"/>
            </w:tcBorders>
            <w:noWrap w:val="0"/>
            <w:vAlign w:val="center"/>
          </w:tcPr>
          <w:p>
            <w:pPr>
              <w:autoSpaceDE w:val="0"/>
              <w:autoSpaceDN w:val="0"/>
              <w:adjustRightInd w:val="0"/>
              <w:jc w:val="center"/>
              <w:rPr>
                <w:rFonts w:hint="eastAsia" w:cs="Times New Roman"/>
                <w:color w:val="auto"/>
                <w:sz w:val="24"/>
                <w:szCs w:val="24"/>
                <w:lang w:eastAsia="zh-CN"/>
              </w:rPr>
            </w:pPr>
            <w:r>
              <w:rPr>
                <w:rFonts w:hint="eastAsia" w:cs="Times New Roman"/>
                <w:color w:val="auto"/>
                <w:sz w:val="24"/>
                <w:szCs w:val="24"/>
                <w:lang w:eastAsia="zh-CN"/>
              </w:rPr>
              <w:t>挥发性有机物、颗粒物</w:t>
            </w:r>
          </w:p>
        </w:tc>
        <w:tc>
          <w:tcPr>
            <w:tcW w:w="1755"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集气罩+油雾静电捕集器+活性炭纤维毡处理后经1根15m高排气筒（DA001）排放</w:t>
            </w:r>
          </w:p>
        </w:tc>
        <w:tc>
          <w:tcPr>
            <w:tcW w:w="1757" w:type="dxa"/>
            <w:vMerge w:val="continue"/>
            <w:tcBorders>
              <w:tl2br w:val="nil"/>
              <w:tr2bl w:val="nil"/>
            </w:tcBorders>
            <w:noWrap w:val="0"/>
            <w:vAlign w:val="center"/>
          </w:tcPr>
          <w:p>
            <w:pPr>
              <w:adjustRightInd w:val="0"/>
              <w:snapToGrid w:val="0"/>
              <w:jc w:val="center"/>
              <w:rPr>
                <w:rFonts w:hint="default" w:ascii="Times New Roman" w:hAnsi="Times New Roman" w:cs="Times New Roman"/>
                <w:b w:val="0"/>
                <w:bCs/>
                <w:color w:val="auto"/>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92" w:hRule="atLeast"/>
          <w:jc w:val="center"/>
        </w:trPr>
        <w:tc>
          <w:tcPr>
            <w:tcW w:w="1678"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color w:val="auto"/>
                <w:sz w:val="24"/>
                <w:szCs w:val="24"/>
              </w:rPr>
            </w:pPr>
          </w:p>
        </w:tc>
        <w:tc>
          <w:tcPr>
            <w:tcW w:w="1855"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清洗废气</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DA00</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清洗</w:t>
            </w:r>
          </w:p>
        </w:tc>
        <w:tc>
          <w:tcPr>
            <w:tcW w:w="1755" w:type="dxa"/>
            <w:tcBorders>
              <w:tl2br w:val="nil"/>
              <w:tr2bl w:val="nil"/>
            </w:tcBorders>
            <w:noWrap w:val="0"/>
            <w:vAlign w:val="center"/>
          </w:tcPr>
          <w:p>
            <w:pPr>
              <w:autoSpaceDE w:val="0"/>
              <w:autoSpaceDN w:val="0"/>
              <w:adjustRightInd w:val="0"/>
              <w:jc w:val="center"/>
              <w:rPr>
                <w:rFonts w:hint="eastAsia" w:ascii="Times New Roman" w:hAnsi="Times New Roman" w:cs="Times New Roman"/>
                <w:color w:val="auto"/>
                <w:sz w:val="24"/>
                <w:szCs w:val="24"/>
                <w:lang w:eastAsia="zh-CN"/>
              </w:rPr>
            </w:pPr>
            <w:r>
              <w:rPr>
                <w:rFonts w:hint="eastAsia" w:cs="Times New Roman"/>
                <w:color w:val="auto"/>
                <w:sz w:val="24"/>
                <w:szCs w:val="24"/>
                <w:lang w:eastAsia="zh-CN"/>
              </w:rPr>
              <w:t>挥发性有机物</w:t>
            </w:r>
          </w:p>
        </w:tc>
        <w:tc>
          <w:tcPr>
            <w:tcW w:w="1755"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集气罩</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油雾静电捕集器+</w:t>
            </w:r>
            <w:r>
              <w:rPr>
                <w:rFonts w:hint="default" w:ascii="Times New Roman" w:hAnsi="Times New Roman" w:eastAsia="宋体" w:cs="Times New Roman"/>
                <w:color w:val="auto"/>
                <w:sz w:val="24"/>
                <w:szCs w:val="24"/>
                <w:lang w:val="en-US" w:eastAsia="zh-CN"/>
              </w:rPr>
              <w:t>15m排气筒（DA00</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w:t>
            </w:r>
          </w:p>
        </w:tc>
        <w:tc>
          <w:tcPr>
            <w:tcW w:w="1757"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78" w:type="dxa"/>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地表水环境</w:t>
            </w:r>
          </w:p>
        </w:tc>
        <w:tc>
          <w:tcPr>
            <w:tcW w:w="1855" w:type="dxa"/>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rPr>
              <w:t>员工生活污水</w:t>
            </w:r>
          </w:p>
        </w:tc>
        <w:tc>
          <w:tcPr>
            <w:tcW w:w="1755"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COD</w:t>
            </w:r>
          </w:p>
        </w:tc>
        <w:tc>
          <w:tcPr>
            <w:tcW w:w="1755" w:type="dxa"/>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标准化厂房已建化粪池</w:t>
            </w:r>
          </w:p>
        </w:tc>
        <w:tc>
          <w:tcPr>
            <w:tcW w:w="1757" w:type="dxa"/>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《污水综合排放标准》（GB8978-1996）中三级排放标准及</w:t>
            </w:r>
            <w:r>
              <w:rPr>
                <w:rFonts w:hint="eastAsia" w:cs="Times New Roman"/>
                <w:color w:val="auto"/>
                <w:sz w:val="24"/>
                <w:szCs w:val="24"/>
                <w:lang w:val="en-US" w:eastAsia="zh-CN"/>
              </w:rPr>
              <w:t>灵璧经济开发区新北污水处理厂</w:t>
            </w:r>
            <w:r>
              <w:rPr>
                <w:rFonts w:hint="default" w:ascii="Times New Roman" w:hAnsi="Times New Roman" w:eastAsia="宋体" w:cs="Times New Roman"/>
                <w:color w:val="auto"/>
                <w:sz w:val="24"/>
                <w:szCs w:val="24"/>
                <w:lang w:val="en-US" w:eastAsia="zh-CN"/>
              </w:rPr>
              <w:t>的接管标准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78"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color w:val="auto"/>
                <w:sz w:val="24"/>
                <w:szCs w:val="24"/>
              </w:rPr>
            </w:pPr>
          </w:p>
        </w:tc>
        <w:tc>
          <w:tcPr>
            <w:tcW w:w="1855"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p>
        </w:tc>
        <w:tc>
          <w:tcPr>
            <w:tcW w:w="1755"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SS</w:t>
            </w:r>
          </w:p>
        </w:tc>
        <w:tc>
          <w:tcPr>
            <w:tcW w:w="1755"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4"/>
                <w:szCs w:val="24"/>
              </w:rPr>
            </w:pPr>
          </w:p>
        </w:tc>
        <w:tc>
          <w:tcPr>
            <w:tcW w:w="1757"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78"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color w:val="auto"/>
                <w:sz w:val="24"/>
                <w:szCs w:val="24"/>
              </w:rPr>
            </w:pPr>
          </w:p>
        </w:tc>
        <w:tc>
          <w:tcPr>
            <w:tcW w:w="1855"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p>
        </w:tc>
        <w:tc>
          <w:tcPr>
            <w:tcW w:w="1755"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BOD</w:t>
            </w:r>
            <w:r>
              <w:rPr>
                <w:rFonts w:hint="default" w:ascii="Times New Roman" w:hAnsi="Times New Roman" w:eastAsia="宋体" w:cs="Times New Roman"/>
                <w:color w:val="auto"/>
                <w:sz w:val="24"/>
                <w:szCs w:val="24"/>
                <w:vertAlign w:val="subscript"/>
                <w:lang w:val="en-US" w:eastAsia="zh-CN"/>
              </w:rPr>
              <w:t>5</w:t>
            </w:r>
          </w:p>
        </w:tc>
        <w:tc>
          <w:tcPr>
            <w:tcW w:w="1755"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4"/>
                <w:szCs w:val="24"/>
              </w:rPr>
            </w:pPr>
          </w:p>
        </w:tc>
        <w:tc>
          <w:tcPr>
            <w:tcW w:w="1757"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78"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color w:val="auto"/>
                <w:sz w:val="24"/>
                <w:szCs w:val="24"/>
              </w:rPr>
            </w:pPr>
          </w:p>
        </w:tc>
        <w:tc>
          <w:tcPr>
            <w:tcW w:w="1855"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p>
        </w:tc>
        <w:tc>
          <w:tcPr>
            <w:tcW w:w="1755"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cs="Times New Roman"/>
                <w:color w:val="auto"/>
                <w:sz w:val="24"/>
                <w:szCs w:val="24"/>
              </w:rPr>
              <w:t>NH</w:t>
            </w:r>
            <w:r>
              <w:rPr>
                <w:rFonts w:cs="Times New Roman"/>
                <w:color w:val="auto"/>
                <w:sz w:val="24"/>
                <w:szCs w:val="24"/>
                <w:vertAlign w:val="subscript"/>
              </w:rPr>
              <w:t>3</w:t>
            </w:r>
            <w:r>
              <w:rPr>
                <w:rFonts w:cs="Times New Roman"/>
                <w:color w:val="auto"/>
                <w:sz w:val="24"/>
                <w:szCs w:val="24"/>
              </w:rPr>
              <w:t>-N</w:t>
            </w:r>
          </w:p>
        </w:tc>
        <w:tc>
          <w:tcPr>
            <w:tcW w:w="1755"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4"/>
                <w:szCs w:val="24"/>
              </w:rPr>
            </w:pPr>
          </w:p>
        </w:tc>
        <w:tc>
          <w:tcPr>
            <w:tcW w:w="1757"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84" w:hRule="atLeast"/>
          <w:jc w:val="center"/>
        </w:trPr>
        <w:tc>
          <w:tcPr>
            <w:tcW w:w="1678"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声环境</w:t>
            </w:r>
          </w:p>
        </w:tc>
        <w:tc>
          <w:tcPr>
            <w:tcW w:w="1855"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厂界</w:t>
            </w:r>
          </w:p>
        </w:tc>
        <w:tc>
          <w:tcPr>
            <w:tcW w:w="1755"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噪声</w:t>
            </w:r>
          </w:p>
        </w:tc>
        <w:tc>
          <w:tcPr>
            <w:tcW w:w="1755"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合理布局；对高噪声设备采取隔振减振措施；车间隔声；合理安排生产时间</w:t>
            </w:r>
          </w:p>
        </w:tc>
        <w:tc>
          <w:tcPr>
            <w:tcW w:w="1757"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《工业企业厂界环境噪声排放标准》（GB12348-2008）中的</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kern w:val="0"/>
                <w:sz w:val="24"/>
                <w:szCs w:val="24"/>
                <w:lang w:val="en-US" w:eastAsia="zh-CN"/>
              </w:rPr>
              <w:t>类</w:t>
            </w:r>
            <w:r>
              <w:rPr>
                <w:rFonts w:hint="eastAsia" w:cs="Times New Roman"/>
                <w:color w:val="auto"/>
                <w:kern w:val="0"/>
                <w:sz w:val="24"/>
                <w:szCs w:val="24"/>
                <w:lang w:val="en-US" w:eastAsia="zh-CN"/>
              </w:rPr>
              <w:t>及4a类</w:t>
            </w:r>
            <w:r>
              <w:rPr>
                <w:rFonts w:hint="default" w:ascii="Times New Roman" w:hAnsi="Times New Roman" w:eastAsia="宋体" w:cs="Times New Roman"/>
                <w:color w:val="auto"/>
                <w:sz w:val="24"/>
                <w:szCs w:val="24"/>
              </w:rPr>
              <w:t>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678"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电磁辐射</w:t>
            </w:r>
          </w:p>
        </w:tc>
        <w:tc>
          <w:tcPr>
            <w:tcW w:w="7122" w:type="dxa"/>
            <w:gridSpan w:val="4"/>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1678"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固体废物</w:t>
            </w:r>
          </w:p>
        </w:tc>
        <w:tc>
          <w:tcPr>
            <w:tcW w:w="7122"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eastAsia"/>
                <w:color w:val="auto"/>
                <w:sz w:val="24"/>
                <w:lang w:eastAsia="zh-CN"/>
              </w:rPr>
              <w:t>本项目</w:t>
            </w:r>
            <w:r>
              <w:rPr>
                <w:rFonts w:hint="eastAsia"/>
                <w:color w:val="auto"/>
                <w:sz w:val="24"/>
              </w:rPr>
              <w:t>运营期</w:t>
            </w:r>
            <w:r>
              <w:rPr>
                <w:rFonts w:hint="eastAsia" w:ascii="Times New Roman" w:hAnsi="Times New Roman" w:cs="Times New Roman"/>
                <w:color w:val="auto"/>
                <w:kern w:val="0"/>
                <w:sz w:val="24"/>
                <w:szCs w:val="24"/>
                <w:lang w:eastAsia="zh-CN"/>
              </w:rPr>
              <w:t>产生的</w:t>
            </w:r>
            <w:r>
              <w:rPr>
                <w:rFonts w:hint="eastAsia" w:ascii="Times New Roman" w:hAnsi="Times New Roman" w:eastAsia="宋体" w:cs="Times New Roman"/>
                <w:color w:val="auto"/>
                <w:kern w:val="0"/>
                <w:sz w:val="24"/>
                <w:szCs w:val="24"/>
                <w:lang w:eastAsia="zh-CN"/>
              </w:rPr>
              <w:t>一般工业固体</w:t>
            </w:r>
            <w:r>
              <w:rPr>
                <w:rFonts w:hint="eastAsia" w:cs="Times New Roman"/>
                <w:color w:val="auto"/>
                <w:kern w:val="0"/>
                <w:sz w:val="24"/>
                <w:szCs w:val="24"/>
                <w:lang w:eastAsia="zh-CN"/>
              </w:rPr>
              <w:t>废物</w:t>
            </w:r>
            <w:r>
              <w:rPr>
                <w:rFonts w:hint="eastAsia" w:cs="Times New Roman"/>
                <w:b w:val="0"/>
                <w:bCs w:val="0"/>
                <w:color w:val="auto"/>
                <w:sz w:val="24"/>
                <w:szCs w:val="24"/>
                <w:lang w:val="en-US" w:eastAsia="zh-CN"/>
              </w:rPr>
              <w:t>不合格品</w:t>
            </w:r>
            <w:r>
              <w:rPr>
                <w:rFonts w:hint="default" w:ascii="Times New Roman" w:hAnsi="Times New Roman" w:cs="Times New Roman"/>
                <w:color w:val="auto"/>
                <w:kern w:val="2"/>
                <w:sz w:val="24"/>
                <w:szCs w:val="24"/>
                <w:highlight w:val="none"/>
                <w:lang w:val="en-US" w:eastAsia="zh-CN" w:bidi="ar-SA"/>
              </w:rPr>
              <w:t>统一收集后定期外售</w:t>
            </w:r>
            <w:r>
              <w:rPr>
                <w:rFonts w:hint="eastAsia" w:cs="Times New Roman"/>
                <w:color w:val="auto"/>
                <w:kern w:val="2"/>
                <w:sz w:val="24"/>
                <w:szCs w:val="24"/>
                <w:highlight w:val="none"/>
                <w:lang w:val="en-US" w:eastAsia="zh-CN" w:bidi="ar-SA"/>
              </w:rPr>
              <w:t>；废磨液桶统一回收后由原厂家回收利用；废钢屑、废钢球收集后统一外售至物资回收公司</w:t>
            </w:r>
            <w:r>
              <w:rPr>
                <w:rFonts w:hint="eastAsia" w:ascii="Times New Roman" w:hAnsi="Times New Roman" w:cs="Times New Roman"/>
                <w:color w:val="auto"/>
                <w:kern w:val="2"/>
                <w:sz w:val="24"/>
                <w:szCs w:val="24"/>
                <w:highlight w:val="none"/>
                <w:lang w:val="en-US" w:eastAsia="zh-CN" w:bidi="ar-SA"/>
              </w:rPr>
              <w:t>。</w:t>
            </w:r>
            <w:r>
              <w:rPr>
                <w:rFonts w:hint="eastAsia" w:ascii="Times New Roman" w:hAnsi="Times New Roman" w:eastAsia="宋体" w:cs="Times New Roman"/>
                <w:color w:val="auto"/>
                <w:kern w:val="0"/>
                <w:sz w:val="24"/>
                <w:szCs w:val="24"/>
                <w:lang w:eastAsia="zh-CN"/>
              </w:rPr>
              <w:t>危险废物</w:t>
            </w:r>
            <w:r>
              <w:rPr>
                <w:rFonts w:hint="eastAsia" w:ascii="Times New Roman" w:hAnsi="Times New Roman" w:cs="Times New Roman"/>
                <w:color w:val="auto"/>
                <w:kern w:val="0"/>
                <w:sz w:val="24"/>
                <w:szCs w:val="24"/>
                <w:lang w:eastAsia="zh-CN"/>
              </w:rPr>
              <w:t>包括</w:t>
            </w:r>
            <w:r>
              <w:rPr>
                <w:rFonts w:hint="eastAsia" w:cs="Times New Roman"/>
                <w:color w:val="auto"/>
                <w:kern w:val="0"/>
                <w:sz w:val="24"/>
                <w:szCs w:val="24"/>
                <w:lang w:val="en-US" w:eastAsia="zh-CN"/>
              </w:rPr>
              <w:t>油渣</w:t>
            </w:r>
            <w:r>
              <w:rPr>
                <w:rFonts w:hint="eastAsia" w:cs="Times New Roman"/>
                <w:b w:val="0"/>
                <w:bCs w:val="0"/>
                <w:color w:val="auto"/>
                <w:sz w:val="24"/>
                <w:szCs w:val="24"/>
                <w:lang w:val="en-US" w:eastAsia="zh-CN"/>
              </w:rPr>
              <w:t>、废油桶、废活性炭纤维毡全部</w:t>
            </w:r>
            <w:r>
              <w:rPr>
                <w:rFonts w:hint="default" w:ascii="Times New Roman" w:hAnsi="Times New Roman" w:cs="Times New Roman"/>
                <w:color w:val="auto"/>
                <w:sz w:val="24"/>
                <w:lang w:val="en-US" w:eastAsia="zh-CN"/>
              </w:rPr>
              <w:t>委托有资质单位妥善处置</w:t>
            </w:r>
            <w:r>
              <w:rPr>
                <w:rFonts w:hint="eastAsia" w:ascii="Times New Roman" w:hAnsi="Times New Roman" w:eastAsia="宋体" w:cs="Times New Roman"/>
                <w:color w:val="auto"/>
                <w:kern w:val="0"/>
                <w:sz w:val="24"/>
                <w:szCs w:val="24"/>
                <w:lang w:eastAsia="zh-CN"/>
              </w:rPr>
              <w:t>。</w:t>
            </w:r>
            <w:r>
              <w:rPr>
                <w:rFonts w:hint="eastAsia"/>
                <w:color w:val="auto"/>
                <w:sz w:val="24"/>
                <w:szCs w:val="24"/>
              </w:rPr>
              <w:t>生活垃圾委托环卫部门统一处理</w:t>
            </w:r>
            <w:r>
              <w:rPr>
                <w:color w:val="auto"/>
                <w:sz w:val="24"/>
                <w:szCs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1678"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土壤及地下水</w:t>
            </w:r>
          </w:p>
          <w:p>
            <w:pPr>
              <w:adjustRightInd w:val="0"/>
              <w:snapToGrid w:val="0"/>
              <w:jc w:val="center"/>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污染防治措施</w:t>
            </w:r>
          </w:p>
        </w:tc>
        <w:tc>
          <w:tcPr>
            <w:tcW w:w="7122" w:type="dxa"/>
            <w:gridSpan w:val="4"/>
            <w:tcBorders>
              <w:tl2br w:val="nil"/>
              <w:tr2bl w:val="nil"/>
            </w:tcBorders>
            <w:noWrap w:val="0"/>
            <w:vAlign w:val="center"/>
          </w:tcPr>
          <w:p>
            <w:pPr>
              <w:pStyle w:val="37"/>
              <w:keepNext w:val="0"/>
              <w:keepLines w:val="0"/>
              <w:pageBreakBefore w:val="0"/>
              <w:widowControl w:val="0"/>
              <w:kinsoku/>
              <w:wordWrap/>
              <w:overflowPunct/>
              <w:topLinePunct w:val="0"/>
              <w:bidi w:val="0"/>
              <w:adjustRightInd w:val="0"/>
              <w:snapToGrid w:val="0"/>
              <w:spacing w:line="360" w:lineRule="auto"/>
              <w:jc w:val="left"/>
              <w:textAlignment w:val="auto"/>
              <w:rPr>
                <w:rFonts w:hint="eastAsia" w:ascii="Times New Roman" w:hAnsi="Times New Roman" w:eastAsia="宋体" w:cs="Times New Roman"/>
                <w:color w:val="auto"/>
                <w:sz w:val="24"/>
                <w:szCs w:val="24"/>
                <w:lang w:eastAsia="zh-CN"/>
              </w:rPr>
            </w:pPr>
            <w:r>
              <w:rPr>
                <w:rFonts w:cs="Times New Roman"/>
                <w:color w:val="auto"/>
                <w:sz w:val="24"/>
                <w:szCs w:val="24"/>
              </w:rPr>
              <w:t>重点防渗区域</w:t>
            </w:r>
            <w:r>
              <w:rPr>
                <w:rFonts w:hint="eastAsia" w:cs="Times New Roman"/>
                <w:color w:val="auto"/>
                <w:sz w:val="24"/>
                <w:szCs w:val="24"/>
                <w:lang w:eastAsia="zh-CN"/>
              </w:rPr>
              <w:t>采用抗渗混凝土（</w:t>
            </w:r>
            <w:r>
              <w:rPr>
                <w:rFonts w:hint="eastAsia" w:cs="Times New Roman"/>
                <w:color w:val="auto"/>
                <w:sz w:val="24"/>
                <w:szCs w:val="24"/>
                <w:lang w:val="en-US" w:eastAsia="zh-CN"/>
              </w:rPr>
              <w:t>0.2m）+环氧树脂漆</w:t>
            </w:r>
            <w:r>
              <w:rPr>
                <w:rFonts w:hint="eastAsia" w:cs="Times New Roman"/>
                <w:color w:val="auto"/>
                <w:sz w:val="24"/>
                <w:szCs w:val="24"/>
                <w:lang w:eastAsia="zh-CN"/>
              </w:rPr>
              <w:t>（</w:t>
            </w:r>
            <w:r>
              <w:rPr>
                <w:rFonts w:hint="eastAsia" w:cs="Times New Roman"/>
                <w:color w:val="auto"/>
                <w:sz w:val="24"/>
                <w:szCs w:val="24"/>
                <w:lang w:val="en-US" w:eastAsia="zh-CN"/>
              </w:rPr>
              <w:t>1.5mm）进行重点防渗，渗透系数</w:t>
            </w:r>
            <w:r>
              <w:rPr>
                <w:rFonts w:hint="default" w:ascii="Times New Roman" w:hAnsi="Times New Roman" w:eastAsia="宋体" w:cs="Times New Roman"/>
                <w:color w:val="auto"/>
                <w:sz w:val="24"/>
                <w:szCs w:val="24"/>
              </w:rPr>
              <w:t>≤1×10</w:t>
            </w:r>
            <w:r>
              <w:rPr>
                <w:rFonts w:hint="default" w:ascii="Times New Roman" w:hAnsi="Times New Roman" w:eastAsia="宋体" w:cs="Times New Roman"/>
                <w:color w:val="auto"/>
                <w:sz w:val="24"/>
                <w:szCs w:val="24"/>
                <w:vertAlign w:val="superscript"/>
              </w:rPr>
              <w:t>-7</w:t>
            </w:r>
            <w:r>
              <w:rPr>
                <w:rFonts w:hint="default" w:ascii="Times New Roman" w:hAnsi="Times New Roman" w:eastAsia="宋体" w:cs="Times New Roman"/>
                <w:color w:val="auto"/>
                <w:sz w:val="24"/>
                <w:szCs w:val="24"/>
              </w:rPr>
              <w:t>cm/s</w:t>
            </w:r>
            <w:r>
              <w:rPr>
                <w:rFonts w:hint="eastAsia" w:cs="Times New Roman"/>
                <w:color w:val="auto"/>
                <w:sz w:val="24"/>
                <w:szCs w:val="24"/>
                <w:lang w:eastAsia="zh-CN"/>
              </w:rPr>
              <w:t>；</w:t>
            </w:r>
            <w:r>
              <w:rPr>
                <w:rFonts w:cs="Times New Roman"/>
                <w:color w:val="auto"/>
                <w:sz w:val="24"/>
                <w:szCs w:val="24"/>
              </w:rPr>
              <w:t>一般防渗区域</w:t>
            </w:r>
            <w:r>
              <w:rPr>
                <w:rFonts w:hint="eastAsia" w:cs="Times New Roman"/>
                <w:color w:val="auto"/>
                <w:sz w:val="24"/>
                <w:szCs w:val="24"/>
                <w:lang w:eastAsia="zh-CN"/>
              </w:rPr>
              <w:t>采用环氧地坪进行一般防渗，渗透系数</w:t>
            </w:r>
            <w:r>
              <w:rPr>
                <w:rFonts w:hint="default" w:ascii="Times New Roman" w:hAnsi="Times New Roman" w:eastAsia="宋体" w:cs="Times New Roman"/>
                <w:color w:val="auto"/>
                <w:sz w:val="24"/>
                <w:szCs w:val="24"/>
              </w:rPr>
              <w:t>≤1×10</w:t>
            </w:r>
            <w:r>
              <w:rPr>
                <w:rFonts w:hint="default" w:ascii="Times New Roman" w:hAnsi="Times New Roman" w:eastAsia="宋体" w:cs="Times New Roman"/>
                <w:color w:val="auto"/>
                <w:sz w:val="24"/>
                <w:szCs w:val="24"/>
                <w:vertAlign w:val="superscript"/>
              </w:rPr>
              <w:t>-7</w:t>
            </w:r>
            <w:r>
              <w:rPr>
                <w:rFonts w:hint="default" w:ascii="Times New Roman" w:hAnsi="Times New Roman" w:eastAsia="宋体" w:cs="Times New Roman"/>
                <w:color w:val="auto"/>
                <w:sz w:val="24"/>
                <w:szCs w:val="24"/>
              </w:rPr>
              <w:t>cm/s</w:t>
            </w:r>
            <w:r>
              <w:rPr>
                <w:rFonts w:hint="eastAsia" w:cs="Times New Roman"/>
                <w:color w:val="auto"/>
                <w:sz w:val="24"/>
                <w:szCs w:val="24"/>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1678"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生态保护措施</w:t>
            </w:r>
          </w:p>
        </w:tc>
        <w:tc>
          <w:tcPr>
            <w:tcW w:w="7122"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项目区域附近无自然保护区，人文景观和名胜古迹等环境敏感点，周围没有需要特殊保护的生态环境。项目建设不会对周围生态环境造成影响。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26" w:hRule="atLeast"/>
          <w:jc w:val="center"/>
        </w:trPr>
        <w:tc>
          <w:tcPr>
            <w:tcW w:w="1678"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color w:val="auto"/>
                <w:spacing w:val="-8"/>
                <w:sz w:val="24"/>
                <w:szCs w:val="24"/>
              </w:rPr>
            </w:pPr>
            <w:r>
              <w:rPr>
                <w:rFonts w:hint="default" w:ascii="Times New Roman" w:hAnsi="Times New Roman" w:eastAsia="宋体" w:cs="Times New Roman"/>
                <w:b w:val="0"/>
                <w:bCs w:val="0"/>
                <w:color w:val="auto"/>
                <w:spacing w:val="-8"/>
                <w:sz w:val="24"/>
                <w:szCs w:val="24"/>
              </w:rPr>
              <w:t>环境风险</w:t>
            </w:r>
          </w:p>
          <w:p>
            <w:pPr>
              <w:adjustRightInd w:val="0"/>
              <w:snapToGrid w:val="0"/>
              <w:jc w:val="center"/>
              <w:rPr>
                <w:rFonts w:hint="default" w:ascii="Times New Roman" w:hAnsi="Times New Roman" w:eastAsia="宋体" w:cs="Times New Roman"/>
                <w:b w:val="0"/>
                <w:bCs w:val="0"/>
                <w:color w:val="auto"/>
                <w:spacing w:val="-8"/>
                <w:sz w:val="24"/>
                <w:szCs w:val="24"/>
              </w:rPr>
            </w:pPr>
            <w:r>
              <w:rPr>
                <w:rFonts w:hint="default" w:ascii="Times New Roman" w:hAnsi="Times New Roman" w:eastAsia="宋体" w:cs="Times New Roman"/>
                <w:b w:val="0"/>
                <w:bCs w:val="0"/>
                <w:color w:val="auto"/>
                <w:spacing w:val="-8"/>
                <w:sz w:val="24"/>
                <w:szCs w:val="24"/>
              </w:rPr>
              <w:t>防范措施</w:t>
            </w:r>
          </w:p>
        </w:tc>
        <w:tc>
          <w:tcPr>
            <w:tcW w:w="7122"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为保证公司员工和周围居民的生命财产安全，防止重、特大事故的发生，并能在事故发生后迅速有效的控制处理，防止事故扩大，根据公司实际情况，本</w:t>
            </w:r>
            <w:r>
              <w:rPr>
                <w:rFonts w:hint="eastAsia" w:ascii="宋体" w:hAnsi="宋体" w:eastAsia="宋体" w:cs="宋体"/>
                <w:color w:val="auto"/>
                <w:sz w:val="24"/>
                <w:szCs w:val="24"/>
              </w:rPr>
              <w:t>着“安全第一，预防为主；统一指挥，分工负责”</w:t>
            </w:r>
            <w:r>
              <w:rPr>
                <w:rFonts w:hint="default" w:ascii="Times New Roman" w:hAnsi="Times New Roman" w:eastAsia="宋体" w:cs="Times New Roman"/>
                <w:color w:val="auto"/>
                <w:sz w:val="24"/>
                <w:szCs w:val="24"/>
              </w:rPr>
              <w:t>的原则，制定严格的事故应急预案并经常演练使之启动运转及时，是减轻风险事故环境影响的有效措施。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92" w:hRule="atLeast"/>
          <w:jc w:val="center"/>
        </w:trPr>
        <w:tc>
          <w:tcPr>
            <w:tcW w:w="1678"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color w:val="auto"/>
                <w:spacing w:val="-8"/>
                <w:sz w:val="24"/>
                <w:szCs w:val="24"/>
              </w:rPr>
            </w:pPr>
            <w:r>
              <w:rPr>
                <w:rFonts w:hint="default" w:ascii="Times New Roman" w:hAnsi="Times New Roman" w:eastAsia="宋体" w:cs="Times New Roman"/>
                <w:b w:val="0"/>
                <w:bCs w:val="0"/>
                <w:color w:val="auto"/>
                <w:spacing w:val="-8"/>
                <w:sz w:val="24"/>
                <w:szCs w:val="24"/>
              </w:rPr>
              <w:t>其他环境</w:t>
            </w:r>
          </w:p>
          <w:p>
            <w:pPr>
              <w:adjustRightInd w:val="0"/>
              <w:snapToGrid w:val="0"/>
              <w:jc w:val="center"/>
              <w:rPr>
                <w:rFonts w:hint="default" w:ascii="Times New Roman" w:hAnsi="Times New Roman" w:eastAsia="宋体" w:cs="Times New Roman"/>
                <w:b w:val="0"/>
                <w:bCs w:val="0"/>
                <w:color w:val="auto"/>
                <w:spacing w:val="-8"/>
                <w:sz w:val="24"/>
                <w:szCs w:val="24"/>
              </w:rPr>
            </w:pPr>
            <w:r>
              <w:rPr>
                <w:rFonts w:hint="default" w:ascii="Times New Roman" w:hAnsi="Times New Roman" w:eastAsia="宋体" w:cs="Times New Roman"/>
                <w:b w:val="0"/>
                <w:bCs w:val="0"/>
                <w:color w:val="auto"/>
                <w:spacing w:val="-8"/>
                <w:sz w:val="24"/>
                <w:szCs w:val="24"/>
              </w:rPr>
              <w:t>管理要求</w:t>
            </w:r>
          </w:p>
        </w:tc>
        <w:tc>
          <w:tcPr>
            <w:tcW w:w="7122"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1、排放口规范化及信息公开化</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根据《关于开展排放口规范化整治工作的通知》（环发[1999]24号）、《排污口规范化整治技术要求》（环监[1996]470号）、《固定污染源废气监测点位设置技术规范》（DB37/T 3535-2019）等规定的要求，一切新建、改造、扩建的排污单位以及限期治理的排污单位必须在建设污染治理设施的同时，建设规范化排放口。因此，建设项目产生的各类污染物的排放口必须规范化，并且规范化工作的完成必须与污染治理设施同步。</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cs="Times New Roman"/>
                <w:b/>
                <w:bCs/>
                <w:color w:val="auto"/>
                <w:sz w:val="24"/>
                <w:szCs w:val="24"/>
              </w:rPr>
              <w:t>2、</w:t>
            </w:r>
            <w:r>
              <w:rPr>
                <w:rFonts w:hint="eastAsia" w:ascii="Times New Roman" w:hAnsi="Times New Roman" w:cs="Times New Roman"/>
                <w:b/>
                <w:bCs/>
                <w:color w:val="auto"/>
                <w:sz w:val="24"/>
                <w:szCs w:val="24"/>
                <w:lang w:eastAsia="zh-CN"/>
              </w:rPr>
              <w:t>与</w:t>
            </w:r>
            <w:r>
              <w:rPr>
                <w:rFonts w:hint="default" w:ascii="Times New Roman" w:hAnsi="Times New Roman" w:cs="Times New Roman"/>
                <w:b/>
                <w:bCs/>
                <w:color w:val="auto"/>
                <w:sz w:val="24"/>
                <w:szCs w:val="24"/>
              </w:rPr>
              <w:t>排污许可</w:t>
            </w:r>
            <w:r>
              <w:rPr>
                <w:rFonts w:hint="default" w:ascii="Times New Roman" w:hAnsi="Times New Roman" w:cs="Times New Roman"/>
                <w:b/>
                <w:bCs/>
                <w:color w:val="auto"/>
                <w:sz w:val="24"/>
                <w:szCs w:val="24"/>
                <w:lang w:eastAsia="zh-CN"/>
              </w:rPr>
              <w:t>衔接</w:t>
            </w:r>
          </w:p>
          <w:p>
            <w:pPr>
              <w:widowControl/>
              <w:adjustRightInd w:val="0"/>
              <w:snapToGrid w:val="0"/>
              <w:spacing w:line="360" w:lineRule="auto"/>
              <w:ind w:firstLine="480" w:firstLineChars="200"/>
              <w:rPr>
                <w:color w:val="000000"/>
                <w:sz w:val="24"/>
                <w:szCs w:val="24"/>
                <w:highlight w:val="none"/>
              </w:rPr>
            </w:pPr>
            <w:r>
              <w:rPr>
                <w:rFonts w:hint="eastAsia"/>
                <w:color w:val="000000"/>
                <w:sz w:val="24"/>
                <w:szCs w:val="24"/>
                <w:highlight w:val="none"/>
                <w:lang w:val="en-US" w:eastAsia="zh-CN"/>
              </w:rPr>
              <w:t>根据《国务院办公厅关于印发控制污染物排放许可制实施方案的通知》（国办发〔</w:t>
            </w:r>
            <w:r>
              <w:rPr>
                <w:rFonts w:hint="default"/>
                <w:color w:val="000000"/>
                <w:sz w:val="24"/>
                <w:szCs w:val="24"/>
                <w:highlight w:val="none"/>
                <w:lang w:val="en-US" w:eastAsia="zh-CN"/>
              </w:rPr>
              <w:t>2016</w:t>
            </w:r>
            <w:r>
              <w:rPr>
                <w:rFonts w:hint="eastAsia"/>
                <w:color w:val="000000"/>
                <w:sz w:val="24"/>
                <w:szCs w:val="24"/>
                <w:highlight w:val="none"/>
                <w:lang w:val="en-US" w:eastAsia="zh-CN"/>
              </w:rPr>
              <w:t>〕</w:t>
            </w:r>
            <w:r>
              <w:rPr>
                <w:rFonts w:hint="default"/>
                <w:color w:val="000000"/>
                <w:sz w:val="24"/>
                <w:szCs w:val="24"/>
                <w:highlight w:val="none"/>
                <w:lang w:val="en-US" w:eastAsia="zh-CN"/>
              </w:rPr>
              <w:t xml:space="preserve">81 </w:t>
            </w:r>
            <w:r>
              <w:rPr>
                <w:rFonts w:hint="eastAsia"/>
                <w:color w:val="000000"/>
                <w:sz w:val="24"/>
                <w:szCs w:val="24"/>
                <w:highlight w:val="none"/>
                <w:lang w:val="en-US" w:eastAsia="zh-CN"/>
              </w:rPr>
              <w:t>号）和《环境保护部关于印发〈</w:t>
            </w:r>
            <w:r>
              <w:rPr>
                <w:rFonts w:hint="default"/>
                <w:color w:val="000000"/>
                <w:sz w:val="24"/>
                <w:szCs w:val="24"/>
                <w:highlight w:val="none"/>
                <w:lang w:val="en-US" w:eastAsia="zh-CN"/>
              </w:rPr>
              <w:t>“</w:t>
            </w:r>
            <w:r>
              <w:rPr>
                <w:rFonts w:hint="eastAsia"/>
                <w:color w:val="000000"/>
                <w:sz w:val="24"/>
                <w:szCs w:val="24"/>
                <w:highlight w:val="none"/>
                <w:lang w:val="en-US" w:eastAsia="zh-CN"/>
              </w:rPr>
              <w:t>十三五</w:t>
            </w:r>
            <w:r>
              <w:rPr>
                <w:rFonts w:hint="default"/>
                <w:color w:val="000000"/>
                <w:sz w:val="24"/>
                <w:szCs w:val="24"/>
                <w:highlight w:val="none"/>
                <w:lang w:val="en-US" w:eastAsia="zh-CN"/>
              </w:rPr>
              <w:t>”</w:t>
            </w:r>
            <w:r>
              <w:rPr>
                <w:rFonts w:hint="eastAsia"/>
                <w:color w:val="000000"/>
                <w:sz w:val="24"/>
                <w:szCs w:val="24"/>
                <w:highlight w:val="none"/>
                <w:lang w:val="en-US" w:eastAsia="zh-CN"/>
              </w:rPr>
              <w:t>环境影响评价改革实施方案〉的通知》（环环评〔</w:t>
            </w:r>
            <w:r>
              <w:rPr>
                <w:rFonts w:hint="default"/>
                <w:color w:val="000000"/>
                <w:sz w:val="24"/>
                <w:szCs w:val="24"/>
                <w:highlight w:val="none"/>
                <w:lang w:val="en-US" w:eastAsia="zh-CN"/>
              </w:rPr>
              <w:t>2016</w:t>
            </w:r>
            <w:r>
              <w:rPr>
                <w:rFonts w:hint="eastAsia"/>
                <w:color w:val="000000"/>
                <w:sz w:val="24"/>
                <w:szCs w:val="24"/>
                <w:highlight w:val="none"/>
                <w:lang w:val="en-US" w:eastAsia="zh-CN"/>
              </w:rPr>
              <w:t>〕</w:t>
            </w:r>
            <w:r>
              <w:rPr>
                <w:rFonts w:hint="default"/>
                <w:color w:val="000000"/>
                <w:sz w:val="24"/>
                <w:szCs w:val="24"/>
                <w:highlight w:val="none"/>
                <w:lang w:val="en-US" w:eastAsia="zh-CN"/>
              </w:rPr>
              <w:t xml:space="preserve">95 </w:t>
            </w:r>
            <w:r>
              <w:rPr>
                <w:rFonts w:hint="eastAsia"/>
                <w:color w:val="000000"/>
                <w:sz w:val="24"/>
                <w:szCs w:val="24"/>
                <w:highlight w:val="none"/>
                <w:lang w:val="en-US" w:eastAsia="zh-CN"/>
              </w:rPr>
              <w:t xml:space="preserve">号），环境影响评价制度是建设项目的环境准入门槛，是申请排污许可证的前提和重要依据。排污许可制是企事业单位生产运营期排污的法律依据，必须做好充分衔接工作，实现从污染预防到污染治理和排放控制的全程监管。 </w:t>
            </w:r>
          </w:p>
          <w:p>
            <w:pPr>
              <w:widowControl/>
              <w:adjustRightInd w:val="0"/>
              <w:snapToGrid w:val="0"/>
              <w:spacing w:line="360" w:lineRule="auto"/>
              <w:ind w:firstLine="480" w:firstLineChars="200"/>
              <w:rPr>
                <w:color w:val="000000"/>
                <w:sz w:val="24"/>
                <w:szCs w:val="24"/>
                <w:highlight w:val="none"/>
              </w:rPr>
            </w:pPr>
            <w:r>
              <w:rPr>
                <w:rFonts w:hint="eastAsia"/>
                <w:color w:val="000000"/>
                <w:sz w:val="24"/>
                <w:szCs w:val="24"/>
                <w:highlight w:val="none"/>
                <w:lang w:val="en-US" w:eastAsia="zh-CN"/>
              </w:rPr>
              <w:t>根据《固定污染源排污许可分类管理名录》（</w:t>
            </w:r>
            <w:r>
              <w:rPr>
                <w:rFonts w:hint="default"/>
                <w:color w:val="000000"/>
                <w:sz w:val="24"/>
                <w:szCs w:val="24"/>
                <w:highlight w:val="none"/>
                <w:lang w:val="en-US" w:eastAsia="zh-CN"/>
              </w:rPr>
              <w:t xml:space="preserve">2019 </w:t>
            </w:r>
            <w:r>
              <w:rPr>
                <w:rFonts w:hint="eastAsia"/>
                <w:color w:val="000000"/>
                <w:sz w:val="24"/>
                <w:szCs w:val="24"/>
                <w:highlight w:val="none"/>
                <w:lang w:val="en-US" w:eastAsia="zh-CN"/>
              </w:rPr>
              <w:t xml:space="preserve">年版）（环境保护部令第 </w:t>
            </w:r>
            <w:r>
              <w:rPr>
                <w:rFonts w:hint="default"/>
                <w:color w:val="000000"/>
                <w:sz w:val="24"/>
                <w:szCs w:val="24"/>
                <w:highlight w:val="none"/>
                <w:lang w:val="en-US" w:eastAsia="zh-CN"/>
              </w:rPr>
              <w:t xml:space="preserve">45 </w:t>
            </w:r>
            <w:r>
              <w:rPr>
                <w:rFonts w:hint="eastAsia"/>
                <w:color w:val="000000"/>
                <w:sz w:val="24"/>
                <w:szCs w:val="24"/>
                <w:highlight w:val="none"/>
                <w:lang w:val="en-US" w:eastAsia="zh-CN"/>
              </w:rPr>
              <w:t>号，</w:t>
            </w:r>
            <w:r>
              <w:rPr>
                <w:rFonts w:hint="default"/>
                <w:color w:val="000000"/>
                <w:sz w:val="24"/>
                <w:szCs w:val="24"/>
                <w:highlight w:val="none"/>
                <w:lang w:val="en-US" w:eastAsia="zh-CN"/>
              </w:rPr>
              <w:t xml:space="preserve">2019 </w:t>
            </w:r>
            <w:r>
              <w:rPr>
                <w:rFonts w:hint="eastAsia"/>
                <w:color w:val="000000"/>
                <w:sz w:val="24"/>
                <w:szCs w:val="24"/>
                <w:highlight w:val="none"/>
                <w:lang w:val="en-US" w:eastAsia="zh-CN"/>
              </w:rPr>
              <w:t xml:space="preserve">年 </w:t>
            </w:r>
            <w:r>
              <w:rPr>
                <w:rFonts w:hint="default"/>
                <w:color w:val="000000"/>
                <w:sz w:val="24"/>
                <w:szCs w:val="24"/>
                <w:highlight w:val="none"/>
                <w:lang w:val="en-US" w:eastAsia="zh-CN"/>
              </w:rPr>
              <w:t xml:space="preserve">7 </w:t>
            </w:r>
            <w:r>
              <w:rPr>
                <w:rFonts w:hint="eastAsia"/>
                <w:color w:val="000000"/>
                <w:sz w:val="24"/>
                <w:szCs w:val="24"/>
                <w:highlight w:val="none"/>
                <w:lang w:val="en-US" w:eastAsia="zh-CN"/>
              </w:rPr>
              <w:t xml:space="preserve">月 </w:t>
            </w:r>
            <w:r>
              <w:rPr>
                <w:rFonts w:hint="default"/>
                <w:color w:val="000000"/>
                <w:sz w:val="24"/>
                <w:szCs w:val="24"/>
                <w:highlight w:val="none"/>
                <w:lang w:val="en-US" w:eastAsia="zh-CN"/>
              </w:rPr>
              <w:t xml:space="preserve">11 </w:t>
            </w:r>
            <w:r>
              <w:rPr>
                <w:rFonts w:hint="eastAsia"/>
                <w:color w:val="000000"/>
                <w:sz w:val="24"/>
                <w:szCs w:val="24"/>
                <w:highlight w:val="none"/>
                <w:lang w:val="en-US" w:eastAsia="zh-CN"/>
              </w:rPr>
              <w:t>日），见下表，本项目属于</w:t>
            </w:r>
            <w:r>
              <w:rPr>
                <w:rFonts w:hint="eastAsia"/>
                <w:b/>
                <w:bCs/>
                <w:color w:val="000000"/>
                <w:sz w:val="28"/>
                <w:szCs w:val="28"/>
                <w:highlight w:val="none"/>
                <w:lang w:val="en-US" w:eastAsia="zh-CN"/>
              </w:rPr>
              <w:t>登记管理行业</w:t>
            </w:r>
            <w:r>
              <w:rPr>
                <w:rFonts w:hint="eastAsia"/>
                <w:color w:val="000000"/>
                <w:sz w:val="24"/>
                <w:szCs w:val="24"/>
                <w:highlight w:val="none"/>
                <w:lang w:val="en-US" w:eastAsia="zh-CN"/>
              </w:rPr>
              <w:t>。根据《安徽省生态环境厅关于统筹做好固定污染源排污许可日常监管工作的通知》（皖环发【</w:t>
            </w:r>
            <w:r>
              <w:rPr>
                <w:rFonts w:hint="default"/>
                <w:color w:val="000000"/>
                <w:sz w:val="24"/>
                <w:szCs w:val="24"/>
                <w:highlight w:val="none"/>
                <w:lang w:val="en-US" w:eastAsia="zh-CN"/>
              </w:rPr>
              <w:t>2021</w:t>
            </w:r>
            <w:r>
              <w:rPr>
                <w:rFonts w:hint="eastAsia"/>
                <w:color w:val="000000"/>
                <w:sz w:val="24"/>
                <w:szCs w:val="24"/>
                <w:highlight w:val="none"/>
                <w:lang w:val="en-US" w:eastAsia="zh-CN"/>
              </w:rPr>
              <w:t>】</w:t>
            </w:r>
            <w:r>
              <w:rPr>
                <w:rFonts w:hint="default"/>
                <w:color w:val="000000"/>
                <w:sz w:val="24"/>
                <w:szCs w:val="24"/>
                <w:highlight w:val="none"/>
                <w:lang w:val="en-US" w:eastAsia="zh-CN"/>
              </w:rPr>
              <w:t xml:space="preserve">7 </w:t>
            </w:r>
            <w:r>
              <w:rPr>
                <w:rFonts w:hint="eastAsia"/>
                <w:color w:val="000000"/>
                <w:sz w:val="24"/>
                <w:szCs w:val="24"/>
                <w:highlight w:val="none"/>
                <w:lang w:val="en-US" w:eastAsia="zh-CN"/>
              </w:rPr>
              <w:t>号）中要求</w:t>
            </w:r>
            <w:r>
              <w:rPr>
                <w:rFonts w:hint="default"/>
                <w:color w:val="000000"/>
                <w:sz w:val="24"/>
                <w:szCs w:val="24"/>
                <w:highlight w:val="none"/>
                <w:lang w:val="en-US" w:eastAsia="zh-CN"/>
              </w:rPr>
              <w:t>“</w:t>
            </w:r>
            <w:r>
              <w:rPr>
                <w:rFonts w:hint="eastAsia"/>
                <w:color w:val="000000"/>
                <w:sz w:val="24"/>
                <w:szCs w:val="24"/>
                <w:highlight w:val="none"/>
                <w:lang w:val="en-US" w:eastAsia="zh-CN"/>
              </w:rPr>
              <w:t>（七）属于现行《固定污染源排污许可分类管理名录》内重点管理和简化管理的行业，建设单位在组织编制建设项目环境影响报告书（表）时，可结合相应行业排污许可证申请与核发技术规范，在环评文件中一并明确</w:t>
            </w:r>
            <w:r>
              <w:rPr>
                <w:rFonts w:hint="default"/>
                <w:color w:val="000000"/>
                <w:sz w:val="24"/>
                <w:szCs w:val="24"/>
                <w:highlight w:val="none"/>
                <w:lang w:val="en-US" w:eastAsia="zh-CN"/>
              </w:rPr>
              <w:t>“</w:t>
            </w:r>
            <w:r>
              <w:rPr>
                <w:rFonts w:hint="eastAsia"/>
                <w:color w:val="000000"/>
                <w:sz w:val="24"/>
                <w:szCs w:val="24"/>
                <w:highlight w:val="none"/>
                <w:lang w:val="en-US" w:eastAsia="zh-CN"/>
              </w:rPr>
              <w:t>建设项目环境影响评价与排污许可联动内容</w:t>
            </w:r>
            <w:r>
              <w:rPr>
                <w:rFonts w:hint="default"/>
                <w:color w:val="000000"/>
                <w:sz w:val="24"/>
                <w:szCs w:val="24"/>
                <w:highlight w:val="none"/>
                <w:lang w:val="en-US" w:eastAsia="zh-CN"/>
              </w:rPr>
              <w:t>”</w:t>
            </w:r>
            <w:r>
              <w:rPr>
                <w:rFonts w:hint="eastAsia"/>
                <w:color w:val="000000"/>
                <w:sz w:val="24"/>
                <w:szCs w:val="24"/>
                <w:highlight w:val="none"/>
                <w:lang w:val="en-US" w:eastAsia="zh-CN"/>
              </w:rPr>
              <w:t>和</w:t>
            </w:r>
            <w:r>
              <w:rPr>
                <w:rFonts w:hint="default"/>
                <w:color w:val="000000"/>
                <w:sz w:val="24"/>
                <w:szCs w:val="24"/>
                <w:highlight w:val="none"/>
                <w:lang w:val="en-US" w:eastAsia="zh-CN"/>
              </w:rPr>
              <w:t>“</w:t>
            </w:r>
            <w:r>
              <w:rPr>
                <w:rFonts w:hint="eastAsia"/>
                <w:color w:val="000000"/>
                <w:sz w:val="24"/>
                <w:szCs w:val="24"/>
                <w:highlight w:val="none"/>
                <w:lang w:val="en-US" w:eastAsia="zh-CN"/>
              </w:rPr>
              <w:t>建设项目排污许可申请与填报信息表</w:t>
            </w:r>
            <w:r>
              <w:rPr>
                <w:rFonts w:hint="default"/>
                <w:color w:val="000000"/>
                <w:sz w:val="24"/>
                <w:szCs w:val="24"/>
                <w:highlight w:val="none"/>
                <w:lang w:val="en-US" w:eastAsia="zh-CN"/>
              </w:rPr>
              <w:t xml:space="preserve">” </w:t>
            </w:r>
            <w:r>
              <w:rPr>
                <w:rFonts w:hint="eastAsia"/>
                <w:color w:val="000000"/>
                <w:sz w:val="24"/>
                <w:szCs w:val="24"/>
                <w:highlight w:val="none"/>
                <w:lang w:val="en-US" w:eastAsia="zh-CN"/>
              </w:rPr>
              <w:t>。建设单位在实际排污行为发生前申领排污许可证时，应按照项目实际建设情况，填报排污许可申请材料，在编制自主验收报告时，应专章分析排污许可管理要求的落实情况</w:t>
            </w:r>
            <w:r>
              <w:rPr>
                <w:rFonts w:hint="default"/>
                <w:color w:val="000000"/>
                <w:sz w:val="24"/>
                <w:szCs w:val="24"/>
                <w:highlight w:val="none"/>
                <w:lang w:val="en-US" w:eastAsia="zh-CN"/>
              </w:rPr>
              <w:t>”</w:t>
            </w:r>
            <w:r>
              <w:rPr>
                <w:rFonts w:hint="eastAsia"/>
                <w:color w:val="000000"/>
                <w:sz w:val="24"/>
                <w:szCs w:val="24"/>
                <w:highlight w:val="none"/>
                <w:lang w:val="en-US" w:eastAsia="zh-CN"/>
              </w:rPr>
              <w:t>。</w:t>
            </w:r>
          </w:p>
          <w:p>
            <w:pPr>
              <w:keepNext w:val="0"/>
              <w:keepLines w:val="0"/>
              <w:widowControl/>
              <w:suppressLineNumbers w:val="0"/>
              <w:jc w:val="center"/>
              <w:rPr>
                <w:rFonts w:hint="default" w:ascii="Times New Roman" w:hAnsi="Times New Roman" w:eastAsia="宋体" w:cs="Times New Roman"/>
                <w:sz w:val="24"/>
                <w:szCs w:val="24"/>
              </w:rPr>
            </w:pPr>
            <w:r>
              <w:rPr>
                <w:rFonts w:hint="default" w:ascii="Times New Roman" w:hAnsi="Times New Roman" w:eastAsia="宋体" w:cs="Times New Roman"/>
                <w:b/>
                <w:bCs/>
                <w:color w:val="000000"/>
                <w:kern w:val="0"/>
                <w:sz w:val="24"/>
                <w:szCs w:val="24"/>
                <w:lang w:val="en-US" w:eastAsia="zh-CN" w:bidi="ar"/>
              </w:rPr>
              <w:t>表5.1  排污许可分类管理一览表</w:t>
            </w:r>
          </w:p>
          <w:tbl>
            <w:tblPr>
              <w:tblStyle w:val="26"/>
              <w:tblW w:w="685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4"/>
              <w:gridCol w:w="2069"/>
              <w:gridCol w:w="1371"/>
              <w:gridCol w:w="1372"/>
              <w:gridCol w:w="13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000000"/>
                      <w:sz w:val="21"/>
                      <w:szCs w:val="21"/>
                      <w:highlight w:val="none"/>
                      <w:vertAlign w:val="baseline"/>
                    </w:rPr>
                  </w:pPr>
                  <w:r>
                    <w:rPr>
                      <w:rFonts w:hint="default" w:ascii="Times New Roman" w:hAnsi="Times New Roman" w:eastAsia="宋体" w:cs="Times New Roman"/>
                      <w:b w:val="0"/>
                      <w:bCs w:val="0"/>
                      <w:color w:val="000000"/>
                      <w:kern w:val="0"/>
                      <w:sz w:val="21"/>
                      <w:szCs w:val="21"/>
                      <w:lang w:val="en-US" w:eastAsia="zh-CN" w:bidi="ar"/>
                    </w:rPr>
                    <w:t>序号</w:t>
                  </w:r>
                </w:p>
              </w:tc>
              <w:tc>
                <w:tcPr>
                  <w:tcW w:w="206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sz w:val="21"/>
                      <w:szCs w:val="21"/>
                      <w:highlight w:val="none"/>
                      <w:vertAlign w:val="baseline"/>
                    </w:rPr>
                  </w:pPr>
                  <w:r>
                    <w:rPr>
                      <w:rFonts w:hint="default" w:ascii="Times New Roman" w:hAnsi="Times New Roman" w:eastAsia="宋体" w:cs="Times New Roman"/>
                      <w:b w:val="0"/>
                      <w:bCs w:val="0"/>
                      <w:color w:val="000000"/>
                      <w:kern w:val="0"/>
                      <w:sz w:val="21"/>
                      <w:szCs w:val="21"/>
                      <w:lang w:val="en-US" w:eastAsia="zh-CN" w:bidi="ar"/>
                    </w:rPr>
                    <w:t>行业类别</w:t>
                  </w:r>
                </w:p>
              </w:tc>
              <w:tc>
                <w:tcPr>
                  <w:tcW w:w="137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000000"/>
                      <w:sz w:val="21"/>
                      <w:szCs w:val="21"/>
                      <w:highlight w:val="none"/>
                      <w:vertAlign w:val="baseline"/>
                    </w:rPr>
                  </w:pPr>
                  <w:r>
                    <w:rPr>
                      <w:rFonts w:hint="default" w:ascii="Times New Roman" w:hAnsi="Times New Roman" w:eastAsia="宋体" w:cs="Times New Roman"/>
                      <w:b w:val="0"/>
                      <w:bCs w:val="0"/>
                      <w:color w:val="000000"/>
                      <w:kern w:val="0"/>
                      <w:sz w:val="21"/>
                      <w:szCs w:val="21"/>
                      <w:lang w:val="en-US" w:eastAsia="zh-CN" w:bidi="ar"/>
                    </w:rPr>
                    <w:t>重点管理</w:t>
                  </w:r>
                </w:p>
              </w:tc>
              <w:tc>
                <w:tcPr>
                  <w:tcW w:w="137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000000"/>
                      <w:sz w:val="21"/>
                      <w:szCs w:val="21"/>
                      <w:highlight w:val="none"/>
                      <w:vertAlign w:val="baseline"/>
                    </w:rPr>
                  </w:pPr>
                  <w:r>
                    <w:rPr>
                      <w:rFonts w:hint="default" w:ascii="Times New Roman" w:hAnsi="Times New Roman" w:eastAsia="宋体" w:cs="Times New Roman"/>
                      <w:b w:val="0"/>
                      <w:bCs w:val="0"/>
                      <w:color w:val="000000"/>
                      <w:kern w:val="0"/>
                      <w:sz w:val="21"/>
                      <w:szCs w:val="21"/>
                      <w:lang w:val="en-US" w:eastAsia="zh-CN" w:bidi="ar"/>
                    </w:rPr>
                    <w:t>简化管理</w:t>
                  </w:r>
                </w:p>
              </w:tc>
              <w:tc>
                <w:tcPr>
                  <w:tcW w:w="137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000000"/>
                      <w:sz w:val="21"/>
                      <w:szCs w:val="21"/>
                      <w:highlight w:val="none"/>
                      <w:vertAlign w:val="baseline"/>
                    </w:rPr>
                  </w:pPr>
                  <w:r>
                    <w:rPr>
                      <w:rFonts w:hint="default" w:ascii="Times New Roman" w:hAnsi="Times New Roman" w:eastAsia="宋体" w:cs="Times New Roman"/>
                      <w:b w:val="0"/>
                      <w:bCs w:val="0"/>
                      <w:color w:val="000000"/>
                      <w:kern w:val="0"/>
                      <w:sz w:val="21"/>
                      <w:szCs w:val="21"/>
                      <w:lang w:val="en-US" w:eastAsia="zh-CN" w:bidi="ar"/>
                    </w:rPr>
                    <w:t>登记管理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58" w:type="dxa"/>
                  <w:gridSpan w:val="5"/>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000000"/>
                      <w:sz w:val="21"/>
                      <w:szCs w:val="21"/>
                      <w:highlight w:val="none"/>
                      <w:vertAlign w:val="baseline"/>
                    </w:rPr>
                  </w:pPr>
                  <w:r>
                    <w:rPr>
                      <w:rFonts w:hint="default" w:ascii="Times New Roman" w:hAnsi="Times New Roman" w:eastAsia="宋体" w:cs="Times New Roman"/>
                      <w:b w:val="0"/>
                      <w:bCs w:val="0"/>
                      <w:color w:val="000000"/>
                      <w:kern w:val="0"/>
                      <w:sz w:val="21"/>
                      <w:szCs w:val="21"/>
                      <w:lang w:val="en-US" w:eastAsia="zh-CN" w:bidi="ar"/>
                    </w:rPr>
                    <w:t>二十九、通用设备制造业 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sz w:val="21"/>
                      <w:szCs w:val="21"/>
                      <w:highlight w:val="none"/>
                      <w:vertAlign w:val="baseline"/>
                      <w:lang w:val="en-US" w:eastAsia="zh-CN"/>
                    </w:rPr>
                  </w:pPr>
                  <w:r>
                    <w:rPr>
                      <w:rFonts w:hint="default" w:ascii="Times New Roman" w:hAnsi="Times New Roman" w:eastAsia="宋体" w:cs="Times New Roman"/>
                      <w:b w:val="0"/>
                      <w:bCs w:val="0"/>
                      <w:color w:val="000000"/>
                      <w:sz w:val="21"/>
                      <w:szCs w:val="21"/>
                      <w:highlight w:val="none"/>
                      <w:vertAlign w:val="baseline"/>
                      <w:lang w:val="en-US" w:eastAsia="zh-CN"/>
                    </w:rPr>
                    <w:t>83</w:t>
                  </w:r>
                </w:p>
              </w:tc>
              <w:tc>
                <w:tcPr>
                  <w:tcW w:w="206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sz w:val="21"/>
                      <w:szCs w:val="21"/>
                      <w:highlight w:val="none"/>
                      <w:vertAlign w:val="baseline"/>
                    </w:rPr>
                  </w:pPr>
                  <w:r>
                    <w:rPr>
                      <w:rFonts w:hint="default" w:ascii="Times New Roman" w:hAnsi="Times New Roman" w:eastAsia="宋体" w:cs="Times New Roman"/>
                      <w:sz w:val="21"/>
                      <w:szCs w:val="21"/>
                    </w:rPr>
                    <w:t>锅炉及原动设备制造 341，金属加工 机械制造 342，物料搬运设备制造 343，泵、阀门、压缩机及类似机械制 造 344，轴承、齿轮和传动部件制造 345，烘炉、风机、包装等设备制造 346，文化、办公用机械制造 347，通 用零部件制造 348，其他通用设备制 造业 349</w:t>
                  </w:r>
                </w:p>
              </w:tc>
              <w:tc>
                <w:tcPr>
                  <w:tcW w:w="137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sz w:val="21"/>
                      <w:szCs w:val="21"/>
                      <w:highlight w:val="none"/>
                      <w:vertAlign w:val="baseline"/>
                    </w:rPr>
                  </w:pPr>
                  <w:r>
                    <w:rPr>
                      <w:rFonts w:hint="default" w:ascii="Times New Roman" w:hAnsi="Times New Roman" w:eastAsia="宋体" w:cs="Times New Roman"/>
                      <w:b w:val="0"/>
                      <w:bCs w:val="0"/>
                      <w:color w:val="000000"/>
                      <w:sz w:val="21"/>
                      <w:szCs w:val="21"/>
                      <w:highlight w:val="none"/>
                      <w:vertAlign w:val="baseline"/>
                      <w:lang w:val="en-US" w:eastAsia="zh-CN"/>
                    </w:rPr>
                    <w:t>涉及通用工序重点管理的</w:t>
                  </w:r>
                </w:p>
              </w:tc>
              <w:tc>
                <w:tcPr>
                  <w:tcW w:w="13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sz w:val="21"/>
                      <w:szCs w:val="21"/>
                      <w:highlight w:val="none"/>
                      <w:vertAlign w:val="baseline"/>
                    </w:rPr>
                  </w:pPr>
                  <w:r>
                    <w:rPr>
                      <w:rFonts w:hint="default" w:ascii="Times New Roman" w:hAnsi="Times New Roman" w:eastAsia="宋体" w:cs="Times New Roman"/>
                      <w:b w:val="0"/>
                      <w:bCs w:val="0"/>
                      <w:color w:val="000000"/>
                      <w:sz w:val="21"/>
                      <w:szCs w:val="21"/>
                      <w:highlight w:val="none"/>
                      <w:vertAlign w:val="baseline"/>
                      <w:lang w:val="en-US" w:eastAsia="zh-CN"/>
                    </w:rPr>
                    <w:t>涉及通用工序简化管理的</w:t>
                  </w:r>
                </w:p>
              </w:tc>
              <w:tc>
                <w:tcPr>
                  <w:tcW w:w="13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sz w:val="21"/>
                      <w:szCs w:val="21"/>
                      <w:highlight w:val="none"/>
                      <w:vertAlign w:val="baseline"/>
                      <w:lang w:val="en-US" w:eastAsia="zh-CN"/>
                    </w:rPr>
                  </w:pPr>
                  <w:r>
                    <w:rPr>
                      <w:rFonts w:hint="default" w:ascii="Times New Roman" w:hAnsi="Times New Roman" w:eastAsia="宋体" w:cs="Times New Roman"/>
                      <w:b w:val="0"/>
                      <w:bCs w:val="0"/>
                      <w:color w:val="000000"/>
                      <w:sz w:val="21"/>
                      <w:szCs w:val="21"/>
                      <w:highlight w:val="none"/>
                      <w:shd w:val="clear" w:fill="A4A4A4" w:themeFill="background1" w:themeFillShade="A5"/>
                      <w:vertAlign w:val="baseline"/>
                      <w:lang w:val="en-US" w:eastAsia="zh-CN"/>
                    </w:rPr>
                    <w:t>其他</w:t>
                  </w:r>
                </w:p>
              </w:tc>
            </w:tr>
          </w:tbl>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3、竣工环境保护设施验收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根据《建设项目竣工环境保护验收暂行办法》的规定，建设项目竣工后，建设单位应当如实查验、监测、记载建设项目环境保护设施的建设和调试情况，编制验收监测报告。</w:t>
            </w:r>
          </w:p>
          <w:p>
            <w:pPr>
              <w:pStyle w:val="37"/>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cs="Times New Roman"/>
                <w:color w:val="auto"/>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24"/>
                <w:szCs w:val="24"/>
                <w:lang w:val="en-US" w:eastAsia="zh-CN"/>
              </w:rPr>
            </w:pPr>
          </w:p>
        </w:tc>
      </w:tr>
    </w:tbl>
    <w:p>
      <w:pPr>
        <w:pStyle w:val="23"/>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auto"/>
        <w:jc w:val="center"/>
        <w:textAlignment w:val="auto"/>
        <w:outlineLvl w:val="0"/>
        <w:rPr>
          <w:rFonts w:hint="default" w:ascii="Times New Roman" w:hAnsi="Times New Roman" w:eastAsia="宋体" w:cs="Times New Roman"/>
          <w:b/>
          <w:bCs/>
          <w:snapToGrid w:val="0"/>
          <w:color w:val="0000FF"/>
          <w:sz w:val="30"/>
          <w:szCs w:val="30"/>
        </w:rPr>
      </w:pPr>
      <w:r>
        <w:rPr>
          <w:rFonts w:hint="default" w:ascii="Times New Roman" w:hAnsi="Times New Roman" w:eastAsia="宋体" w:cs="Times New Roman"/>
          <w:snapToGrid w:val="0"/>
          <w:color w:val="0000FF"/>
        </w:rPr>
        <w:br w:type="page"/>
      </w:r>
      <w:r>
        <w:rPr>
          <w:rFonts w:hint="default" w:ascii="Times New Roman" w:hAnsi="Times New Roman" w:eastAsia="宋体" w:cs="Times New Roman"/>
          <w:b/>
          <w:bCs/>
          <w:snapToGrid w:val="0"/>
          <w:color w:val="auto"/>
          <w:sz w:val="30"/>
          <w:szCs w:val="30"/>
        </w:rPr>
        <w:t>六、结论</w:t>
      </w:r>
    </w:p>
    <w:tbl>
      <w:tblPr>
        <w:tblStyle w:val="25"/>
        <w:tblW w:w="886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191" w:hRule="atLeast"/>
          <w:jc w:val="center"/>
        </w:trPr>
        <w:tc>
          <w:tcPr>
            <w:tcW w:w="88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0000FF"/>
                <w:lang w:val="en-US" w:eastAsia="zh-CN"/>
              </w:rPr>
            </w:pPr>
            <w:r>
              <w:rPr>
                <w:rFonts w:hint="eastAsia" w:cs="Times New Roman"/>
                <w:color w:val="auto"/>
                <w:sz w:val="24"/>
                <w:szCs w:val="24"/>
                <w:lang w:val="en-US" w:eastAsia="zh-CN"/>
              </w:rPr>
              <w:t>安徽欣明珠轴承科技有限公司高端精密轴承钢球加工项目</w:t>
            </w:r>
            <w:r>
              <w:rPr>
                <w:rFonts w:hint="default" w:ascii="Times New Roman" w:hAnsi="Times New Roman" w:eastAsia="宋体" w:cs="Times New Roman"/>
                <w:color w:val="auto"/>
                <w:sz w:val="24"/>
                <w:szCs w:val="24"/>
                <w:lang w:eastAsia="zh-CN"/>
              </w:rPr>
              <w:t>的建设符合</w:t>
            </w:r>
            <w:r>
              <w:rPr>
                <w:rFonts w:hint="eastAsia" w:cs="Times New Roman"/>
                <w:color w:val="auto"/>
                <w:sz w:val="24"/>
                <w:szCs w:val="24"/>
                <w:lang w:val="en-US" w:eastAsia="zh-CN"/>
              </w:rPr>
              <w:t>相关</w:t>
            </w:r>
            <w:r>
              <w:rPr>
                <w:rFonts w:hint="default" w:ascii="Times New Roman" w:hAnsi="Times New Roman" w:eastAsia="宋体" w:cs="Times New Roman"/>
                <w:color w:val="auto"/>
                <w:sz w:val="24"/>
                <w:szCs w:val="24"/>
                <w:lang w:eastAsia="zh-CN"/>
              </w:rPr>
              <w:t>要求</w:t>
            </w:r>
            <w:r>
              <w:rPr>
                <w:rFonts w:hint="eastAsia" w:cs="Times New Roman"/>
                <w:color w:val="auto"/>
                <w:sz w:val="24"/>
                <w:szCs w:val="24"/>
                <w:lang w:eastAsia="zh-CN"/>
              </w:rPr>
              <w:t>，</w:t>
            </w:r>
            <w:r>
              <w:rPr>
                <w:rFonts w:hint="default" w:ascii="Times New Roman" w:hAnsi="Times New Roman" w:eastAsia="宋体" w:cs="Times New Roman"/>
                <w:color w:val="auto"/>
                <w:sz w:val="24"/>
                <w:szCs w:val="24"/>
                <w:lang w:eastAsia="zh-CN"/>
              </w:rPr>
              <w:t>只要工程在运行期严格执行有关环保法规规定，切实落实报告提出的各项污染防治措施</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eastAsia="zh-CN"/>
              </w:rPr>
              <w:t>确保污染物达标排放，</w:t>
            </w:r>
            <w:r>
              <w:rPr>
                <w:rFonts w:hint="default" w:ascii="Times New Roman" w:hAnsi="Times New Roman" w:eastAsia="宋体" w:cs="Times New Roman"/>
                <w:color w:val="auto"/>
                <w:sz w:val="24"/>
                <w:szCs w:val="28"/>
              </w:rPr>
              <w:t>因而从环境保护的角度而言，该项目是可行的。</w:t>
            </w:r>
          </w:p>
        </w:tc>
      </w:tr>
    </w:tbl>
    <w:p>
      <w:pPr>
        <w:rPr>
          <w:rFonts w:hint="default" w:ascii="Times New Roman" w:hAnsi="Times New Roman" w:eastAsia="宋体" w:cs="Times New Roman"/>
          <w:color w:val="0000FF"/>
        </w:rPr>
        <w:sectPr>
          <w:pgSz w:w="11906" w:h="16838"/>
          <w:pgMar w:top="1440" w:right="1803" w:bottom="1440" w:left="1803"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3"/>
        <w:adjustRightInd w:val="0"/>
        <w:snapToGrid w:val="0"/>
        <w:spacing w:before="0" w:beforeAutospacing="0" w:after="0" w:afterAutospacing="0" w:line="360" w:lineRule="auto"/>
        <w:outlineLvl w:val="0"/>
        <w:rPr>
          <w:rFonts w:hint="default" w:ascii="Times New Roman" w:hAnsi="Times New Roman" w:eastAsia="宋体" w:cs="Times New Roman"/>
          <w:b/>
          <w:bCs/>
          <w:snapToGrid w:val="0"/>
          <w:color w:val="auto"/>
          <w:sz w:val="32"/>
          <w:szCs w:val="32"/>
        </w:rPr>
      </w:pPr>
      <w:r>
        <w:rPr>
          <w:rFonts w:hint="default" w:ascii="Times New Roman" w:hAnsi="Times New Roman" w:eastAsia="宋体" w:cs="Times New Roman"/>
          <w:b/>
          <w:bCs/>
          <w:snapToGrid w:val="0"/>
          <w:color w:val="auto"/>
          <w:sz w:val="32"/>
          <w:szCs w:val="32"/>
        </w:rPr>
        <w:t>附表</w:t>
      </w:r>
    </w:p>
    <w:p>
      <w:pPr>
        <w:pStyle w:val="23"/>
        <w:adjustRightInd w:val="0"/>
        <w:snapToGrid w:val="0"/>
        <w:spacing w:before="0" w:beforeAutospacing="0" w:after="0" w:afterAutospacing="0" w:line="360" w:lineRule="auto"/>
        <w:jc w:val="center"/>
        <w:outlineLvl w:val="0"/>
        <w:rPr>
          <w:rFonts w:hint="default" w:ascii="Times New Roman" w:hAnsi="Times New Roman" w:eastAsia="宋体" w:cs="Times New Roman"/>
          <w:b/>
          <w:bCs/>
          <w:snapToGrid w:val="0"/>
          <w:color w:val="auto"/>
          <w:sz w:val="38"/>
          <w:szCs w:val="38"/>
        </w:rPr>
      </w:pPr>
      <w:r>
        <w:rPr>
          <w:rFonts w:hint="default" w:ascii="Times New Roman" w:hAnsi="Times New Roman" w:eastAsia="宋体" w:cs="Times New Roman"/>
          <w:b/>
          <w:bCs/>
          <w:snapToGrid w:val="0"/>
          <w:color w:val="auto"/>
          <w:sz w:val="38"/>
          <w:szCs w:val="38"/>
        </w:rPr>
        <w:t>建设项目污染物排放量汇总表</w:t>
      </w:r>
    </w:p>
    <w:tbl>
      <w:tblPr>
        <w:tblStyle w:val="25"/>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07"/>
        <w:gridCol w:w="1414"/>
        <w:gridCol w:w="1523"/>
        <w:gridCol w:w="1524"/>
        <w:gridCol w:w="1524"/>
        <w:gridCol w:w="1524"/>
        <w:gridCol w:w="1524"/>
        <w:gridCol w:w="1524"/>
        <w:gridCol w:w="152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07" w:type="dxa"/>
            <w:tcBorders>
              <w:tl2br w:val="single" w:color="auto" w:sz="4" w:space="0"/>
            </w:tcBorders>
            <w:noWrap w:val="0"/>
            <w:tcMar>
              <w:left w:w="28" w:type="dxa"/>
              <w:right w:w="28" w:type="dxa"/>
            </w:tcMar>
            <w:vAlign w:val="center"/>
          </w:tcPr>
          <w:p>
            <w:pPr>
              <w:pStyle w:val="47"/>
              <w:spacing w:beforeLines="0" w:afterLines="0" w:line="240" w:lineRule="auto"/>
              <w:jc w:val="center"/>
              <w:rPr>
                <w:rFonts w:hint="default" w:ascii="Times New Roman" w:hAnsi="Times New Roman" w:eastAsia="宋体" w:cs="Times New Roman"/>
                <w:snapToGrid w:val="0"/>
                <w:color w:val="auto"/>
                <w:spacing w:val="-6"/>
                <w:kern w:val="21"/>
                <w:sz w:val="24"/>
                <w:szCs w:val="24"/>
              </w:rPr>
            </w:pPr>
            <w:r>
              <w:rPr>
                <w:rFonts w:hint="default" w:ascii="Times New Roman" w:hAnsi="Times New Roman" w:eastAsia="宋体" w:cs="Times New Roman"/>
                <w:snapToGrid w:val="0"/>
                <w:color w:val="auto"/>
                <w:spacing w:val="-6"/>
                <w:kern w:val="21"/>
                <w:sz w:val="24"/>
                <w:szCs w:val="24"/>
              </w:rPr>
              <w:t>项目</w:t>
            </w:r>
          </w:p>
          <w:p>
            <w:pPr>
              <w:pStyle w:val="47"/>
              <w:spacing w:beforeLines="0" w:afterLines="0" w:line="240" w:lineRule="auto"/>
              <w:jc w:val="center"/>
              <w:rPr>
                <w:rFonts w:hint="default" w:ascii="Times New Roman" w:hAnsi="Times New Roman" w:eastAsia="宋体" w:cs="Times New Roman"/>
                <w:snapToGrid w:val="0"/>
                <w:color w:val="auto"/>
                <w:spacing w:val="-6"/>
                <w:kern w:val="21"/>
                <w:sz w:val="24"/>
                <w:szCs w:val="24"/>
              </w:rPr>
            </w:pPr>
            <w:r>
              <w:rPr>
                <w:rFonts w:hint="default" w:ascii="Times New Roman" w:hAnsi="Times New Roman" w:eastAsia="宋体" w:cs="Times New Roman"/>
                <w:snapToGrid w:val="0"/>
                <w:color w:val="auto"/>
                <w:spacing w:val="-6"/>
                <w:kern w:val="21"/>
                <w:sz w:val="24"/>
                <w:szCs w:val="24"/>
              </w:rPr>
              <w:t>分类</w:t>
            </w:r>
          </w:p>
        </w:tc>
        <w:tc>
          <w:tcPr>
            <w:tcW w:w="1414" w:type="dxa"/>
            <w:noWrap w:val="0"/>
            <w:tcMar>
              <w:left w:w="28" w:type="dxa"/>
              <w:right w:w="28" w:type="dxa"/>
            </w:tcMar>
            <w:vAlign w:val="center"/>
          </w:tcPr>
          <w:p>
            <w:pPr>
              <w:pStyle w:val="47"/>
              <w:spacing w:beforeLines="0" w:afterLines="0" w:line="240" w:lineRule="auto"/>
              <w:jc w:val="center"/>
              <w:rPr>
                <w:rFonts w:hint="default" w:ascii="Times New Roman" w:hAnsi="Times New Roman" w:eastAsia="宋体" w:cs="Times New Roman"/>
                <w:snapToGrid w:val="0"/>
                <w:color w:val="auto"/>
                <w:spacing w:val="-6"/>
                <w:kern w:val="21"/>
                <w:sz w:val="24"/>
                <w:szCs w:val="24"/>
              </w:rPr>
            </w:pPr>
            <w:r>
              <w:rPr>
                <w:rFonts w:hint="default" w:ascii="Times New Roman" w:hAnsi="Times New Roman" w:eastAsia="宋体" w:cs="Times New Roman"/>
                <w:snapToGrid w:val="0"/>
                <w:color w:val="auto"/>
                <w:spacing w:val="-6"/>
                <w:kern w:val="21"/>
                <w:sz w:val="24"/>
                <w:szCs w:val="24"/>
              </w:rPr>
              <w:t>污染物名称</w:t>
            </w:r>
          </w:p>
        </w:tc>
        <w:tc>
          <w:tcPr>
            <w:tcW w:w="1523" w:type="dxa"/>
            <w:noWrap w:val="0"/>
            <w:tcMar>
              <w:left w:w="28" w:type="dxa"/>
              <w:right w:w="28" w:type="dxa"/>
            </w:tcMar>
            <w:vAlign w:val="center"/>
          </w:tcPr>
          <w:p>
            <w:pPr>
              <w:pStyle w:val="47"/>
              <w:spacing w:beforeLines="0" w:afterLines="0" w:line="240" w:lineRule="auto"/>
              <w:jc w:val="center"/>
              <w:rPr>
                <w:rFonts w:hint="default" w:ascii="Times New Roman" w:hAnsi="Times New Roman" w:eastAsia="宋体" w:cs="Times New Roman"/>
                <w:snapToGrid w:val="0"/>
                <w:color w:val="auto"/>
                <w:spacing w:val="-6"/>
                <w:kern w:val="21"/>
                <w:sz w:val="24"/>
                <w:szCs w:val="24"/>
              </w:rPr>
            </w:pPr>
            <w:r>
              <w:rPr>
                <w:rFonts w:hint="default" w:ascii="Times New Roman" w:hAnsi="Times New Roman" w:eastAsia="宋体" w:cs="Times New Roman"/>
                <w:snapToGrid w:val="0"/>
                <w:color w:val="auto"/>
                <w:spacing w:val="-6"/>
                <w:kern w:val="21"/>
                <w:sz w:val="24"/>
                <w:szCs w:val="24"/>
              </w:rPr>
              <w:t>现有工程排放量（固体废物产生量）</w:t>
            </w:r>
            <w:r>
              <w:rPr>
                <w:rFonts w:hint="default" w:ascii="Times New Roman" w:hAnsi="Times New Roman" w:eastAsia="宋体" w:cs="Times New Roman"/>
                <w:snapToGrid w:val="0"/>
                <w:color w:val="auto"/>
                <w:spacing w:val="-6"/>
                <w:kern w:val="21"/>
                <w:sz w:val="24"/>
                <w:szCs w:val="24"/>
              </w:rPr>
              <w:fldChar w:fldCharType="begin"/>
            </w:r>
            <w:r>
              <w:rPr>
                <w:rFonts w:hint="default" w:ascii="Times New Roman" w:hAnsi="Times New Roman" w:eastAsia="宋体" w:cs="Times New Roman"/>
                <w:snapToGrid w:val="0"/>
                <w:color w:val="auto"/>
                <w:spacing w:val="-6"/>
                <w:kern w:val="21"/>
                <w:sz w:val="24"/>
                <w:szCs w:val="24"/>
              </w:rPr>
              <w:instrText xml:space="preserve"> = 1 \* GB3 \* MERGEFORMAT </w:instrText>
            </w:r>
            <w:r>
              <w:rPr>
                <w:rFonts w:hint="default" w:ascii="Times New Roman" w:hAnsi="Times New Roman" w:eastAsia="宋体" w:cs="Times New Roman"/>
                <w:snapToGrid w:val="0"/>
                <w:color w:val="auto"/>
                <w:spacing w:val="-6"/>
                <w:kern w:val="21"/>
                <w:sz w:val="24"/>
                <w:szCs w:val="24"/>
              </w:rPr>
              <w:fldChar w:fldCharType="separate"/>
            </w:r>
            <w:r>
              <w:rPr>
                <w:rFonts w:hint="default" w:ascii="Times New Roman" w:hAnsi="Times New Roman" w:eastAsia="宋体" w:cs="Times New Roman"/>
                <w:color w:val="auto"/>
                <w:kern w:val="2"/>
                <w:sz w:val="24"/>
                <w:szCs w:val="24"/>
              </w:rPr>
              <w:t>①</w:t>
            </w:r>
            <w:r>
              <w:rPr>
                <w:rFonts w:hint="default" w:ascii="Times New Roman" w:hAnsi="Times New Roman" w:eastAsia="宋体" w:cs="Times New Roman"/>
                <w:snapToGrid w:val="0"/>
                <w:color w:val="auto"/>
                <w:spacing w:val="-6"/>
                <w:kern w:val="21"/>
                <w:sz w:val="24"/>
                <w:szCs w:val="24"/>
              </w:rPr>
              <w:fldChar w:fldCharType="end"/>
            </w:r>
          </w:p>
        </w:tc>
        <w:tc>
          <w:tcPr>
            <w:tcW w:w="1524" w:type="dxa"/>
            <w:noWrap w:val="0"/>
            <w:tcMar>
              <w:left w:w="28" w:type="dxa"/>
              <w:right w:w="28" w:type="dxa"/>
            </w:tcMar>
            <w:vAlign w:val="center"/>
          </w:tcPr>
          <w:p>
            <w:pPr>
              <w:pStyle w:val="47"/>
              <w:spacing w:beforeLines="0" w:afterLines="0" w:line="240" w:lineRule="auto"/>
              <w:jc w:val="center"/>
              <w:rPr>
                <w:rFonts w:hint="default" w:ascii="Times New Roman" w:hAnsi="Times New Roman" w:eastAsia="宋体" w:cs="Times New Roman"/>
                <w:snapToGrid w:val="0"/>
                <w:color w:val="auto"/>
                <w:spacing w:val="-6"/>
                <w:kern w:val="21"/>
                <w:sz w:val="24"/>
                <w:szCs w:val="24"/>
              </w:rPr>
            </w:pPr>
            <w:r>
              <w:rPr>
                <w:rFonts w:hint="default" w:ascii="Times New Roman" w:hAnsi="Times New Roman" w:eastAsia="宋体" w:cs="Times New Roman"/>
                <w:snapToGrid w:val="0"/>
                <w:color w:val="auto"/>
                <w:spacing w:val="-6"/>
                <w:kern w:val="21"/>
                <w:sz w:val="24"/>
                <w:szCs w:val="24"/>
              </w:rPr>
              <w:t>现有工程</w:t>
            </w:r>
          </w:p>
          <w:p>
            <w:pPr>
              <w:pStyle w:val="47"/>
              <w:spacing w:beforeLines="0" w:afterLines="0" w:line="240" w:lineRule="auto"/>
              <w:jc w:val="center"/>
              <w:rPr>
                <w:rFonts w:hint="default" w:ascii="Times New Roman" w:hAnsi="Times New Roman" w:eastAsia="宋体" w:cs="Times New Roman"/>
                <w:snapToGrid w:val="0"/>
                <w:color w:val="auto"/>
                <w:spacing w:val="-6"/>
                <w:kern w:val="21"/>
                <w:sz w:val="24"/>
                <w:szCs w:val="24"/>
              </w:rPr>
            </w:pPr>
            <w:r>
              <w:rPr>
                <w:rFonts w:hint="default" w:ascii="Times New Roman" w:hAnsi="Times New Roman" w:eastAsia="宋体" w:cs="Times New Roman"/>
                <w:snapToGrid w:val="0"/>
                <w:color w:val="auto"/>
                <w:spacing w:val="-6"/>
                <w:kern w:val="21"/>
                <w:sz w:val="24"/>
                <w:szCs w:val="24"/>
              </w:rPr>
              <w:t>许可排放量</w:t>
            </w:r>
          </w:p>
          <w:p>
            <w:pPr>
              <w:pStyle w:val="47"/>
              <w:spacing w:beforeLines="0" w:afterLines="0"/>
              <w:jc w:val="center"/>
              <w:rPr>
                <w:rFonts w:hint="default" w:ascii="Times New Roman" w:hAnsi="Times New Roman" w:eastAsia="宋体" w:cs="Times New Roman"/>
                <w:snapToGrid w:val="0"/>
                <w:color w:val="auto"/>
                <w:spacing w:val="-6"/>
                <w:kern w:val="21"/>
                <w:sz w:val="24"/>
                <w:szCs w:val="24"/>
              </w:rPr>
            </w:pPr>
            <w:r>
              <w:rPr>
                <w:rFonts w:hint="default" w:ascii="Times New Roman" w:hAnsi="Times New Roman" w:eastAsia="宋体" w:cs="Times New Roman"/>
                <w:snapToGrid w:val="0"/>
                <w:color w:val="auto"/>
                <w:spacing w:val="-6"/>
                <w:kern w:val="21"/>
                <w:sz w:val="24"/>
                <w:szCs w:val="24"/>
              </w:rPr>
              <w:fldChar w:fldCharType="begin"/>
            </w:r>
            <w:r>
              <w:rPr>
                <w:rFonts w:hint="default" w:ascii="Times New Roman" w:hAnsi="Times New Roman" w:eastAsia="宋体" w:cs="Times New Roman"/>
                <w:snapToGrid w:val="0"/>
                <w:color w:val="auto"/>
                <w:spacing w:val="-6"/>
                <w:kern w:val="21"/>
                <w:sz w:val="24"/>
                <w:szCs w:val="24"/>
              </w:rPr>
              <w:instrText xml:space="preserve"> = 2 \* GB3 \* MERGEFORMAT </w:instrText>
            </w:r>
            <w:r>
              <w:rPr>
                <w:rFonts w:hint="default" w:ascii="Times New Roman" w:hAnsi="Times New Roman" w:eastAsia="宋体" w:cs="Times New Roman"/>
                <w:snapToGrid w:val="0"/>
                <w:color w:val="auto"/>
                <w:spacing w:val="-6"/>
                <w:kern w:val="21"/>
                <w:sz w:val="24"/>
                <w:szCs w:val="24"/>
              </w:rPr>
              <w:fldChar w:fldCharType="separate"/>
            </w:r>
            <w:r>
              <w:rPr>
                <w:rFonts w:hint="default" w:ascii="Times New Roman" w:hAnsi="Times New Roman" w:eastAsia="宋体" w:cs="Times New Roman"/>
                <w:snapToGrid w:val="0"/>
                <w:color w:val="auto"/>
                <w:spacing w:val="-6"/>
                <w:kern w:val="21"/>
                <w:sz w:val="24"/>
                <w:szCs w:val="24"/>
              </w:rPr>
              <w:t>②</w:t>
            </w:r>
            <w:r>
              <w:rPr>
                <w:rFonts w:hint="default" w:ascii="Times New Roman" w:hAnsi="Times New Roman" w:eastAsia="宋体" w:cs="Times New Roman"/>
                <w:snapToGrid w:val="0"/>
                <w:color w:val="auto"/>
                <w:spacing w:val="-6"/>
                <w:kern w:val="21"/>
                <w:sz w:val="24"/>
                <w:szCs w:val="24"/>
              </w:rPr>
              <w:fldChar w:fldCharType="end"/>
            </w:r>
          </w:p>
        </w:tc>
        <w:tc>
          <w:tcPr>
            <w:tcW w:w="1524" w:type="dxa"/>
            <w:noWrap w:val="0"/>
            <w:tcMar>
              <w:left w:w="28" w:type="dxa"/>
              <w:right w:w="28" w:type="dxa"/>
            </w:tcMar>
            <w:vAlign w:val="center"/>
          </w:tcPr>
          <w:p>
            <w:pPr>
              <w:pStyle w:val="47"/>
              <w:spacing w:beforeLines="0" w:afterLines="0" w:line="240" w:lineRule="auto"/>
              <w:jc w:val="center"/>
              <w:rPr>
                <w:rFonts w:hint="default" w:ascii="Times New Roman" w:hAnsi="Times New Roman" w:eastAsia="宋体" w:cs="Times New Roman"/>
                <w:snapToGrid w:val="0"/>
                <w:color w:val="auto"/>
                <w:spacing w:val="-6"/>
                <w:kern w:val="21"/>
                <w:sz w:val="24"/>
                <w:szCs w:val="24"/>
              </w:rPr>
            </w:pPr>
            <w:r>
              <w:rPr>
                <w:rFonts w:hint="default" w:ascii="Times New Roman" w:hAnsi="Times New Roman" w:eastAsia="宋体" w:cs="Times New Roman"/>
                <w:snapToGrid w:val="0"/>
                <w:color w:val="auto"/>
                <w:spacing w:val="-6"/>
                <w:kern w:val="21"/>
                <w:sz w:val="24"/>
                <w:szCs w:val="24"/>
              </w:rPr>
              <w:t>在建工程排放量（固体废物产生量）</w:t>
            </w:r>
            <w:r>
              <w:rPr>
                <w:rFonts w:hint="default" w:ascii="Times New Roman" w:hAnsi="Times New Roman" w:eastAsia="宋体" w:cs="Times New Roman"/>
                <w:snapToGrid w:val="0"/>
                <w:color w:val="auto"/>
                <w:spacing w:val="-6"/>
                <w:kern w:val="21"/>
                <w:sz w:val="24"/>
                <w:szCs w:val="24"/>
              </w:rPr>
              <w:fldChar w:fldCharType="begin"/>
            </w:r>
            <w:r>
              <w:rPr>
                <w:rFonts w:hint="default" w:ascii="Times New Roman" w:hAnsi="Times New Roman" w:eastAsia="宋体" w:cs="Times New Roman"/>
                <w:snapToGrid w:val="0"/>
                <w:color w:val="auto"/>
                <w:spacing w:val="-6"/>
                <w:kern w:val="21"/>
                <w:sz w:val="24"/>
                <w:szCs w:val="24"/>
              </w:rPr>
              <w:instrText xml:space="preserve"> = 3 \* GB3 \* MERGEFORMAT </w:instrText>
            </w:r>
            <w:r>
              <w:rPr>
                <w:rFonts w:hint="default" w:ascii="Times New Roman" w:hAnsi="Times New Roman" w:eastAsia="宋体" w:cs="Times New Roman"/>
                <w:snapToGrid w:val="0"/>
                <w:color w:val="auto"/>
                <w:spacing w:val="-6"/>
                <w:kern w:val="21"/>
                <w:sz w:val="24"/>
                <w:szCs w:val="24"/>
              </w:rPr>
              <w:fldChar w:fldCharType="separate"/>
            </w:r>
            <w:r>
              <w:rPr>
                <w:rFonts w:hint="default" w:ascii="Times New Roman" w:hAnsi="Times New Roman" w:eastAsia="宋体" w:cs="Times New Roman"/>
                <w:color w:val="auto"/>
                <w:kern w:val="2"/>
                <w:sz w:val="24"/>
                <w:szCs w:val="24"/>
              </w:rPr>
              <w:t>③</w:t>
            </w:r>
            <w:r>
              <w:rPr>
                <w:rFonts w:hint="default" w:ascii="Times New Roman" w:hAnsi="Times New Roman" w:eastAsia="宋体" w:cs="Times New Roman"/>
                <w:snapToGrid w:val="0"/>
                <w:color w:val="auto"/>
                <w:spacing w:val="-6"/>
                <w:kern w:val="21"/>
                <w:sz w:val="24"/>
                <w:szCs w:val="24"/>
              </w:rPr>
              <w:fldChar w:fldCharType="end"/>
            </w:r>
          </w:p>
        </w:tc>
        <w:tc>
          <w:tcPr>
            <w:tcW w:w="1524" w:type="dxa"/>
            <w:noWrap w:val="0"/>
            <w:tcMar>
              <w:left w:w="28" w:type="dxa"/>
              <w:right w:w="28" w:type="dxa"/>
            </w:tcMar>
            <w:vAlign w:val="center"/>
          </w:tcPr>
          <w:p>
            <w:pPr>
              <w:pStyle w:val="47"/>
              <w:spacing w:beforeLines="0" w:afterLines="0" w:line="240" w:lineRule="auto"/>
              <w:jc w:val="center"/>
              <w:rPr>
                <w:rFonts w:hint="default" w:ascii="Times New Roman" w:hAnsi="Times New Roman" w:eastAsia="宋体" w:cs="Times New Roman"/>
                <w:snapToGrid w:val="0"/>
                <w:color w:val="auto"/>
                <w:spacing w:val="-6"/>
                <w:kern w:val="21"/>
                <w:sz w:val="24"/>
                <w:szCs w:val="24"/>
              </w:rPr>
            </w:pPr>
            <w:r>
              <w:rPr>
                <w:rFonts w:hint="default" w:ascii="Times New Roman" w:hAnsi="Times New Roman" w:eastAsia="宋体" w:cs="Times New Roman"/>
                <w:snapToGrid w:val="0"/>
                <w:color w:val="auto"/>
                <w:spacing w:val="-6"/>
                <w:kern w:val="21"/>
                <w:sz w:val="24"/>
                <w:szCs w:val="24"/>
              </w:rPr>
              <w:t>本项目排放量（固体废物产生量）</w:t>
            </w:r>
            <w:r>
              <w:rPr>
                <w:rFonts w:hint="default" w:ascii="Times New Roman" w:hAnsi="Times New Roman" w:eastAsia="宋体" w:cs="Times New Roman"/>
                <w:snapToGrid w:val="0"/>
                <w:color w:val="auto"/>
                <w:spacing w:val="-6"/>
                <w:kern w:val="21"/>
                <w:sz w:val="24"/>
                <w:szCs w:val="24"/>
              </w:rPr>
              <w:fldChar w:fldCharType="begin"/>
            </w:r>
            <w:r>
              <w:rPr>
                <w:rFonts w:hint="default" w:ascii="Times New Roman" w:hAnsi="Times New Roman" w:eastAsia="宋体" w:cs="Times New Roman"/>
                <w:snapToGrid w:val="0"/>
                <w:color w:val="auto"/>
                <w:spacing w:val="-6"/>
                <w:kern w:val="21"/>
                <w:sz w:val="24"/>
                <w:szCs w:val="24"/>
              </w:rPr>
              <w:instrText xml:space="preserve"> = 4 \* GB3 \* MERGEFORMAT </w:instrText>
            </w:r>
            <w:r>
              <w:rPr>
                <w:rFonts w:hint="default" w:ascii="Times New Roman" w:hAnsi="Times New Roman" w:eastAsia="宋体" w:cs="Times New Roman"/>
                <w:snapToGrid w:val="0"/>
                <w:color w:val="auto"/>
                <w:spacing w:val="-6"/>
                <w:kern w:val="21"/>
                <w:sz w:val="24"/>
                <w:szCs w:val="24"/>
              </w:rPr>
              <w:fldChar w:fldCharType="separate"/>
            </w:r>
            <w:r>
              <w:rPr>
                <w:rFonts w:hint="default" w:ascii="Times New Roman" w:hAnsi="Times New Roman" w:eastAsia="宋体" w:cs="Times New Roman"/>
                <w:color w:val="auto"/>
                <w:kern w:val="2"/>
                <w:sz w:val="24"/>
                <w:szCs w:val="24"/>
              </w:rPr>
              <w:t>④</w:t>
            </w:r>
            <w:r>
              <w:rPr>
                <w:rFonts w:hint="default" w:ascii="Times New Roman" w:hAnsi="Times New Roman" w:eastAsia="宋体" w:cs="Times New Roman"/>
                <w:snapToGrid w:val="0"/>
                <w:color w:val="auto"/>
                <w:spacing w:val="-6"/>
                <w:kern w:val="21"/>
                <w:sz w:val="24"/>
                <w:szCs w:val="24"/>
              </w:rPr>
              <w:fldChar w:fldCharType="end"/>
            </w:r>
          </w:p>
        </w:tc>
        <w:tc>
          <w:tcPr>
            <w:tcW w:w="1524" w:type="dxa"/>
            <w:noWrap w:val="0"/>
            <w:tcMar>
              <w:left w:w="28" w:type="dxa"/>
              <w:right w:w="28" w:type="dxa"/>
            </w:tcMar>
            <w:vAlign w:val="center"/>
          </w:tcPr>
          <w:p>
            <w:pPr>
              <w:pStyle w:val="47"/>
              <w:spacing w:beforeLines="0" w:afterLines="0" w:line="240" w:lineRule="auto"/>
              <w:jc w:val="center"/>
              <w:rPr>
                <w:rFonts w:hint="default" w:ascii="Times New Roman" w:hAnsi="Times New Roman" w:eastAsia="宋体" w:cs="Times New Roman"/>
                <w:snapToGrid w:val="0"/>
                <w:color w:val="auto"/>
                <w:spacing w:val="-16"/>
                <w:kern w:val="21"/>
                <w:sz w:val="24"/>
                <w:szCs w:val="24"/>
              </w:rPr>
            </w:pPr>
            <w:r>
              <w:rPr>
                <w:rFonts w:hint="default" w:ascii="Times New Roman" w:hAnsi="Times New Roman" w:eastAsia="宋体" w:cs="Times New Roman"/>
                <w:snapToGrid w:val="0"/>
                <w:color w:val="auto"/>
                <w:spacing w:val="-16"/>
                <w:kern w:val="21"/>
                <w:sz w:val="24"/>
                <w:szCs w:val="24"/>
              </w:rPr>
              <w:t>以新带老削减量</w:t>
            </w:r>
          </w:p>
          <w:p>
            <w:pPr>
              <w:pStyle w:val="47"/>
              <w:spacing w:beforeLines="0" w:afterLines="0" w:line="240" w:lineRule="auto"/>
              <w:jc w:val="center"/>
              <w:rPr>
                <w:rFonts w:hint="default" w:ascii="Times New Roman" w:hAnsi="Times New Roman" w:eastAsia="宋体" w:cs="Times New Roman"/>
                <w:snapToGrid w:val="0"/>
                <w:color w:val="auto"/>
                <w:spacing w:val="-16"/>
                <w:kern w:val="21"/>
                <w:sz w:val="24"/>
                <w:szCs w:val="24"/>
              </w:rPr>
            </w:pPr>
            <w:r>
              <w:rPr>
                <w:rFonts w:hint="default" w:ascii="Times New Roman" w:hAnsi="Times New Roman" w:eastAsia="宋体" w:cs="Times New Roman"/>
                <w:snapToGrid w:val="0"/>
                <w:color w:val="auto"/>
                <w:spacing w:val="-16"/>
                <w:kern w:val="21"/>
                <w:sz w:val="24"/>
                <w:szCs w:val="24"/>
              </w:rPr>
              <w:t>（新建项目不填）</w:t>
            </w:r>
            <w:r>
              <w:rPr>
                <w:rFonts w:hint="default" w:ascii="Times New Roman" w:hAnsi="Times New Roman" w:eastAsia="宋体" w:cs="Times New Roman"/>
                <w:snapToGrid w:val="0"/>
                <w:color w:val="auto"/>
                <w:spacing w:val="-16"/>
                <w:kern w:val="21"/>
                <w:sz w:val="24"/>
                <w:szCs w:val="24"/>
              </w:rPr>
              <w:fldChar w:fldCharType="begin"/>
            </w:r>
            <w:r>
              <w:rPr>
                <w:rFonts w:hint="default" w:ascii="Times New Roman" w:hAnsi="Times New Roman" w:eastAsia="宋体" w:cs="Times New Roman"/>
                <w:snapToGrid w:val="0"/>
                <w:color w:val="auto"/>
                <w:spacing w:val="-16"/>
                <w:kern w:val="21"/>
                <w:sz w:val="24"/>
                <w:szCs w:val="24"/>
              </w:rPr>
              <w:instrText xml:space="preserve"> = 5 \* GB3 \* MERGEFORMAT </w:instrText>
            </w:r>
            <w:r>
              <w:rPr>
                <w:rFonts w:hint="default" w:ascii="Times New Roman" w:hAnsi="Times New Roman" w:eastAsia="宋体" w:cs="Times New Roman"/>
                <w:snapToGrid w:val="0"/>
                <w:color w:val="auto"/>
                <w:spacing w:val="-16"/>
                <w:kern w:val="21"/>
                <w:sz w:val="24"/>
                <w:szCs w:val="24"/>
              </w:rPr>
              <w:fldChar w:fldCharType="separate"/>
            </w:r>
            <w:r>
              <w:rPr>
                <w:rFonts w:hint="default" w:ascii="Times New Roman" w:hAnsi="Times New Roman" w:eastAsia="宋体" w:cs="Times New Roman"/>
                <w:color w:val="auto"/>
                <w:kern w:val="2"/>
                <w:sz w:val="24"/>
                <w:szCs w:val="24"/>
              </w:rPr>
              <w:t>⑤</w:t>
            </w:r>
            <w:r>
              <w:rPr>
                <w:rFonts w:hint="default" w:ascii="Times New Roman" w:hAnsi="Times New Roman" w:eastAsia="宋体" w:cs="Times New Roman"/>
                <w:snapToGrid w:val="0"/>
                <w:color w:val="auto"/>
                <w:spacing w:val="-16"/>
                <w:kern w:val="21"/>
                <w:sz w:val="24"/>
                <w:szCs w:val="24"/>
              </w:rPr>
              <w:fldChar w:fldCharType="end"/>
            </w:r>
          </w:p>
        </w:tc>
        <w:tc>
          <w:tcPr>
            <w:tcW w:w="1524" w:type="dxa"/>
            <w:noWrap w:val="0"/>
            <w:tcMar>
              <w:left w:w="28" w:type="dxa"/>
              <w:right w:w="28" w:type="dxa"/>
            </w:tcMar>
            <w:vAlign w:val="center"/>
          </w:tcPr>
          <w:p>
            <w:pPr>
              <w:pStyle w:val="47"/>
              <w:spacing w:beforeLines="0" w:afterLines="0" w:line="240" w:lineRule="auto"/>
              <w:jc w:val="center"/>
              <w:rPr>
                <w:rFonts w:hint="default" w:ascii="Times New Roman" w:hAnsi="Times New Roman" w:eastAsia="宋体" w:cs="Times New Roman"/>
                <w:snapToGrid w:val="0"/>
                <w:color w:val="auto"/>
                <w:spacing w:val="-16"/>
                <w:kern w:val="21"/>
                <w:sz w:val="24"/>
                <w:szCs w:val="24"/>
              </w:rPr>
            </w:pPr>
            <w:r>
              <w:rPr>
                <w:rFonts w:hint="default" w:ascii="Times New Roman" w:hAnsi="Times New Roman" w:eastAsia="宋体" w:cs="Times New Roman"/>
                <w:snapToGrid w:val="0"/>
                <w:color w:val="auto"/>
                <w:spacing w:val="-16"/>
                <w:kern w:val="21"/>
                <w:sz w:val="24"/>
                <w:szCs w:val="24"/>
              </w:rPr>
              <w:t>本项目建成后全厂排放量（固体废物产生量）</w:t>
            </w:r>
            <w:r>
              <w:rPr>
                <w:rFonts w:hint="default" w:ascii="Times New Roman" w:hAnsi="Times New Roman" w:eastAsia="宋体" w:cs="Times New Roman"/>
                <w:snapToGrid w:val="0"/>
                <w:color w:val="auto"/>
                <w:spacing w:val="-16"/>
                <w:kern w:val="21"/>
                <w:sz w:val="24"/>
                <w:szCs w:val="24"/>
              </w:rPr>
              <w:fldChar w:fldCharType="begin"/>
            </w:r>
            <w:r>
              <w:rPr>
                <w:rFonts w:hint="default" w:ascii="Times New Roman" w:hAnsi="Times New Roman" w:eastAsia="宋体" w:cs="Times New Roman"/>
                <w:snapToGrid w:val="0"/>
                <w:color w:val="auto"/>
                <w:spacing w:val="-16"/>
                <w:kern w:val="21"/>
                <w:sz w:val="24"/>
                <w:szCs w:val="24"/>
              </w:rPr>
              <w:instrText xml:space="preserve"> = 6 \* GB3 \* MERGEFORMAT </w:instrText>
            </w:r>
            <w:r>
              <w:rPr>
                <w:rFonts w:hint="default" w:ascii="Times New Roman" w:hAnsi="Times New Roman" w:eastAsia="宋体" w:cs="Times New Roman"/>
                <w:snapToGrid w:val="0"/>
                <w:color w:val="auto"/>
                <w:spacing w:val="-16"/>
                <w:kern w:val="21"/>
                <w:sz w:val="24"/>
                <w:szCs w:val="24"/>
              </w:rPr>
              <w:fldChar w:fldCharType="separate"/>
            </w:r>
            <w:r>
              <w:rPr>
                <w:rFonts w:hint="default" w:ascii="Times New Roman" w:hAnsi="Times New Roman" w:eastAsia="宋体" w:cs="Times New Roman"/>
                <w:color w:val="auto"/>
                <w:kern w:val="2"/>
                <w:sz w:val="24"/>
                <w:szCs w:val="24"/>
              </w:rPr>
              <w:t>⑥</w:t>
            </w:r>
            <w:r>
              <w:rPr>
                <w:rFonts w:hint="default" w:ascii="Times New Roman" w:hAnsi="Times New Roman" w:eastAsia="宋体" w:cs="Times New Roman"/>
                <w:snapToGrid w:val="0"/>
                <w:color w:val="auto"/>
                <w:spacing w:val="-16"/>
                <w:kern w:val="21"/>
                <w:sz w:val="24"/>
                <w:szCs w:val="24"/>
              </w:rPr>
              <w:fldChar w:fldCharType="end"/>
            </w:r>
          </w:p>
        </w:tc>
        <w:tc>
          <w:tcPr>
            <w:tcW w:w="1524" w:type="dxa"/>
            <w:noWrap w:val="0"/>
            <w:tcMar>
              <w:left w:w="28" w:type="dxa"/>
              <w:right w:w="28" w:type="dxa"/>
            </w:tcMar>
            <w:vAlign w:val="center"/>
          </w:tcPr>
          <w:p>
            <w:pPr>
              <w:pStyle w:val="47"/>
              <w:spacing w:beforeLines="0" w:afterLines="0" w:line="240" w:lineRule="auto"/>
              <w:jc w:val="center"/>
              <w:rPr>
                <w:rFonts w:hint="default" w:ascii="Times New Roman" w:hAnsi="Times New Roman" w:eastAsia="宋体" w:cs="Times New Roman"/>
                <w:snapToGrid w:val="0"/>
                <w:color w:val="auto"/>
                <w:spacing w:val="-6"/>
                <w:kern w:val="21"/>
                <w:sz w:val="24"/>
                <w:szCs w:val="24"/>
              </w:rPr>
            </w:pPr>
            <w:r>
              <w:rPr>
                <w:rFonts w:hint="default" w:ascii="Times New Roman" w:hAnsi="Times New Roman" w:eastAsia="宋体" w:cs="Times New Roman"/>
                <w:snapToGrid w:val="0"/>
                <w:color w:val="auto"/>
                <w:spacing w:val="-6"/>
                <w:kern w:val="21"/>
                <w:sz w:val="24"/>
                <w:szCs w:val="24"/>
              </w:rPr>
              <w:t>变化量</w:t>
            </w:r>
          </w:p>
          <w:p>
            <w:pPr>
              <w:pStyle w:val="47"/>
              <w:spacing w:beforeLines="0" w:afterLines="0" w:line="240" w:lineRule="auto"/>
              <w:jc w:val="center"/>
              <w:rPr>
                <w:rFonts w:hint="default" w:ascii="Times New Roman" w:hAnsi="Times New Roman" w:eastAsia="宋体" w:cs="Times New Roman"/>
                <w:snapToGrid w:val="0"/>
                <w:color w:val="auto"/>
                <w:spacing w:val="-6"/>
                <w:kern w:val="21"/>
                <w:sz w:val="24"/>
                <w:szCs w:val="24"/>
              </w:rPr>
            </w:pPr>
            <w:r>
              <w:rPr>
                <w:rFonts w:hint="default" w:ascii="Times New Roman" w:hAnsi="Times New Roman" w:eastAsia="宋体" w:cs="Times New Roman"/>
                <w:snapToGrid w:val="0"/>
                <w:color w:val="auto"/>
                <w:spacing w:val="-6"/>
                <w:kern w:val="21"/>
                <w:sz w:val="24"/>
                <w:szCs w:val="24"/>
              </w:rPr>
              <w:fldChar w:fldCharType="begin"/>
            </w:r>
            <w:r>
              <w:rPr>
                <w:rFonts w:hint="default" w:ascii="Times New Roman" w:hAnsi="Times New Roman" w:eastAsia="宋体" w:cs="Times New Roman"/>
                <w:snapToGrid w:val="0"/>
                <w:color w:val="auto"/>
                <w:spacing w:val="-6"/>
                <w:kern w:val="21"/>
                <w:sz w:val="24"/>
                <w:szCs w:val="24"/>
              </w:rPr>
              <w:instrText xml:space="preserve"> = 7 \* GB3 \* MERGEFORMAT </w:instrText>
            </w:r>
            <w:r>
              <w:rPr>
                <w:rFonts w:hint="default" w:ascii="Times New Roman" w:hAnsi="Times New Roman" w:eastAsia="宋体" w:cs="Times New Roman"/>
                <w:snapToGrid w:val="0"/>
                <w:color w:val="auto"/>
                <w:spacing w:val="-6"/>
                <w:kern w:val="21"/>
                <w:sz w:val="24"/>
                <w:szCs w:val="24"/>
              </w:rPr>
              <w:fldChar w:fldCharType="separate"/>
            </w:r>
            <w:r>
              <w:rPr>
                <w:rFonts w:hint="default" w:ascii="Times New Roman" w:hAnsi="Times New Roman" w:eastAsia="宋体" w:cs="Times New Roman"/>
                <w:color w:val="auto"/>
                <w:kern w:val="2"/>
                <w:sz w:val="24"/>
                <w:szCs w:val="24"/>
              </w:rPr>
              <w:t>⑦</w:t>
            </w:r>
            <w:r>
              <w:rPr>
                <w:rFonts w:hint="default" w:ascii="Times New Roman" w:hAnsi="Times New Roman" w:eastAsia="宋体" w:cs="Times New Roman"/>
                <w:snapToGrid w:val="0"/>
                <w:color w:val="auto"/>
                <w:spacing w:val="-6"/>
                <w:kern w:val="21"/>
                <w:sz w:val="24"/>
                <w:szCs w:val="24"/>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07" w:type="dxa"/>
            <w:vMerge w:val="restart"/>
            <w:noWrap w:val="0"/>
            <w:vAlign w:val="center"/>
          </w:tcPr>
          <w:p>
            <w:pPr>
              <w:pStyle w:val="47"/>
              <w:spacing w:beforeLines="0" w:afterLines="0" w:line="240" w:lineRule="auto"/>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废气</w:t>
            </w:r>
          </w:p>
        </w:tc>
        <w:tc>
          <w:tcPr>
            <w:tcW w:w="1414" w:type="dxa"/>
            <w:noWrap w:val="0"/>
            <w:vAlign w:val="center"/>
          </w:tcPr>
          <w:p>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挥发性有机物</w:t>
            </w:r>
          </w:p>
        </w:tc>
        <w:tc>
          <w:tcPr>
            <w:tcW w:w="1523"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w:t>
            </w:r>
          </w:p>
        </w:tc>
        <w:tc>
          <w:tcPr>
            <w:tcW w:w="1524"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w:t>
            </w:r>
          </w:p>
        </w:tc>
        <w:tc>
          <w:tcPr>
            <w:tcW w:w="1524"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w:t>
            </w:r>
          </w:p>
        </w:tc>
        <w:tc>
          <w:tcPr>
            <w:tcW w:w="1524" w:type="dxa"/>
            <w:noWrap w:val="0"/>
            <w:vAlign w:val="center"/>
          </w:tcPr>
          <w:p>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0.</w:t>
            </w:r>
            <w:r>
              <w:rPr>
                <w:rFonts w:hint="eastAsia" w:ascii="Times New Roman" w:cs="Times New Roman"/>
                <w:snapToGrid w:val="0"/>
                <w:color w:val="auto"/>
                <w:kern w:val="21"/>
                <w:sz w:val="24"/>
                <w:szCs w:val="24"/>
                <w:lang w:val="en-US" w:eastAsia="zh-CN"/>
              </w:rPr>
              <w:t>518</w:t>
            </w:r>
            <w:r>
              <w:rPr>
                <w:rFonts w:hint="default" w:ascii="Times New Roman" w:hAnsi="Times New Roman" w:eastAsia="宋体" w:cs="Times New Roman"/>
                <w:snapToGrid w:val="0"/>
                <w:color w:val="auto"/>
                <w:kern w:val="21"/>
                <w:sz w:val="24"/>
                <w:szCs w:val="24"/>
                <w:lang w:val="en-US" w:eastAsia="zh-CN" w:bidi="ar-SA"/>
              </w:rPr>
              <w:t>t/a</w:t>
            </w:r>
          </w:p>
        </w:tc>
        <w:tc>
          <w:tcPr>
            <w:tcW w:w="1524"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w:t>
            </w:r>
          </w:p>
        </w:tc>
        <w:tc>
          <w:tcPr>
            <w:tcW w:w="1524" w:type="dxa"/>
            <w:noWrap w:val="0"/>
            <w:vAlign w:val="center"/>
          </w:tcPr>
          <w:p>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0.</w:t>
            </w:r>
            <w:r>
              <w:rPr>
                <w:rFonts w:hint="eastAsia" w:ascii="Times New Roman" w:cs="Times New Roman"/>
                <w:snapToGrid w:val="0"/>
                <w:color w:val="auto"/>
                <w:kern w:val="21"/>
                <w:sz w:val="24"/>
                <w:szCs w:val="24"/>
                <w:lang w:val="en-US" w:eastAsia="zh-CN"/>
              </w:rPr>
              <w:t>518</w:t>
            </w:r>
            <w:r>
              <w:rPr>
                <w:rFonts w:hint="default" w:ascii="Times New Roman" w:hAnsi="Times New Roman" w:eastAsia="宋体" w:cs="Times New Roman"/>
                <w:snapToGrid w:val="0"/>
                <w:color w:val="auto"/>
                <w:kern w:val="21"/>
                <w:sz w:val="24"/>
                <w:szCs w:val="24"/>
                <w:lang w:val="en-US" w:eastAsia="zh-CN" w:bidi="ar-SA"/>
              </w:rPr>
              <w:t>t/a</w:t>
            </w:r>
          </w:p>
        </w:tc>
        <w:tc>
          <w:tcPr>
            <w:tcW w:w="1524" w:type="dxa"/>
            <w:noWrap w:val="0"/>
            <w:vAlign w:val="center"/>
          </w:tcPr>
          <w:p>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rPr>
              <w:t>+</w:t>
            </w:r>
            <w:r>
              <w:rPr>
                <w:rFonts w:hint="default" w:ascii="Times New Roman" w:hAnsi="Times New Roman" w:eastAsia="宋体" w:cs="Times New Roman"/>
                <w:snapToGrid w:val="0"/>
                <w:color w:val="auto"/>
                <w:kern w:val="21"/>
                <w:sz w:val="24"/>
                <w:szCs w:val="24"/>
                <w:lang w:val="en-US" w:eastAsia="zh-CN"/>
              </w:rPr>
              <w:t>0.</w:t>
            </w:r>
            <w:r>
              <w:rPr>
                <w:rFonts w:hint="eastAsia" w:ascii="Times New Roman" w:cs="Times New Roman"/>
                <w:snapToGrid w:val="0"/>
                <w:color w:val="auto"/>
                <w:kern w:val="21"/>
                <w:sz w:val="24"/>
                <w:szCs w:val="24"/>
                <w:lang w:val="en-US" w:eastAsia="zh-CN"/>
              </w:rPr>
              <w:t>518</w:t>
            </w:r>
            <w:r>
              <w:rPr>
                <w:rFonts w:hint="default" w:ascii="Times New Roman" w:hAnsi="Times New Roman" w:eastAsia="宋体" w:cs="Times New Roman"/>
                <w:snapToGrid w:val="0"/>
                <w:color w:val="auto"/>
                <w:kern w:val="21"/>
                <w:sz w:val="24"/>
                <w:szCs w:val="24"/>
                <w:lang w:val="en-US" w:eastAsia="zh-CN" w:bidi="ar-SA"/>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07" w:type="dxa"/>
            <w:vMerge w:val="continue"/>
            <w:noWrap w:val="0"/>
            <w:vAlign w:val="center"/>
          </w:tcPr>
          <w:p>
            <w:pPr>
              <w:pStyle w:val="47"/>
              <w:spacing w:beforeLines="0" w:afterLines="0" w:line="240" w:lineRule="auto"/>
              <w:jc w:val="center"/>
              <w:rPr>
                <w:rFonts w:hint="default" w:ascii="Times New Roman" w:hAnsi="Times New Roman" w:eastAsia="宋体" w:cs="Times New Roman"/>
                <w:snapToGrid w:val="0"/>
                <w:color w:val="auto"/>
                <w:kern w:val="21"/>
                <w:sz w:val="24"/>
                <w:szCs w:val="24"/>
              </w:rPr>
            </w:pPr>
          </w:p>
        </w:tc>
        <w:tc>
          <w:tcPr>
            <w:tcW w:w="1414" w:type="dxa"/>
            <w:noWrap w:val="0"/>
            <w:vAlign w:val="center"/>
          </w:tcPr>
          <w:p>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cs="Times New Roman"/>
                <w:color w:val="auto"/>
                <w:kern w:val="2"/>
                <w:sz w:val="24"/>
                <w:szCs w:val="24"/>
                <w:lang w:val="en-US" w:eastAsia="zh-CN" w:bidi="ar-SA"/>
              </w:rPr>
              <w:t>颗粒物</w:t>
            </w:r>
          </w:p>
        </w:tc>
        <w:tc>
          <w:tcPr>
            <w:tcW w:w="1523"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w:t>
            </w:r>
          </w:p>
        </w:tc>
        <w:tc>
          <w:tcPr>
            <w:tcW w:w="1524"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w:t>
            </w:r>
          </w:p>
        </w:tc>
        <w:tc>
          <w:tcPr>
            <w:tcW w:w="1524"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w:t>
            </w:r>
          </w:p>
        </w:tc>
        <w:tc>
          <w:tcPr>
            <w:tcW w:w="1524" w:type="dxa"/>
            <w:noWrap w:val="0"/>
            <w:vAlign w:val="center"/>
          </w:tcPr>
          <w:p>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rPr>
              <w:t>0.216</w:t>
            </w:r>
            <w:r>
              <w:rPr>
                <w:rFonts w:hint="default" w:ascii="Times New Roman" w:hAnsi="Times New Roman" w:eastAsia="宋体" w:cs="Times New Roman"/>
                <w:snapToGrid w:val="0"/>
                <w:color w:val="auto"/>
                <w:kern w:val="21"/>
                <w:sz w:val="24"/>
                <w:szCs w:val="24"/>
                <w:lang w:val="en-US" w:eastAsia="zh-CN" w:bidi="ar-SA"/>
              </w:rPr>
              <w:t>t/a</w:t>
            </w:r>
          </w:p>
        </w:tc>
        <w:tc>
          <w:tcPr>
            <w:tcW w:w="1524"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p>
        </w:tc>
        <w:tc>
          <w:tcPr>
            <w:tcW w:w="1524" w:type="dxa"/>
            <w:noWrap w:val="0"/>
            <w:vAlign w:val="center"/>
          </w:tcPr>
          <w:p>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rPr>
              <w:t>0.216</w:t>
            </w:r>
            <w:r>
              <w:rPr>
                <w:rFonts w:hint="default" w:ascii="Times New Roman" w:hAnsi="Times New Roman" w:eastAsia="宋体" w:cs="Times New Roman"/>
                <w:snapToGrid w:val="0"/>
                <w:color w:val="auto"/>
                <w:kern w:val="21"/>
                <w:sz w:val="24"/>
                <w:szCs w:val="24"/>
                <w:lang w:val="en-US" w:eastAsia="zh-CN" w:bidi="ar-SA"/>
              </w:rPr>
              <w:t>t/a</w:t>
            </w:r>
          </w:p>
        </w:tc>
        <w:tc>
          <w:tcPr>
            <w:tcW w:w="1524" w:type="dxa"/>
            <w:noWrap w:val="0"/>
            <w:vAlign w:val="center"/>
          </w:tcPr>
          <w:p>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eastAsia" w:ascii="Times New Roman"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rPr>
              <w:t>+0.216</w:t>
            </w:r>
            <w:r>
              <w:rPr>
                <w:rFonts w:hint="default" w:ascii="Times New Roman" w:hAnsi="Times New Roman" w:eastAsia="宋体" w:cs="Times New Roman"/>
                <w:snapToGrid w:val="0"/>
                <w:color w:val="auto"/>
                <w:kern w:val="21"/>
                <w:sz w:val="24"/>
                <w:szCs w:val="24"/>
                <w:lang w:val="en-US" w:eastAsia="zh-CN" w:bidi="ar-SA"/>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07" w:type="dxa"/>
            <w:vMerge w:val="restart"/>
            <w:noWrap w:val="0"/>
            <w:vAlign w:val="center"/>
          </w:tcPr>
          <w:p>
            <w:pPr>
              <w:pStyle w:val="47"/>
              <w:spacing w:beforeLines="0" w:afterLines="0" w:line="240" w:lineRule="auto"/>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废水</w:t>
            </w:r>
          </w:p>
        </w:tc>
        <w:tc>
          <w:tcPr>
            <w:tcW w:w="1414" w:type="dxa"/>
            <w:noWrap w:val="0"/>
            <w:vAlign w:val="center"/>
          </w:tcPr>
          <w:p>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COD</w:t>
            </w:r>
          </w:p>
        </w:tc>
        <w:tc>
          <w:tcPr>
            <w:tcW w:w="1523"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w:t>
            </w:r>
          </w:p>
        </w:tc>
        <w:tc>
          <w:tcPr>
            <w:tcW w:w="1524"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lang w:val="en-US" w:eastAsia="zh-CN"/>
              </w:rPr>
              <w:t>/</w:t>
            </w:r>
          </w:p>
        </w:tc>
        <w:tc>
          <w:tcPr>
            <w:tcW w:w="1524"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w:t>
            </w:r>
          </w:p>
        </w:tc>
        <w:tc>
          <w:tcPr>
            <w:tcW w:w="1524"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bidi="ar-SA"/>
              </w:rPr>
              <w:t>0.306t/a</w:t>
            </w:r>
          </w:p>
        </w:tc>
        <w:tc>
          <w:tcPr>
            <w:tcW w:w="1524"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w:t>
            </w:r>
          </w:p>
        </w:tc>
        <w:tc>
          <w:tcPr>
            <w:tcW w:w="1524"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bidi="ar-SA"/>
              </w:rPr>
              <w:t>0.306t/a</w:t>
            </w:r>
          </w:p>
        </w:tc>
        <w:tc>
          <w:tcPr>
            <w:tcW w:w="1524"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eastAsia" w:cs="Times New Roman"/>
                <w:snapToGrid w:val="0"/>
                <w:color w:val="auto"/>
                <w:kern w:val="21"/>
                <w:sz w:val="24"/>
                <w:szCs w:val="24"/>
                <w:lang w:val="en-US" w:eastAsia="zh-CN" w:bidi="ar-SA"/>
              </w:rPr>
              <w:t>+</w:t>
            </w:r>
            <w:r>
              <w:rPr>
                <w:rFonts w:hint="default" w:ascii="Times New Roman" w:hAnsi="Times New Roman" w:eastAsia="宋体" w:cs="Times New Roman"/>
                <w:snapToGrid w:val="0"/>
                <w:color w:val="auto"/>
                <w:kern w:val="21"/>
                <w:sz w:val="24"/>
                <w:szCs w:val="24"/>
                <w:lang w:val="en-US" w:eastAsia="zh-CN" w:bidi="ar-SA"/>
              </w:rPr>
              <w:t>0.306t/a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07" w:type="dxa"/>
            <w:vMerge w:val="continue"/>
            <w:noWrap w:val="0"/>
            <w:vAlign w:val="center"/>
          </w:tcPr>
          <w:p>
            <w:pPr>
              <w:pStyle w:val="47"/>
              <w:spacing w:beforeLines="0" w:afterLines="0" w:line="240" w:lineRule="auto"/>
              <w:jc w:val="center"/>
              <w:rPr>
                <w:rFonts w:hint="default" w:ascii="Times New Roman" w:hAnsi="Times New Roman" w:eastAsia="宋体" w:cs="Times New Roman"/>
                <w:snapToGrid w:val="0"/>
                <w:color w:val="auto"/>
                <w:kern w:val="21"/>
                <w:sz w:val="24"/>
                <w:szCs w:val="24"/>
              </w:rPr>
            </w:pPr>
          </w:p>
        </w:tc>
        <w:tc>
          <w:tcPr>
            <w:tcW w:w="1414" w:type="dxa"/>
            <w:noWrap w:val="0"/>
            <w:vAlign w:val="center"/>
          </w:tcPr>
          <w:p>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NH</w:t>
            </w:r>
            <w:r>
              <w:rPr>
                <w:rFonts w:hint="default" w:ascii="Times New Roman" w:hAnsi="Times New Roman" w:eastAsia="宋体" w:cs="Times New Roman"/>
                <w:color w:val="auto"/>
                <w:sz w:val="24"/>
                <w:szCs w:val="24"/>
                <w:vertAlign w:val="subscript"/>
                <w:lang w:val="en-US" w:eastAsia="zh-CN"/>
              </w:rPr>
              <w:t>3</w:t>
            </w:r>
            <w:r>
              <w:rPr>
                <w:rFonts w:hint="default" w:ascii="Times New Roman" w:hAnsi="Times New Roman" w:eastAsia="宋体" w:cs="Times New Roman"/>
                <w:color w:val="auto"/>
                <w:sz w:val="24"/>
                <w:szCs w:val="24"/>
                <w:lang w:val="en-US" w:eastAsia="zh-CN"/>
              </w:rPr>
              <w:t>-N</w:t>
            </w:r>
          </w:p>
        </w:tc>
        <w:tc>
          <w:tcPr>
            <w:tcW w:w="1523"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w:t>
            </w:r>
          </w:p>
        </w:tc>
        <w:tc>
          <w:tcPr>
            <w:tcW w:w="1524"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lang w:val="en-US" w:eastAsia="zh-CN"/>
              </w:rPr>
              <w:t>/</w:t>
            </w:r>
          </w:p>
        </w:tc>
        <w:tc>
          <w:tcPr>
            <w:tcW w:w="1524"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w:t>
            </w:r>
          </w:p>
        </w:tc>
        <w:tc>
          <w:tcPr>
            <w:tcW w:w="1524"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bidi="ar-SA"/>
              </w:rPr>
              <w:t>0.0292t/a</w:t>
            </w:r>
          </w:p>
        </w:tc>
        <w:tc>
          <w:tcPr>
            <w:tcW w:w="1524"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w:t>
            </w:r>
          </w:p>
        </w:tc>
        <w:tc>
          <w:tcPr>
            <w:tcW w:w="1524"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bidi="ar-SA"/>
              </w:rPr>
              <w:t>0.0292t/a</w:t>
            </w:r>
          </w:p>
        </w:tc>
        <w:tc>
          <w:tcPr>
            <w:tcW w:w="1524"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eastAsia" w:cs="Times New Roman"/>
                <w:snapToGrid w:val="0"/>
                <w:color w:val="auto"/>
                <w:kern w:val="21"/>
                <w:sz w:val="24"/>
                <w:szCs w:val="24"/>
                <w:lang w:val="en-US" w:eastAsia="zh-CN" w:bidi="ar-SA"/>
              </w:rPr>
              <w:t>+</w:t>
            </w:r>
            <w:r>
              <w:rPr>
                <w:rFonts w:hint="default" w:ascii="Times New Roman" w:hAnsi="Times New Roman" w:eastAsia="宋体" w:cs="Times New Roman"/>
                <w:snapToGrid w:val="0"/>
                <w:color w:val="auto"/>
                <w:kern w:val="21"/>
                <w:sz w:val="24"/>
                <w:szCs w:val="24"/>
                <w:lang w:val="en-US" w:eastAsia="zh-CN" w:bidi="ar-SA"/>
              </w:rPr>
              <w:t>0.0292t/a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07" w:type="dxa"/>
            <w:vMerge w:val="restart"/>
            <w:noWrap w:val="0"/>
            <w:vAlign w:val="center"/>
          </w:tcPr>
          <w:p>
            <w:pPr>
              <w:pStyle w:val="47"/>
              <w:spacing w:beforeLines="0" w:afterLines="0" w:line="240" w:lineRule="auto"/>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一般工业</w:t>
            </w:r>
          </w:p>
          <w:p>
            <w:pPr>
              <w:pStyle w:val="47"/>
              <w:spacing w:beforeLines="0" w:afterLines="0" w:line="240" w:lineRule="auto"/>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固体废物</w:t>
            </w:r>
          </w:p>
        </w:tc>
        <w:tc>
          <w:tcPr>
            <w:tcW w:w="1414" w:type="dxa"/>
            <w:noWrap w:val="0"/>
            <w:vAlign w:val="center"/>
          </w:tcPr>
          <w:p>
            <w:pPr>
              <w:spacing w:line="240" w:lineRule="auto"/>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default" w:ascii="Times New Roman" w:hAnsi="Times New Roman" w:eastAsia="宋体" w:cs="Times New Roman"/>
                <w:b w:val="0"/>
                <w:bCs w:val="0"/>
                <w:color w:val="auto"/>
                <w:sz w:val="24"/>
                <w:szCs w:val="24"/>
                <w:vertAlign w:val="baseline"/>
                <w:lang w:eastAsia="zh-CN"/>
              </w:rPr>
              <w:t>生活垃圾</w:t>
            </w:r>
          </w:p>
        </w:tc>
        <w:tc>
          <w:tcPr>
            <w:tcW w:w="1523"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w:t>
            </w:r>
          </w:p>
        </w:tc>
        <w:tc>
          <w:tcPr>
            <w:tcW w:w="1524"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lang w:val="en-US" w:eastAsia="zh-CN"/>
              </w:rPr>
              <w:t>/</w:t>
            </w:r>
          </w:p>
        </w:tc>
        <w:tc>
          <w:tcPr>
            <w:tcW w:w="1524"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w:t>
            </w:r>
          </w:p>
        </w:tc>
        <w:tc>
          <w:tcPr>
            <w:tcW w:w="1524" w:type="dxa"/>
            <w:noWrap w:val="0"/>
            <w:vAlign w:val="center"/>
          </w:tcPr>
          <w:p>
            <w:pPr>
              <w:spacing w:line="240" w:lineRule="auto"/>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default" w:ascii="Times New Roman" w:hAnsi="Times New Roman" w:eastAsia="宋体" w:cs="Times New Roman"/>
                <w:snapToGrid w:val="0"/>
                <w:color w:val="auto"/>
                <w:kern w:val="21"/>
                <w:sz w:val="24"/>
                <w:szCs w:val="24"/>
                <w:lang w:val="en-US" w:eastAsia="zh-CN" w:bidi="ar-SA"/>
              </w:rPr>
              <w:t>15t/a</w:t>
            </w:r>
          </w:p>
        </w:tc>
        <w:tc>
          <w:tcPr>
            <w:tcW w:w="1524"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w:t>
            </w:r>
          </w:p>
        </w:tc>
        <w:tc>
          <w:tcPr>
            <w:tcW w:w="1524" w:type="dxa"/>
            <w:noWrap w:val="0"/>
            <w:vAlign w:val="center"/>
          </w:tcPr>
          <w:p>
            <w:pPr>
              <w:spacing w:line="240" w:lineRule="auto"/>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default" w:ascii="Times New Roman" w:hAnsi="Times New Roman" w:eastAsia="宋体" w:cs="Times New Roman"/>
                <w:snapToGrid w:val="0"/>
                <w:color w:val="auto"/>
                <w:kern w:val="21"/>
                <w:sz w:val="24"/>
                <w:szCs w:val="24"/>
                <w:lang w:val="en-US" w:eastAsia="zh-CN" w:bidi="ar-SA"/>
              </w:rPr>
              <w:t>15t/a</w:t>
            </w:r>
          </w:p>
        </w:tc>
        <w:tc>
          <w:tcPr>
            <w:tcW w:w="1524" w:type="dxa"/>
            <w:noWrap w:val="0"/>
            <w:vAlign w:val="center"/>
          </w:tcPr>
          <w:p>
            <w:pPr>
              <w:spacing w:line="240" w:lineRule="auto"/>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cs="Times New Roman"/>
                <w:snapToGrid w:val="0"/>
                <w:color w:val="auto"/>
                <w:kern w:val="21"/>
                <w:sz w:val="24"/>
                <w:szCs w:val="24"/>
                <w:lang w:val="en-US" w:eastAsia="zh-CN" w:bidi="ar-SA"/>
              </w:rPr>
              <w:t>+</w:t>
            </w:r>
            <w:r>
              <w:rPr>
                <w:rFonts w:hint="default" w:ascii="Times New Roman" w:hAnsi="Times New Roman" w:eastAsia="宋体" w:cs="Times New Roman"/>
                <w:snapToGrid w:val="0"/>
                <w:color w:val="auto"/>
                <w:kern w:val="21"/>
                <w:sz w:val="24"/>
                <w:szCs w:val="24"/>
                <w:lang w:val="en-US" w:eastAsia="zh-CN" w:bidi="ar-SA"/>
              </w:rPr>
              <w:t>15t/a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07" w:type="dxa"/>
            <w:vMerge w:val="continue"/>
            <w:noWrap w:val="0"/>
            <w:vAlign w:val="center"/>
          </w:tcPr>
          <w:p>
            <w:pPr>
              <w:pStyle w:val="47"/>
              <w:spacing w:beforeLines="0" w:afterLines="0" w:line="240" w:lineRule="auto"/>
              <w:jc w:val="center"/>
              <w:rPr>
                <w:rFonts w:hint="default" w:ascii="Times New Roman" w:hAnsi="Times New Roman" w:eastAsia="宋体" w:cs="Times New Roman"/>
                <w:snapToGrid w:val="0"/>
                <w:color w:val="auto"/>
                <w:kern w:val="21"/>
                <w:sz w:val="24"/>
                <w:szCs w:val="24"/>
              </w:rPr>
            </w:pPr>
          </w:p>
        </w:tc>
        <w:tc>
          <w:tcPr>
            <w:tcW w:w="1414" w:type="dxa"/>
            <w:noWrap w:val="0"/>
            <w:vAlign w:val="center"/>
          </w:tcPr>
          <w:p>
            <w:pPr>
              <w:jc w:val="center"/>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不合格品</w:t>
            </w:r>
          </w:p>
        </w:tc>
        <w:tc>
          <w:tcPr>
            <w:tcW w:w="1523"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w:t>
            </w:r>
          </w:p>
        </w:tc>
        <w:tc>
          <w:tcPr>
            <w:tcW w:w="1524"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w:t>
            </w:r>
          </w:p>
        </w:tc>
        <w:tc>
          <w:tcPr>
            <w:tcW w:w="1524"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w:t>
            </w:r>
          </w:p>
        </w:tc>
        <w:tc>
          <w:tcPr>
            <w:tcW w:w="1524" w:type="dxa"/>
            <w:noWrap w:val="0"/>
            <w:vAlign w:val="center"/>
          </w:tcPr>
          <w:p>
            <w:pPr>
              <w:spacing w:line="240" w:lineRule="exact"/>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cs="Times New Roman"/>
                <w:snapToGrid w:val="0"/>
                <w:color w:val="auto"/>
                <w:kern w:val="21"/>
                <w:sz w:val="24"/>
                <w:szCs w:val="24"/>
                <w:lang w:val="en-US" w:eastAsia="zh-CN" w:bidi="ar-SA"/>
              </w:rPr>
              <w:t>11</w:t>
            </w:r>
            <w:r>
              <w:rPr>
                <w:rFonts w:hint="default" w:ascii="Times New Roman" w:hAnsi="Times New Roman" w:eastAsia="宋体" w:cs="Times New Roman"/>
                <w:snapToGrid w:val="0"/>
                <w:color w:val="auto"/>
                <w:kern w:val="21"/>
                <w:sz w:val="24"/>
                <w:szCs w:val="24"/>
                <w:lang w:val="en-US" w:eastAsia="zh-CN" w:bidi="ar-SA"/>
              </w:rPr>
              <w:t>t/a</w:t>
            </w:r>
          </w:p>
        </w:tc>
        <w:tc>
          <w:tcPr>
            <w:tcW w:w="1524"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w:t>
            </w:r>
          </w:p>
        </w:tc>
        <w:tc>
          <w:tcPr>
            <w:tcW w:w="1524" w:type="dxa"/>
            <w:noWrap w:val="0"/>
            <w:vAlign w:val="center"/>
          </w:tcPr>
          <w:p>
            <w:pPr>
              <w:spacing w:line="240" w:lineRule="exact"/>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cs="Times New Roman"/>
                <w:snapToGrid w:val="0"/>
                <w:color w:val="auto"/>
                <w:kern w:val="21"/>
                <w:sz w:val="24"/>
                <w:szCs w:val="24"/>
                <w:lang w:val="en-US" w:eastAsia="zh-CN" w:bidi="ar-SA"/>
              </w:rPr>
              <w:t>11</w:t>
            </w:r>
            <w:r>
              <w:rPr>
                <w:rFonts w:hint="default" w:ascii="Times New Roman" w:hAnsi="Times New Roman" w:eastAsia="宋体" w:cs="Times New Roman"/>
                <w:snapToGrid w:val="0"/>
                <w:color w:val="auto"/>
                <w:kern w:val="21"/>
                <w:sz w:val="24"/>
                <w:szCs w:val="24"/>
                <w:lang w:val="en-US" w:eastAsia="zh-CN" w:bidi="ar-SA"/>
              </w:rPr>
              <w:t>t/a</w:t>
            </w:r>
          </w:p>
        </w:tc>
        <w:tc>
          <w:tcPr>
            <w:tcW w:w="1524" w:type="dxa"/>
            <w:noWrap w:val="0"/>
            <w:vAlign w:val="center"/>
          </w:tcPr>
          <w:p>
            <w:pPr>
              <w:spacing w:line="240" w:lineRule="exact"/>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cs="Times New Roman"/>
                <w:snapToGrid w:val="0"/>
                <w:color w:val="auto"/>
                <w:kern w:val="21"/>
                <w:sz w:val="24"/>
                <w:szCs w:val="24"/>
                <w:lang w:val="en-US" w:eastAsia="zh-CN" w:bidi="ar-SA"/>
              </w:rPr>
              <w:t>+11</w:t>
            </w:r>
            <w:r>
              <w:rPr>
                <w:rFonts w:hint="default" w:ascii="Times New Roman" w:hAnsi="Times New Roman" w:eastAsia="宋体" w:cs="Times New Roman"/>
                <w:snapToGrid w:val="0"/>
                <w:color w:val="auto"/>
                <w:kern w:val="21"/>
                <w:sz w:val="24"/>
                <w:szCs w:val="24"/>
                <w:lang w:val="en-US" w:eastAsia="zh-CN" w:bidi="ar-SA"/>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07" w:type="dxa"/>
            <w:vMerge w:val="continue"/>
            <w:noWrap w:val="0"/>
            <w:vAlign w:val="center"/>
          </w:tcPr>
          <w:p>
            <w:pPr>
              <w:pStyle w:val="47"/>
              <w:spacing w:beforeLines="0" w:afterLines="0" w:line="240" w:lineRule="auto"/>
              <w:jc w:val="center"/>
              <w:rPr>
                <w:rFonts w:hint="default" w:ascii="Times New Roman" w:hAnsi="Times New Roman" w:eastAsia="宋体" w:cs="Times New Roman"/>
                <w:snapToGrid w:val="0"/>
                <w:color w:val="auto"/>
                <w:kern w:val="21"/>
                <w:sz w:val="24"/>
                <w:szCs w:val="24"/>
              </w:rPr>
            </w:pPr>
          </w:p>
        </w:tc>
        <w:tc>
          <w:tcPr>
            <w:tcW w:w="1414" w:type="dxa"/>
            <w:noWrap w:val="0"/>
            <w:vAlign w:val="center"/>
          </w:tcPr>
          <w:p>
            <w:pPr>
              <w:jc w:val="center"/>
              <w:rPr>
                <w:rFonts w:hint="default" w:ascii="Times New Roman" w:hAnsi="Times New Roman" w:eastAsia="宋体" w:cs="Times New Roman"/>
                <w:bCs/>
                <w:color w:val="auto"/>
                <w:kern w:val="2"/>
                <w:sz w:val="24"/>
                <w:szCs w:val="24"/>
                <w:lang w:val="en-US" w:eastAsia="zh-CN" w:bidi="ar-SA"/>
              </w:rPr>
            </w:pPr>
            <w:r>
              <w:rPr>
                <w:rFonts w:hint="eastAsia" w:eastAsia="宋体" w:cs="Times New Roman"/>
                <w:color w:val="auto"/>
                <w:sz w:val="24"/>
                <w:szCs w:val="24"/>
                <w:lang w:eastAsia="zh-CN"/>
              </w:rPr>
              <w:t>废磨液桶</w:t>
            </w:r>
          </w:p>
        </w:tc>
        <w:tc>
          <w:tcPr>
            <w:tcW w:w="1523"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w:t>
            </w:r>
          </w:p>
        </w:tc>
        <w:tc>
          <w:tcPr>
            <w:tcW w:w="1524"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w:t>
            </w:r>
          </w:p>
        </w:tc>
        <w:tc>
          <w:tcPr>
            <w:tcW w:w="1524"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w:t>
            </w:r>
          </w:p>
        </w:tc>
        <w:tc>
          <w:tcPr>
            <w:tcW w:w="1524" w:type="dxa"/>
            <w:noWrap w:val="0"/>
            <w:vAlign w:val="center"/>
          </w:tcPr>
          <w:p>
            <w:pPr>
              <w:spacing w:line="240" w:lineRule="exact"/>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cs="Times New Roman"/>
                <w:b w:val="0"/>
                <w:bCs w:val="0"/>
                <w:color w:val="auto"/>
                <w:kern w:val="2"/>
                <w:sz w:val="24"/>
                <w:szCs w:val="24"/>
                <w:vertAlign w:val="baseline"/>
                <w:lang w:val="en-US" w:eastAsia="zh-CN" w:bidi="ar-SA"/>
              </w:rPr>
              <w:t>4.45</w:t>
            </w:r>
            <w:r>
              <w:rPr>
                <w:rFonts w:hint="default" w:ascii="Times New Roman" w:hAnsi="Times New Roman" w:eastAsia="宋体" w:cs="Times New Roman"/>
                <w:snapToGrid w:val="0"/>
                <w:color w:val="auto"/>
                <w:kern w:val="21"/>
                <w:sz w:val="24"/>
                <w:szCs w:val="24"/>
                <w:lang w:val="en-US" w:eastAsia="zh-CN" w:bidi="ar-SA"/>
              </w:rPr>
              <w:t>t/a</w:t>
            </w:r>
          </w:p>
        </w:tc>
        <w:tc>
          <w:tcPr>
            <w:tcW w:w="1524"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w:t>
            </w:r>
          </w:p>
        </w:tc>
        <w:tc>
          <w:tcPr>
            <w:tcW w:w="1524" w:type="dxa"/>
            <w:noWrap w:val="0"/>
            <w:vAlign w:val="center"/>
          </w:tcPr>
          <w:p>
            <w:pPr>
              <w:spacing w:line="240" w:lineRule="exact"/>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cs="Times New Roman"/>
                <w:b w:val="0"/>
                <w:bCs w:val="0"/>
                <w:color w:val="auto"/>
                <w:kern w:val="2"/>
                <w:sz w:val="24"/>
                <w:szCs w:val="24"/>
                <w:vertAlign w:val="baseline"/>
                <w:lang w:val="en-US" w:eastAsia="zh-CN" w:bidi="ar-SA"/>
              </w:rPr>
              <w:t>4.45</w:t>
            </w:r>
            <w:r>
              <w:rPr>
                <w:rFonts w:hint="default" w:ascii="Times New Roman" w:hAnsi="Times New Roman" w:eastAsia="宋体" w:cs="Times New Roman"/>
                <w:snapToGrid w:val="0"/>
                <w:color w:val="auto"/>
                <w:kern w:val="21"/>
                <w:sz w:val="24"/>
                <w:szCs w:val="24"/>
                <w:lang w:val="en-US" w:eastAsia="zh-CN" w:bidi="ar-SA"/>
              </w:rPr>
              <w:t>t/a</w:t>
            </w:r>
          </w:p>
        </w:tc>
        <w:tc>
          <w:tcPr>
            <w:tcW w:w="1524" w:type="dxa"/>
            <w:noWrap w:val="0"/>
            <w:vAlign w:val="center"/>
          </w:tcPr>
          <w:p>
            <w:pPr>
              <w:spacing w:line="240" w:lineRule="exact"/>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cs="Times New Roman"/>
                <w:b w:val="0"/>
                <w:bCs w:val="0"/>
                <w:color w:val="auto"/>
                <w:kern w:val="2"/>
                <w:sz w:val="24"/>
                <w:szCs w:val="24"/>
                <w:vertAlign w:val="baseline"/>
                <w:lang w:val="en-US" w:eastAsia="zh-CN" w:bidi="ar-SA"/>
              </w:rPr>
              <w:t>+4.45</w:t>
            </w:r>
            <w:r>
              <w:rPr>
                <w:rFonts w:hint="default" w:ascii="Times New Roman" w:hAnsi="Times New Roman" w:eastAsia="宋体" w:cs="Times New Roman"/>
                <w:snapToGrid w:val="0"/>
                <w:color w:val="auto"/>
                <w:kern w:val="21"/>
                <w:sz w:val="24"/>
                <w:szCs w:val="24"/>
                <w:lang w:val="en-US" w:eastAsia="zh-CN" w:bidi="ar-SA"/>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07" w:type="dxa"/>
            <w:vMerge w:val="continue"/>
            <w:noWrap w:val="0"/>
            <w:vAlign w:val="center"/>
          </w:tcPr>
          <w:p>
            <w:pPr>
              <w:pStyle w:val="47"/>
              <w:spacing w:beforeLines="0" w:afterLines="0" w:line="240" w:lineRule="auto"/>
              <w:jc w:val="center"/>
              <w:rPr>
                <w:rFonts w:hint="default" w:ascii="Times New Roman" w:hAnsi="Times New Roman" w:eastAsia="宋体" w:cs="Times New Roman"/>
                <w:snapToGrid w:val="0"/>
                <w:color w:val="auto"/>
                <w:kern w:val="21"/>
                <w:sz w:val="24"/>
                <w:szCs w:val="24"/>
              </w:rPr>
            </w:pPr>
          </w:p>
        </w:tc>
        <w:tc>
          <w:tcPr>
            <w:tcW w:w="1414" w:type="dxa"/>
            <w:noWrap w:val="0"/>
            <w:vAlign w:val="center"/>
          </w:tcPr>
          <w:p>
            <w:pPr>
              <w:jc w:val="center"/>
              <w:rPr>
                <w:rFonts w:hint="default" w:ascii="Times New Roman" w:hAnsi="Times New Roman" w:eastAsia="宋体" w:cs="Times New Roman"/>
                <w:bCs/>
                <w:color w:val="auto"/>
                <w:kern w:val="2"/>
                <w:sz w:val="24"/>
                <w:szCs w:val="24"/>
                <w:lang w:val="en-US" w:eastAsia="zh-CN" w:bidi="ar-SA"/>
              </w:rPr>
            </w:pPr>
            <w:r>
              <w:rPr>
                <w:rFonts w:hint="eastAsia" w:cs="Times New Roman"/>
                <w:b w:val="0"/>
                <w:bCs w:val="0"/>
                <w:color w:val="auto"/>
                <w:sz w:val="24"/>
                <w:szCs w:val="24"/>
                <w:lang w:val="en-US" w:eastAsia="zh-CN"/>
              </w:rPr>
              <w:t>废钢屑、废钢球</w:t>
            </w:r>
          </w:p>
        </w:tc>
        <w:tc>
          <w:tcPr>
            <w:tcW w:w="1523"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w:t>
            </w:r>
          </w:p>
        </w:tc>
        <w:tc>
          <w:tcPr>
            <w:tcW w:w="1524"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w:t>
            </w:r>
          </w:p>
        </w:tc>
        <w:tc>
          <w:tcPr>
            <w:tcW w:w="1524"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w:t>
            </w:r>
          </w:p>
        </w:tc>
        <w:tc>
          <w:tcPr>
            <w:tcW w:w="1524" w:type="dxa"/>
            <w:noWrap w:val="0"/>
            <w:vAlign w:val="center"/>
          </w:tcPr>
          <w:p>
            <w:pPr>
              <w:spacing w:line="240" w:lineRule="exact"/>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cs="Times New Roman"/>
                <w:b w:val="0"/>
                <w:bCs w:val="0"/>
                <w:color w:val="auto"/>
                <w:kern w:val="2"/>
                <w:sz w:val="24"/>
                <w:szCs w:val="24"/>
                <w:vertAlign w:val="baseline"/>
                <w:lang w:val="en-US" w:eastAsia="zh-CN" w:bidi="ar-SA"/>
              </w:rPr>
              <w:t>700</w:t>
            </w:r>
            <w:r>
              <w:rPr>
                <w:rFonts w:hint="default" w:ascii="Times New Roman" w:hAnsi="Times New Roman" w:eastAsia="宋体" w:cs="Times New Roman"/>
                <w:snapToGrid w:val="0"/>
                <w:color w:val="auto"/>
                <w:kern w:val="21"/>
                <w:sz w:val="24"/>
                <w:szCs w:val="24"/>
                <w:lang w:val="en-US" w:eastAsia="zh-CN" w:bidi="ar-SA"/>
              </w:rPr>
              <w:t>t/a</w:t>
            </w:r>
          </w:p>
        </w:tc>
        <w:tc>
          <w:tcPr>
            <w:tcW w:w="1524"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w:t>
            </w:r>
          </w:p>
        </w:tc>
        <w:tc>
          <w:tcPr>
            <w:tcW w:w="1524" w:type="dxa"/>
            <w:noWrap w:val="0"/>
            <w:vAlign w:val="center"/>
          </w:tcPr>
          <w:p>
            <w:pPr>
              <w:spacing w:line="240" w:lineRule="exact"/>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cs="Times New Roman"/>
                <w:b w:val="0"/>
                <w:bCs w:val="0"/>
                <w:color w:val="auto"/>
                <w:kern w:val="2"/>
                <w:sz w:val="24"/>
                <w:szCs w:val="24"/>
                <w:vertAlign w:val="baseline"/>
                <w:lang w:val="en-US" w:eastAsia="zh-CN" w:bidi="ar-SA"/>
              </w:rPr>
              <w:t>700</w:t>
            </w:r>
            <w:r>
              <w:rPr>
                <w:rFonts w:hint="default" w:ascii="Times New Roman" w:hAnsi="Times New Roman" w:eastAsia="宋体" w:cs="Times New Roman"/>
                <w:snapToGrid w:val="0"/>
                <w:color w:val="auto"/>
                <w:kern w:val="21"/>
                <w:sz w:val="24"/>
                <w:szCs w:val="24"/>
                <w:lang w:val="en-US" w:eastAsia="zh-CN" w:bidi="ar-SA"/>
              </w:rPr>
              <w:t>t/a</w:t>
            </w:r>
          </w:p>
        </w:tc>
        <w:tc>
          <w:tcPr>
            <w:tcW w:w="1524" w:type="dxa"/>
            <w:noWrap w:val="0"/>
            <w:vAlign w:val="center"/>
          </w:tcPr>
          <w:p>
            <w:pPr>
              <w:spacing w:line="240" w:lineRule="exact"/>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cs="Times New Roman"/>
                <w:b w:val="0"/>
                <w:bCs w:val="0"/>
                <w:color w:val="auto"/>
                <w:kern w:val="2"/>
                <w:sz w:val="24"/>
                <w:szCs w:val="24"/>
                <w:vertAlign w:val="baseline"/>
                <w:lang w:val="en-US" w:eastAsia="zh-CN" w:bidi="ar-SA"/>
              </w:rPr>
              <w:t>+700</w:t>
            </w:r>
            <w:r>
              <w:rPr>
                <w:rFonts w:hint="default" w:ascii="Times New Roman" w:hAnsi="Times New Roman" w:eastAsia="宋体" w:cs="Times New Roman"/>
                <w:snapToGrid w:val="0"/>
                <w:color w:val="auto"/>
                <w:kern w:val="21"/>
                <w:sz w:val="24"/>
                <w:szCs w:val="24"/>
                <w:lang w:val="en-US" w:eastAsia="zh-CN" w:bidi="ar-SA"/>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07" w:type="dxa"/>
            <w:vMerge w:val="restart"/>
            <w:noWrap w:val="0"/>
            <w:vAlign w:val="center"/>
          </w:tcPr>
          <w:p>
            <w:pPr>
              <w:pStyle w:val="47"/>
              <w:spacing w:beforeLines="0" w:afterLines="0" w:line="240" w:lineRule="auto"/>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危险废物</w:t>
            </w:r>
          </w:p>
        </w:tc>
        <w:tc>
          <w:tcPr>
            <w:tcW w:w="1414" w:type="dxa"/>
            <w:noWrap w:val="0"/>
            <w:vAlign w:val="center"/>
          </w:tcPr>
          <w:p>
            <w:pPr>
              <w:jc w:val="center"/>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油渣</w:t>
            </w:r>
          </w:p>
        </w:tc>
        <w:tc>
          <w:tcPr>
            <w:tcW w:w="1523"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w:t>
            </w:r>
          </w:p>
        </w:tc>
        <w:tc>
          <w:tcPr>
            <w:tcW w:w="1524"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w:t>
            </w:r>
          </w:p>
        </w:tc>
        <w:tc>
          <w:tcPr>
            <w:tcW w:w="1524"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w:t>
            </w:r>
          </w:p>
        </w:tc>
        <w:tc>
          <w:tcPr>
            <w:tcW w:w="1524" w:type="dxa"/>
            <w:noWrap w:val="0"/>
            <w:vAlign w:val="center"/>
          </w:tcPr>
          <w:p>
            <w:pPr>
              <w:spacing w:line="240" w:lineRule="exact"/>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0.12</w:t>
            </w:r>
            <w:r>
              <w:rPr>
                <w:rFonts w:hint="default" w:ascii="Times New Roman" w:hAnsi="Times New Roman" w:eastAsia="宋体" w:cs="Times New Roman"/>
                <w:snapToGrid w:val="0"/>
                <w:color w:val="auto"/>
                <w:kern w:val="21"/>
                <w:sz w:val="24"/>
                <w:szCs w:val="24"/>
                <w:lang w:val="en-US" w:eastAsia="zh-CN" w:bidi="ar-SA"/>
              </w:rPr>
              <w:t>t/a</w:t>
            </w:r>
          </w:p>
        </w:tc>
        <w:tc>
          <w:tcPr>
            <w:tcW w:w="1524"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bidi="ar-SA"/>
              </w:rPr>
              <w:t>/</w:t>
            </w:r>
          </w:p>
        </w:tc>
        <w:tc>
          <w:tcPr>
            <w:tcW w:w="1524" w:type="dxa"/>
            <w:noWrap w:val="0"/>
            <w:vAlign w:val="center"/>
          </w:tcPr>
          <w:p>
            <w:pPr>
              <w:spacing w:line="240" w:lineRule="exact"/>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0.12</w:t>
            </w:r>
            <w:r>
              <w:rPr>
                <w:rFonts w:hint="default" w:ascii="Times New Roman" w:hAnsi="Times New Roman" w:eastAsia="宋体" w:cs="Times New Roman"/>
                <w:snapToGrid w:val="0"/>
                <w:color w:val="auto"/>
                <w:kern w:val="21"/>
                <w:sz w:val="24"/>
                <w:szCs w:val="24"/>
                <w:lang w:val="en-US" w:eastAsia="zh-CN" w:bidi="ar-SA"/>
              </w:rPr>
              <w:t>t/a</w:t>
            </w:r>
          </w:p>
        </w:tc>
        <w:tc>
          <w:tcPr>
            <w:tcW w:w="1524" w:type="dxa"/>
            <w:noWrap w:val="0"/>
            <w:vAlign w:val="center"/>
          </w:tcPr>
          <w:p>
            <w:pPr>
              <w:spacing w:line="240" w:lineRule="exact"/>
              <w:jc w:val="center"/>
              <w:rPr>
                <w:rFonts w:hint="default" w:ascii="Times New Roman" w:hAnsi="Times New Roman" w:eastAsia="宋体" w:cs="Times New Roman"/>
                <w:color w:val="auto"/>
                <w:kern w:val="0"/>
                <w:sz w:val="24"/>
                <w:szCs w:val="24"/>
                <w:lang w:val="en-US" w:eastAsia="zh-CN" w:bidi="ar-SA"/>
              </w:rPr>
            </w:pPr>
            <w:r>
              <w:rPr>
                <w:rFonts w:hint="eastAsia"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US" w:eastAsia="zh-CN" w:bidi="ar-SA"/>
              </w:rPr>
              <w:t>0.12</w:t>
            </w:r>
            <w:r>
              <w:rPr>
                <w:rFonts w:hint="default" w:ascii="Times New Roman" w:hAnsi="Times New Roman" w:eastAsia="宋体" w:cs="Times New Roman"/>
                <w:snapToGrid w:val="0"/>
                <w:color w:val="auto"/>
                <w:kern w:val="21"/>
                <w:sz w:val="24"/>
                <w:szCs w:val="24"/>
                <w:lang w:val="en-US" w:eastAsia="zh-CN" w:bidi="ar-SA"/>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07" w:type="dxa"/>
            <w:vMerge w:val="continue"/>
            <w:noWrap w:val="0"/>
            <w:vAlign w:val="center"/>
          </w:tcPr>
          <w:p>
            <w:pPr>
              <w:pStyle w:val="47"/>
              <w:spacing w:beforeLines="0" w:afterLines="0" w:line="240" w:lineRule="auto"/>
              <w:jc w:val="center"/>
              <w:rPr>
                <w:rFonts w:hint="default" w:ascii="Times New Roman" w:hAnsi="Times New Roman" w:eastAsia="宋体" w:cs="Times New Roman"/>
                <w:snapToGrid w:val="0"/>
                <w:color w:val="auto"/>
                <w:kern w:val="21"/>
                <w:sz w:val="24"/>
                <w:szCs w:val="24"/>
              </w:rPr>
            </w:pPr>
          </w:p>
        </w:tc>
        <w:tc>
          <w:tcPr>
            <w:tcW w:w="1414" w:type="dxa"/>
            <w:noWrap w:val="0"/>
            <w:vAlign w:val="center"/>
          </w:tcPr>
          <w:p>
            <w:pPr>
              <w:jc w:val="center"/>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color w:val="auto"/>
                <w:spacing w:val="0"/>
                <w:sz w:val="24"/>
                <w:szCs w:val="24"/>
                <w:lang w:eastAsia="zh-CN"/>
              </w:rPr>
              <w:t>废油桶</w:t>
            </w:r>
          </w:p>
        </w:tc>
        <w:tc>
          <w:tcPr>
            <w:tcW w:w="1523"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w:t>
            </w:r>
          </w:p>
        </w:tc>
        <w:tc>
          <w:tcPr>
            <w:tcW w:w="1524"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p>
        </w:tc>
        <w:tc>
          <w:tcPr>
            <w:tcW w:w="1524"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w:t>
            </w:r>
          </w:p>
        </w:tc>
        <w:tc>
          <w:tcPr>
            <w:tcW w:w="1524" w:type="dxa"/>
            <w:noWrap w:val="0"/>
            <w:vAlign w:val="center"/>
          </w:tcPr>
          <w:p>
            <w:pPr>
              <w:spacing w:line="240" w:lineRule="exact"/>
              <w:jc w:val="center"/>
              <w:rPr>
                <w:rFonts w:hint="default" w:ascii="Times New Roman" w:hAnsi="Times New Roman" w:eastAsia="宋体" w:cs="Times New Roman"/>
                <w:color w:val="auto"/>
                <w:kern w:val="0"/>
                <w:sz w:val="24"/>
                <w:szCs w:val="24"/>
                <w:lang w:val="en-US" w:eastAsia="zh-CN"/>
              </w:rPr>
            </w:pPr>
            <w:r>
              <w:rPr>
                <w:rFonts w:hint="eastAsia" w:cs="Times New Roman"/>
                <w:snapToGrid w:val="0"/>
                <w:color w:val="auto"/>
                <w:kern w:val="21"/>
                <w:sz w:val="24"/>
                <w:szCs w:val="24"/>
                <w:lang w:val="en-US" w:eastAsia="zh-CN" w:bidi="ar-SA"/>
              </w:rPr>
              <w:t>0.221</w:t>
            </w:r>
            <w:r>
              <w:rPr>
                <w:rFonts w:hint="default" w:ascii="Times New Roman" w:hAnsi="Times New Roman" w:eastAsia="宋体" w:cs="Times New Roman"/>
                <w:snapToGrid w:val="0"/>
                <w:color w:val="auto"/>
                <w:kern w:val="21"/>
                <w:sz w:val="24"/>
                <w:szCs w:val="24"/>
                <w:lang w:val="en-US" w:eastAsia="zh-CN" w:bidi="ar-SA"/>
              </w:rPr>
              <w:t>t/a</w:t>
            </w:r>
          </w:p>
        </w:tc>
        <w:tc>
          <w:tcPr>
            <w:tcW w:w="1524"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w:t>
            </w:r>
          </w:p>
        </w:tc>
        <w:tc>
          <w:tcPr>
            <w:tcW w:w="1524" w:type="dxa"/>
            <w:noWrap w:val="0"/>
            <w:vAlign w:val="center"/>
          </w:tcPr>
          <w:p>
            <w:pPr>
              <w:spacing w:line="240" w:lineRule="exact"/>
              <w:jc w:val="center"/>
              <w:rPr>
                <w:rFonts w:hint="default" w:ascii="Times New Roman" w:hAnsi="Times New Roman" w:eastAsia="宋体" w:cs="Times New Roman"/>
                <w:color w:val="auto"/>
                <w:kern w:val="0"/>
                <w:sz w:val="24"/>
                <w:szCs w:val="24"/>
                <w:lang w:val="en-US" w:eastAsia="zh-CN" w:bidi="ar-SA"/>
              </w:rPr>
            </w:pPr>
            <w:r>
              <w:rPr>
                <w:rFonts w:hint="eastAsia" w:cs="Times New Roman"/>
                <w:snapToGrid w:val="0"/>
                <w:color w:val="auto"/>
                <w:kern w:val="21"/>
                <w:sz w:val="24"/>
                <w:szCs w:val="24"/>
                <w:lang w:val="en-US" w:eastAsia="zh-CN" w:bidi="ar-SA"/>
              </w:rPr>
              <w:t>0.221</w:t>
            </w:r>
            <w:r>
              <w:rPr>
                <w:rFonts w:hint="default" w:ascii="Times New Roman" w:hAnsi="Times New Roman" w:eastAsia="宋体" w:cs="Times New Roman"/>
                <w:snapToGrid w:val="0"/>
                <w:color w:val="auto"/>
                <w:kern w:val="21"/>
                <w:sz w:val="24"/>
                <w:szCs w:val="24"/>
                <w:lang w:val="en-US" w:eastAsia="zh-CN" w:bidi="ar-SA"/>
              </w:rPr>
              <w:t>t/a</w:t>
            </w:r>
          </w:p>
        </w:tc>
        <w:tc>
          <w:tcPr>
            <w:tcW w:w="1524" w:type="dxa"/>
            <w:noWrap w:val="0"/>
            <w:vAlign w:val="center"/>
          </w:tcPr>
          <w:p>
            <w:pPr>
              <w:spacing w:line="240" w:lineRule="exact"/>
              <w:jc w:val="center"/>
              <w:rPr>
                <w:rFonts w:hint="default" w:ascii="Times New Roman" w:hAnsi="Times New Roman" w:eastAsia="宋体" w:cs="Times New Roman"/>
                <w:color w:val="auto"/>
                <w:kern w:val="0"/>
                <w:sz w:val="24"/>
                <w:szCs w:val="24"/>
                <w:lang w:val="en-US" w:eastAsia="zh-CN" w:bidi="ar-SA"/>
              </w:rPr>
            </w:pPr>
            <w:r>
              <w:rPr>
                <w:rFonts w:hint="eastAsia" w:cs="Times New Roman"/>
                <w:snapToGrid w:val="0"/>
                <w:color w:val="auto"/>
                <w:kern w:val="21"/>
                <w:sz w:val="24"/>
                <w:szCs w:val="24"/>
                <w:lang w:val="en-US" w:eastAsia="zh-CN" w:bidi="ar-SA"/>
              </w:rPr>
              <w:t>+0.221</w:t>
            </w:r>
            <w:r>
              <w:rPr>
                <w:rFonts w:hint="default" w:ascii="Times New Roman" w:hAnsi="Times New Roman" w:eastAsia="宋体" w:cs="Times New Roman"/>
                <w:snapToGrid w:val="0"/>
                <w:color w:val="auto"/>
                <w:kern w:val="21"/>
                <w:sz w:val="24"/>
                <w:szCs w:val="24"/>
                <w:lang w:val="en-US" w:eastAsia="zh-CN" w:bidi="ar-SA"/>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07" w:type="dxa"/>
            <w:vMerge w:val="continue"/>
            <w:noWrap w:val="0"/>
            <w:vAlign w:val="center"/>
          </w:tcPr>
          <w:p>
            <w:pPr>
              <w:pStyle w:val="47"/>
              <w:spacing w:beforeLines="0" w:afterLines="0" w:line="240" w:lineRule="auto"/>
              <w:jc w:val="center"/>
              <w:rPr>
                <w:rFonts w:hint="default" w:ascii="Times New Roman" w:hAnsi="Times New Roman" w:eastAsia="宋体" w:cs="Times New Roman"/>
                <w:snapToGrid w:val="0"/>
                <w:color w:val="auto"/>
                <w:kern w:val="21"/>
                <w:sz w:val="24"/>
                <w:szCs w:val="24"/>
              </w:rPr>
            </w:pPr>
          </w:p>
        </w:tc>
        <w:tc>
          <w:tcPr>
            <w:tcW w:w="1414" w:type="dxa"/>
            <w:noWrap w:val="0"/>
            <w:vAlign w:val="center"/>
          </w:tcPr>
          <w:p>
            <w:pPr>
              <w:jc w:val="center"/>
              <w:rPr>
                <w:rFonts w:hint="default" w:ascii="Times New Roman" w:hAnsi="Times New Roman" w:eastAsia="宋体" w:cs="Times New Roman"/>
                <w:color w:val="auto"/>
                <w:spacing w:val="0"/>
                <w:sz w:val="24"/>
                <w:szCs w:val="24"/>
                <w:lang w:eastAsia="zh-CN"/>
              </w:rPr>
            </w:pPr>
            <w:r>
              <w:rPr>
                <w:rFonts w:hint="eastAsia" w:cs="Times New Roman"/>
                <w:color w:val="auto"/>
                <w:spacing w:val="0"/>
                <w:sz w:val="24"/>
                <w:szCs w:val="24"/>
                <w:lang w:eastAsia="zh-CN"/>
              </w:rPr>
              <w:t>废活性炭纤维毡</w:t>
            </w:r>
          </w:p>
        </w:tc>
        <w:tc>
          <w:tcPr>
            <w:tcW w:w="1523"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w:t>
            </w:r>
          </w:p>
        </w:tc>
        <w:tc>
          <w:tcPr>
            <w:tcW w:w="1524"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w:t>
            </w:r>
          </w:p>
        </w:tc>
        <w:tc>
          <w:tcPr>
            <w:tcW w:w="1524"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w:t>
            </w:r>
          </w:p>
        </w:tc>
        <w:tc>
          <w:tcPr>
            <w:tcW w:w="1524" w:type="dxa"/>
            <w:noWrap w:val="0"/>
            <w:vAlign w:val="center"/>
          </w:tcPr>
          <w:p>
            <w:pPr>
              <w:spacing w:line="240" w:lineRule="exact"/>
              <w:jc w:val="center"/>
              <w:rPr>
                <w:rFonts w:hint="default" w:cs="Times New Roman"/>
                <w:snapToGrid w:val="0"/>
                <w:color w:val="auto"/>
                <w:kern w:val="21"/>
                <w:sz w:val="24"/>
                <w:szCs w:val="24"/>
                <w:lang w:val="en-US" w:eastAsia="zh-CN" w:bidi="ar-SA"/>
              </w:rPr>
            </w:pPr>
            <w:r>
              <w:rPr>
                <w:rFonts w:hint="eastAsia" w:cs="Times New Roman"/>
                <w:snapToGrid w:val="0"/>
                <w:color w:val="auto"/>
                <w:kern w:val="21"/>
                <w:sz w:val="24"/>
                <w:szCs w:val="24"/>
                <w:lang w:val="en-US" w:eastAsia="zh-CN" w:bidi="ar-SA"/>
              </w:rPr>
              <w:t>5.91</w:t>
            </w:r>
            <w:r>
              <w:rPr>
                <w:rFonts w:hint="default" w:ascii="Times New Roman" w:hAnsi="Times New Roman" w:eastAsia="宋体" w:cs="Times New Roman"/>
                <w:snapToGrid w:val="0"/>
                <w:color w:val="auto"/>
                <w:kern w:val="21"/>
                <w:sz w:val="24"/>
                <w:szCs w:val="24"/>
                <w:lang w:val="en-US" w:eastAsia="zh-CN" w:bidi="ar-SA"/>
              </w:rPr>
              <w:t>t/a</w:t>
            </w:r>
          </w:p>
        </w:tc>
        <w:tc>
          <w:tcPr>
            <w:tcW w:w="1524"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p>
        </w:tc>
        <w:tc>
          <w:tcPr>
            <w:tcW w:w="1524" w:type="dxa"/>
            <w:noWrap w:val="0"/>
            <w:vAlign w:val="center"/>
          </w:tcPr>
          <w:p>
            <w:pPr>
              <w:spacing w:line="240" w:lineRule="exact"/>
              <w:jc w:val="center"/>
              <w:rPr>
                <w:rFonts w:hint="eastAsia" w:cs="Times New Roman"/>
                <w:snapToGrid w:val="0"/>
                <w:color w:val="auto"/>
                <w:kern w:val="21"/>
                <w:sz w:val="24"/>
                <w:szCs w:val="24"/>
                <w:lang w:val="en-US" w:eastAsia="zh-CN" w:bidi="ar-SA"/>
              </w:rPr>
            </w:pPr>
            <w:r>
              <w:rPr>
                <w:rFonts w:hint="eastAsia" w:cs="Times New Roman"/>
                <w:snapToGrid w:val="0"/>
                <w:color w:val="auto"/>
                <w:kern w:val="21"/>
                <w:sz w:val="24"/>
                <w:szCs w:val="24"/>
                <w:lang w:val="en-US" w:eastAsia="zh-CN" w:bidi="ar-SA"/>
              </w:rPr>
              <w:t>5.91</w:t>
            </w:r>
            <w:r>
              <w:rPr>
                <w:rFonts w:hint="default" w:ascii="Times New Roman" w:hAnsi="Times New Roman" w:eastAsia="宋体" w:cs="Times New Roman"/>
                <w:snapToGrid w:val="0"/>
                <w:color w:val="auto"/>
                <w:kern w:val="21"/>
                <w:sz w:val="24"/>
                <w:szCs w:val="24"/>
                <w:lang w:val="en-US" w:eastAsia="zh-CN" w:bidi="ar-SA"/>
              </w:rPr>
              <w:t>t/a</w:t>
            </w:r>
          </w:p>
        </w:tc>
        <w:tc>
          <w:tcPr>
            <w:tcW w:w="1524" w:type="dxa"/>
            <w:noWrap w:val="0"/>
            <w:vAlign w:val="center"/>
          </w:tcPr>
          <w:p>
            <w:pPr>
              <w:spacing w:line="240" w:lineRule="exact"/>
              <w:jc w:val="center"/>
              <w:rPr>
                <w:rFonts w:hint="eastAsia" w:cs="Times New Roman"/>
                <w:snapToGrid w:val="0"/>
                <w:color w:val="auto"/>
                <w:kern w:val="21"/>
                <w:sz w:val="24"/>
                <w:szCs w:val="24"/>
                <w:lang w:val="en-US" w:eastAsia="zh-CN" w:bidi="ar-SA"/>
              </w:rPr>
            </w:pPr>
            <w:r>
              <w:rPr>
                <w:rFonts w:hint="eastAsia" w:cs="Times New Roman"/>
                <w:snapToGrid w:val="0"/>
                <w:color w:val="auto"/>
                <w:kern w:val="21"/>
                <w:sz w:val="24"/>
                <w:szCs w:val="24"/>
                <w:lang w:val="en-US" w:eastAsia="zh-CN" w:bidi="ar-SA"/>
              </w:rPr>
              <w:t>+5.91</w:t>
            </w:r>
            <w:r>
              <w:rPr>
                <w:rFonts w:hint="default" w:ascii="Times New Roman" w:hAnsi="Times New Roman" w:eastAsia="宋体" w:cs="Times New Roman"/>
                <w:snapToGrid w:val="0"/>
                <w:color w:val="auto"/>
                <w:kern w:val="21"/>
                <w:sz w:val="24"/>
                <w:szCs w:val="24"/>
                <w:lang w:val="en-US" w:eastAsia="zh-CN" w:bidi="ar-SA"/>
              </w:rPr>
              <w:t>t/a</w:t>
            </w:r>
          </w:p>
        </w:tc>
      </w:tr>
    </w:tbl>
    <w:p>
      <w:pPr>
        <w:pStyle w:val="47"/>
        <w:spacing w:before="192" w:beforeLines="80" w:after="24"/>
        <w:jc w:val="left"/>
        <w:rPr>
          <w:color w:val="auto"/>
        </w:rPr>
      </w:pPr>
      <w:r>
        <w:rPr>
          <w:rFonts w:hint="default" w:ascii="Times New Roman" w:hAnsi="Times New Roman" w:eastAsia="宋体" w:cs="Times New Roman"/>
          <w:snapToGrid w:val="0"/>
          <w:color w:val="auto"/>
          <w:kern w:val="21"/>
          <w:szCs w:val="21"/>
        </w:rPr>
        <w:t>注：</w:t>
      </w:r>
      <w:r>
        <w:rPr>
          <w:rFonts w:hint="default" w:ascii="Times New Roman" w:hAnsi="Times New Roman" w:eastAsia="宋体" w:cs="Times New Roman"/>
          <w:snapToGrid w:val="0"/>
          <w:color w:val="auto"/>
          <w:spacing w:val="-16"/>
          <w:kern w:val="21"/>
          <w:szCs w:val="21"/>
        </w:rPr>
        <w:fldChar w:fldCharType="begin"/>
      </w:r>
      <w:r>
        <w:rPr>
          <w:rFonts w:hint="default" w:ascii="Times New Roman" w:hAnsi="Times New Roman" w:eastAsia="宋体" w:cs="Times New Roman"/>
          <w:snapToGrid w:val="0"/>
          <w:color w:val="auto"/>
          <w:spacing w:val="-16"/>
          <w:kern w:val="21"/>
          <w:szCs w:val="21"/>
        </w:rPr>
        <w:instrText xml:space="preserve"> = 6 \* GB3 \* MERGEFORMAT </w:instrText>
      </w:r>
      <w:r>
        <w:rPr>
          <w:rFonts w:hint="default" w:ascii="Times New Roman" w:hAnsi="Times New Roman" w:eastAsia="宋体" w:cs="Times New Roman"/>
          <w:snapToGrid w:val="0"/>
          <w:color w:val="auto"/>
          <w:spacing w:val="-16"/>
          <w:kern w:val="21"/>
          <w:szCs w:val="21"/>
        </w:rPr>
        <w:fldChar w:fldCharType="separate"/>
      </w:r>
      <w:r>
        <w:rPr>
          <w:rFonts w:hint="default" w:ascii="Times New Roman" w:hAnsi="Times New Roman" w:eastAsia="宋体" w:cs="Times New Roman"/>
          <w:color w:val="auto"/>
          <w:szCs w:val="21"/>
        </w:rPr>
        <w:t>⑥</w:t>
      </w:r>
      <w:r>
        <w:rPr>
          <w:rFonts w:hint="default" w:ascii="Times New Roman" w:hAnsi="Times New Roman" w:eastAsia="宋体" w:cs="Times New Roman"/>
          <w:snapToGrid w:val="0"/>
          <w:color w:val="auto"/>
          <w:spacing w:val="-16"/>
          <w:kern w:val="21"/>
          <w:szCs w:val="21"/>
        </w:rPr>
        <w:fldChar w:fldCharType="end"/>
      </w:r>
      <w:r>
        <w:rPr>
          <w:rFonts w:hint="default" w:ascii="Times New Roman" w:hAnsi="Times New Roman" w:eastAsia="宋体" w:cs="Times New Roman"/>
          <w:snapToGrid w:val="0"/>
          <w:color w:val="auto"/>
          <w:spacing w:val="-1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1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①</w:t>
      </w:r>
      <w:r>
        <w:rPr>
          <w:rFonts w:hint="default" w:ascii="Times New Roman" w:hAnsi="Times New Roman" w:eastAsia="宋体" w:cs="Times New Roman"/>
          <w:snapToGrid w:val="0"/>
          <w:color w:val="auto"/>
          <w:spacing w:val="-6"/>
          <w:kern w:val="21"/>
          <w:szCs w:val="21"/>
        </w:rPr>
        <w:fldChar w:fldCharType="end"/>
      </w:r>
      <w:r>
        <w:rPr>
          <w:rFonts w:hint="default" w:ascii="Times New Roman" w:hAnsi="Times New Roman" w:eastAsia="宋体" w:cs="Times New Roman"/>
          <w:snapToGrid w:val="0"/>
          <w:color w:val="auto"/>
          <w:spacing w:val="-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3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③</w:t>
      </w:r>
      <w:r>
        <w:rPr>
          <w:rFonts w:hint="default" w:ascii="Times New Roman" w:hAnsi="Times New Roman" w:eastAsia="宋体" w:cs="Times New Roman"/>
          <w:snapToGrid w:val="0"/>
          <w:color w:val="auto"/>
          <w:spacing w:val="-6"/>
          <w:kern w:val="21"/>
          <w:szCs w:val="21"/>
        </w:rPr>
        <w:fldChar w:fldCharType="end"/>
      </w:r>
      <w:r>
        <w:rPr>
          <w:rFonts w:hint="default" w:ascii="Times New Roman" w:hAnsi="Times New Roman" w:eastAsia="宋体" w:cs="Times New Roman"/>
          <w:snapToGrid w:val="0"/>
          <w:color w:val="auto"/>
          <w:spacing w:val="-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4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④</w:t>
      </w:r>
      <w:r>
        <w:rPr>
          <w:rFonts w:hint="default" w:ascii="Times New Roman" w:hAnsi="Times New Roman" w:eastAsia="宋体" w:cs="Times New Roman"/>
          <w:snapToGrid w:val="0"/>
          <w:color w:val="auto"/>
          <w:spacing w:val="-6"/>
          <w:kern w:val="21"/>
          <w:szCs w:val="21"/>
        </w:rPr>
        <w:fldChar w:fldCharType="end"/>
      </w:r>
      <w:r>
        <w:rPr>
          <w:rFonts w:hint="default" w:ascii="Times New Roman" w:hAnsi="Times New Roman" w:eastAsia="宋体" w:cs="Times New Roman"/>
          <w:snapToGrid w:val="0"/>
          <w:color w:val="auto"/>
          <w:spacing w:val="-6"/>
          <w:kern w:val="21"/>
          <w:szCs w:val="21"/>
        </w:rPr>
        <w:t>-</w:t>
      </w:r>
      <w:r>
        <w:rPr>
          <w:rFonts w:hint="default" w:ascii="Times New Roman" w:hAnsi="Times New Roman" w:eastAsia="宋体" w:cs="Times New Roman"/>
          <w:snapToGrid w:val="0"/>
          <w:color w:val="auto"/>
          <w:spacing w:val="-16"/>
          <w:kern w:val="21"/>
          <w:szCs w:val="21"/>
        </w:rPr>
        <w:fldChar w:fldCharType="begin"/>
      </w:r>
      <w:r>
        <w:rPr>
          <w:rFonts w:hint="default" w:ascii="Times New Roman" w:hAnsi="Times New Roman" w:eastAsia="宋体" w:cs="Times New Roman"/>
          <w:snapToGrid w:val="0"/>
          <w:color w:val="auto"/>
          <w:spacing w:val="-16"/>
          <w:kern w:val="21"/>
          <w:szCs w:val="21"/>
        </w:rPr>
        <w:instrText xml:space="preserve"> = 5 \* GB3 \* MERGEFORMAT </w:instrText>
      </w:r>
      <w:r>
        <w:rPr>
          <w:rFonts w:hint="default" w:ascii="Times New Roman" w:hAnsi="Times New Roman" w:eastAsia="宋体" w:cs="Times New Roman"/>
          <w:snapToGrid w:val="0"/>
          <w:color w:val="auto"/>
          <w:spacing w:val="-16"/>
          <w:kern w:val="21"/>
          <w:szCs w:val="21"/>
        </w:rPr>
        <w:fldChar w:fldCharType="separate"/>
      </w:r>
      <w:r>
        <w:rPr>
          <w:rFonts w:hint="default" w:ascii="Times New Roman" w:hAnsi="Times New Roman" w:eastAsia="宋体" w:cs="Times New Roman"/>
          <w:color w:val="auto"/>
          <w:szCs w:val="21"/>
        </w:rPr>
        <w:t>⑤</w:t>
      </w:r>
      <w:r>
        <w:rPr>
          <w:rFonts w:hint="default" w:ascii="Times New Roman" w:hAnsi="Times New Roman" w:eastAsia="宋体" w:cs="Times New Roman"/>
          <w:snapToGrid w:val="0"/>
          <w:color w:val="auto"/>
          <w:spacing w:val="-16"/>
          <w:kern w:val="21"/>
          <w:szCs w:val="21"/>
        </w:rPr>
        <w:fldChar w:fldCharType="end"/>
      </w:r>
      <w:r>
        <w:rPr>
          <w:rFonts w:hint="default" w:ascii="Times New Roman" w:hAnsi="Times New Roman" w:eastAsia="宋体" w:cs="Times New Roman"/>
          <w:snapToGrid w:val="0"/>
          <w:color w:val="auto"/>
          <w:spacing w:val="-1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7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⑦</w:t>
      </w:r>
      <w:r>
        <w:rPr>
          <w:rFonts w:hint="default" w:ascii="Times New Roman" w:hAnsi="Times New Roman" w:eastAsia="宋体" w:cs="Times New Roman"/>
          <w:snapToGrid w:val="0"/>
          <w:color w:val="auto"/>
          <w:spacing w:val="-6"/>
          <w:kern w:val="21"/>
          <w:szCs w:val="21"/>
        </w:rPr>
        <w:fldChar w:fldCharType="end"/>
      </w:r>
      <w:r>
        <w:rPr>
          <w:rFonts w:hint="default" w:ascii="Times New Roman" w:hAnsi="Times New Roman" w:eastAsia="宋体" w:cs="Times New Roman"/>
          <w:snapToGrid w:val="0"/>
          <w:color w:val="auto"/>
          <w:spacing w:val="-6"/>
          <w:kern w:val="21"/>
          <w:szCs w:val="21"/>
        </w:rPr>
        <w:t>=</w:t>
      </w:r>
      <w:r>
        <w:rPr>
          <w:rFonts w:hint="default" w:ascii="Times New Roman" w:hAnsi="Times New Roman" w:eastAsia="宋体" w:cs="Times New Roman"/>
          <w:snapToGrid w:val="0"/>
          <w:color w:val="auto"/>
          <w:spacing w:val="-16"/>
          <w:kern w:val="21"/>
          <w:szCs w:val="21"/>
        </w:rPr>
        <w:fldChar w:fldCharType="begin"/>
      </w:r>
      <w:r>
        <w:rPr>
          <w:rFonts w:hint="default" w:ascii="Times New Roman" w:hAnsi="Times New Roman" w:eastAsia="宋体" w:cs="Times New Roman"/>
          <w:snapToGrid w:val="0"/>
          <w:color w:val="auto"/>
          <w:spacing w:val="-16"/>
          <w:kern w:val="21"/>
          <w:szCs w:val="21"/>
        </w:rPr>
        <w:instrText xml:space="preserve"> = 6 \* GB3 \* MERGEFORMAT </w:instrText>
      </w:r>
      <w:r>
        <w:rPr>
          <w:rFonts w:hint="default" w:ascii="Times New Roman" w:hAnsi="Times New Roman" w:eastAsia="宋体" w:cs="Times New Roman"/>
          <w:snapToGrid w:val="0"/>
          <w:color w:val="auto"/>
          <w:spacing w:val="-16"/>
          <w:kern w:val="21"/>
          <w:szCs w:val="21"/>
        </w:rPr>
        <w:fldChar w:fldCharType="separate"/>
      </w:r>
      <w:r>
        <w:rPr>
          <w:rFonts w:hint="default" w:ascii="Times New Roman" w:hAnsi="Times New Roman" w:eastAsia="宋体" w:cs="Times New Roman"/>
          <w:color w:val="auto"/>
          <w:szCs w:val="21"/>
        </w:rPr>
        <w:t>⑥</w:t>
      </w:r>
      <w:r>
        <w:rPr>
          <w:rFonts w:hint="default" w:ascii="Times New Roman" w:hAnsi="Times New Roman" w:eastAsia="宋体" w:cs="Times New Roman"/>
          <w:snapToGrid w:val="0"/>
          <w:color w:val="auto"/>
          <w:spacing w:val="-16"/>
          <w:kern w:val="21"/>
          <w:szCs w:val="21"/>
        </w:rPr>
        <w:fldChar w:fldCharType="end"/>
      </w:r>
      <w:r>
        <w:rPr>
          <w:rFonts w:hint="default" w:ascii="Times New Roman" w:hAnsi="Times New Roman" w:eastAsia="宋体" w:cs="Times New Roman"/>
          <w:snapToGrid w:val="0"/>
          <w:color w:val="auto"/>
          <w:spacing w:val="-1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1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①</w:t>
      </w:r>
      <w:r>
        <w:rPr>
          <w:rFonts w:hint="default" w:ascii="Times New Roman" w:hAnsi="Times New Roman" w:eastAsia="宋体" w:cs="Times New Roman"/>
          <w:snapToGrid w:val="0"/>
          <w:color w:val="auto"/>
          <w:spacing w:val="-6"/>
          <w:kern w:val="21"/>
          <w:szCs w:val="21"/>
        </w:rPr>
        <w:fldChar w:fldCharType="end"/>
      </w:r>
    </w:p>
    <w:sectPr>
      <w:footerReference r:id="rId4" w:type="default"/>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PMingLiU">
    <w:panose1 w:val="02020500000000000000"/>
    <w:charset w:val="88"/>
    <w:family w:val="auto"/>
    <w:pitch w:val="default"/>
    <w:sig w:usb0="A00002FF" w:usb1="28CFFCFA" w:usb2="00000016" w:usb3="00000000" w:csb0="00100001" w:csb1="00000000"/>
  </w:font>
  <w:font w:name="Calibri Light">
    <w:panose1 w:val="020F0302020204030204"/>
    <w:charset w:val="00"/>
    <w:family w:val="swiss"/>
    <w:pitch w:val="default"/>
    <w:sig w:usb0="A00002EF" w:usb1="4000207B" w:usb2="00000000"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仿宋_GB2312">
    <w:altName w:val="仿宋"/>
    <w:panose1 w:val="02010609030101010101"/>
    <w:charset w:val="86"/>
    <w:family w:val="modern"/>
    <w:pitch w:val="default"/>
    <w:sig w:usb0="00000000" w:usb1="00000000" w:usb2="00000010" w:usb3="00000000" w:csb0="00040000" w:csb1="00000000"/>
  </w:font>
  <w:font w:name="TimesNewRomanPSMT">
    <w:altName w:val="Times New Roman"/>
    <w:panose1 w:val="00000000000000000000"/>
    <w:charset w:val="00"/>
    <w:family w:val="roman"/>
    <w:pitch w:val="default"/>
    <w:sig w:usb0="00000000" w:usb1="00000000" w:usb2="00000000" w:usb3="00000000" w:csb0="00000001" w:csb1="0000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4690A55"/>
    <w:multiLevelType w:val="multilevel"/>
    <w:tmpl w:val="24690A55"/>
    <w:lvl w:ilvl="0" w:tentative="0">
      <w:start w:val="1"/>
      <w:numFmt w:val="upperRoman"/>
      <w:lvlText w:val="%1."/>
      <w:lvlJc w:val="left"/>
      <w:pPr>
        <w:tabs>
          <w:tab w:val="left" w:pos="425"/>
        </w:tabs>
        <w:ind w:left="0" w:firstLine="0"/>
      </w:pPr>
    </w:lvl>
    <w:lvl w:ilvl="1" w:tentative="0">
      <w:start w:val="1"/>
      <w:numFmt w:val="upperLetter"/>
      <w:lvlText w:val="%2."/>
      <w:lvlJc w:val="left"/>
      <w:pPr>
        <w:tabs>
          <w:tab w:val="left" w:pos="1505"/>
        </w:tabs>
        <w:ind w:left="1080" w:firstLine="0"/>
      </w:pPr>
    </w:lvl>
    <w:lvl w:ilvl="2" w:tentative="0">
      <w:start w:val="1"/>
      <w:numFmt w:val="decimal"/>
      <w:lvlText w:val="%3."/>
      <w:lvlJc w:val="left"/>
      <w:pPr>
        <w:tabs>
          <w:tab w:val="left" w:pos="2126"/>
        </w:tabs>
        <w:ind w:left="1701" w:firstLine="0"/>
      </w:pPr>
    </w:lvl>
    <w:lvl w:ilvl="3" w:tentative="0">
      <w:start w:val="1"/>
      <w:numFmt w:val="lowerLetter"/>
      <w:pStyle w:val="6"/>
      <w:lvlText w:val="%4)"/>
      <w:lvlJc w:val="left"/>
      <w:pPr>
        <w:tabs>
          <w:tab w:val="left" w:pos="2976"/>
        </w:tabs>
        <w:ind w:left="2551" w:firstLine="0"/>
      </w:pPr>
    </w:lvl>
    <w:lvl w:ilvl="4" w:tentative="0">
      <w:start w:val="1"/>
      <w:numFmt w:val="decimal"/>
      <w:lvlText w:val="(%5)"/>
      <w:lvlJc w:val="left"/>
      <w:pPr>
        <w:tabs>
          <w:tab w:val="left" w:pos="3827"/>
        </w:tabs>
        <w:ind w:left="3402" w:firstLine="0"/>
      </w:pPr>
    </w:lvl>
    <w:lvl w:ilvl="5" w:tentative="0">
      <w:start w:val="1"/>
      <w:numFmt w:val="lowerLetter"/>
      <w:lvlText w:val="(%6)"/>
      <w:lvlJc w:val="left"/>
      <w:pPr>
        <w:tabs>
          <w:tab w:val="left" w:pos="4677"/>
        </w:tabs>
        <w:ind w:left="4252" w:firstLine="0"/>
      </w:pPr>
    </w:lvl>
    <w:lvl w:ilvl="6" w:tentative="0">
      <w:start w:val="1"/>
      <w:numFmt w:val="lowerRoman"/>
      <w:lvlText w:val="(%7)"/>
      <w:lvlJc w:val="left"/>
      <w:pPr>
        <w:tabs>
          <w:tab w:val="left" w:pos="5528"/>
        </w:tabs>
        <w:ind w:left="5102" w:firstLine="0"/>
      </w:pPr>
    </w:lvl>
    <w:lvl w:ilvl="7" w:tentative="0">
      <w:start w:val="1"/>
      <w:numFmt w:val="lowerLetter"/>
      <w:lvlText w:val="(%8)"/>
      <w:lvlJc w:val="left"/>
      <w:pPr>
        <w:tabs>
          <w:tab w:val="left" w:pos="6378"/>
        </w:tabs>
        <w:ind w:left="5953" w:firstLine="0"/>
      </w:pPr>
    </w:lvl>
    <w:lvl w:ilvl="8" w:tentative="0">
      <w:start w:val="1"/>
      <w:numFmt w:val="lowerRoman"/>
      <w:lvlText w:val="(%9)"/>
      <w:lvlJc w:val="left"/>
      <w:pPr>
        <w:tabs>
          <w:tab w:val="left" w:pos="7228"/>
        </w:tabs>
        <w:ind w:left="6803"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E3ZGVmZWM4YjkyYTM4OTYyMWI5Nzc5YzZlYzc0YTMifQ=="/>
  </w:docVars>
  <w:rsids>
    <w:rsidRoot w:val="36E54A3D"/>
    <w:rsid w:val="00093F9D"/>
    <w:rsid w:val="000C64EC"/>
    <w:rsid w:val="000D76DA"/>
    <w:rsid w:val="000E34AB"/>
    <w:rsid w:val="0011144A"/>
    <w:rsid w:val="001B1AAF"/>
    <w:rsid w:val="002A3360"/>
    <w:rsid w:val="00315A8E"/>
    <w:rsid w:val="003838F5"/>
    <w:rsid w:val="00394AA9"/>
    <w:rsid w:val="003E3E82"/>
    <w:rsid w:val="003F6368"/>
    <w:rsid w:val="0043506E"/>
    <w:rsid w:val="00526FEA"/>
    <w:rsid w:val="00545DD0"/>
    <w:rsid w:val="00573E5A"/>
    <w:rsid w:val="005A717F"/>
    <w:rsid w:val="005F048E"/>
    <w:rsid w:val="00634A31"/>
    <w:rsid w:val="0065529C"/>
    <w:rsid w:val="00675039"/>
    <w:rsid w:val="006B20E7"/>
    <w:rsid w:val="006E53E5"/>
    <w:rsid w:val="006E6F5F"/>
    <w:rsid w:val="00705C74"/>
    <w:rsid w:val="0076585C"/>
    <w:rsid w:val="007A451F"/>
    <w:rsid w:val="007F280E"/>
    <w:rsid w:val="0084339E"/>
    <w:rsid w:val="00896573"/>
    <w:rsid w:val="008B38EA"/>
    <w:rsid w:val="008D6D66"/>
    <w:rsid w:val="00910C2B"/>
    <w:rsid w:val="00924877"/>
    <w:rsid w:val="00966934"/>
    <w:rsid w:val="009819B5"/>
    <w:rsid w:val="009C1321"/>
    <w:rsid w:val="00A27C7F"/>
    <w:rsid w:val="00A815F5"/>
    <w:rsid w:val="00AA32F5"/>
    <w:rsid w:val="00AE7150"/>
    <w:rsid w:val="00B95B81"/>
    <w:rsid w:val="00C124FB"/>
    <w:rsid w:val="00C6125C"/>
    <w:rsid w:val="00CE11FB"/>
    <w:rsid w:val="00DF7DBB"/>
    <w:rsid w:val="00E54475"/>
    <w:rsid w:val="00EE0516"/>
    <w:rsid w:val="00F27F24"/>
    <w:rsid w:val="00F51237"/>
    <w:rsid w:val="00FB581F"/>
    <w:rsid w:val="00FC63AD"/>
    <w:rsid w:val="00FC779F"/>
    <w:rsid w:val="01035F95"/>
    <w:rsid w:val="0114166C"/>
    <w:rsid w:val="0117417F"/>
    <w:rsid w:val="011E3D92"/>
    <w:rsid w:val="01211B62"/>
    <w:rsid w:val="0128630C"/>
    <w:rsid w:val="012C13EB"/>
    <w:rsid w:val="013465C7"/>
    <w:rsid w:val="013A510B"/>
    <w:rsid w:val="013B1E3D"/>
    <w:rsid w:val="013C0B6E"/>
    <w:rsid w:val="014C2764"/>
    <w:rsid w:val="014D5526"/>
    <w:rsid w:val="015A4089"/>
    <w:rsid w:val="015C46B1"/>
    <w:rsid w:val="015F0B55"/>
    <w:rsid w:val="015F33CC"/>
    <w:rsid w:val="01632ADE"/>
    <w:rsid w:val="016352AB"/>
    <w:rsid w:val="01663E92"/>
    <w:rsid w:val="0174247F"/>
    <w:rsid w:val="017D132A"/>
    <w:rsid w:val="0181425A"/>
    <w:rsid w:val="01815A68"/>
    <w:rsid w:val="01844F23"/>
    <w:rsid w:val="018A19D5"/>
    <w:rsid w:val="01924F05"/>
    <w:rsid w:val="019746AE"/>
    <w:rsid w:val="019C197F"/>
    <w:rsid w:val="019F0928"/>
    <w:rsid w:val="01A23DCD"/>
    <w:rsid w:val="01A446B0"/>
    <w:rsid w:val="01AE3E81"/>
    <w:rsid w:val="01B32525"/>
    <w:rsid w:val="01B54947"/>
    <w:rsid w:val="01B94D9C"/>
    <w:rsid w:val="01BF00A2"/>
    <w:rsid w:val="01BF3F62"/>
    <w:rsid w:val="01C253D6"/>
    <w:rsid w:val="01C9576E"/>
    <w:rsid w:val="01CB7F8E"/>
    <w:rsid w:val="01CF066A"/>
    <w:rsid w:val="01D147BE"/>
    <w:rsid w:val="01D86637"/>
    <w:rsid w:val="01DD72CB"/>
    <w:rsid w:val="01DE105B"/>
    <w:rsid w:val="01DE7266"/>
    <w:rsid w:val="01E168AC"/>
    <w:rsid w:val="01E5165F"/>
    <w:rsid w:val="01E564A8"/>
    <w:rsid w:val="01E809B5"/>
    <w:rsid w:val="01EB0FB1"/>
    <w:rsid w:val="01EB786F"/>
    <w:rsid w:val="01EE06DB"/>
    <w:rsid w:val="01EF3E79"/>
    <w:rsid w:val="01F20BCD"/>
    <w:rsid w:val="01F8353E"/>
    <w:rsid w:val="01F8464C"/>
    <w:rsid w:val="01FB3170"/>
    <w:rsid w:val="01FE2B11"/>
    <w:rsid w:val="02072CDB"/>
    <w:rsid w:val="020E5184"/>
    <w:rsid w:val="020E7999"/>
    <w:rsid w:val="022B6BD7"/>
    <w:rsid w:val="02345A01"/>
    <w:rsid w:val="02350700"/>
    <w:rsid w:val="023774C4"/>
    <w:rsid w:val="023838FC"/>
    <w:rsid w:val="023E4637"/>
    <w:rsid w:val="023E692F"/>
    <w:rsid w:val="023F4931"/>
    <w:rsid w:val="024E03DA"/>
    <w:rsid w:val="02583C4D"/>
    <w:rsid w:val="02586639"/>
    <w:rsid w:val="026208D2"/>
    <w:rsid w:val="026854B1"/>
    <w:rsid w:val="027527FA"/>
    <w:rsid w:val="02775C6D"/>
    <w:rsid w:val="02777B9D"/>
    <w:rsid w:val="028113A6"/>
    <w:rsid w:val="028219C6"/>
    <w:rsid w:val="02943F94"/>
    <w:rsid w:val="02945890"/>
    <w:rsid w:val="0297283E"/>
    <w:rsid w:val="029A39F7"/>
    <w:rsid w:val="029C2EA2"/>
    <w:rsid w:val="02A02691"/>
    <w:rsid w:val="02A04828"/>
    <w:rsid w:val="02AC4D73"/>
    <w:rsid w:val="02B43423"/>
    <w:rsid w:val="02B85654"/>
    <w:rsid w:val="02B86D56"/>
    <w:rsid w:val="02BE2FC6"/>
    <w:rsid w:val="02C14DF4"/>
    <w:rsid w:val="02C66D47"/>
    <w:rsid w:val="02D246E6"/>
    <w:rsid w:val="02D82581"/>
    <w:rsid w:val="02D9618F"/>
    <w:rsid w:val="02DB033E"/>
    <w:rsid w:val="02DB2494"/>
    <w:rsid w:val="02DB396C"/>
    <w:rsid w:val="02DC5CB3"/>
    <w:rsid w:val="02E114AC"/>
    <w:rsid w:val="02E1300A"/>
    <w:rsid w:val="02E57DB7"/>
    <w:rsid w:val="02E87EFF"/>
    <w:rsid w:val="02F5543D"/>
    <w:rsid w:val="02F8056C"/>
    <w:rsid w:val="02FE5A50"/>
    <w:rsid w:val="030B7487"/>
    <w:rsid w:val="03100052"/>
    <w:rsid w:val="031667C5"/>
    <w:rsid w:val="031773A8"/>
    <w:rsid w:val="03177415"/>
    <w:rsid w:val="031A09C2"/>
    <w:rsid w:val="031B6DB6"/>
    <w:rsid w:val="033B0EBF"/>
    <w:rsid w:val="03574D79"/>
    <w:rsid w:val="0357538E"/>
    <w:rsid w:val="0358762E"/>
    <w:rsid w:val="03643C37"/>
    <w:rsid w:val="03650C70"/>
    <w:rsid w:val="0366448F"/>
    <w:rsid w:val="038B166E"/>
    <w:rsid w:val="039723B4"/>
    <w:rsid w:val="039A7456"/>
    <w:rsid w:val="03A50C7B"/>
    <w:rsid w:val="03A55121"/>
    <w:rsid w:val="03B10832"/>
    <w:rsid w:val="03B31D5B"/>
    <w:rsid w:val="03BB3CF6"/>
    <w:rsid w:val="03CB27EB"/>
    <w:rsid w:val="03CE6D99"/>
    <w:rsid w:val="03CF7635"/>
    <w:rsid w:val="03D16926"/>
    <w:rsid w:val="03EA08A3"/>
    <w:rsid w:val="03EB527A"/>
    <w:rsid w:val="03FC461D"/>
    <w:rsid w:val="03FD6A7E"/>
    <w:rsid w:val="03FE3607"/>
    <w:rsid w:val="0402760F"/>
    <w:rsid w:val="04045917"/>
    <w:rsid w:val="04063A21"/>
    <w:rsid w:val="04130558"/>
    <w:rsid w:val="041317C1"/>
    <w:rsid w:val="04187189"/>
    <w:rsid w:val="04192731"/>
    <w:rsid w:val="041E568C"/>
    <w:rsid w:val="04225F96"/>
    <w:rsid w:val="04286A0B"/>
    <w:rsid w:val="042903FF"/>
    <w:rsid w:val="04342BA7"/>
    <w:rsid w:val="04377360"/>
    <w:rsid w:val="043A7F57"/>
    <w:rsid w:val="043E3B0B"/>
    <w:rsid w:val="04404A5C"/>
    <w:rsid w:val="04476D79"/>
    <w:rsid w:val="044D5E64"/>
    <w:rsid w:val="0451344B"/>
    <w:rsid w:val="045B07DA"/>
    <w:rsid w:val="04623A2E"/>
    <w:rsid w:val="04640655"/>
    <w:rsid w:val="046E5030"/>
    <w:rsid w:val="04750AA1"/>
    <w:rsid w:val="04766B90"/>
    <w:rsid w:val="047B4107"/>
    <w:rsid w:val="047D2273"/>
    <w:rsid w:val="04812FB5"/>
    <w:rsid w:val="04816E02"/>
    <w:rsid w:val="04884122"/>
    <w:rsid w:val="04897F34"/>
    <w:rsid w:val="048E7017"/>
    <w:rsid w:val="04932CE9"/>
    <w:rsid w:val="04934E29"/>
    <w:rsid w:val="0496552A"/>
    <w:rsid w:val="049A4937"/>
    <w:rsid w:val="04AC2AF8"/>
    <w:rsid w:val="04B02B1D"/>
    <w:rsid w:val="04B73B59"/>
    <w:rsid w:val="04B77BE1"/>
    <w:rsid w:val="04C16BAD"/>
    <w:rsid w:val="04D803C0"/>
    <w:rsid w:val="04E020AC"/>
    <w:rsid w:val="04E11C55"/>
    <w:rsid w:val="04F03144"/>
    <w:rsid w:val="04FC4681"/>
    <w:rsid w:val="04FD1EAF"/>
    <w:rsid w:val="04FF26BD"/>
    <w:rsid w:val="04FF7F83"/>
    <w:rsid w:val="05003035"/>
    <w:rsid w:val="050676DD"/>
    <w:rsid w:val="050B20EB"/>
    <w:rsid w:val="050E548B"/>
    <w:rsid w:val="05100F97"/>
    <w:rsid w:val="051D70CE"/>
    <w:rsid w:val="05216B36"/>
    <w:rsid w:val="0528724F"/>
    <w:rsid w:val="05306615"/>
    <w:rsid w:val="05322D21"/>
    <w:rsid w:val="05414DB5"/>
    <w:rsid w:val="0544122C"/>
    <w:rsid w:val="05485468"/>
    <w:rsid w:val="054F122A"/>
    <w:rsid w:val="0556623F"/>
    <w:rsid w:val="05634787"/>
    <w:rsid w:val="056A5345"/>
    <w:rsid w:val="057F2B7A"/>
    <w:rsid w:val="057F5830"/>
    <w:rsid w:val="05856FCD"/>
    <w:rsid w:val="058831DD"/>
    <w:rsid w:val="058F4C7C"/>
    <w:rsid w:val="05904656"/>
    <w:rsid w:val="05925043"/>
    <w:rsid w:val="0593684A"/>
    <w:rsid w:val="05946D18"/>
    <w:rsid w:val="05966C57"/>
    <w:rsid w:val="059A12FD"/>
    <w:rsid w:val="059E36F3"/>
    <w:rsid w:val="05A36226"/>
    <w:rsid w:val="05A421FC"/>
    <w:rsid w:val="05B0372F"/>
    <w:rsid w:val="05B423DF"/>
    <w:rsid w:val="05BB3D3E"/>
    <w:rsid w:val="05CA3F67"/>
    <w:rsid w:val="05D4112D"/>
    <w:rsid w:val="05D86E32"/>
    <w:rsid w:val="05E33AB1"/>
    <w:rsid w:val="05E349AE"/>
    <w:rsid w:val="05ED28B1"/>
    <w:rsid w:val="05F057FF"/>
    <w:rsid w:val="05F2691B"/>
    <w:rsid w:val="05F47F43"/>
    <w:rsid w:val="05F81055"/>
    <w:rsid w:val="05F844D9"/>
    <w:rsid w:val="05FC4FFF"/>
    <w:rsid w:val="05FF4A3D"/>
    <w:rsid w:val="06037D41"/>
    <w:rsid w:val="060642C2"/>
    <w:rsid w:val="060A0E5F"/>
    <w:rsid w:val="060D4757"/>
    <w:rsid w:val="060E71BA"/>
    <w:rsid w:val="061D7FC5"/>
    <w:rsid w:val="062324EB"/>
    <w:rsid w:val="062F0663"/>
    <w:rsid w:val="06380D20"/>
    <w:rsid w:val="063A02D7"/>
    <w:rsid w:val="0644429B"/>
    <w:rsid w:val="06461B7F"/>
    <w:rsid w:val="066059E5"/>
    <w:rsid w:val="06617C1F"/>
    <w:rsid w:val="06696367"/>
    <w:rsid w:val="066C4BC8"/>
    <w:rsid w:val="06744392"/>
    <w:rsid w:val="06850294"/>
    <w:rsid w:val="06854EE6"/>
    <w:rsid w:val="06884722"/>
    <w:rsid w:val="069235F5"/>
    <w:rsid w:val="0697319C"/>
    <w:rsid w:val="06A25E67"/>
    <w:rsid w:val="06A74703"/>
    <w:rsid w:val="06A83E49"/>
    <w:rsid w:val="06AB11DA"/>
    <w:rsid w:val="06B01114"/>
    <w:rsid w:val="06B80D24"/>
    <w:rsid w:val="06BE26FE"/>
    <w:rsid w:val="06BF012D"/>
    <w:rsid w:val="06BF56B1"/>
    <w:rsid w:val="06DC0B21"/>
    <w:rsid w:val="06DC5BC2"/>
    <w:rsid w:val="06DF6A10"/>
    <w:rsid w:val="06E02AA8"/>
    <w:rsid w:val="06E508E4"/>
    <w:rsid w:val="06E8306E"/>
    <w:rsid w:val="06F569F2"/>
    <w:rsid w:val="06FA3374"/>
    <w:rsid w:val="0703451C"/>
    <w:rsid w:val="071961D6"/>
    <w:rsid w:val="071F1A4C"/>
    <w:rsid w:val="07262089"/>
    <w:rsid w:val="072A5E83"/>
    <w:rsid w:val="0733374D"/>
    <w:rsid w:val="07484A04"/>
    <w:rsid w:val="0748602D"/>
    <w:rsid w:val="074C2DD3"/>
    <w:rsid w:val="074F363D"/>
    <w:rsid w:val="075F5F6F"/>
    <w:rsid w:val="076646E5"/>
    <w:rsid w:val="07711827"/>
    <w:rsid w:val="0781507A"/>
    <w:rsid w:val="07837D5F"/>
    <w:rsid w:val="078C5CB7"/>
    <w:rsid w:val="0791097C"/>
    <w:rsid w:val="079338FB"/>
    <w:rsid w:val="0794730E"/>
    <w:rsid w:val="07950B26"/>
    <w:rsid w:val="07964170"/>
    <w:rsid w:val="07995EA0"/>
    <w:rsid w:val="07A5235B"/>
    <w:rsid w:val="07A640DD"/>
    <w:rsid w:val="07A75F79"/>
    <w:rsid w:val="07AD2D19"/>
    <w:rsid w:val="07B03BF0"/>
    <w:rsid w:val="07B974BA"/>
    <w:rsid w:val="07BF5DB3"/>
    <w:rsid w:val="07C90E49"/>
    <w:rsid w:val="07C91310"/>
    <w:rsid w:val="07CF4038"/>
    <w:rsid w:val="07D653C6"/>
    <w:rsid w:val="07D6574A"/>
    <w:rsid w:val="07E07B35"/>
    <w:rsid w:val="07E506B2"/>
    <w:rsid w:val="07ED5C1D"/>
    <w:rsid w:val="07EE00D8"/>
    <w:rsid w:val="07F375FF"/>
    <w:rsid w:val="07F749AF"/>
    <w:rsid w:val="07FB4F41"/>
    <w:rsid w:val="08045AFF"/>
    <w:rsid w:val="080D5451"/>
    <w:rsid w:val="0816310B"/>
    <w:rsid w:val="08244269"/>
    <w:rsid w:val="082500FC"/>
    <w:rsid w:val="082A46C8"/>
    <w:rsid w:val="082E5202"/>
    <w:rsid w:val="083105EF"/>
    <w:rsid w:val="08397B1C"/>
    <w:rsid w:val="08420B5C"/>
    <w:rsid w:val="084C3690"/>
    <w:rsid w:val="084F1E69"/>
    <w:rsid w:val="0859548A"/>
    <w:rsid w:val="085A2187"/>
    <w:rsid w:val="086733ED"/>
    <w:rsid w:val="08711C8C"/>
    <w:rsid w:val="08760FB1"/>
    <w:rsid w:val="08767111"/>
    <w:rsid w:val="087B0B99"/>
    <w:rsid w:val="087C3FB5"/>
    <w:rsid w:val="087D4E07"/>
    <w:rsid w:val="08864F1F"/>
    <w:rsid w:val="088865FB"/>
    <w:rsid w:val="088E2D49"/>
    <w:rsid w:val="089351C1"/>
    <w:rsid w:val="0898093B"/>
    <w:rsid w:val="089840A8"/>
    <w:rsid w:val="089E6484"/>
    <w:rsid w:val="08A22DE5"/>
    <w:rsid w:val="08A43A42"/>
    <w:rsid w:val="08A71B74"/>
    <w:rsid w:val="08A861DD"/>
    <w:rsid w:val="08AE387D"/>
    <w:rsid w:val="08C0585B"/>
    <w:rsid w:val="08CE70F9"/>
    <w:rsid w:val="08D044D5"/>
    <w:rsid w:val="08D34BA5"/>
    <w:rsid w:val="08D35DAA"/>
    <w:rsid w:val="08D824B8"/>
    <w:rsid w:val="08DA5F62"/>
    <w:rsid w:val="08EF2168"/>
    <w:rsid w:val="08FB0560"/>
    <w:rsid w:val="08FB4356"/>
    <w:rsid w:val="08FB7166"/>
    <w:rsid w:val="08FE7955"/>
    <w:rsid w:val="090167F1"/>
    <w:rsid w:val="090F496D"/>
    <w:rsid w:val="0911174D"/>
    <w:rsid w:val="09125397"/>
    <w:rsid w:val="09154CC0"/>
    <w:rsid w:val="09175AB4"/>
    <w:rsid w:val="092E4D8E"/>
    <w:rsid w:val="09325DD9"/>
    <w:rsid w:val="09332B49"/>
    <w:rsid w:val="093B29BC"/>
    <w:rsid w:val="09443A9B"/>
    <w:rsid w:val="09453A3B"/>
    <w:rsid w:val="094D5219"/>
    <w:rsid w:val="09513927"/>
    <w:rsid w:val="0966692B"/>
    <w:rsid w:val="096A0C0A"/>
    <w:rsid w:val="09774E19"/>
    <w:rsid w:val="097777E3"/>
    <w:rsid w:val="097B22B2"/>
    <w:rsid w:val="098C1E41"/>
    <w:rsid w:val="098D1090"/>
    <w:rsid w:val="098E11E0"/>
    <w:rsid w:val="0993328B"/>
    <w:rsid w:val="099842D5"/>
    <w:rsid w:val="099D25A6"/>
    <w:rsid w:val="099D3842"/>
    <w:rsid w:val="09A020AB"/>
    <w:rsid w:val="09A11298"/>
    <w:rsid w:val="09A56B4E"/>
    <w:rsid w:val="09A60DC8"/>
    <w:rsid w:val="09B368AE"/>
    <w:rsid w:val="09B4212F"/>
    <w:rsid w:val="09B944CC"/>
    <w:rsid w:val="09BC0812"/>
    <w:rsid w:val="09BD77E1"/>
    <w:rsid w:val="09CA45F0"/>
    <w:rsid w:val="09CE5C8C"/>
    <w:rsid w:val="09D15E1A"/>
    <w:rsid w:val="09D31ED1"/>
    <w:rsid w:val="09D4353B"/>
    <w:rsid w:val="09D612C2"/>
    <w:rsid w:val="09DC27A1"/>
    <w:rsid w:val="09DD09C9"/>
    <w:rsid w:val="09DF582D"/>
    <w:rsid w:val="09E126E5"/>
    <w:rsid w:val="09E67768"/>
    <w:rsid w:val="09E72DF4"/>
    <w:rsid w:val="09E734C9"/>
    <w:rsid w:val="09EA2DE8"/>
    <w:rsid w:val="09EA2E87"/>
    <w:rsid w:val="09F15B41"/>
    <w:rsid w:val="09F87A9A"/>
    <w:rsid w:val="09FB20B3"/>
    <w:rsid w:val="09FC4E8C"/>
    <w:rsid w:val="0A135AC0"/>
    <w:rsid w:val="0A1B7495"/>
    <w:rsid w:val="0A1F29E9"/>
    <w:rsid w:val="0A2A37A7"/>
    <w:rsid w:val="0A2E7345"/>
    <w:rsid w:val="0A3742EA"/>
    <w:rsid w:val="0A3C3CA5"/>
    <w:rsid w:val="0A3E0453"/>
    <w:rsid w:val="0A4525DD"/>
    <w:rsid w:val="0A4E5403"/>
    <w:rsid w:val="0A4F3A7B"/>
    <w:rsid w:val="0A557E27"/>
    <w:rsid w:val="0A6637A4"/>
    <w:rsid w:val="0A6A10CF"/>
    <w:rsid w:val="0A75555B"/>
    <w:rsid w:val="0A7A080C"/>
    <w:rsid w:val="0A7C0B6A"/>
    <w:rsid w:val="0A81059C"/>
    <w:rsid w:val="0A851326"/>
    <w:rsid w:val="0A8D6EB8"/>
    <w:rsid w:val="0A9578E6"/>
    <w:rsid w:val="0A9879C8"/>
    <w:rsid w:val="0A992D96"/>
    <w:rsid w:val="0A9C0F21"/>
    <w:rsid w:val="0AA5149E"/>
    <w:rsid w:val="0AAA6BFB"/>
    <w:rsid w:val="0AAC7730"/>
    <w:rsid w:val="0AB33FD6"/>
    <w:rsid w:val="0ABC7EC7"/>
    <w:rsid w:val="0AC4417F"/>
    <w:rsid w:val="0ACF360C"/>
    <w:rsid w:val="0AD67A84"/>
    <w:rsid w:val="0AE86E5F"/>
    <w:rsid w:val="0AE907AE"/>
    <w:rsid w:val="0AEA2C71"/>
    <w:rsid w:val="0AEC6FC7"/>
    <w:rsid w:val="0AF03991"/>
    <w:rsid w:val="0AF0558B"/>
    <w:rsid w:val="0AF572B1"/>
    <w:rsid w:val="0AF951DC"/>
    <w:rsid w:val="0B027109"/>
    <w:rsid w:val="0B060ADB"/>
    <w:rsid w:val="0B1306DF"/>
    <w:rsid w:val="0B15078D"/>
    <w:rsid w:val="0B1C3374"/>
    <w:rsid w:val="0B1D71E2"/>
    <w:rsid w:val="0B2013C2"/>
    <w:rsid w:val="0B222C7C"/>
    <w:rsid w:val="0B231FE8"/>
    <w:rsid w:val="0B2B71F1"/>
    <w:rsid w:val="0B3121D1"/>
    <w:rsid w:val="0B321696"/>
    <w:rsid w:val="0B330D82"/>
    <w:rsid w:val="0B393AA2"/>
    <w:rsid w:val="0B436E11"/>
    <w:rsid w:val="0B507715"/>
    <w:rsid w:val="0B545C99"/>
    <w:rsid w:val="0B55177F"/>
    <w:rsid w:val="0B5B3623"/>
    <w:rsid w:val="0B643645"/>
    <w:rsid w:val="0B6A06DD"/>
    <w:rsid w:val="0B736F8B"/>
    <w:rsid w:val="0B7C430F"/>
    <w:rsid w:val="0B911AEA"/>
    <w:rsid w:val="0B922469"/>
    <w:rsid w:val="0B9C64C3"/>
    <w:rsid w:val="0B9E2A10"/>
    <w:rsid w:val="0BAB0AA0"/>
    <w:rsid w:val="0BB66998"/>
    <w:rsid w:val="0BC27DEF"/>
    <w:rsid w:val="0BC3189C"/>
    <w:rsid w:val="0BCD413B"/>
    <w:rsid w:val="0BCE7A28"/>
    <w:rsid w:val="0BD5356D"/>
    <w:rsid w:val="0BD850CF"/>
    <w:rsid w:val="0BDE5EC8"/>
    <w:rsid w:val="0BF33362"/>
    <w:rsid w:val="0BF74C66"/>
    <w:rsid w:val="0BFA4AE1"/>
    <w:rsid w:val="0C1B28FA"/>
    <w:rsid w:val="0C242666"/>
    <w:rsid w:val="0C244EFF"/>
    <w:rsid w:val="0C2B5EA7"/>
    <w:rsid w:val="0C2C7CAB"/>
    <w:rsid w:val="0C2D0CFC"/>
    <w:rsid w:val="0C350EE1"/>
    <w:rsid w:val="0C373443"/>
    <w:rsid w:val="0C3742FC"/>
    <w:rsid w:val="0C3D1023"/>
    <w:rsid w:val="0C440376"/>
    <w:rsid w:val="0C456767"/>
    <w:rsid w:val="0C526446"/>
    <w:rsid w:val="0C586B0B"/>
    <w:rsid w:val="0C587F90"/>
    <w:rsid w:val="0C596B08"/>
    <w:rsid w:val="0C5A772F"/>
    <w:rsid w:val="0C611DC1"/>
    <w:rsid w:val="0C63275A"/>
    <w:rsid w:val="0C635C53"/>
    <w:rsid w:val="0C6731EE"/>
    <w:rsid w:val="0C697853"/>
    <w:rsid w:val="0C6A53E8"/>
    <w:rsid w:val="0C6F72B9"/>
    <w:rsid w:val="0C730EE1"/>
    <w:rsid w:val="0C734445"/>
    <w:rsid w:val="0C7B6D1C"/>
    <w:rsid w:val="0C7D224A"/>
    <w:rsid w:val="0C7E5015"/>
    <w:rsid w:val="0C800951"/>
    <w:rsid w:val="0C89638C"/>
    <w:rsid w:val="0C8A359E"/>
    <w:rsid w:val="0C91664A"/>
    <w:rsid w:val="0C995D73"/>
    <w:rsid w:val="0C9E7BE7"/>
    <w:rsid w:val="0CA83D8F"/>
    <w:rsid w:val="0CA92EEC"/>
    <w:rsid w:val="0CA93CCC"/>
    <w:rsid w:val="0CAC055F"/>
    <w:rsid w:val="0CB51FB9"/>
    <w:rsid w:val="0CB75A02"/>
    <w:rsid w:val="0CBC5629"/>
    <w:rsid w:val="0CBC5F16"/>
    <w:rsid w:val="0CC815AB"/>
    <w:rsid w:val="0CCD79A9"/>
    <w:rsid w:val="0CE57F21"/>
    <w:rsid w:val="0CEC3A56"/>
    <w:rsid w:val="0CEF15E1"/>
    <w:rsid w:val="0CEF6651"/>
    <w:rsid w:val="0CF0049D"/>
    <w:rsid w:val="0CF14D76"/>
    <w:rsid w:val="0CF23F5F"/>
    <w:rsid w:val="0CF54A25"/>
    <w:rsid w:val="0CF56BED"/>
    <w:rsid w:val="0CF8403B"/>
    <w:rsid w:val="0CF84955"/>
    <w:rsid w:val="0CFE33FD"/>
    <w:rsid w:val="0D007FBA"/>
    <w:rsid w:val="0D04175D"/>
    <w:rsid w:val="0D0B288D"/>
    <w:rsid w:val="0D0E4F6F"/>
    <w:rsid w:val="0D130C0D"/>
    <w:rsid w:val="0D1614B7"/>
    <w:rsid w:val="0D1D5DB4"/>
    <w:rsid w:val="0D1D6320"/>
    <w:rsid w:val="0D26597A"/>
    <w:rsid w:val="0D34798A"/>
    <w:rsid w:val="0D356B1E"/>
    <w:rsid w:val="0D3929BA"/>
    <w:rsid w:val="0D520843"/>
    <w:rsid w:val="0D5B3F2B"/>
    <w:rsid w:val="0D6018BA"/>
    <w:rsid w:val="0D6521C5"/>
    <w:rsid w:val="0D66719A"/>
    <w:rsid w:val="0D70556A"/>
    <w:rsid w:val="0D722086"/>
    <w:rsid w:val="0D7922E8"/>
    <w:rsid w:val="0D7A5411"/>
    <w:rsid w:val="0D7C7A6C"/>
    <w:rsid w:val="0D8247E5"/>
    <w:rsid w:val="0D8530EE"/>
    <w:rsid w:val="0D862767"/>
    <w:rsid w:val="0D930C4F"/>
    <w:rsid w:val="0D9840FE"/>
    <w:rsid w:val="0D993D24"/>
    <w:rsid w:val="0DA41254"/>
    <w:rsid w:val="0DA67CA4"/>
    <w:rsid w:val="0DA73343"/>
    <w:rsid w:val="0DB6520A"/>
    <w:rsid w:val="0DB67BBA"/>
    <w:rsid w:val="0DBC5F57"/>
    <w:rsid w:val="0DC54B95"/>
    <w:rsid w:val="0DD1000A"/>
    <w:rsid w:val="0DD66ED6"/>
    <w:rsid w:val="0DD76AA7"/>
    <w:rsid w:val="0DDC771D"/>
    <w:rsid w:val="0DDF307B"/>
    <w:rsid w:val="0DDF5361"/>
    <w:rsid w:val="0DE526D2"/>
    <w:rsid w:val="0DE90541"/>
    <w:rsid w:val="0DF06AB6"/>
    <w:rsid w:val="0DFA3889"/>
    <w:rsid w:val="0DFC2357"/>
    <w:rsid w:val="0E0C740E"/>
    <w:rsid w:val="0E0D60FE"/>
    <w:rsid w:val="0E12436B"/>
    <w:rsid w:val="0E276D0C"/>
    <w:rsid w:val="0E2A2BAA"/>
    <w:rsid w:val="0E2E7EEA"/>
    <w:rsid w:val="0E350017"/>
    <w:rsid w:val="0E403ACB"/>
    <w:rsid w:val="0E48321D"/>
    <w:rsid w:val="0E4C0043"/>
    <w:rsid w:val="0E4F4A42"/>
    <w:rsid w:val="0E544D63"/>
    <w:rsid w:val="0E5B4999"/>
    <w:rsid w:val="0E5F2F02"/>
    <w:rsid w:val="0E6C4952"/>
    <w:rsid w:val="0E70118F"/>
    <w:rsid w:val="0E735E71"/>
    <w:rsid w:val="0E7B1B18"/>
    <w:rsid w:val="0E7C4C78"/>
    <w:rsid w:val="0E836E49"/>
    <w:rsid w:val="0E913DA9"/>
    <w:rsid w:val="0E946AAA"/>
    <w:rsid w:val="0E9976B4"/>
    <w:rsid w:val="0E9E13B5"/>
    <w:rsid w:val="0E9E200F"/>
    <w:rsid w:val="0E9E6E62"/>
    <w:rsid w:val="0EA32063"/>
    <w:rsid w:val="0EA433C4"/>
    <w:rsid w:val="0EA47E54"/>
    <w:rsid w:val="0EA56697"/>
    <w:rsid w:val="0EAD7B66"/>
    <w:rsid w:val="0EAE6874"/>
    <w:rsid w:val="0EAF6955"/>
    <w:rsid w:val="0EB55DAE"/>
    <w:rsid w:val="0EBC4160"/>
    <w:rsid w:val="0EBD735D"/>
    <w:rsid w:val="0ECF75CD"/>
    <w:rsid w:val="0ED337D3"/>
    <w:rsid w:val="0ED368B5"/>
    <w:rsid w:val="0EE03D3D"/>
    <w:rsid w:val="0EE31016"/>
    <w:rsid w:val="0EEE2F7E"/>
    <w:rsid w:val="0EFE50BE"/>
    <w:rsid w:val="0F025CB4"/>
    <w:rsid w:val="0F042C65"/>
    <w:rsid w:val="0F103D9C"/>
    <w:rsid w:val="0F1F26F0"/>
    <w:rsid w:val="0F2C1D70"/>
    <w:rsid w:val="0F306841"/>
    <w:rsid w:val="0F3438CB"/>
    <w:rsid w:val="0F353C4A"/>
    <w:rsid w:val="0F3B4FA4"/>
    <w:rsid w:val="0F3E1AFA"/>
    <w:rsid w:val="0F435E3E"/>
    <w:rsid w:val="0F5540AC"/>
    <w:rsid w:val="0F563B1E"/>
    <w:rsid w:val="0F634BA7"/>
    <w:rsid w:val="0F67142A"/>
    <w:rsid w:val="0F67724C"/>
    <w:rsid w:val="0F6C6CDA"/>
    <w:rsid w:val="0F76422D"/>
    <w:rsid w:val="0F7756E1"/>
    <w:rsid w:val="0F7D0FE3"/>
    <w:rsid w:val="0F7F0E64"/>
    <w:rsid w:val="0F8000AE"/>
    <w:rsid w:val="0F8B45AC"/>
    <w:rsid w:val="0F8B662C"/>
    <w:rsid w:val="0F997756"/>
    <w:rsid w:val="0F9F2542"/>
    <w:rsid w:val="0F9F4729"/>
    <w:rsid w:val="0FAF6AE2"/>
    <w:rsid w:val="0FB1473E"/>
    <w:rsid w:val="0FB60523"/>
    <w:rsid w:val="0FC40399"/>
    <w:rsid w:val="0FC621E0"/>
    <w:rsid w:val="0FD4371A"/>
    <w:rsid w:val="0FDA2D85"/>
    <w:rsid w:val="0FDA3BC9"/>
    <w:rsid w:val="0FDC54FF"/>
    <w:rsid w:val="0FE12C6B"/>
    <w:rsid w:val="0FE52061"/>
    <w:rsid w:val="0FF11752"/>
    <w:rsid w:val="0FF23A49"/>
    <w:rsid w:val="0FF26256"/>
    <w:rsid w:val="0FFA1E6E"/>
    <w:rsid w:val="10031E9A"/>
    <w:rsid w:val="1008458B"/>
    <w:rsid w:val="100C2483"/>
    <w:rsid w:val="10142D1C"/>
    <w:rsid w:val="101A6DD9"/>
    <w:rsid w:val="102028D4"/>
    <w:rsid w:val="102752D5"/>
    <w:rsid w:val="103847E3"/>
    <w:rsid w:val="10386AD0"/>
    <w:rsid w:val="10484330"/>
    <w:rsid w:val="1049325B"/>
    <w:rsid w:val="104D4445"/>
    <w:rsid w:val="105159FE"/>
    <w:rsid w:val="10591C19"/>
    <w:rsid w:val="10642E0F"/>
    <w:rsid w:val="1068085B"/>
    <w:rsid w:val="106A7A3B"/>
    <w:rsid w:val="10712322"/>
    <w:rsid w:val="10743E8E"/>
    <w:rsid w:val="10840BA0"/>
    <w:rsid w:val="108B40A6"/>
    <w:rsid w:val="108B5963"/>
    <w:rsid w:val="108E2AAE"/>
    <w:rsid w:val="10935751"/>
    <w:rsid w:val="1099195A"/>
    <w:rsid w:val="10AA3A72"/>
    <w:rsid w:val="10B20767"/>
    <w:rsid w:val="10B22596"/>
    <w:rsid w:val="10B87611"/>
    <w:rsid w:val="10C02C4E"/>
    <w:rsid w:val="10D47133"/>
    <w:rsid w:val="10D516A3"/>
    <w:rsid w:val="10D76943"/>
    <w:rsid w:val="10DB208D"/>
    <w:rsid w:val="10E15043"/>
    <w:rsid w:val="10E548CC"/>
    <w:rsid w:val="10E85F7D"/>
    <w:rsid w:val="10E872CA"/>
    <w:rsid w:val="10F031AA"/>
    <w:rsid w:val="10FE1EDE"/>
    <w:rsid w:val="110404C0"/>
    <w:rsid w:val="11087313"/>
    <w:rsid w:val="11171BBA"/>
    <w:rsid w:val="111904D9"/>
    <w:rsid w:val="111D3C83"/>
    <w:rsid w:val="112B4195"/>
    <w:rsid w:val="112C177C"/>
    <w:rsid w:val="112F23A7"/>
    <w:rsid w:val="113428D5"/>
    <w:rsid w:val="113B27A7"/>
    <w:rsid w:val="11405BD5"/>
    <w:rsid w:val="115E11B8"/>
    <w:rsid w:val="1161013B"/>
    <w:rsid w:val="116667A8"/>
    <w:rsid w:val="11761321"/>
    <w:rsid w:val="1178029B"/>
    <w:rsid w:val="11792E27"/>
    <w:rsid w:val="1180355D"/>
    <w:rsid w:val="118A6EB1"/>
    <w:rsid w:val="118B7FB4"/>
    <w:rsid w:val="118F482D"/>
    <w:rsid w:val="11904FEF"/>
    <w:rsid w:val="11923EE9"/>
    <w:rsid w:val="1194095F"/>
    <w:rsid w:val="1195023C"/>
    <w:rsid w:val="11A2111A"/>
    <w:rsid w:val="11A7248C"/>
    <w:rsid w:val="11B53E53"/>
    <w:rsid w:val="11B7151D"/>
    <w:rsid w:val="11BA2F46"/>
    <w:rsid w:val="11BD1682"/>
    <w:rsid w:val="11BF7805"/>
    <w:rsid w:val="11C17DDD"/>
    <w:rsid w:val="11C31C43"/>
    <w:rsid w:val="11DE3CF9"/>
    <w:rsid w:val="11ED3CFA"/>
    <w:rsid w:val="11EE44D7"/>
    <w:rsid w:val="11F64034"/>
    <w:rsid w:val="11F72887"/>
    <w:rsid w:val="120D536B"/>
    <w:rsid w:val="12286355"/>
    <w:rsid w:val="12331667"/>
    <w:rsid w:val="12355BC6"/>
    <w:rsid w:val="12392C84"/>
    <w:rsid w:val="123A18DC"/>
    <w:rsid w:val="124B075F"/>
    <w:rsid w:val="124F5DC2"/>
    <w:rsid w:val="12551AF7"/>
    <w:rsid w:val="12566024"/>
    <w:rsid w:val="125D368A"/>
    <w:rsid w:val="12604BC1"/>
    <w:rsid w:val="126D0CF9"/>
    <w:rsid w:val="127343C3"/>
    <w:rsid w:val="127356E8"/>
    <w:rsid w:val="1278384C"/>
    <w:rsid w:val="127A4260"/>
    <w:rsid w:val="127D0CFF"/>
    <w:rsid w:val="127E4D78"/>
    <w:rsid w:val="127F3160"/>
    <w:rsid w:val="12823FCA"/>
    <w:rsid w:val="128674FB"/>
    <w:rsid w:val="12911046"/>
    <w:rsid w:val="12921A31"/>
    <w:rsid w:val="1293272A"/>
    <w:rsid w:val="129544F8"/>
    <w:rsid w:val="129A2BA4"/>
    <w:rsid w:val="129B1A86"/>
    <w:rsid w:val="129C545E"/>
    <w:rsid w:val="12A00DDD"/>
    <w:rsid w:val="12A71DE5"/>
    <w:rsid w:val="12A71FB7"/>
    <w:rsid w:val="12AA1D26"/>
    <w:rsid w:val="12AD0251"/>
    <w:rsid w:val="12AD6459"/>
    <w:rsid w:val="12AE4659"/>
    <w:rsid w:val="12B02A26"/>
    <w:rsid w:val="12B26CB7"/>
    <w:rsid w:val="12B34F4B"/>
    <w:rsid w:val="12C41B09"/>
    <w:rsid w:val="12C60302"/>
    <w:rsid w:val="12CB07B9"/>
    <w:rsid w:val="12CF71F9"/>
    <w:rsid w:val="12D34714"/>
    <w:rsid w:val="12D374EC"/>
    <w:rsid w:val="12D64D8E"/>
    <w:rsid w:val="12D82013"/>
    <w:rsid w:val="12D86DE8"/>
    <w:rsid w:val="12DC6125"/>
    <w:rsid w:val="12DD5D68"/>
    <w:rsid w:val="12E518A2"/>
    <w:rsid w:val="12EE68CB"/>
    <w:rsid w:val="12F8341C"/>
    <w:rsid w:val="13061C67"/>
    <w:rsid w:val="1318305F"/>
    <w:rsid w:val="131861DB"/>
    <w:rsid w:val="131B3AA8"/>
    <w:rsid w:val="13243733"/>
    <w:rsid w:val="132456E5"/>
    <w:rsid w:val="132E1438"/>
    <w:rsid w:val="133D3F21"/>
    <w:rsid w:val="13400295"/>
    <w:rsid w:val="1340442E"/>
    <w:rsid w:val="13421681"/>
    <w:rsid w:val="13451A37"/>
    <w:rsid w:val="134564BE"/>
    <w:rsid w:val="13474B4E"/>
    <w:rsid w:val="1350697D"/>
    <w:rsid w:val="13547E53"/>
    <w:rsid w:val="135E10C2"/>
    <w:rsid w:val="13634FC3"/>
    <w:rsid w:val="13675029"/>
    <w:rsid w:val="13702671"/>
    <w:rsid w:val="13765FAF"/>
    <w:rsid w:val="13776BF3"/>
    <w:rsid w:val="13793CCB"/>
    <w:rsid w:val="137D0682"/>
    <w:rsid w:val="138513F0"/>
    <w:rsid w:val="13872936"/>
    <w:rsid w:val="1388747B"/>
    <w:rsid w:val="13896034"/>
    <w:rsid w:val="138B233A"/>
    <w:rsid w:val="13914428"/>
    <w:rsid w:val="1399712F"/>
    <w:rsid w:val="139D4C78"/>
    <w:rsid w:val="13A176F4"/>
    <w:rsid w:val="13A230E6"/>
    <w:rsid w:val="13B55BE1"/>
    <w:rsid w:val="13B87E7C"/>
    <w:rsid w:val="13BF2749"/>
    <w:rsid w:val="13C8389D"/>
    <w:rsid w:val="13C9298F"/>
    <w:rsid w:val="13CA5257"/>
    <w:rsid w:val="13CF1935"/>
    <w:rsid w:val="13D10B57"/>
    <w:rsid w:val="13D70DD5"/>
    <w:rsid w:val="13D72416"/>
    <w:rsid w:val="13DB78ED"/>
    <w:rsid w:val="13DD0FD6"/>
    <w:rsid w:val="13E10621"/>
    <w:rsid w:val="13ED2834"/>
    <w:rsid w:val="13F3793B"/>
    <w:rsid w:val="13F441F9"/>
    <w:rsid w:val="13F6703A"/>
    <w:rsid w:val="13FB1BD9"/>
    <w:rsid w:val="14055EC7"/>
    <w:rsid w:val="140B1585"/>
    <w:rsid w:val="140B5D31"/>
    <w:rsid w:val="140C1492"/>
    <w:rsid w:val="14203F18"/>
    <w:rsid w:val="142113AA"/>
    <w:rsid w:val="14221494"/>
    <w:rsid w:val="1429020D"/>
    <w:rsid w:val="142F2C24"/>
    <w:rsid w:val="143023AD"/>
    <w:rsid w:val="143C31A3"/>
    <w:rsid w:val="143C4A78"/>
    <w:rsid w:val="143F257F"/>
    <w:rsid w:val="145651D0"/>
    <w:rsid w:val="145A7DA4"/>
    <w:rsid w:val="1464630F"/>
    <w:rsid w:val="146A625D"/>
    <w:rsid w:val="14763200"/>
    <w:rsid w:val="147E555F"/>
    <w:rsid w:val="14820B51"/>
    <w:rsid w:val="148F313C"/>
    <w:rsid w:val="14906E60"/>
    <w:rsid w:val="149074E0"/>
    <w:rsid w:val="14916170"/>
    <w:rsid w:val="149C211B"/>
    <w:rsid w:val="149F0F45"/>
    <w:rsid w:val="14AC5BAF"/>
    <w:rsid w:val="14B528DC"/>
    <w:rsid w:val="14EA1A2B"/>
    <w:rsid w:val="14EF13A1"/>
    <w:rsid w:val="14F06778"/>
    <w:rsid w:val="14FA03BF"/>
    <w:rsid w:val="14FD16EF"/>
    <w:rsid w:val="150828CD"/>
    <w:rsid w:val="150A1BFA"/>
    <w:rsid w:val="150D4001"/>
    <w:rsid w:val="150D7C1B"/>
    <w:rsid w:val="151A1D31"/>
    <w:rsid w:val="151B7A0A"/>
    <w:rsid w:val="15232FFC"/>
    <w:rsid w:val="15275027"/>
    <w:rsid w:val="152F2965"/>
    <w:rsid w:val="15307550"/>
    <w:rsid w:val="15415E49"/>
    <w:rsid w:val="1548133E"/>
    <w:rsid w:val="154E4117"/>
    <w:rsid w:val="1557566D"/>
    <w:rsid w:val="15671D54"/>
    <w:rsid w:val="157134CA"/>
    <w:rsid w:val="15761D10"/>
    <w:rsid w:val="15783E7E"/>
    <w:rsid w:val="15835DF8"/>
    <w:rsid w:val="158B397F"/>
    <w:rsid w:val="158D1788"/>
    <w:rsid w:val="1590745D"/>
    <w:rsid w:val="15967072"/>
    <w:rsid w:val="15981F0D"/>
    <w:rsid w:val="1598664C"/>
    <w:rsid w:val="159D39C7"/>
    <w:rsid w:val="15A01A35"/>
    <w:rsid w:val="15A04100"/>
    <w:rsid w:val="15AA4040"/>
    <w:rsid w:val="15AC6506"/>
    <w:rsid w:val="15B14F59"/>
    <w:rsid w:val="15B405C7"/>
    <w:rsid w:val="15B65B88"/>
    <w:rsid w:val="15B66B87"/>
    <w:rsid w:val="15BA158B"/>
    <w:rsid w:val="15C55EA2"/>
    <w:rsid w:val="15CF348F"/>
    <w:rsid w:val="15D179FF"/>
    <w:rsid w:val="15E0282E"/>
    <w:rsid w:val="15F10E85"/>
    <w:rsid w:val="15FC352A"/>
    <w:rsid w:val="15FC374E"/>
    <w:rsid w:val="15FC75D1"/>
    <w:rsid w:val="15FD2CB8"/>
    <w:rsid w:val="160E5513"/>
    <w:rsid w:val="16125958"/>
    <w:rsid w:val="16141E75"/>
    <w:rsid w:val="161D68B6"/>
    <w:rsid w:val="161D709A"/>
    <w:rsid w:val="16265302"/>
    <w:rsid w:val="16314A6A"/>
    <w:rsid w:val="163412F3"/>
    <w:rsid w:val="16351F42"/>
    <w:rsid w:val="163B7EC3"/>
    <w:rsid w:val="1642631D"/>
    <w:rsid w:val="1645164F"/>
    <w:rsid w:val="16464F80"/>
    <w:rsid w:val="16471AAA"/>
    <w:rsid w:val="16530DCC"/>
    <w:rsid w:val="165E4E8F"/>
    <w:rsid w:val="166167A3"/>
    <w:rsid w:val="166869E0"/>
    <w:rsid w:val="16710A56"/>
    <w:rsid w:val="167570BE"/>
    <w:rsid w:val="16810DC9"/>
    <w:rsid w:val="16876BB4"/>
    <w:rsid w:val="168C5039"/>
    <w:rsid w:val="169830D8"/>
    <w:rsid w:val="169A03EF"/>
    <w:rsid w:val="169B34C7"/>
    <w:rsid w:val="169F7183"/>
    <w:rsid w:val="16A539B2"/>
    <w:rsid w:val="16B7140C"/>
    <w:rsid w:val="16BA1CC2"/>
    <w:rsid w:val="16C038D7"/>
    <w:rsid w:val="16C47740"/>
    <w:rsid w:val="16C75889"/>
    <w:rsid w:val="16C971E5"/>
    <w:rsid w:val="16CB00E7"/>
    <w:rsid w:val="16CB41D9"/>
    <w:rsid w:val="16D2418D"/>
    <w:rsid w:val="16D4556F"/>
    <w:rsid w:val="16D72456"/>
    <w:rsid w:val="16DD7EFB"/>
    <w:rsid w:val="16E70C2D"/>
    <w:rsid w:val="16F96ABA"/>
    <w:rsid w:val="16FA5A3C"/>
    <w:rsid w:val="16FE02CD"/>
    <w:rsid w:val="17022BBB"/>
    <w:rsid w:val="170371DE"/>
    <w:rsid w:val="17084352"/>
    <w:rsid w:val="17147EF2"/>
    <w:rsid w:val="17171BAE"/>
    <w:rsid w:val="17181ED4"/>
    <w:rsid w:val="1718327D"/>
    <w:rsid w:val="171D2C26"/>
    <w:rsid w:val="1725573A"/>
    <w:rsid w:val="17283CE0"/>
    <w:rsid w:val="172B6939"/>
    <w:rsid w:val="173B5775"/>
    <w:rsid w:val="173C534B"/>
    <w:rsid w:val="17424826"/>
    <w:rsid w:val="17432B58"/>
    <w:rsid w:val="17440C7A"/>
    <w:rsid w:val="17595518"/>
    <w:rsid w:val="17623108"/>
    <w:rsid w:val="17681F58"/>
    <w:rsid w:val="17732C32"/>
    <w:rsid w:val="177A3FBF"/>
    <w:rsid w:val="177B48B6"/>
    <w:rsid w:val="177C1DC6"/>
    <w:rsid w:val="177F5965"/>
    <w:rsid w:val="1784342B"/>
    <w:rsid w:val="17867751"/>
    <w:rsid w:val="178A011E"/>
    <w:rsid w:val="179130B8"/>
    <w:rsid w:val="1797396E"/>
    <w:rsid w:val="17995EB7"/>
    <w:rsid w:val="17A07DB6"/>
    <w:rsid w:val="17A828E3"/>
    <w:rsid w:val="17AA6690"/>
    <w:rsid w:val="17AD3150"/>
    <w:rsid w:val="17B03CF5"/>
    <w:rsid w:val="17B252E2"/>
    <w:rsid w:val="17C156D5"/>
    <w:rsid w:val="17C35B14"/>
    <w:rsid w:val="17C7249B"/>
    <w:rsid w:val="17C77F84"/>
    <w:rsid w:val="17CA05A6"/>
    <w:rsid w:val="17D31E60"/>
    <w:rsid w:val="17DB5F2A"/>
    <w:rsid w:val="17DC2638"/>
    <w:rsid w:val="17DE56E0"/>
    <w:rsid w:val="17DF4D7E"/>
    <w:rsid w:val="17E72295"/>
    <w:rsid w:val="17EE5715"/>
    <w:rsid w:val="17EE76CB"/>
    <w:rsid w:val="17EF646B"/>
    <w:rsid w:val="17F60796"/>
    <w:rsid w:val="18023FB5"/>
    <w:rsid w:val="18035174"/>
    <w:rsid w:val="1811117B"/>
    <w:rsid w:val="182D1B13"/>
    <w:rsid w:val="18307C62"/>
    <w:rsid w:val="1837293F"/>
    <w:rsid w:val="1840599E"/>
    <w:rsid w:val="1845760B"/>
    <w:rsid w:val="18494376"/>
    <w:rsid w:val="184A536F"/>
    <w:rsid w:val="184C6E25"/>
    <w:rsid w:val="184D3881"/>
    <w:rsid w:val="185E18EB"/>
    <w:rsid w:val="185F6FDB"/>
    <w:rsid w:val="18623FA4"/>
    <w:rsid w:val="1862726F"/>
    <w:rsid w:val="18671CB9"/>
    <w:rsid w:val="186C1A0B"/>
    <w:rsid w:val="18703AAE"/>
    <w:rsid w:val="18752002"/>
    <w:rsid w:val="188113AC"/>
    <w:rsid w:val="189002D6"/>
    <w:rsid w:val="18914828"/>
    <w:rsid w:val="189B441F"/>
    <w:rsid w:val="189B7F02"/>
    <w:rsid w:val="18A65E55"/>
    <w:rsid w:val="18B10B29"/>
    <w:rsid w:val="18B359CF"/>
    <w:rsid w:val="18B66AA4"/>
    <w:rsid w:val="18BE681F"/>
    <w:rsid w:val="18CB25F9"/>
    <w:rsid w:val="18CC7662"/>
    <w:rsid w:val="18CE44B5"/>
    <w:rsid w:val="18CF006A"/>
    <w:rsid w:val="18D17DEF"/>
    <w:rsid w:val="18D561F5"/>
    <w:rsid w:val="18D6206B"/>
    <w:rsid w:val="18DA200C"/>
    <w:rsid w:val="18DE1C6B"/>
    <w:rsid w:val="18E15B2A"/>
    <w:rsid w:val="18E377D0"/>
    <w:rsid w:val="18E70AB1"/>
    <w:rsid w:val="18EA6F23"/>
    <w:rsid w:val="18ED0429"/>
    <w:rsid w:val="18ED5A94"/>
    <w:rsid w:val="18FE2D21"/>
    <w:rsid w:val="19084141"/>
    <w:rsid w:val="190C0FC6"/>
    <w:rsid w:val="19100688"/>
    <w:rsid w:val="1925378A"/>
    <w:rsid w:val="1926777A"/>
    <w:rsid w:val="192B3098"/>
    <w:rsid w:val="193103E8"/>
    <w:rsid w:val="1932670A"/>
    <w:rsid w:val="193E6932"/>
    <w:rsid w:val="19430AE5"/>
    <w:rsid w:val="194609A9"/>
    <w:rsid w:val="19494D1D"/>
    <w:rsid w:val="194F0D5B"/>
    <w:rsid w:val="1962296F"/>
    <w:rsid w:val="19637854"/>
    <w:rsid w:val="1967707E"/>
    <w:rsid w:val="196A78D2"/>
    <w:rsid w:val="19717FCF"/>
    <w:rsid w:val="19785D38"/>
    <w:rsid w:val="197B401F"/>
    <w:rsid w:val="197C6814"/>
    <w:rsid w:val="19814BFC"/>
    <w:rsid w:val="19837A31"/>
    <w:rsid w:val="19935D4B"/>
    <w:rsid w:val="199479FA"/>
    <w:rsid w:val="19991E7F"/>
    <w:rsid w:val="199E5917"/>
    <w:rsid w:val="19A07254"/>
    <w:rsid w:val="19A400E6"/>
    <w:rsid w:val="19AE4E78"/>
    <w:rsid w:val="19B96C68"/>
    <w:rsid w:val="19BA1A01"/>
    <w:rsid w:val="19BB7443"/>
    <w:rsid w:val="19BF1BEB"/>
    <w:rsid w:val="19C41209"/>
    <w:rsid w:val="19CE6B35"/>
    <w:rsid w:val="19CF4426"/>
    <w:rsid w:val="19D358DC"/>
    <w:rsid w:val="19D36C10"/>
    <w:rsid w:val="19D456E5"/>
    <w:rsid w:val="19D7043A"/>
    <w:rsid w:val="19DA0EAA"/>
    <w:rsid w:val="19DB5F77"/>
    <w:rsid w:val="19DD55F2"/>
    <w:rsid w:val="19F67B09"/>
    <w:rsid w:val="19FB75E9"/>
    <w:rsid w:val="19FE6CD2"/>
    <w:rsid w:val="1A102A8F"/>
    <w:rsid w:val="1A1055C2"/>
    <w:rsid w:val="1A177179"/>
    <w:rsid w:val="1A1A3838"/>
    <w:rsid w:val="1A1B135F"/>
    <w:rsid w:val="1A216430"/>
    <w:rsid w:val="1A234BDB"/>
    <w:rsid w:val="1A257CBD"/>
    <w:rsid w:val="1A2A2848"/>
    <w:rsid w:val="1A2C398C"/>
    <w:rsid w:val="1A300FBF"/>
    <w:rsid w:val="1A3049C8"/>
    <w:rsid w:val="1A3A5094"/>
    <w:rsid w:val="1A5A475E"/>
    <w:rsid w:val="1A734B68"/>
    <w:rsid w:val="1A757DEB"/>
    <w:rsid w:val="1A782748"/>
    <w:rsid w:val="1A7A7E33"/>
    <w:rsid w:val="1A8E3B1D"/>
    <w:rsid w:val="1A9D4D56"/>
    <w:rsid w:val="1AA03E29"/>
    <w:rsid w:val="1AA40F32"/>
    <w:rsid w:val="1AB1340C"/>
    <w:rsid w:val="1AB76F1C"/>
    <w:rsid w:val="1ABA5B9D"/>
    <w:rsid w:val="1AC1157E"/>
    <w:rsid w:val="1AC23E8C"/>
    <w:rsid w:val="1ACD25E6"/>
    <w:rsid w:val="1ADA295D"/>
    <w:rsid w:val="1AE72B6A"/>
    <w:rsid w:val="1AF745D1"/>
    <w:rsid w:val="1AFD30A3"/>
    <w:rsid w:val="1AFF445E"/>
    <w:rsid w:val="1B055BF1"/>
    <w:rsid w:val="1B0729A2"/>
    <w:rsid w:val="1B0B139C"/>
    <w:rsid w:val="1B0C05B5"/>
    <w:rsid w:val="1B0F4FEF"/>
    <w:rsid w:val="1B140FE7"/>
    <w:rsid w:val="1B1808A1"/>
    <w:rsid w:val="1B1F4211"/>
    <w:rsid w:val="1B1F4934"/>
    <w:rsid w:val="1B215C43"/>
    <w:rsid w:val="1B2E2B56"/>
    <w:rsid w:val="1B413F05"/>
    <w:rsid w:val="1B43555C"/>
    <w:rsid w:val="1B4533B3"/>
    <w:rsid w:val="1B4F587D"/>
    <w:rsid w:val="1B5352BD"/>
    <w:rsid w:val="1B5B0185"/>
    <w:rsid w:val="1B770E14"/>
    <w:rsid w:val="1B7A3696"/>
    <w:rsid w:val="1B7E5700"/>
    <w:rsid w:val="1B9556D0"/>
    <w:rsid w:val="1B9D5C45"/>
    <w:rsid w:val="1BAC0B96"/>
    <w:rsid w:val="1BAF48EB"/>
    <w:rsid w:val="1BB23224"/>
    <w:rsid w:val="1BB85FD9"/>
    <w:rsid w:val="1BBB6672"/>
    <w:rsid w:val="1BC554E6"/>
    <w:rsid w:val="1BD17048"/>
    <w:rsid w:val="1BD23C9F"/>
    <w:rsid w:val="1BD84511"/>
    <w:rsid w:val="1BE2685D"/>
    <w:rsid w:val="1BEC739F"/>
    <w:rsid w:val="1BED4D34"/>
    <w:rsid w:val="1BEE75C6"/>
    <w:rsid w:val="1BF00FB1"/>
    <w:rsid w:val="1BF63C7C"/>
    <w:rsid w:val="1BF9122C"/>
    <w:rsid w:val="1BFB0F12"/>
    <w:rsid w:val="1BFD240D"/>
    <w:rsid w:val="1C0545C6"/>
    <w:rsid w:val="1C07238A"/>
    <w:rsid w:val="1C074CF0"/>
    <w:rsid w:val="1C0C0218"/>
    <w:rsid w:val="1C0D63FD"/>
    <w:rsid w:val="1C1265A1"/>
    <w:rsid w:val="1C1510DA"/>
    <w:rsid w:val="1C193DDB"/>
    <w:rsid w:val="1C2532ED"/>
    <w:rsid w:val="1C3D47EF"/>
    <w:rsid w:val="1C4753CF"/>
    <w:rsid w:val="1C4A56A9"/>
    <w:rsid w:val="1C4E07FC"/>
    <w:rsid w:val="1C516B8F"/>
    <w:rsid w:val="1C5F4E25"/>
    <w:rsid w:val="1C700045"/>
    <w:rsid w:val="1C724E70"/>
    <w:rsid w:val="1C7D57CB"/>
    <w:rsid w:val="1C7E1C09"/>
    <w:rsid w:val="1C7F0902"/>
    <w:rsid w:val="1C7F5BD5"/>
    <w:rsid w:val="1C87428B"/>
    <w:rsid w:val="1C8C5F54"/>
    <w:rsid w:val="1C8D0545"/>
    <w:rsid w:val="1C914ADE"/>
    <w:rsid w:val="1C9849C2"/>
    <w:rsid w:val="1C9C140A"/>
    <w:rsid w:val="1CA30C03"/>
    <w:rsid w:val="1CA56A49"/>
    <w:rsid w:val="1CA91C7E"/>
    <w:rsid w:val="1CAA31F6"/>
    <w:rsid w:val="1CB16D85"/>
    <w:rsid w:val="1CB26A79"/>
    <w:rsid w:val="1CBA6463"/>
    <w:rsid w:val="1CBD352C"/>
    <w:rsid w:val="1CC37347"/>
    <w:rsid w:val="1CC932F4"/>
    <w:rsid w:val="1CCF71CB"/>
    <w:rsid w:val="1CD16F91"/>
    <w:rsid w:val="1CD77DD1"/>
    <w:rsid w:val="1CE342A1"/>
    <w:rsid w:val="1CE65B3E"/>
    <w:rsid w:val="1CE95744"/>
    <w:rsid w:val="1CF37C0D"/>
    <w:rsid w:val="1CF53A7C"/>
    <w:rsid w:val="1CF70C13"/>
    <w:rsid w:val="1CF85FB1"/>
    <w:rsid w:val="1CFE089E"/>
    <w:rsid w:val="1D0C07E4"/>
    <w:rsid w:val="1D0E2271"/>
    <w:rsid w:val="1D135315"/>
    <w:rsid w:val="1D14049C"/>
    <w:rsid w:val="1D152095"/>
    <w:rsid w:val="1D1B5757"/>
    <w:rsid w:val="1D1F67D8"/>
    <w:rsid w:val="1D2142B0"/>
    <w:rsid w:val="1D2422D8"/>
    <w:rsid w:val="1D290F5E"/>
    <w:rsid w:val="1D2D0D01"/>
    <w:rsid w:val="1D2E47A3"/>
    <w:rsid w:val="1D33501D"/>
    <w:rsid w:val="1D346707"/>
    <w:rsid w:val="1D3B37AC"/>
    <w:rsid w:val="1D3E47C1"/>
    <w:rsid w:val="1D3E6FE1"/>
    <w:rsid w:val="1D424AAF"/>
    <w:rsid w:val="1D441AF9"/>
    <w:rsid w:val="1D58265F"/>
    <w:rsid w:val="1D5B148D"/>
    <w:rsid w:val="1D5E03C2"/>
    <w:rsid w:val="1D5E1B21"/>
    <w:rsid w:val="1D6D6BB0"/>
    <w:rsid w:val="1D6E6331"/>
    <w:rsid w:val="1D7A0ECC"/>
    <w:rsid w:val="1D7C4D21"/>
    <w:rsid w:val="1D882AAC"/>
    <w:rsid w:val="1D886927"/>
    <w:rsid w:val="1D8E7BB4"/>
    <w:rsid w:val="1D914387"/>
    <w:rsid w:val="1D9B1FBD"/>
    <w:rsid w:val="1D9C1756"/>
    <w:rsid w:val="1DA100B2"/>
    <w:rsid w:val="1DA643DA"/>
    <w:rsid w:val="1DA94B63"/>
    <w:rsid w:val="1DAD3A0C"/>
    <w:rsid w:val="1DB320ED"/>
    <w:rsid w:val="1DB418AE"/>
    <w:rsid w:val="1DBA02B7"/>
    <w:rsid w:val="1DCD318E"/>
    <w:rsid w:val="1DD56637"/>
    <w:rsid w:val="1DE56DFF"/>
    <w:rsid w:val="1DEF4154"/>
    <w:rsid w:val="1DF575EF"/>
    <w:rsid w:val="1DF57DD3"/>
    <w:rsid w:val="1DF75AF2"/>
    <w:rsid w:val="1DF80A7D"/>
    <w:rsid w:val="1DF82C5A"/>
    <w:rsid w:val="1DF95D89"/>
    <w:rsid w:val="1DFF1E83"/>
    <w:rsid w:val="1E043650"/>
    <w:rsid w:val="1E044F38"/>
    <w:rsid w:val="1E13051C"/>
    <w:rsid w:val="1E267102"/>
    <w:rsid w:val="1E2A0E6F"/>
    <w:rsid w:val="1E2A187E"/>
    <w:rsid w:val="1E2A72DF"/>
    <w:rsid w:val="1E345D00"/>
    <w:rsid w:val="1E450770"/>
    <w:rsid w:val="1E4662D5"/>
    <w:rsid w:val="1E531D0C"/>
    <w:rsid w:val="1E592DCA"/>
    <w:rsid w:val="1E5D735F"/>
    <w:rsid w:val="1E5F2522"/>
    <w:rsid w:val="1E5F5AEB"/>
    <w:rsid w:val="1E677291"/>
    <w:rsid w:val="1E8E33C7"/>
    <w:rsid w:val="1E90019C"/>
    <w:rsid w:val="1E975F3A"/>
    <w:rsid w:val="1E9C57E9"/>
    <w:rsid w:val="1EB34030"/>
    <w:rsid w:val="1EB52F05"/>
    <w:rsid w:val="1EB65C7E"/>
    <w:rsid w:val="1EB73B68"/>
    <w:rsid w:val="1EBA0E80"/>
    <w:rsid w:val="1EC3599D"/>
    <w:rsid w:val="1EC52D6E"/>
    <w:rsid w:val="1EC54835"/>
    <w:rsid w:val="1EC86B3D"/>
    <w:rsid w:val="1EE74D4F"/>
    <w:rsid w:val="1EEC1E96"/>
    <w:rsid w:val="1EF17361"/>
    <w:rsid w:val="1EFC7B15"/>
    <w:rsid w:val="1EFF25E6"/>
    <w:rsid w:val="1F02270A"/>
    <w:rsid w:val="1F094F8D"/>
    <w:rsid w:val="1F0B3C98"/>
    <w:rsid w:val="1F0C1276"/>
    <w:rsid w:val="1F0D04AF"/>
    <w:rsid w:val="1F17618E"/>
    <w:rsid w:val="1F1B7A50"/>
    <w:rsid w:val="1F225257"/>
    <w:rsid w:val="1F29246F"/>
    <w:rsid w:val="1F2C132E"/>
    <w:rsid w:val="1F440EC0"/>
    <w:rsid w:val="1F4A6434"/>
    <w:rsid w:val="1F4D64D2"/>
    <w:rsid w:val="1F4D6EAE"/>
    <w:rsid w:val="1F573DC7"/>
    <w:rsid w:val="1F596132"/>
    <w:rsid w:val="1F5A0233"/>
    <w:rsid w:val="1F613AC0"/>
    <w:rsid w:val="1F6C1D3C"/>
    <w:rsid w:val="1F727B04"/>
    <w:rsid w:val="1F751BB6"/>
    <w:rsid w:val="1F7924B4"/>
    <w:rsid w:val="1F7F0325"/>
    <w:rsid w:val="1F9064EF"/>
    <w:rsid w:val="1F960F0D"/>
    <w:rsid w:val="1F9869D3"/>
    <w:rsid w:val="1F996FAD"/>
    <w:rsid w:val="1F9D4DB4"/>
    <w:rsid w:val="1FA33C17"/>
    <w:rsid w:val="1FAC0EF5"/>
    <w:rsid w:val="1FB33769"/>
    <w:rsid w:val="1FB84D30"/>
    <w:rsid w:val="1FC07F7C"/>
    <w:rsid w:val="1FD35176"/>
    <w:rsid w:val="1FD572DD"/>
    <w:rsid w:val="1FD75D28"/>
    <w:rsid w:val="1FDF183F"/>
    <w:rsid w:val="1FE54130"/>
    <w:rsid w:val="1FED160C"/>
    <w:rsid w:val="1FF42D9C"/>
    <w:rsid w:val="1FF93E17"/>
    <w:rsid w:val="1FFE5EC3"/>
    <w:rsid w:val="2000337C"/>
    <w:rsid w:val="200B2440"/>
    <w:rsid w:val="20126063"/>
    <w:rsid w:val="20135C46"/>
    <w:rsid w:val="20146080"/>
    <w:rsid w:val="20164DE2"/>
    <w:rsid w:val="20226140"/>
    <w:rsid w:val="20230F07"/>
    <w:rsid w:val="20233C33"/>
    <w:rsid w:val="202809B9"/>
    <w:rsid w:val="202C2907"/>
    <w:rsid w:val="202D4CCB"/>
    <w:rsid w:val="202E0B16"/>
    <w:rsid w:val="20311AD4"/>
    <w:rsid w:val="20347A65"/>
    <w:rsid w:val="203F6880"/>
    <w:rsid w:val="20437EAB"/>
    <w:rsid w:val="204F6E3A"/>
    <w:rsid w:val="205031CD"/>
    <w:rsid w:val="205528C2"/>
    <w:rsid w:val="205A7359"/>
    <w:rsid w:val="20602C18"/>
    <w:rsid w:val="206910CE"/>
    <w:rsid w:val="206C240C"/>
    <w:rsid w:val="206F7D26"/>
    <w:rsid w:val="20730E31"/>
    <w:rsid w:val="20770154"/>
    <w:rsid w:val="208038C8"/>
    <w:rsid w:val="2082385C"/>
    <w:rsid w:val="208A7FF7"/>
    <w:rsid w:val="20972E2C"/>
    <w:rsid w:val="20980B1A"/>
    <w:rsid w:val="209F02CD"/>
    <w:rsid w:val="20A11544"/>
    <w:rsid w:val="20A54E41"/>
    <w:rsid w:val="20AD4184"/>
    <w:rsid w:val="20B306E7"/>
    <w:rsid w:val="20B76B6E"/>
    <w:rsid w:val="20B90F30"/>
    <w:rsid w:val="20BA4366"/>
    <w:rsid w:val="20C86C10"/>
    <w:rsid w:val="20CE4C82"/>
    <w:rsid w:val="20D004EF"/>
    <w:rsid w:val="20D24102"/>
    <w:rsid w:val="20E701EC"/>
    <w:rsid w:val="20FF2A95"/>
    <w:rsid w:val="2100229F"/>
    <w:rsid w:val="210510F7"/>
    <w:rsid w:val="2109195F"/>
    <w:rsid w:val="210F53C1"/>
    <w:rsid w:val="21181FA0"/>
    <w:rsid w:val="212158CE"/>
    <w:rsid w:val="21226E3A"/>
    <w:rsid w:val="212B3A2F"/>
    <w:rsid w:val="2136212A"/>
    <w:rsid w:val="213D1C59"/>
    <w:rsid w:val="21465627"/>
    <w:rsid w:val="21472F58"/>
    <w:rsid w:val="214C2D4F"/>
    <w:rsid w:val="21505470"/>
    <w:rsid w:val="2154799E"/>
    <w:rsid w:val="215A222C"/>
    <w:rsid w:val="21633122"/>
    <w:rsid w:val="216B3176"/>
    <w:rsid w:val="21713E74"/>
    <w:rsid w:val="21812CCB"/>
    <w:rsid w:val="21886BFD"/>
    <w:rsid w:val="218E390E"/>
    <w:rsid w:val="21A2076F"/>
    <w:rsid w:val="21A8698B"/>
    <w:rsid w:val="21AD5223"/>
    <w:rsid w:val="21AE4DC9"/>
    <w:rsid w:val="21BF38E2"/>
    <w:rsid w:val="21C5435F"/>
    <w:rsid w:val="21C762C9"/>
    <w:rsid w:val="21CC2BCE"/>
    <w:rsid w:val="21CC6E7A"/>
    <w:rsid w:val="21CE4FCA"/>
    <w:rsid w:val="21D06ED2"/>
    <w:rsid w:val="21D17C97"/>
    <w:rsid w:val="21DC018A"/>
    <w:rsid w:val="21DC620D"/>
    <w:rsid w:val="21DD0DC5"/>
    <w:rsid w:val="21DF6E90"/>
    <w:rsid w:val="21E27BA6"/>
    <w:rsid w:val="21E35C7D"/>
    <w:rsid w:val="21EF1D37"/>
    <w:rsid w:val="21FE4E8B"/>
    <w:rsid w:val="22162717"/>
    <w:rsid w:val="22167D4C"/>
    <w:rsid w:val="22170932"/>
    <w:rsid w:val="22224691"/>
    <w:rsid w:val="22277EEC"/>
    <w:rsid w:val="22315F6D"/>
    <w:rsid w:val="22361E75"/>
    <w:rsid w:val="22444B4C"/>
    <w:rsid w:val="22492A29"/>
    <w:rsid w:val="22554B3D"/>
    <w:rsid w:val="225D445D"/>
    <w:rsid w:val="225F49D8"/>
    <w:rsid w:val="2263659F"/>
    <w:rsid w:val="22642A00"/>
    <w:rsid w:val="22674530"/>
    <w:rsid w:val="226B3B74"/>
    <w:rsid w:val="227A7C7E"/>
    <w:rsid w:val="227D04C1"/>
    <w:rsid w:val="22992A8D"/>
    <w:rsid w:val="229A7176"/>
    <w:rsid w:val="22A04518"/>
    <w:rsid w:val="22A34ED5"/>
    <w:rsid w:val="22A557D5"/>
    <w:rsid w:val="22A719E1"/>
    <w:rsid w:val="22AC58FB"/>
    <w:rsid w:val="22B362BF"/>
    <w:rsid w:val="22C7182C"/>
    <w:rsid w:val="22D04BB0"/>
    <w:rsid w:val="22E402A5"/>
    <w:rsid w:val="22E715EC"/>
    <w:rsid w:val="22E744D4"/>
    <w:rsid w:val="22EA1511"/>
    <w:rsid w:val="22EA55A7"/>
    <w:rsid w:val="22EC763C"/>
    <w:rsid w:val="22ED5B93"/>
    <w:rsid w:val="22EF4281"/>
    <w:rsid w:val="22F17119"/>
    <w:rsid w:val="22F32069"/>
    <w:rsid w:val="22F34277"/>
    <w:rsid w:val="22F60B78"/>
    <w:rsid w:val="22F92429"/>
    <w:rsid w:val="22F964C1"/>
    <w:rsid w:val="22F97D63"/>
    <w:rsid w:val="22FC2640"/>
    <w:rsid w:val="22FD19DF"/>
    <w:rsid w:val="2302156A"/>
    <w:rsid w:val="23100DE0"/>
    <w:rsid w:val="2319267D"/>
    <w:rsid w:val="231B1D19"/>
    <w:rsid w:val="231B551F"/>
    <w:rsid w:val="231C5BAA"/>
    <w:rsid w:val="231E0748"/>
    <w:rsid w:val="232726A8"/>
    <w:rsid w:val="23282771"/>
    <w:rsid w:val="232E3EB1"/>
    <w:rsid w:val="23347D36"/>
    <w:rsid w:val="233A7F01"/>
    <w:rsid w:val="2344794B"/>
    <w:rsid w:val="23466EC1"/>
    <w:rsid w:val="235166AF"/>
    <w:rsid w:val="235B0B0C"/>
    <w:rsid w:val="236331CD"/>
    <w:rsid w:val="23690883"/>
    <w:rsid w:val="23697B20"/>
    <w:rsid w:val="23705B61"/>
    <w:rsid w:val="237118FA"/>
    <w:rsid w:val="23751E14"/>
    <w:rsid w:val="23752F24"/>
    <w:rsid w:val="2377669D"/>
    <w:rsid w:val="237B721A"/>
    <w:rsid w:val="23832764"/>
    <w:rsid w:val="238E1E7F"/>
    <w:rsid w:val="23934957"/>
    <w:rsid w:val="23946417"/>
    <w:rsid w:val="23965C62"/>
    <w:rsid w:val="239A5B1E"/>
    <w:rsid w:val="23AD584B"/>
    <w:rsid w:val="23AF3EFE"/>
    <w:rsid w:val="23B35DD3"/>
    <w:rsid w:val="23B63C6B"/>
    <w:rsid w:val="23B674CC"/>
    <w:rsid w:val="23BA7C4E"/>
    <w:rsid w:val="23D15136"/>
    <w:rsid w:val="23DE2E3C"/>
    <w:rsid w:val="23DE58D7"/>
    <w:rsid w:val="23F511B0"/>
    <w:rsid w:val="23FB5310"/>
    <w:rsid w:val="24052B58"/>
    <w:rsid w:val="240817D7"/>
    <w:rsid w:val="240829B9"/>
    <w:rsid w:val="240D18DC"/>
    <w:rsid w:val="240D74E6"/>
    <w:rsid w:val="240F77D9"/>
    <w:rsid w:val="24117FF5"/>
    <w:rsid w:val="24122F58"/>
    <w:rsid w:val="241B0D9D"/>
    <w:rsid w:val="241E4B04"/>
    <w:rsid w:val="242650CD"/>
    <w:rsid w:val="24283C1B"/>
    <w:rsid w:val="242C3B6A"/>
    <w:rsid w:val="242E566B"/>
    <w:rsid w:val="24315224"/>
    <w:rsid w:val="243674C1"/>
    <w:rsid w:val="243A3723"/>
    <w:rsid w:val="244209B7"/>
    <w:rsid w:val="244D65B8"/>
    <w:rsid w:val="244E54E2"/>
    <w:rsid w:val="24517F3A"/>
    <w:rsid w:val="24547947"/>
    <w:rsid w:val="2456037A"/>
    <w:rsid w:val="24570AB6"/>
    <w:rsid w:val="246368BD"/>
    <w:rsid w:val="246F6D5B"/>
    <w:rsid w:val="24716C4C"/>
    <w:rsid w:val="247609FF"/>
    <w:rsid w:val="24764CE6"/>
    <w:rsid w:val="247F392A"/>
    <w:rsid w:val="24843805"/>
    <w:rsid w:val="24BE3012"/>
    <w:rsid w:val="24BE3A1D"/>
    <w:rsid w:val="24BE41F3"/>
    <w:rsid w:val="24CB3D84"/>
    <w:rsid w:val="24D65CC2"/>
    <w:rsid w:val="24DD7A43"/>
    <w:rsid w:val="24DE08C2"/>
    <w:rsid w:val="24DE4E98"/>
    <w:rsid w:val="24E0567E"/>
    <w:rsid w:val="24EA599B"/>
    <w:rsid w:val="24ED2572"/>
    <w:rsid w:val="24EE5BEE"/>
    <w:rsid w:val="24FD3CAF"/>
    <w:rsid w:val="24FF6206"/>
    <w:rsid w:val="2505077C"/>
    <w:rsid w:val="250B212A"/>
    <w:rsid w:val="250D155D"/>
    <w:rsid w:val="250D5B3F"/>
    <w:rsid w:val="250E5B68"/>
    <w:rsid w:val="25112DB1"/>
    <w:rsid w:val="251507B2"/>
    <w:rsid w:val="25165E7C"/>
    <w:rsid w:val="251D3D77"/>
    <w:rsid w:val="25204394"/>
    <w:rsid w:val="25234C52"/>
    <w:rsid w:val="25302DED"/>
    <w:rsid w:val="25342CFE"/>
    <w:rsid w:val="25356C92"/>
    <w:rsid w:val="253A2C80"/>
    <w:rsid w:val="253C648B"/>
    <w:rsid w:val="254554E2"/>
    <w:rsid w:val="25463002"/>
    <w:rsid w:val="25480708"/>
    <w:rsid w:val="255523F4"/>
    <w:rsid w:val="255F350C"/>
    <w:rsid w:val="2560647E"/>
    <w:rsid w:val="25641B14"/>
    <w:rsid w:val="2575264B"/>
    <w:rsid w:val="25785A39"/>
    <w:rsid w:val="257B7248"/>
    <w:rsid w:val="257F7CF4"/>
    <w:rsid w:val="2584511A"/>
    <w:rsid w:val="258B3415"/>
    <w:rsid w:val="258C5E63"/>
    <w:rsid w:val="259A184E"/>
    <w:rsid w:val="259A6568"/>
    <w:rsid w:val="25A37FFA"/>
    <w:rsid w:val="25A70E44"/>
    <w:rsid w:val="25AE24B3"/>
    <w:rsid w:val="25B21CB9"/>
    <w:rsid w:val="25BA3008"/>
    <w:rsid w:val="25CB19A7"/>
    <w:rsid w:val="25D10CAB"/>
    <w:rsid w:val="25D602AD"/>
    <w:rsid w:val="25D70288"/>
    <w:rsid w:val="25D81D89"/>
    <w:rsid w:val="25D93504"/>
    <w:rsid w:val="25DA4441"/>
    <w:rsid w:val="25DA6838"/>
    <w:rsid w:val="25E11FA7"/>
    <w:rsid w:val="25F74D14"/>
    <w:rsid w:val="25F85611"/>
    <w:rsid w:val="25FC5FF5"/>
    <w:rsid w:val="25FD0B72"/>
    <w:rsid w:val="2616563E"/>
    <w:rsid w:val="26214B85"/>
    <w:rsid w:val="2626537F"/>
    <w:rsid w:val="262B1A74"/>
    <w:rsid w:val="262B3A8D"/>
    <w:rsid w:val="263F5091"/>
    <w:rsid w:val="264B614D"/>
    <w:rsid w:val="2650098C"/>
    <w:rsid w:val="265869A4"/>
    <w:rsid w:val="265C541F"/>
    <w:rsid w:val="265E4567"/>
    <w:rsid w:val="26652515"/>
    <w:rsid w:val="26660CC8"/>
    <w:rsid w:val="2667298E"/>
    <w:rsid w:val="266A16A4"/>
    <w:rsid w:val="266D6B23"/>
    <w:rsid w:val="267317D1"/>
    <w:rsid w:val="2677613E"/>
    <w:rsid w:val="26794017"/>
    <w:rsid w:val="268431F3"/>
    <w:rsid w:val="268513B8"/>
    <w:rsid w:val="268777A1"/>
    <w:rsid w:val="26931EBE"/>
    <w:rsid w:val="269E2B2F"/>
    <w:rsid w:val="269F1099"/>
    <w:rsid w:val="26A1791B"/>
    <w:rsid w:val="26A4360A"/>
    <w:rsid w:val="26AC1839"/>
    <w:rsid w:val="26AD5F3F"/>
    <w:rsid w:val="26B40B71"/>
    <w:rsid w:val="26B755BD"/>
    <w:rsid w:val="26B81BB2"/>
    <w:rsid w:val="26C01112"/>
    <w:rsid w:val="26C03072"/>
    <w:rsid w:val="26C568DA"/>
    <w:rsid w:val="26D46677"/>
    <w:rsid w:val="26D503DA"/>
    <w:rsid w:val="26D60DDD"/>
    <w:rsid w:val="26D9351A"/>
    <w:rsid w:val="26E14378"/>
    <w:rsid w:val="26EC19FC"/>
    <w:rsid w:val="26EC5FA2"/>
    <w:rsid w:val="26F6419B"/>
    <w:rsid w:val="26FA190F"/>
    <w:rsid w:val="27067EC2"/>
    <w:rsid w:val="27086AFF"/>
    <w:rsid w:val="270A7089"/>
    <w:rsid w:val="27125A32"/>
    <w:rsid w:val="271675AA"/>
    <w:rsid w:val="271C4089"/>
    <w:rsid w:val="272558D5"/>
    <w:rsid w:val="272705D4"/>
    <w:rsid w:val="272775DA"/>
    <w:rsid w:val="27301365"/>
    <w:rsid w:val="27315FED"/>
    <w:rsid w:val="27344F37"/>
    <w:rsid w:val="273707A4"/>
    <w:rsid w:val="273A1825"/>
    <w:rsid w:val="273B76E6"/>
    <w:rsid w:val="273C1CED"/>
    <w:rsid w:val="273F2418"/>
    <w:rsid w:val="27444ECD"/>
    <w:rsid w:val="27582C97"/>
    <w:rsid w:val="27585D1F"/>
    <w:rsid w:val="27586AE6"/>
    <w:rsid w:val="275A7F68"/>
    <w:rsid w:val="275F5ADF"/>
    <w:rsid w:val="27603F1B"/>
    <w:rsid w:val="27626078"/>
    <w:rsid w:val="27656FD6"/>
    <w:rsid w:val="276613AE"/>
    <w:rsid w:val="276849E3"/>
    <w:rsid w:val="2771492D"/>
    <w:rsid w:val="27811F6E"/>
    <w:rsid w:val="278201C4"/>
    <w:rsid w:val="27851F7A"/>
    <w:rsid w:val="278B07A6"/>
    <w:rsid w:val="27900D1A"/>
    <w:rsid w:val="27905A1E"/>
    <w:rsid w:val="27992D95"/>
    <w:rsid w:val="27A134FA"/>
    <w:rsid w:val="27A3684C"/>
    <w:rsid w:val="27A607E7"/>
    <w:rsid w:val="27AE0F3B"/>
    <w:rsid w:val="27B13F0E"/>
    <w:rsid w:val="27B31E2B"/>
    <w:rsid w:val="27B72543"/>
    <w:rsid w:val="27B76B15"/>
    <w:rsid w:val="27B817BE"/>
    <w:rsid w:val="27BC76DA"/>
    <w:rsid w:val="27C138E3"/>
    <w:rsid w:val="27C37C33"/>
    <w:rsid w:val="27C71C34"/>
    <w:rsid w:val="27D17500"/>
    <w:rsid w:val="27DC656A"/>
    <w:rsid w:val="27DF1C1D"/>
    <w:rsid w:val="27DF39F9"/>
    <w:rsid w:val="27E61E92"/>
    <w:rsid w:val="27E93B6C"/>
    <w:rsid w:val="27F068BA"/>
    <w:rsid w:val="27FA68F3"/>
    <w:rsid w:val="27FC6A93"/>
    <w:rsid w:val="28041684"/>
    <w:rsid w:val="280478D6"/>
    <w:rsid w:val="280B661D"/>
    <w:rsid w:val="280C58D0"/>
    <w:rsid w:val="28116DEB"/>
    <w:rsid w:val="281F39ED"/>
    <w:rsid w:val="282548AA"/>
    <w:rsid w:val="28254914"/>
    <w:rsid w:val="28280C8A"/>
    <w:rsid w:val="28285E8E"/>
    <w:rsid w:val="282C77FC"/>
    <w:rsid w:val="28311661"/>
    <w:rsid w:val="283C695C"/>
    <w:rsid w:val="284448C8"/>
    <w:rsid w:val="284B358C"/>
    <w:rsid w:val="284F7C91"/>
    <w:rsid w:val="285253E7"/>
    <w:rsid w:val="285F7361"/>
    <w:rsid w:val="28646F10"/>
    <w:rsid w:val="286A47B7"/>
    <w:rsid w:val="286B100F"/>
    <w:rsid w:val="286B3F61"/>
    <w:rsid w:val="2877097D"/>
    <w:rsid w:val="28794089"/>
    <w:rsid w:val="288F719F"/>
    <w:rsid w:val="28931F5B"/>
    <w:rsid w:val="28937B7E"/>
    <w:rsid w:val="28940677"/>
    <w:rsid w:val="28984870"/>
    <w:rsid w:val="289C1C2F"/>
    <w:rsid w:val="28A560A2"/>
    <w:rsid w:val="28A82C7F"/>
    <w:rsid w:val="28AE5BCB"/>
    <w:rsid w:val="28B40D95"/>
    <w:rsid w:val="28BA6C88"/>
    <w:rsid w:val="28BC26EB"/>
    <w:rsid w:val="28C0001A"/>
    <w:rsid w:val="28CF1DC6"/>
    <w:rsid w:val="28D244D3"/>
    <w:rsid w:val="28D459DB"/>
    <w:rsid w:val="28DE6610"/>
    <w:rsid w:val="28E149A5"/>
    <w:rsid w:val="28E675FC"/>
    <w:rsid w:val="28EB7DFC"/>
    <w:rsid w:val="28F547F0"/>
    <w:rsid w:val="28FC0757"/>
    <w:rsid w:val="2900704B"/>
    <w:rsid w:val="29041A0C"/>
    <w:rsid w:val="29116EA9"/>
    <w:rsid w:val="291C67E9"/>
    <w:rsid w:val="291F269B"/>
    <w:rsid w:val="292F1663"/>
    <w:rsid w:val="2944700D"/>
    <w:rsid w:val="29462EE7"/>
    <w:rsid w:val="29493022"/>
    <w:rsid w:val="294E0B4A"/>
    <w:rsid w:val="294F4DAC"/>
    <w:rsid w:val="2955184A"/>
    <w:rsid w:val="295556C8"/>
    <w:rsid w:val="29585880"/>
    <w:rsid w:val="296502D2"/>
    <w:rsid w:val="2968054E"/>
    <w:rsid w:val="296C1258"/>
    <w:rsid w:val="296C49FD"/>
    <w:rsid w:val="29716E20"/>
    <w:rsid w:val="29722307"/>
    <w:rsid w:val="29775E7B"/>
    <w:rsid w:val="2984185F"/>
    <w:rsid w:val="29912653"/>
    <w:rsid w:val="299131D4"/>
    <w:rsid w:val="29930CB2"/>
    <w:rsid w:val="299501D6"/>
    <w:rsid w:val="29971EFB"/>
    <w:rsid w:val="299A41C5"/>
    <w:rsid w:val="299C6AA1"/>
    <w:rsid w:val="29A95573"/>
    <w:rsid w:val="29AD7CA1"/>
    <w:rsid w:val="29AF3660"/>
    <w:rsid w:val="29B118F8"/>
    <w:rsid w:val="29BF40C0"/>
    <w:rsid w:val="29C037C1"/>
    <w:rsid w:val="29C16846"/>
    <w:rsid w:val="29C565CD"/>
    <w:rsid w:val="29C75848"/>
    <w:rsid w:val="29C97667"/>
    <w:rsid w:val="29D02DF4"/>
    <w:rsid w:val="29D367CD"/>
    <w:rsid w:val="29D46561"/>
    <w:rsid w:val="29D55BD4"/>
    <w:rsid w:val="29DD29B3"/>
    <w:rsid w:val="29DD3B02"/>
    <w:rsid w:val="29E5087D"/>
    <w:rsid w:val="29EE5842"/>
    <w:rsid w:val="29EE59E6"/>
    <w:rsid w:val="29F24512"/>
    <w:rsid w:val="29FB632F"/>
    <w:rsid w:val="29FE7B47"/>
    <w:rsid w:val="2A032A3E"/>
    <w:rsid w:val="2A093608"/>
    <w:rsid w:val="2A1A1FC1"/>
    <w:rsid w:val="2A1C1E50"/>
    <w:rsid w:val="2A1E3AB6"/>
    <w:rsid w:val="2A1E5F3B"/>
    <w:rsid w:val="2A1F209F"/>
    <w:rsid w:val="2A2226D5"/>
    <w:rsid w:val="2A285100"/>
    <w:rsid w:val="2A2A5E9F"/>
    <w:rsid w:val="2A2E1528"/>
    <w:rsid w:val="2A2E7742"/>
    <w:rsid w:val="2A3144D6"/>
    <w:rsid w:val="2A3425D2"/>
    <w:rsid w:val="2A355AAF"/>
    <w:rsid w:val="2A3D5A1A"/>
    <w:rsid w:val="2A481C9F"/>
    <w:rsid w:val="2A4F070F"/>
    <w:rsid w:val="2A4F46A4"/>
    <w:rsid w:val="2A532F4F"/>
    <w:rsid w:val="2A5352DB"/>
    <w:rsid w:val="2A550257"/>
    <w:rsid w:val="2A583596"/>
    <w:rsid w:val="2A5868C5"/>
    <w:rsid w:val="2A6C3AF1"/>
    <w:rsid w:val="2A723B52"/>
    <w:rsid w:val="2A7439C8"/>
    <w:rsid w:val="2A7C14B8"/>
    <w:rsid w:val="2A825A2D"/>
    <w:rsid w:val="2A9E13BF"/>
    <w:rsid w:val="2AA4729F"/>
    <w:rsid w:val="2AA7042F"/>
    <w:rsid w:val="2AAB50E4"/>
    <w:rsid w:val="2AAD75B8"/>
    <w:rsid w:val="2AB34561"/>
    <w:rsid w:val="2ABE3597"/>
    <w:rsid w:val="2AC17979"/>
    <w:rsid w:val="2AC17DA6"/>
    <w:rsid w:val="2ACA1DEC"/>
    <w:rsid w:val="2AD10BAE"/>
    <w:rsid w:val="2ADC639A"/>
    <w:rsid w:val="2ADD1B3A"/>
    <w:rsid w:val="2ADD4E50"/>
    <w:rsid w:val="2ADD5145"/>
    <w:rsid w:val="2ADF6EBF"/>
    <w:rsid w:val="2AE1144F"/>
    <w:rsid w:val="2AEE4C68"/>
    <w:rsid w:val="2AF22497"/>
    <w:rsid w:val="2AF757C9"/>
    <w:rsid w:val="2AF80B65"/>
    <w:rsid w:val="2AFC7AFF"/>
    <w:rsid w:val="2AFD283D"/>
    <w:rsid w:val="2AFF0A9F"/>
    <w:rsid w:val="2B0650C2"/>
    <w:rsid w:val="2B0B2151"/>
    <w:rsid w:val="2B0B21F7"/>
    <w:rsid w:val="2B111209"/>
    <w:rsid w:val="2B132512"/>
    <w:rsid w:val="2B177C4E"/>
    <w:rsid w:val="2B337A0B"/>
    <w:rsid w:val="2B365CD6"/>
    <w:rsid w:val="2B3677B7"/>
    <w:rsid w:val="2B373BB2"/>
    <w:rsid w:val="2B481A81"/>
    <w:rsid w:val="2B511016"/>
    <w:rsid w:val="2B523177"/>
    <w:rsid w:val="2B585F39"/>
    <w:rsid w:val="2B68767C"/>
    <w:rsid w:val="2B6A3403"/>
    <w:rsid w:val="2B6D2D40"/>
    <w:rsid w:val="2B6E7E65"/>
    <w:rsid w:val="2B7A5CDD"/>
    <w:rsid w:val="2B7F75E8"/>
    <w:rsid w:val="2B8561E8"/>
    <w:rsid w:val="2B8C31C8"/>
    <w:rsid w:val="2B8D15FD"/>
    <w:rsid w:val="2B8D7C37"/>
    <w:rsid w:val="2BA02B8C"/>
    <w:rsid w:val="2BA62BA2"/>
    <w:rsid w:val="2BA6616E"/>
    <w:rsid w:val="2BB2723A"/>
    <w:rsid w:val="2BB30FC0"/>
    <w:rsid w:val="2BBF5714"/>
    <w:rsid w:val="2BCF1023"/>
    <w:rsid w:val="2BD004B1"/>
    <w:rsid w:val="2BDC3DDC"/>
    <w:rsid w:val="2BDD37E8"/>
    <w:rsid w:val="2BE5134F"/>
    <w:rsid w:val="2BEB0A3C"/>
    <w:rsid w:val="2BF528D4"/>
    <w:rsid w:val="2BF67536"/>
    <w:rsid w:val="2BFD1A6B"/>
    <w:rsid w:val="2C051D7B"/>
    <w:rsid w:val="2C076EED"/>
    <w:rsid w:val="2C0B07F0"/>
    <w:rsid w:val="2C1C45E5"/>
    <w:rsid w:val="2C1D7DAB"/>
    <w:rsid w:val="2C275941"/>
    <w:rsid w:val="2C2B6C39"/>
    <w:rsid w:val="2C2C2194"/>
    <w:rsid w:val="2C2D0071"/>
    <w:rsid w:val="2C333DF3"/>
    <w:rsid w:val="2C356C38"/>
    <w:rsid w:val="2C3715A5"/>
    <w:rsid w:val="2C372E68"/>
    <w:rsid w:val="2C3E7FA8"/>
    <w:rsid w:val="2C455BAE"/>
    <w:rsid w:val="2C471AC0"/>
    <w:rsid w:val="2C5960B0"/>
    <w:rsid w:val="2C605A3B"/>
    <w:rsid w:val="2C6A6548"/>
    <w:rsid w:val="2C7274C8"/>
    <w:rsid w:val="2C766629"/>
    <w:rsid w:val="2C7F752B"/>
    <w:rsid w:val="2C85496B"/>
    <w:rsid w:val="2C88432A"/>
    <w:rsid w:val="2C916869"/>
    <w:rsid w:val="2C945D12"/>
    <w:rsid w:val="2C9C35D5"/>
    <w:rsid w:val="2CA1176D"/>
    <w:rsid w:val="2CA52587"/>
    <w:rsid w:val="2CA615FA"/>
    <w:rsid w:val="2CAA3002"/>
    <w:rsid w:val="2CAA5FD5"/>
    <w:rsid w:val="2CAE0E69"/>
    <w:rsid w:val="2CB245D5"/>
    <w:rsid w:val="2CBA2045"/>
    <w:rsid w:val="2CBB52A1"/>
    <w:rsid w:val="2CC84F88"/>
    <w:rsid w:val="2CD03175"/>
    <w:rsid w:val="2CD223B8"/>
    <w:rsid w:val="2CDB6FC1"/>
    <w:rsid w:val="2CDC6B2E"/>
    <w:rsid w:val="2CE33517"/>
    <w:rsid w:val="2CE36DAF"/>
    <w:rsid w:val="2CE90735"/>
    <w:rsid w:val="2CF62E34"/>
    <w:rsid w:val="2CF93F94"/>
    <w:rsid w:val="2CFC7933"/>
    <w:rsid w:val="2CFD677B"/>
    <w:rsid w:val="2D03374A"/>
    <w:rsid w:val="2D053EF4"/>
    <w:rsid w:val="2D092F21"/>
    <w:rsid w:val="2D0A6A66"/>
    <w:rsid w:val="2D0B1F24"/>
    <w:rsid w:val="2D0B5263"/>
    <w:rsid w:val="2D0E684D"/>
    <w:rsid w:val="2D0F15F2"/>
    <w:rsid w:val="2D132C59"/>
    <w:rsid w:val="2D155A9A"/>
    <w:rsid w:val="2D157B0F"/>
    <w:rsid w:val="2D221203"/>
    <w:rsid w:val="2D2D1733"/>
    <w:rsid w:val="2D2E21D2"/>
    <w:rsid w:val="2D300B25"/>
    <w:rsid w:val="2D313CFE"/>
    <w:rsid w:val="2D321E93"/>
    <w:rsid w:val="2D347C6D"/>
    <w:rsid w:val="2D3636EF"/>
    <w:rsid w:val="2D3C04AB"/>
    <w:rsid w:val="2D3D4D8E"/>
    <w:rsid w:val="2D445A1A"/>
    <w:rsid w:val="2D482536"/>
    <w:rsid w:val="2D4F75DC"/>
    <w:rsid w:val="2D5F2FE6"/>
    <w:rsid w:val="2D6076A2"/>
    <w:rsid w:val="2D655B20"/>
    <w:rsid w:val="2D694192"/>
    <w:rsid w:val="2D774492"/>
    <w:rsid w:val="2D855015"/>
    <w:rsid w:val="2D892A94"/>
    <w:rsid w:val="2D8A0AE1"/>
    <w:rsid w:val="2D8C5C2A"/>
    <w:rsid w:val="2D922E47"/>
    <w:rsid w:val="2D92371F"/>
    <w:rsid w:val="2D9C0328"/>
    <w:rsid w:val="2DA726AB"/>
    <w:rsid w:val="2DB06018"/>
    <w:rsid w:val="2DB0646B"/>
    <w:rsid w:val="2DBB0A37"/>
    <w:rsid w:val="2DC8433B"/>
    <w:rsid w:val="2DCA4E69"/>
    <w:rsid w:val="2DD422A8"/>
    <w:rsid w:val="2DDA5B18"/>
    <w:rsid w:val="2DE67997"/>
    <w:rsid w:val="2DEE0854"/>
    <w:rsid w:val="2DEF215C"/>
    <w:rsid w:val="2DEF5D4E"/>
    <w:rsid w:val="2DF553BF"/>
    <w:rsid w:val="2E043EA4"/>
    <w:rsid w:val="2E076B5B"/>
    <w:rsid w:val="2E0A5CB5"/>
    <w:rsid w:val="2E1256C7"/>
    <w:rsid w:val="2E152218"/>
    <w:rsid w:val="2E154B39"/>
    <w:rsid w:val="2E1A7028"/>
    <w:rsid w:val="2E1D0D84"/>
    <w:rsid w:val="2E1E0BEC"/>
    <w:rsid w:val="2E264F33"/>
    <w:rsid w:val="2E281823"/>
    <w:rsid w:val="2E340A72"/>
    <w:rsid w:val="2E35127A"/>
    <w:rsid w:val="2E373AAB"/>
    <w:rsid w:val="2E3A7435"/>
    <w:rsid w:val="2E47102D"/>
    <w:rsid w:val="2E5B45F4"/>
    <w:rsid w:val="2E68555B"/>
    <w:rsid w:val="2E702D59"/>
    <w:rsid w:val="2E712DB5"/>
    <w:rsid w:val="2E714D1C"/>
    <w:rsid w:val="2E720A72"/>
    <w:rsid w:val="2E72709C"/>
    <w:rsid w:val="2E755FF0"/>
    <w:rsid w:val="2E76222C"/>
    <w:rsid w:val="2E794E73"/>
    <w:rsid w:val="2E79603F"/>
    <w:rsid w:val="2E7C2469"/>
    <w:rsid w:val="2E85415E"/>
    <w:rsid w:val="2E883573"/>
    <w:rsid w:val="2E884DBD"/>
    <w:rsid w:val="2E896CB4"/>
    <w:rsid w:val="2E90289C"/>
    <w:rsid w:val="2E9061AF"/>
    <w:rsid w:val="2EA001C7"/>
    <w:rsid w:val="2EA8559A"/>
    <w:rsid w:val="2EB5410D"/>
    <w:rsid w:val="2EB82C83"/>
    <w:rsid w:val="2EC17435"/>
    <w:rsid w:val="2EC73F07"/>
    <w:rsid w:val="2EC940E1"/>
    <w:rsid w:val="2ECC4FF2"/>
    <w:rsid w:val="2ED71D17"/>
    <w:rsid w:val="2EDB2254"/>
    <w:rsid w:val="2EDE4677"/>
    <w:rsid w:val="2EE109EB"/>
    <w:rsid w:val="2EEA62EC"/>
    <w:rsid w:val="2EF11C3C"/>
    <w:rsid w:val="2EF17918"/>
    <w:rsid w:val="2EF60AA3"/>
    <w:rsid w:val="2EF76A81"/>
    <w:rsid w:val="2EFA0987"/>
    <w:rsid w:val="2EFC1307"/>
    <w:rsid w:val="2F002183"/>
    <w:rsid w:val="2F013F8B"/>
    <w:rsid w:val="2F0E73C1"/>
    <w:rsid w:val="2F100B1A"/>
    <w:rsid w:val="2F10534F"/>
    <w:rsid w:val="2F122F82"/>
    <w:rsid w:val="2F134DAF"/>
    <w:rsid w:val="2F1A7C9D"/>
    <w:rsid w:val="2F1E5E31"/>
    <w:rsid w:val="2F2101C0"/>
    <w:rsid w:val="2F267730"/>
    <w:rsid w:val="2F2B1C35"/>
    <w:rsid w:val="2F2D482A"/>
    <w:rsid w:val="2F2E425C"/>
    <w:rsid w:val="2F3915C8"/>
    <w:rsid w:val="2F421912"/>
    <w:rsid w:val="2F443642"/>
    <w:rsid w:val="2F4B0E4E"/>
    <w:rsid w:val="2F4E1091"/>
    <w:rsid w:val="2F501FAF"/>
    <w:rsid w:val="2F540739"/>
    <w:rsid w:val="2F556F4E"/>
    <w:rsid w:val="2F593FBD"/>
    <w:rsid w:val="2F614E62"/>
    <w:rsid w:val="2F6778BC"/>
    <w:rsid w:val="2F745106"/>
    <w:rsid w:val="2F827B47"/>
    <w:rsid w:val="2F863C43"/>
    <w:rsid w:val="2F865E17"/>
    <w:rsid w:val="2F8D04C1"/>
    <w:rsid w:val="2F975F46"/>
    <w:rsid w:val="2F995486"/>
    <w:rsid w:val="2FB0045E"/>
    <w:rsid w:val="2FB120F1"/>
    <w:rsid w:val="2FB27EDC"/>
    <w:rsid w:val="2FB4374B"/>
    <w:rsid w:val="2FB772AF"/>
    <w:rsid w:val="2FC5521E"/>
    <w:rsid w:val="2FD4286F"/>
    <w:rsid w:val="2FDA40F8"/>
    <w:rsid w:val="2FE046B3"/>
    <w:rsid w:val="2FE53CC4"/>
    <w:rsid w:val="2FEA65CA"/>
    <w:rsid w:val="2FF00B59"/>
    <w:rsid w:val="2FF152F5"/>
    <w:rsid w:val="2FF61FA5"/>
    <w:rsid w:val="2FFD2587"/>
    <w:rsid w:val="30090CB5"/>
    <w:rsid w:val="300B1714"/>
    <w:rsid w:val="30120A4A"/>
    <w:rsid w:val="301938D8"/>
    <w:rsid w:val="302066C6"/>
    <w:rsid w:val="302D19C9"/>
    <w:rsid w:val="30355726"/>
    <w:rsid w:val="303C2E9C"/>
    <w:rsid w:val="3045004C"/>
    <w:rsid w:val="30491251"/>
    <w:rsid w:val="305268B5"/>
    <w:rsid w:val="30532F98"/>
    <w:rsid w:val="30596931"/>
    <w:rsid w:val="305B3CF3"/>
    <w:rsid w:val="3061192F"/>
    <w:rsid w:val="30652B54"/>
    <w:rsid w:val="306D6F72"/>
    <w:rsid w:val="306E7EBB"/>
    <w:rsid w:val="3070563D"/>
    <w:rsid w:val="3074244A"/>
    <w:rsid w:val="307B2107"/>
    <w:rsid w:val="307D083A"/>
    <w:rsid w:val="308267E1"/>
    <w:rsid w:val="30893BD3"/>
    <w:rsid w:val="308A30CE"/>
    <w:rsid w:val="308D2573"/>
    <w:rsid w:val="308F7906"/>
    <w:rsid w:val="309F1BAF"/>
    <w:rsid w:val="30A50BEB"/>
    <w:rsid w:val="30A86CDC"/>
    <w:rsid w:val="30A92738"/>
    <w:rsid w:val="30AF0559"/>
    <w:rsid w:val="30B6142F"/>
    <w:rsid w:val="30B61AA7"/>
    <w:rsid w:val="30BF0D96"/>
    <w:rsid w:val="30C5529B"/>
    <w:rsid w:val="30CA08DA"/>
    <w:rsid w:val="30D74991"/>
    <w:rsid w:val="30D91B53"/>
    <w:rsid w:val="30DF2770"/>
    <w:rsid w:val="30DF5FB0"/>
    <w:rsid w:val="30E0228F"/>
    <w:rsid w:val="30E21E80"/>
    <w:rsid w:val="30EB71B2"/>
    <w:rsid w:val="30EE4CC8"/>
    <w:rsid w:val="30F24CB3"/>
    <w:rsid w:val="30F30DC4"/>
    <w:rsid w:val="30F50888"/>
    <w:rsid w:val="30F569C7"/>
    <w:rsid w:val="30F86A83"/>
    <w:rsid w:val="30FC6D55"/>
    <w:rsid w:val="31017CE6"/>
    <w:rsid w:val="31034E47"/>
    <w:rsid w:val="31076E6A"/>
    <w:rsid w:val="31121F19"/>
    <w:rsid w:val="31154444"/>
    <w:rsid w:val="311862FD"/>
    <w:rsid w:val="311C17EC"/>
    <w:rsid w:val="311E04E8"/>
    <w:rsid w:val="311F789F"/>
    <w:rsid w:val="31327409"/>
    <w:rsid w:val="313F18E5"/>
    <w:rsid w:val="31464221"/>
    <w:rsid w:val="314B01D0"/>
    <w:rsid w:val="315760D6"/>
    <w:rsid w:val="31606A04"/>
    <w:rsid w:val="31622C93"/>
    <w:rsid w:val="31662687"/>
    <w:rsid w:val="31686DBD"/>
    <w:rsid w:val="31731313"/>
    <w:rsid w:val="31804570"/>
    <w:rsid w:val="318377EA"/>
    <w:rsid w:val="318C2BC7"/>
    <w:rsid w:val="31987819"/>
    <w:rsid w:val="319F2841"/>
    <w:rsid w:val="31A20ABC"/>
    <w:rsid w:val="31A3329E"/>
    <w:rsid w:val="31A60340"/>
    <w:rsid w:val="31AD69F8"/>
    <w:rsid w:val="31AE17D4"/>
    <w:rsid w:val="31BC4B58"/>
    <w:rsid w:val="31C21A20"/>
    <w:rsid w:val="31C27815"/>
    <w:rsid w:val="31C73EFB"/>
    <w:rsid w:val="31D30186"/>
    <w:rsid w:val="31E673AF"/>
    <w:rsid w:val="31E93888"/>
    <w:rsid w:val="31EB291C"/>
    <w:rsid w:val="31EF3F13"/>
    <w:rsid w:val="31F03A98"/>
    <w:rsid w:val="31F53E64"/>
    <w:rsid w:val="31FB49C3"/>
    <w:rsid w:val="32007F93"/>
    <w:rsid w:val="32140106"/>
    <w:rsid w:val="321662B2"/>
    <w:rsid w:val="321B76BB"/>
    <w:rsid w:val="321C7ABF"/>
    <w:rsid w:val="322331E7"/>
    <w:rsid w:val="32243FE8"/>
    <w:rsid w:val="32292F6A"/>
    <w:rsid w:val="32363C7D"/>
    <w:rsid w:val="324C7E65"/>
    <w:rsid w:val="32533FA2"/>
    <w:rsid w:val="32590482"/>
    <w:rsid w:val="32594605"/>
    <w:rsid w:val="325D3ECF"/>
    <w:rsid w:val="325E06B8"/>
    <w:rsid w:val="325F21B6"/>
    <w:rsid w:val="32786F8A"/>
    <w:rsid w:val="32791671"/>
    <w:rsid w:val="327D1CEB"/>
    <w:rsid w:val="327E0AAA"/>
    <w:rsid w:val="32821FD7"/>
    <w:rsid w:val="32822A4C"/>
    <w:rsid w:val="32834C9D"/>
    <w:rsid w:val="328F7717"/>
    <w:rsid w:val="329525F1"/>
    <w:rsid w:val="329D6284"/>
    <w:rsid w:val="32AF70BB"/>
    <w:rsid w:val="32B139C4"/>
    <w:rsid w:val="32B76F2D"/>
    <w:rsid w:val="32B821AC"/>
    <w:rsid w:val="32BE2513"/>
    <w:rsid w:val="32C0126A"/>
    <w:rsid w:val="32C40B0E"/>
    <w:rsid w:val="32C5698B"/>
    <w:rsid w:val="32C61FB1"/>
    <w:rsid w:val="32C843D2"/>
    <w:rsid w:val="32CB2547"/>
    <w:rsid w:val="32CC66BB"/>
    <w:rsid w:val="32D10A02"/>
    <w:rsid w:val="32D308E6"/>
    <w:rsid w:val="32D44002"/>
    <w:rsid w:val="32D61E6F"/>
    <w:rsid w:val="32EB5A31"/>
    <w:rsid w:val="32ED6EC3"/>
    <w:rsid w:val="32F20D20"/>
    <w:rsid w:val="32F31490"/>
    <w:rsid w:val="32F75A48"/>
    <w:rsid w:val="32FC4774"/>
    <w:rsid w:val="330C375E"/>
    <w:rsid w:val="3318076C"/>
    <w:rsid w:val="33183CCD"/>
    <w:rsid w:val="33223001"/>
    <w:rsid w:val="33232B82"/>
    <w:rsid w:val="33250F69"/>
    <w:rsid w:val="33380DA3"/>
    <w:rsid w:val="3338114F"/>
    <w:rsid w:val="333852A0"/>
    <w:rsid w:val="333D4E6D"/>
    <w:rsid w:val="333F0FC7"/>
    <w:rsid w:val="335B35CE"/>
    <w:rsid w:val="33614329"/>
    <w:rsid w:val="33653435"/>
    <w:rsid w:val="336A3DC9"/>
    <w:rsid w:val="33710866"/>
    <w:rsid w:val="339420B0"/>
    <w:rsid w:val="339B44C5"/>
    <w:rsid w:val="33A00B28"/>
    <w:rsid w:val="33A63B0A"/>
    <w:rsid w:val="33A663C1"/>
    <w:rsid w:val="33A82D00"/>
    <w:rsid w:val="33B11D5F"/>
    <w:rsid w:val="33C1228B"/>
    <w:rsid w:val="33C23796"/>
    <w:rsid w:val="33C26F7C"/>
    <w:rsid w:val="33C27D70"/>
    <w:rsid w:val="33C625ED"/>
    <w:rsid w:val="33C75C50"/>
    <w:rsid w:val="33CD3980"/>
    <w:rsid w:val="33D07DDD"/>
    <w:rsid w:val="33D20CDB"/>
    <w:rsid w:val="33D85589"/>
    <w:rsid w:val="33E3663B"/>
    <w:rsid w:val="33E41564"/>
    <w:rsid w:val="33ED3EE3"/>
    <w:rsid w:val="340E1801"/>
    <w:rsid w:val="34153AA5"/>
    <w:rsid w:val="341D1823"/>
    <w:rsid w:val="341D18C8"/>
    <w:rsid w:val="341F74C9"/>
    <w:rsid w:val="342E1739"/>
    <w:rsid w:val="34361999"/>
    <w:rsid w:val="343C3847"/>
    <w:rsid w:val="344A1428"/>
    <w:rsid w:val="344A4C0E"/>
    <w:rsid w:val="344E7BF5"/>
    <w:rsid w:val="3454542A"/>
    <w:rsid w:val="34611DE1"/>
    <w:rsid w:val="346D4664"/>
    <w:rsid w:val="346D58BB"/>
    <w:rsid w:val="346E053F"/>
    <w:rsid w:val="347258DE"/>
    <w:rsid w:val="3473031E"/>
    <w:rsid w:val="34741658"/>
    <w:rsid w:val="347A2680"/>
    <w:rsid w:val="348A73F2"/>
    <w:rsid w:val="348B50E8"/>
    <w:rsid w:val="348C61FD"/>
    <w:rsid w:val="348F40EF"/>
    <w:rsid w:val="349541AC"/>
    <w:rsid w:val="349803C7"/>
    <w:rsid w:val="34A2349C"/>
    <w:rsid w:val="34A6729F"/>
    <w:rsid w:val="34AA10E5"/>
    <w:rsid w:val="34B107F0"/>
    <w:rsid w:val="34BA186B"/>
    <w:rsid w:val="34BB30CA"/>
    <w:rsid w:val="34C60B19"/>
    <w:rsid w:val="34D661D7"/>
    <w:rsid w:val="34DE78DD"/>
    <w:rsid w:val="34DF2262"/>
    <w:rsid w:val="34E04671"/>
    <w:rsid w:val="34E91DBE"/>
    <w:rsid w:val="34EA06F7"/>
    <w:rsid w:val="34EA1F98"/>
    <w:rsid w:val="34F22A82"/>
    <w:rsid w:val="34F402A9"/>
    <w:rsid w:val="34FB3990"/>
    <w:rsid w:val="34FD1BDC"/>
    <w:rsid w:val="34FE3E90"/>
    <w:rsid w:val="35060A68"/>
    <w:rsid w:val="35102BA1"/>
    <w:rsid w:val="35152D87"/>
    <w:rsid w:val="351718FF"/>
    <w:rsid w:val="352456D9"/>
    <w:rsid w:val="352F327C"/>
    <w:rsid w:val="35354450"/>
    <w:rsid w:val="354A1035"/>
    <w:rsid w:val="35510DDD"/>
    <w:rsid w:val="355D7537"/>
    <w:rsid w:val="35606F89"/>
    <w:rsid w:val="35705CCE"/>
    <w:rsid w:val="35712E2E"/>
    <w:rsid w:val="3584118D"/>
    <w:rsid w:val="35892714"/>
    <w:rsid w:val="358F1CDD"/>
    <w:rsid w:val="35A726A5"/>
    <w:rsid w:val="35AD4287"/>
    <w:rsid w:val="35B23598"/>
    <w:rsid w:val="35B45985"/>
    <w:rsid w:val="35B5102A"/>
    <w:rsid w:val="35B754D3"/>
    <w:rsid w:val="35B9455E"/>
    <w:rsid w:val="35CD5BF7"/>
    <w:rsid w:val="35CD6B89"/>
    <w:rsid w:val="35CE4131"/>
    <w:rsid w:val="35DC3A61"/>
    <w:rsid w:val="35DD63B0"/>
    <w:rsid w:val="35E343CA"/>
    <w:rsid w:val="35E5466E"/>
    <w:rsid w:val="35EB6A41"/>
    <w:rsid w:val="35F547D9"/>
    <w:rsid w:val="35FA2C68"/>
    <w:rsid w:val="35FA3BF7"/>
    <w:rsid w:val="35FC484C"/>
    <w:rsid w:val="35FC654C"/>
    <w:rsid w:val="36001EBD"/>
    <w:rsid w:val="360433D2"/>
    <w:rsid w:val="36091867"/>
    <w:rsid w:val="360D749A"/>
    <w:rsid w:val="36104325"/>
    <w:rsid w:val="361336E7"/>
    <w:rsid w:val="361916CA"/>
    <w:rsid w:val="361D235E"/>
    <w:rsid w:val="3624483E"/>
    <w:rsid w:val="362F670C"/>
    <w:rsid w:val="363018B0"/>
    <w:rsid w:val="36472F7C"/>
    <w:rsid w:val="365F77B2"/>
    <w:rsid w:val="366E5BD2"/>
    <w:rsid w:val="367002CA"/>
    <w:rsid w:val="36744009"/>
    <w:rsid w:val="36814405"/>
    <w:rsid w:val="36884CF3"/>
    <w:rsid w:val="3689182E"/>
    <w:rsid w:val="36891DA6"/>
    <w:rsid w:val="36A5156E"/>
    <w:rsid w:val="36AB06B0"/>
    <w:rsid w:val="36B04C1F"/>
    <w:rsid w:val="36B74EF7"/>
    <w:rsid w:val="36B7503B"/>
    <w:rsid w:val="36BB6CF0"/>
    <w:rsid w:val="36BC57A3"/>
    <w:rsid w:val="36CF7301"/>
    <w:rsid w:val="36D35F00"/>
    <w:rsid w:val="36D729F1"/>
    <w:rsid w:val="36D879F2"/>
    <w:rsid w:val="36DC7FAA"/>
    <w:rsid w:val="36E01F95"/>
    <w:rsid w:val="36E459E7"/>
    <w:rsid w:val="36E54A3D"/>
    <w:rsid w:val="36EC2F80"/>
    <w:rsid w:val="36ED6C58"/>
    <w:rsid w:val="36F30646"/>
    <w:rsid w:val="36F40B16"/>
    <w:rsid w:val="37014D69"/>
    <w:rsid w:val="37020455"/>
    <w:rsid w:val="370455C9"/>
    <w:rsid w:val="37080223"/>
    <w:rsid w:val="370B595A"/>
    <w:rsid w:val="37186C95"/>
    <w:rsid w:val="37201ADF"/>
    <w:rsid w:val="373862B0"/>
    <w:rsid w:val="373A6E26"/>
    <w:rsid w:val="373D0D3F"/>
    <w:rsid w:val="373F0F6C"/>
    <w:rsid w:val="37416EE9"/>
    <w:rsid w:val="374233A3"/>
    <w:rsid w:val="37434DF3"/>
    <w:rsid w:val="374725A7"/>
    <w:rsid w:val="37572D1F"/>
    <w:rsid w:val="37586C14"/>
    <w:rsid w:val="375D1E09"/>
    <w:rsid w:val="37607F5C"/>
    <w:rsid w:val="3773523B"/>
    <w:rsid w:val="37797583"/>
    <w:rsid w:val="377B0CEE"/>
    <w:rsid w:val="37805671"/>
    <w:rsid w:val="378400EB"/>
    <w:rsid w:val="37890F8F"/>
    <w:rsid w:val="37943E64"/>
    <w:rsid w:val="37A414C6"/>
    <w:rsid w:val="37A62F7E"/>
    <w:rsid w:val="37A85171"/>
    <w:rsid w:val="37B216BD"/>
    <w:rsid w:val="37B25635"/>
    <w:rsid w:val="37B35D62"/>
    <w:rsid w:val="37CD6EF6"/>
    <w:rsid w:val="37D96019"/>
    <w:rsid w:val="37DA3E94"/>
    <w:rsid w:val="37E14FBE"/>
    <w:rsid w:val="37E61A8D"/>
    <w:rsid w:val="37EB4955"/>
    <w:rsid w:val="37ED0FB4"/>
    <w:rsid w:val="37FA19EF"/>
    <w:rsid w:val="37FB7241"/>
    <w:rsid w:val="37FC58DA"/>
    <w:rsid w:val="37FF2E0C"/>
    <w:rsid w:val="380B52AE"/>
    <w:rsid w:val="38171186"/>
    <w:rsid w:val="38183BD0"/>
    <w:rsid w:val="381F15E1"/>
    <w:rsid w:val="382673F4"/>
    <w:rsid w:val="382B2084"/>
    <w:rsid w:val="3849433D"/>
    <w:rsid w:val="38575800"/>
    <w:rsid w:val="385D551F"/>
    <w:rsid w:val="38663BBD"/>
    <w:rsid w:val="386B0CDD"/>
    <w:rsid w:val="386B4456"/>
    <w:rsid w:val="387913B3"/>
    <w:rsid w:val="3879442F"/>
    <w:rsid w:val="38824B04"/>
    <w:rsid w:val="388C54D4"/>
    <w:rsid w:val="38930127"/>
    <w:rsid w:val="389D2DFC"/>
    <w:rsid w:val="38A322AB"/>
    <w:rsid w:val="38AB0DE4"/>
    <w:rsid w:val="38AB70C6"/>
    <w:rsid w:val="38AE3672"/>
    <w:rsid w:val="38BC6314"/>
    <w:rsid w:val="38C445D5"/>
    <w:rsid w:val="38C4752B"/>
    <w:rsid w:val="38C54BCF"/>
    <w:rsid w:val="38CC3DB8"/>
    <w:rsid w:val="38CD1BC8"/>
    <w:rsid w:val="38D115B4"/>
    <w:rsid w:val="38D16894"/>
    <w:rsid w:val="38D17360"/>
    <w:rsid w:val="38D23019"/>
    <w:rsid w:val="38D26F96"/>
    <w:rsid w:val="38D678A6"/>
    <w:rsid w:val="38E771B4"/>
    <w:rsid w:val="38EB2E5B"/>
    <w:rsid w:val="38ED2EB4"/>
    <w:rsid w:val="38EE56A6"/>
    <w:rsid w:val="39044ACA"/>
    <w:rsid w:val="39046164"/>
    <w:rsid w:val="390521DA"/>
    <w:rsid w:val="390D0545"/>
    <w:rsid w:val="39175A20"/>
    <w:rsid w:val="391D6A64"/>
    <w:rsid w:val="391E2504"/>
    <w:rsid w:val="391E262D"/>
    <w:rsid w:val="392620CB"/>
    <w:rsid w:val="39275373"/>
    <w:rsid w:val="3928602A"/>
    <w:rsid w:val="392B029C"/>
    <w:rsid w:val="392B530F"/>
    <w:rsid w:val="39343515"/>
    <w:rsid w:val="39381C35"/>
    <w:rsid w:val="393D466F"/>
    <w:rsid w:val="39520D2A"/>
    <w:rsid w:val="3957687F"/>
    <w:rsid w:val="3958053E"/>
    <w:rsid w:val="39590BE0"/>
    <w:rsid w:val="396108A2"/>
    <w:rsid w:val="39631113"/>
    <w:rsid w:val="397B17EF"/>
    <w:rsid w:val="39826CC6"/>
    <w:rsid w:val="398E4DAC"/>
    <w:rsid w:val="399031FF"/>
    <w:rsid w:val="399B085D"/>
    <w:rsid w:val="399E0CCF"/>
    <w:rsid w:val="39AE7E1A"/>
    <w:rsid w:val="39B9572B"/>
    <w:rsid w:val="39BE4341"/>
    <w:rsid w:val="39BE54A5"/>
    <w:rsid w:val="39BF1D94"/>
    <w:rsid w:val="39BF3DBA"/>
    <w:rsid w:val="39C22946"/>
    <w:rsid w:val="39CB070E"/>
    <w:rsid w:val="39CB4F9D"/>
    <w:rsid w:val="39CD343D"/>
    <w:rsid w:val="39E31477"/>
    <w:rsid w:val="39F10CB2"/>
    <w:rsid w:val="39F34632"/>
    <w:rsid w:val="39F57EF6"/>
    <w:rsid w:val="3A0915BB"/>
    <w:rsid w:val="3A151359"/>
    <w:rsid w:val="3A1B69CD"/>
    <w:rsid w:val="3A1C0018"/>
    <w:rsid w:val="3A1D05AE"/>
    <w:rsid w:val="3A210E23"/>
    <w:rsid w:val="3A217980"/>
    <w:rsid w:val="3A3047F1"/>
    <w:rsid w:val="3A320674"/>
    <w:rsid w:val="3A376ED3"/>
    <w:rsid w:val="3A3A7A22"/>
    <w:rsid w:val="3A43243E"/>
    <w:rsid w:val="3A4B0908"/>
    <w:rsid w:val="3A4C71B8"/>
    <w:rsid w:val="3A520488"/>
    <w:rsid w:val="3A577915"/>
    <w:rsid w:val="3A594225"/>
    <w:rsid w:val="3A5B6D3C"/>
    <w:rsid w:val="3A5C09EA"/>
    <w:rsid w:val="3A5E5B71"/>
    <w:rsid w:val="3A650208"/>
    <w:rsid w:val="3A683CF4"/>
    <w:rsid w:val="3A6A0973"/>
    <w:rsid w:val="3A735229"/>
    <w:rsid w:val="3A7B681A"/>
    <w:rsid w:val="3A816EE7"/>
    <w:rsid w:val="3A841A49"/>
    <w:rsid w:val="3A866DC4"/>
    <w:rsid w:val="3A884120"/>
    <w:rsid w:val="3A884215"/>
    <w:rsid w:val="3A894750"/>
    <w:rsid w:val="3A8D12A9"/>
    <w:rsid w:val="3A972A0F"/>
    <w:rsid w:val="3A9843D8"/>
    <w:rsid w:val="3A9C64EB"/>
    <w:rsid w:val="3A9C7A0B"/>
    <w:rsid w:val="3A9F03F9"/>
    <w:rsid w:val="3AA63F31"/>
    <w:rsid w:val="3AA7481D"/>
    <w:rsid w:val="3AA800BD"/>
    <w:rsid w:val="3AA82105"/>
    <w:rsid w:val="3AAF27D5"/>
    <w:rsid w:val="3AB2345B"/>
    <w:rsid w:val="3ABA08B7"/>
    <w:rsid w:val="3AC542F8"/>
    <w:rsid w:val="3ACA2717"/>
    <w:rsid w:val="3AD43C64"/>
    <w:rsid w:val="3AD77106"/>
    <w:rsid w:val="3AD87022"/>
    <w:rsid w:val="3AD95E00"/>
    <w:rsid w:val="3ADB2718"/>
    <w:rsid w:val="3ADD4378"/>
    <w:rsid w:val="3AE12DF4"/>
    <w:rsid w:val="3AE83761"/>
    <w:rsid w:val="3AEF1E11"/>
    <w:rsid w:val="3AF61E3E"/>
    <w:rsid w:val="3AFF776A"/>
    <w:rsid w:val="3B080478"/>
    <w:rsid w:val="3B1A2425"/>
    <w:rsid w:val="3B226D9C"/>
    <w:rsid w:val="3B260315"/>
    <w:rsid w:val="3B2820A8"/>
    <w:rsid w:val="3B2C75A0"/>
    <w:rsid w:val="3B2E67E8"/>
    <w:rsid w:val="3B31407A"/>
    <w:rsid w:val="3B3421A0"/>
    <w:rsid w:val="3B393FF2"/>
    <w:rsid w:val="3B3C4B5B"/>
    <w:rsid w:val="3B406AB4"/>
    <w:rsid w:val="3B41431C"/>
    <w:rsid w:val="3B494A4E"/>
    <w:rsid w:val="3B4F26EB"/>
    <w:rsid w:val="3B507218"/>
    <w:rsid w:val="3B5F4E1E"/>
    <w:rsid w:val="3B6504CF"/>
    <w:rsid w:val="3B6658D3"/>
    <w:rsid w:val="3B6D4F13"/>
    <w:rsid w:val="3B724BFD"/>
    <w:rsid w:val="3B7C7512"/>
    <w:rsid w:val="3B88624B"/>
    <w:rsid w:val="3B8953C6"/>
    <w:rsid w:val="3B91089E"/>
    <w:rsid w:val="3B943EC3"/>
    <w:rsid w:val="3B975080"/>
    <w:rsid w:val="3BA35FB8"/>
    <w:rsid w:val="3BAE125A"/>
    <w:rsid w:val="3BB371F1"/>
    <w:rsid w:val="3BBA2B72"/>
    <w:rsid w:val="3BC47EDA"/>
    <w:rsid w:val="3BC65392"/>
    <w:rsid w:val="3BC76554"/>
    <w:rsid w:val="3BD64CF1"/>
    <w:rsid w:val="3BD95D1F"/>
    <w:rsid w:val="3BD95F25"/>
    <w:rsid w:val="3BDB45F0"/>
    <w:rsid w:val="3BDE68F3"/>
    <w:rsid w:val="3BE04DEB"/>
    <w:rsid w:val="3BE63470"/>
    <w:rsid w:val="3BEA0E6C"/>
    <w:rsid w:val="3BF42CBF"/>
    <w:rsid w:val="3BF94F48"/>
    <w:rsid w:val="3C147191"/>
    <w:rsid w:val="3C16187B"/>
    <w:rsid w:val="3C1B0E07"/>
    <w:rsid w:val="3C1B6F12"/>
    <w:rsid w:val="3C1E6ECF"/>
    <w:rsid w:val="3C2074F0"/>
    <w:rsid w:val="3C340CA8"/>
    <w:rsid w:val="3C381CE1"/>
    <w:rsid w:val="3C3D39D1"/>
    <w:rsid w:val="3C3F0D1D"/>
    <w:rsid w:val="3C443356"/>
    <w:rsid w:val="3C4D5FAE"/>
    <w:rsid w:val="3C5523BF"/>
    <w:rsid w:val="3C594BD9"/>
    <w:rsid w:val="3C5D386D"/>
    <w:rsid w:val="3C6D20A0"/>
    <w:rsid w:val="3C70488B"/>
    <w:rsid w:val="3C706A23"/>
    <w:rsid w:val="3C724891"/>
    <w:rsid w:val="3C785C6F"/>
    <w:rsid w:val="3C8755B4"/>
    <w:rsid w:val="3C941BB3"/>
    <w:rsid w:val="3C96134B"/>
    <w:rsid w:val="3C964DA5"/>
    <w:rsid w:val="3C9905AB"/>
    <w:rsid w:val="3CA04494"/>
    <w:rsid w:val="3CA10AFF"/>
    <w:rsid w:val="3CA82B59"/>
    <w:rsid w:val="3CAB0556"/>
    <w:rsid w:val="3CB4093B"/>
    <w:rsid w:val="3CB90B12"/>
    <w:rsid w:val="3CBA1930"/>
    <w:rsid w:val="3CC808C3"/>
    <w:rsid w:val="3CD14F76"/>
    <w:rsid w:val="3CD2112D"/>
    <w:rsid w:val="3CD24502"/>
    <w:rsid w:val="3CD553F7"/>
    <w:rsid w:val="3CDE2F78"/>
    <w:rsid w:val="3CDE77CB"/>
    <w:rsid w:val="3CE45ABE"/>
    <w:rsid w:val="3CE63690"/>
    <w:rsid w:val="3CED505F"/>
    <w:rsid w:val="3CFB4B2C"/>
    <w:rsid w:val="3D035385"/>
    <w:rsid w:val="3D0606F7"/>
    <w:rsid w:val="3D084110"/>
    <w:rsid w:val="3D100EAA"/>
    <w:rsid w:val="3D1B5FD3"/>
    <w:rsid w:val="3D1D58AD"/>
    <w:rsid w:val="3D1F3357"/>
    <w:rsid w:val="3D256286"/>
    <w:rsid w:val="3D336907"/>
    <w:rsid w:val="3D351F52"/>
    <w:rsid w:val="3D3829ED"/>
    <w:rsid w:val="3D3A5D96"/>
    <w:rsid w:val="3D3E215E"/>
    <w:rsid w:val="3D4025B1"/>
    <w:rsid w:val="3D455BE3"/>
    <w:rsid w:val="3D460CF7"/>
    <w:rsid w:val="3D4742FF"/>
    <w:rsid w:val="3D4A37D2"/>
    <w:rsid w:val="3D503E19"/>
    <w:rsid w:val="3D5925BC"/>
    <w:rsid w:val="3D5E157F"/>
    <w:rsid w:val="3D641C15"/>
    <w:rsid w:val="3D6427B8"/>
    <w:rsid w:val="3D6A0445"/>
    <w:rsid w:val="3D6E0485"/>
    <w:rsid w:val="3D6E3F07"/>
    <w:rsid w:val="3D714641"/>
    <w:rsid w:val="3D7844C0"/>
    <w:rsid w:val="3D785571"/>
    <w:rsid w:val="3D7D6C5E"/>
    <w:rsid w:val="3D804C0E"/>
    <w:rsid w:val="3D827826"/>
    <w:rsid w:val="3D8C4692"/>
    <w:rsid w:val="3D944D4B"/>
    <w:rsid w:val="3D9B4478"/>
    <w:rsid w:val="3DA074F7"/>
    <w:rsid w:val="3DA55CEB"/>
    <w:rsid w:val="3DA81ED8"/>
    <w:rsid w:val="3DA952A8"/>
    <w:rsid w:val="3DAC765A"/>
    <w:rsid w:val="3DB01158"/>
    <w:rsid w:val="3DB15A9B"/>
    <w:rsid w:val="3DB723C0"/>
    <w:rsid w:val="3DBA6528"/>
    <w:rsid w:val="3DBD52C0"/>
    <w:rsid w:val="3DC04496"/>
    <w:rsid w:val="3DCC51D9"/>
    <w:rsid w:val="3DCE409F"/>
    <w:rsid w:val="3DE1660D"/>
    <w:rsid w:val="3DF66223"/>
    <w:rsid w:val="3DF77228"/>
    <w:rsid w:val="3DFE3F0E"/>
    <w:rsid w:val="3E01031F"/>
    <w:rsid w:val="3E030FE8"/>
    <w:rsid w:val="3E0D2B25"/>
    <w:rsid w:val="3E1E0A57"/>
    <w:rsid w:val="3E1F4065"/>
    <w:rsid w:val="3E2123C2"/>
    <w:rsid w:val="3E217314"/>
    <w:rsid w:val="3E2661CA"/>
    <w:rsid w:val="3E276037"/>
    <w:rsid w:val="3E454E16"/>
    <w:rsid w:val="3E457E74"/>
    <w:rsid w:val="3E491B4E"/>
    <w:rsid w:val="3E497999"/>
    <w:rsid w:val="3E4F2AA0"/>
    <w:rsid w:val="3E542561"/>
    <w:rsid w:val="3E55494C"/>
    <w:rsid w:val="3E613161"/>
    <w:rsid w:val="3E614439"/>
    <w:rsid w:val="3E693B97"/>
    <w:rsid w:val="3E6E1318"/>
    <w:rsid w:val="3E703177"/>
    <w:rsid w:val="3E742870"/>
    <w:rsid w:val="3E7852E3"/>
    <w:rsid w:val="3E796BD3"/>
    <w:rsid w:val="3E806D8D"/>
    <w:rsid w:val="3E902658"/>
    <w:rsid w:val="3E9F0462"/>
    <w:rsid w:val="3E9F6371"/>
    <w:rsid w:val="3EA034D4"/>
    <w:rsid w:val="3EA43A09"/>
    <w:rsid w:val="3EA6184D"/>
    <w:rsid w:val="3EB27007"/>
    <w:rsid w:val="3EC760ED"/>
    <w:rsid w:val="3EDA7837"/>
    <w:rsid w:val="3EDC2955"/>
    <w:rsid w:val="3EDC3B2C"/>
    <w:rsid w:val="3EDD17E8"/>
    <w:rsid w:val="3EDF4B57"/>
    <w:rsid w:val="3EE440E8"/>
    <w:rsid w:val="3EE71D60"/>
    <w:rsid w:val="3EE847F8"/>
    <w:rsid w:val="3EEE1193"/>
    <w:rsid w:val="3EF0585C"/>
    <w:rsid w:val="3EF24AEB"/>
    <w:rsid w:val="3EF624A2"/>
    <w:rsid w:val="3F0C3A99"/>
    <w:rsid w:val="3F0D078D"/>
    <w:rsid w:val="3F0D43E2"/>
    <w:rsid w:val="3F0E7074"/>
    <w:rsid w:val="3F20691F"/>
    <w:rsid w:val="3F346D96"/>
    <w:rsid w:val="3F363449"/>
    <w:rsid w:val="3F4160A6"/>
    <w:rsid w:val="3F49235A"/>
    <w:rsid w:val="3F4D7547"/>
    <w:rsid w:val="3F4F0FDF"/>
    <w:rsid w:val="3F530E47"/>
    <w:rsid w:val="3F555E43"/>
    <w:rsid w:val="3F5A5B59"/>
    <w:rsid w:val="3F5D194E"/>
    <w:rsid w:val="3F61764F"/>
    <w:rsid w:val="3F657608"/>
    <w:rsid w:val="3F6B7D49"/>
    <w:rsid w:val="3F6E12FF"/>
    <w:rsid w:val="3F760B6C"/>
    <w:rsid w:val="3F7D0B9B"/>
    <w:rsid w:val="3F8551CE"/>
    <w:rsid w:val="3F8A28E5"/>
    <w:rsid w:val="3F8C6580"/>
    <w:rsid w:val="3F8F6C6D"/>
    <w:rsid w:val="3F902961"/>
    <w:rsid w:val="3F911F48"/>
    <w:rsid w:val="3F9C0546"/>
    <w:rsid w:val="3FA84371"/>
    <w:rsid w:val="3FA979A2"/>
    <w:rsid w:val="3FB21CC0"/>
    <w:rsid w:val="3FB34589"/>
    <w:rsid w:val="3FB5178A"/>
    <w:rsid w:val="3FB86B84"/>
    <w:rsid w:val="3FBC1C2C"/>
    <w:rsid w:val="3FC15302"/>
    <w:rsid w:val="3FCA31C9"/>
    <w:rsid w:val="3FCE63A8"/>
    <w:rsid w:val="3FD51816"/>
    <w:rsid w:val="3FD74CDD"/>
    <w:rsid w:val="3FDE6B45"/>
    <w:rsid w:val="3FE3458E"/>
    <w:rsid w:val="3FEE6AE1"/>
    <w:rsid w:val="3FF05C2F"/>
    <w:rsid w:val="3FF6688B"/>
    <w:rsid w:val="3FFA2A02"/>
    <w:rsid w:val="40057690"/>
    <w:rsid w:val="4007594C"/>
    <w:rsid w:val="400D1872"/>
    <w:rsid w:val="40124B68"/>
    <w:rsid w:val="40165DFD"/>
    <w:rsid w:val="40172D20"/>
    <w:rsid w:val="401C35B7"/>
    <w:rsid w:val="4029282C"/>
    <w:rsid w:val="40334D24"/>
    <w:rsid w:val="40423BDB"/>
    <w:rsid w:val="404D61B1"/>
    <w:rsid w:val="404E088A"/>
    <w:rsid w:val="40581DE5"/>
    <w:rsid w:val="405B2FC4"/>
    <w:rsid w:val="405C320F"/>
    <w:rsid w:val="405F2F97"/>
    <w:rsid w:val="406C44AE"/>
    <w:rsid w:val="407960E6"/>
    <w:rsid w:val="407E16CF"/>
    <w:rsid w:val="408419C2"/>
    <w:rsid w:val="40844CB8"/>
    <w:rsid w:val="408D25C6"/>
    <w:rsid w:val="40905E92"/>
    <w:rsid w:val="40970E8F"/>
    <w:rsid w:val="409E7023"/>
    <w:rsid w:val="40A00800"/>
    <w:rsid w:val="40B224B1"/>
    <w:rsid w:val="40BD15AA"/>
    <w:rsid w:val="40CB695E"/>
    <w:rsid w:val="40D0292F"/>
    <w:rsid w:val="40D252A6"/>
    <w:rsid w:val="40D415BE"/>
    <w:rsid w:val="40E526AF"/>
    <w:rsid w:val="40E52A85"/>
    <w:rsid w:val="40F1457A"/>
    <w:rsid w:val="40F238EA"/>
    <w:rsid w:val="40FB21A6"/>
    <w:rsid w:val="41002D10"/>
    <w:rsid w:val="410B74AA"/>
    <w:rsid w:val="410D214C"/>
    <w:rsid w:val="41142097"/>
    <w:rsid w:val="41171820"/>
    <w:rsid w:val="41173667"/>
    <w:rsid w:val="41193A5C"/>
    <w:rsid w:val="41231CF2"/>
    <w:rsid w:val="41290A39"/>
    <w:rsid w:val="412966A3"/>
    <w:rsid w:val="413452C9"/>
    <w:rsid w:val="41394692"/>
    <w:rsid w:val="413A0E72"/>
    <w:rsid w:val="413D1ADF"/>
    <w:rsid w:val="413F1F55"/>
    <w:rsid w:val="414A5E84"/>
    <w:rsid w:val="4152141E"/>
    <w:rsid w:val="416067A3"/>
    <w:rsid w:val="41612F83"/>
    <w:rsid w:val="416348C5"/>
    <w:rsid w:val="41693E0F"/>
    <w:rsid w:val="41754E95"/>
    <w:rsid w:val="417A1F11"/>
    <w:rsid w:val="417B0120"/>
    <w:rsid w:val="41822901"/>
    <w:rsid w:val="4185640F"/>
    <w:rsid w:val="418F7DB9"/>
    <w:rsid w:val="419B4FB6"/>
    <w:rsid w:val="41A173CE"/>
    <w:rsid w:val="41AC7F17"/>
    <w:rsid w:val="41AE3484"/>
    <w:rsid w:val="41B24ECF"/>
    <w:rsid w:val="41B7263F"/>
    <w:rsid w:val="41C07559"/>
    <w:rsid w:val="41C52869"/>
    <w:rsid w:val="41C93C74"/>
    <w:rsid w:val="41D153C2"/>
    <w:rsid w:val="41D97E08"/>
    <w:rsid w:val="41DB4727"/>
    <w:rsid w:val="41DD4896"/>
    <w:rsid w:val="41E24B54"/>
    <w:rsid w:val="41EC520B"/>
    <w:rsid w:val="41FA7B3C"/>
    <w:rsid w:val="41FB3B86"/>
    <w:rsid w:val="42000508"/>
    <w:rsid w:val="42022339"/>
    <w:rsid w:val="420A30CE"/>
    <w:rsid w:val="42176CD4"/>
    <w:rsid w:val="4218149B"/>
    <w:rsid w:val="421A1C6D"/>
    <w:rsid w:val="421A5469"/>
    <w:rsid w:val="421E39FF"/>
    <w:rsid w:val="422B498F"/>
    <w:rsid w:val="423654AA"/>
    <w:rsid w:val="423A7D8B"/>
    <w:rsid w:val="423C07C7"/>
    <w:rsid w:val="42487643"/>
    <w:rsid w:val="424D20F9"/>
    <w:rsid w:val="42660060"/>
    <w:rsid w:val="42663511"/>
    <w:rsid w:val="42740D2A"/>
    <w:rsid w:val="42764A9A"/>
    <w:rsid w:val="42767ED3"/>
    <w:rsid w:val="42797E2D"/>
    <w:rsid w:val="42831901"/>
    <w:rsid w:val="42832700"/>
    <w:rsid w:val="4285058A"/>
    <w:rsid w:val="428637CA"/>
    <w:rsid w:val="429153FD"/>
    <w:rsid w:val="429B7671"/>
    <w:rsid w:val="429D02B3"/>
    <w:rsid w:val="42A178D4"/>
    <w:rsid w:val="42A262ED"/>
    <w:rsid w:val="42AB3BA3"/>
    <w:rsid w:val="42AE3E8C"/>
    <w:rsid w:val="42B10922"/>
    <w:rsid w:val="42B23FB3"/>
    <w:rsid w:val="42B554B9"/>
    <w:rsid w:val="42B910C6"/>
    <w:rsid w:val="42B92907"/>
    <w:rsid w:val="42BA0749"/>
    <w:rsid w:val="42BD0196"/>
    <w:rsid w:val="42C34F1D"/>
    <w:rsid w:val="42C65383"/>
    <w:rsid w:val="42C850A8"/>
    <w:rsid w:val="42CE3CB7"/>
    <w:rsid w:val="42CF2B62"/>
    <w:rsid w:val="42D11902"/>
    <w:rsid w:val="42DF605F"/>
    <w:rsid w:val="42E042E9"/>
    <w:rsid w:val="42EA77E5"/>
    <w:rsid w:val="42EB3B31"/>
    <w:rsid w:val="42EF0FA6"/>
    <w:rsid w:val="42F519F3"/>
    <w:rsid w:val="42F5228C"/>
    <w:rsid w:val="430132E1"/>
    <w:rsid w:val="43063D08"/>
    <w:rsid w:val="430B43C4"/>
    <w:rsid w:val="430B78C8"/>
    <w:rsid w:val="431350CD"/>
    <w:rsid w:val="4315133F"/>
    <w:rsid w:val="431B088E"/>
    <w:rsid w:val="43207419"/>
    <w:rsid w:val="43215152"/>
    <w:rsid w:val="432B29CC"/>
    <w:rsid w:val="432D2FFD"/>
    <w:rsid w:val="432F2DF0"/>
    <w:rsid w:val="433725E9"/>
    <w:rsid w:val="433C7743"/>
    <w:rsid w:val="43481B89"/>
    <w:rsid w:val="434F4732"/>
    <w:rsid w:val="43637ABF"/>
    <w:rsid w:val="43671DDD"/>
    <w:rsid w:val="436A4575"/>
    <w:rsid w:val="437B05F4"/>
    <w:rsid w:val="437B07EE"/>
    <w:rsid w:val="437D18AE"/>
    <w:rsid w:val="437F62B2"/>
    <w:rsid w:val="438806DF"/>
    <w:rsid w:val="438C233D"/>
    <w:rsid w:val="438D7E4F"/>
    <w:rsid w:val="43902268"/>
    <w:rsid w:val="43A07AAF"/>
    <w:rsid w:val="43A86E43"/>
    <w:rsid w:val="43A870B4"/>
    <w:rsid w:val="43AA7D8F"/>
    <w:rsid w:val="43B158FA"/>
    <w:rsid w:val="43B451F5"/>
    <w:rsid w:val="43B714E1"/>
    <w:rsid w:val="43C02240"/>
    <w:rsid w:val="43C91043"/>
    <w:rsid w:val="43C968B9"/>
    <w:rsid w:val="43C968C7"/>
    <w:rsid w:val="43CB5685"/>
    <w:rsid w:val="43CE2E1A"/>
    <w:rsid w:val="43D23AF8"/>
    <w:rsid w:val="43D9531B"/>
    <w:rsid w:val="43E7374C"/>
    <w:rsid w:val="43E955E8"/>
    <w:rsid w:val="43EB369E"/>
    <w:rsid w:val="43EF32C7"/>
    <w:rsid w:val="43FE5FE9"/>
    <w:rsid w:val="440179A9"/>
    <w:rsid w:val="44033358"/>
    <w:rsid w:val="440A7B6B"/>
    <w:rsid w:val="440C6944"/>
    <w:rsid w:val="44127203"/>
    <w:rsid w:val="441601C7"/>
    <w:rsid w:val="441872C2"/>
    <w:rsid w:val="442D3721"/>
    <w:rsid w:val="443A1595"/>
    <w:rsid w:val="44464B5B"/>
    <w:rsid w:val="44524D42"/>
    <w:rsid w:val="445B0E13"/>
    <w:rsid w:val="445D1F9B"/>
    <w:rsid w:val="445E6888"/>
    <w:rsid w:val="445F5484"/>
    <w:rsid w:val="44692332"/>
    <w:rsid w:val="44715F65"/>
    <w:rsid w:val="447A3307"/>
    <w:rsid w:val="447C320F"/>
    <w:rsid w:val="448E6105"/>
    <w:rsid w:val="44901A22"/>
    <w:rsid w:val="44920CA4"/>
    <w:rsid w:val="449A1399"/>
    <w:rsid w:val="44A2610A"/>
    <w:rsid w:val="44AE1615"/>
    <w:rsid w:val="44BE5780"/>
    <w:rsid w:val="44BF6C3C"/>
    <w:rsid w:val="44C1116D"/>
    <w:rsid w:val="44C358FC"/>
    <w:rsid w:val="44C90C8F"/>
    <w:rsid w:val="44D4415E"/>
    <w:rsid w:val="44D7704C"/>
    <w:rsid w:val="44DA1F7B"/>
    <w:rsid w:val="44E346A3"/>
    <w:rsid w:val="44E433D4"/>
    <w:rsid w:val="44EA7BAB"/>
    <w:rsid w:val="44EC644E"/>
    <w:rsid w:val="44EF0A8F"/>
    <w:rsid w:val="450064E6"/>
    <w:rsid w:val="45031A6E"/>
    <w:rsid w:val="450C7FCB"/>
    <w:rsid w:val="450D7D98"/>
    <w:rsid w:val="45181E73"/>
    <w:rsid w:val="45216F7A"/>
    <w:rsid w:val="452740CD"/>
    <w:rsid w:val="452922EF"/>
    <w:rsid w:val="45297D42"/>
    <w:rsid w:val="452A5651"/>
    <w:rsid w:val="45326443"/>
    <w:rsid w:val="45333AA2"/>
    <w:rsid w:val="45443D79"/>
    <w:rsid w:val="45474D93"/>
    <w:rsid w:val="45481025"/>
    <w:rsid w:val="454A5BC2"/>
    <w:rsid w:val="454B0A86"/>
    <w:rsid w:val="45562CCE"/>
    <w:rsid w:val="45565F60"/>
    <w:rsid w:val="4570109D"/>
    <w:rsid w:val="457023B9"/>
    <w:rsid w:val="457B41DD"/>
    <w:rsid w:val="458407E9"/>
    <w:rsid w:val="458B7D6C"/>
    <w:rsid w:val="45927CF0"/>
    <w:rsid w:val="45944D52"/>
    <w:rsid w:val="45AE22FA"/>
    <w:rsid w:val="45B05A4D"/>
    <w:rsid w:val="45B37A6F"/>
    <w:rsid w:val="45B664AD"/>
    <w:rsid w:val="45C00C51"/>
    <w:rsid w:val="45C17718"/>
    <w:rsid w:val="45C635AD"/>
    <w:rsid w:val="45DD1B29"/>
    <w:rsid w:val="45DE00F1"/>
    <w:rsid w:val="45DE2D0C"/>
    <w:rsid w:val="45F05D9D"/>
    <w:rsid w:val="45F76A9B"/>
    <w:rsid w:val="45F91DED"/>
    <w:rsid w:val="45FA55AC"/>
    <w:rsid w:val="46035159"/>
    <w:rsid w:val="46085BD0"/>
    <w:rsid w:val="46156436"/>
    <w:rsid w:val="46223F0F"/>
    <w:rsid w:val="46236D21"/>
    <w:rsid w:val="46274BFF"/>
    <w:rsid w:val="46294A8B"/>
    <w:rsid w:val="462B1E0A"/>
    <w:rsid w:val="462F740B"/>
    <w:rsid w:val="46356B8C"/>
    <w:rsid w:val="463E4001"/>
    <w:rsid w:val="463E5F96"/>
    <w:rsid w:val="464154F9"/>
    <w:rsid w:val="465B0A95"/>
    <w:rsid w:val="465B0D19"/>
    <w:rsid w:val="465B438E"/>
    <w:rsid w:val="465F470A"/>
    <w:rsid w:val="4661740F"/>
    <w:rsid w:val="46696B4C"/>
    <w:rsid w:val="466B0DF4"/>
    <w:rsid w:val="466B5711"/>
    <w:rsid w:val="467F5473"/>
    <w:rsid w:val="46854511"/>
    <w:rsid w:val="46860D54"/>
    <w:rsid w:val="468B5640"/>
    <w:rsid w:val="468C6355"/>
    <w:rsid w:val="469377A6"/>
    <w:rsid w:val="469E6BBA"/>
    <w:rsid w:val="46A370AB"/>
    <w:rsid w:val="46A94E11"/>
    <w:rsid w:val="46B67B95"/>
    <w:rsid w:val="46BE54AC"/>
    <w:rsid w:val="46C15EAB"/>
    <w:rsid w:val="46CC1773"/>
    <w:rsid w:val="46CE7A71"/>
    <w:rsid w:val="46DA3BA5"/>
    <w:rsid w:val="46DD44A9"/>
    <w:rsid w:val="46DF7B74"/>
    <w:rsid w:val="46F2583F"/>
    <w:rsid w:val="46FB0CFE"/>
    <w:rsid w:val="46FD2517"/>
    <w:rsid w:val="47052E70"/>
    <w:rsid w:val="47072195"/>
    <w:rsid w:val="47125343"/>
    <w:rsid w:val="47152A17"/>
    <w:rsid w:val="471B756E"/>
    <w:rsid w:val="4722458B"/>
    <w:rsid w:val="47284120"/>
    <w:rsid w:val="473675B0"/>
    <w:rsid w:val="474B33A4"/>
    <w:rsid w:val="474C3729"/>
    <w:rsid w:val="4754758C"/>
    <w:rsid w:val="47550B24"/>
    <w:rsid w:val="475E634E"/>
    <w:rsid w:val="476138F0"/>
    <w:rsid w:val="476F0691"/>
    <w:rsid w:val="47782E41"/>
    <w:rsid w:val="477968E4"/>
    <w:rsid w:val="477E629B"/>
    <w:rsid w:val="47863348"/>
    <w:rsid w:val="47892C83"/>
    <w:rsid w:val="478C0A12"/>
    <w:rsid w:val="478E6735"/>
    <w:rsid w:val="4791488A"/>
    <w:rsid w:val="47960F58"/>
    <w:rsid w:val="479915BF"/>
    <w:rsid w:val="479C3DEA"/>
    <w:rsid w:val="479D5E27"/>
    <w:rsid w:val="47A15B29"/>
    <w:rsid w:val="47A42253"/>
    <w:rsid w:val="47A64BA6"/>
    <w:rsid w:val="47A9027D"/>
    <w:rsid w:val="47A91720"/>
    <w:rsid w:val="47AA166E"/>
    <w:rsid w:val="47AF4491"/>
    <w:rsid w:val="47AF4D11"/>
    <w:rsid w:val="47B76F70"/>
    <w:rsid w:val="47BC7F38"/>
    <w:rsid w:val="47C3343B"/>
    <w:rsid w:val="47C93FC2"/>
    <w:rsid w:val="47D02E9D"/>
    <w:rsid w:val="47D14110"/>
    <w:rsid w:val="47D56755"/>
    <w:rsid w:val="47DC17CE"/>
    <w:rsid w:val="47E35F75"/>
    <w:rsid w:val="47EA3003"/>
    <w:rsid w:val="47F02B38"/>
    <w:rsid w:val="47F1146D"/>
    <w:rsid w:val="47F64493"/>
    <w:rsid w:val="47FB35A2"/>
    <w:rsid w:val="47FD7003"/>
    <w:rsid w:val="47FE6AD7"/>
    <w:rsid w:val="48021ACE"/>
    <w:rsid w:val="480C43FE"/>
    <w:rsid w:val="48133AD2"/>
    <w:rsid w:val="48144A7F"/>
    <w:rsid w:val="4814541A"/>
    <w:rsid w:val="48165BBF"/>
    <w:rsid w:val="482450AD"/>
    <w:rsid w:val="482B0C21"/>
    <w:rsid w:val="482C1AD1"/>
    <w:rsid w:val="482C45B3"/>
    <w:rsid w:val="48386528"/>
    <w:rsid w:val="48421394"/>
    <w:rsid w:val="48430632"/>
    <w:rsid w:val="48457F06"/>
    <w:rsid w:val="484B4B1F"/>
    <w:rsid w:val="484B7530"/>
    <w:rsid w:val="48517BBF"/>
    <w:rsid w:val="485718E8"/>
    <w:rsid w:val="485F562F"/>
    <w:rsid w:val="486468BB"/>
    <w:rsid w:val="48775F9F"/>
    <w:rsid w:val="48793127"/>
    <w:rsid w:val="487E16CC"/>
    <w:rsid w:val="48824829"/>
    <w:rsid w:val="48836C7B"/>
    <w:rsid w:val="488522F5"/>
    <w:rsid w:val="48886800"/>
    <w:rsid w:val="488C03C9"/>
    <w:rsid w:val="488C2C59"/>
    <w:rsid w:val="488F0534"/>
    <w:rsid w:val="48962096"/>
    <w:rsid w:val="48973089"/>
    <w:rsid w:val="48982F9B"/>
    <w:rsid w:val="48983CC3"/>
    <w:rsid w:val="489A3394"/>
    <w:rsid w:val="489B48B4"/>
    <w:rsid w:val="489C76F2"/>
    <w:rsid w:val="48A071BC"/>
    <w:rsid w:val="48A42EB2"/>
    <w:rsid w:val="48AA675C"/>
    <w:rsid w:val="48B60C0C"/>
    <w:rsid w:val="48C103AF"/>
    <w:rsid w:val="48C43F26"/>
    <w:rsid w:val="48C61374"/>
    <w:rsid w:val="48C76C4C"/>
    <w:rsid w:val="48D80297"/>
    <w:rsid w:val="48EE1DE7"/>
    <w:rsid w:val="48F66D69"/>
    <w:rsid w:val="4908601E"/>
    <w:rsid w:val="49094A61"/>
    <w:rsid w:val="490E4433"/>
    <w:rsid w:val="491951B1"/>
    <w:rsid w:val="491D1F38"/>
    <w:rsid w:val="491E377B"/>
    <w:rsid w:val="491F1F8A"/>
    <w:rsid w:val="49257730"/>
    <w:rsid w:val="492848C6"/>
    <w:rsid w:val="492D3D22"/>
    <w:rsid w:val="49316CBF"/>
    <w:rsid w:val="49324F8A"/>
    <w:rsid w:val="493476C1"/>
    <w:rsid w:val="493554B6"/>
    <w:rsid w:val="493A49D9"/>
    <w:rsid w:val="493F63A6"/>
    <w:rsid w:val="49493503"/>
    <w:rsid w:val="494E78A3"/>
    <w:rsid w:val="49567670"/>
    <w:rsid w:val="495719E4"/>
    <w:rsid w:val="496E1E63"/>
    <w:rsid w:val="4970768F"/>
    <w:rsid w:val="49753919"/>
    <w:rsid w:val="497C6E74"/>
    <w:rsid w:val="49900721"/>
    <w:rsid w:val="499F3A1D"/>
    <w:rsid w:val="49AB0206"/>
    <w:rsid w:val="49B02FC2"/>
    <w:rsid w:val="49B8117B"/>
    <w:rsid w:val="49BA3281"/>
    <w:rsid w:val="49BE56DF"/>
    <w:rsid w:val="49C26B65"/>
    <w:rsid w:val="49C3246B"/>
    <w:rsid w:val="49C957A7"/>
    <w:rsid w:val="49DF0984"/>
    <w:rsid w:val="49F734A8"/>
    <w:rsid w:val="4A045899"/>
    <w:rsid w:val="4A0D7F63"/>
    <w:rsid w:val="4A0F4BDE"/>
    <w:rsid w:val="4A123335"/>
    <w:rsid w:val="4A15690B"/>
    <w:rsid w:val="4A2C0DBA"/>
    <w:rsid w:val="4A2D59E5"/>
    <w:rsid w:val="4A334AB1"/>
    <w:rsid w:val="4A396E7E"/>
    <w:rsid w:val="4A4872C5"/>
    <w:rsid w:val="4A543FF3"/>
    <w:rsid w:val="4A572BFB"/>
    <w:rsid w:val="4A634A00"/>
    <w:rsid w:val="4A643D85"/>
    <w:rsid w:val="4A652BFF"/>
    <w:rsid w:val="4A6573DA"/>
    <w:rsid w:val="4A66037E"/>
    <w:rsid w:val="4A693482"/>
    <w:rsid w:val="4A696D13"/>
    <w:rsid w:val="4A6C532B"/>
    <w:rsid w:val="4A6C79AD"/>
    <w:rsid w:val="4A70088C"/>
    <w:rsid w:val="4A8900CE"/>
    <w:rsid w:val="4AA068E7"/>
    <w:rsid w:val="4AA55E6C"/>
    <w:rsid w:val="4AA6738D"/>
    <w:rsid w:val="4AAD786E"/>
    <w:rsid w:val="4AB0089F"/>
    <w:rsid w:val="4AB64280"/>
    <w:rsid w:val="4AB72046"/>
    <w:rsid w:val="4AC35191"/>
    <w:rsid w:val="4AC80842"/>
    <w:rsid w:val="4AC82003"/>
    <w:rsid w:val="4ACD1EA1"/>
    <w:rsid w:val="4ADA20A4"/>
    <w:rsid w:val="4AE02891"/>
    <w:rsid w:val="4AE02CED"/>
    <w:rsid w:val="4AE331DA"/>
    <w:rsid w:val="4AF079D0"/>
    <w:rsid w:val="4B065F24"/>
    <w:rsid w:val="4B070013"/>
    <w:rsid w:val="4B0A2362"/>
    <w:rsid w:val="4B1069EE"/>
    <w:rsid w:val="4B126184"/>
    <w:rsid w:val="4B296BED"/>
    <w:rsid w:val="4B2D29F5"/>
    <w:rsid w:val="4B3A26BF"/>
    <w:rsid w:val="4B3D75FB"/>
    <w:rsid w:val="4B474582"/>
    <w:rsid w:val="4B5067E3"/>
    <w:rsid w:val="4B5C378B"/>
    <w:rsid w:val="4B60536A"/>
    <w:rsid w:val="4B62624E"/>
    <w:rsid w:val="4B644002"/>
    <w:rsid w:val="4B6E3BFA"/>
    <w:rsid w:val="4B6E7187"/>
    <w:rsid w:val="4B700C5B"/>
    <w:rsid w:val="4B80649B"/>
    <w:rsid w:val="4B816069"/>
    <w:rsid w:val="4B956AE5"/>
    <w:rsid w:val="4BA57777"/>
    <w:rsid w:val="4BA60F33"/>
    <w:rsid w:val="4BAD3830"/>
    <w:rsid w:val="4BB01057"/>
    <w:rsid w:val="4BB27762"/>
    <w:rsid w:val="4BBA0453"/>
    <w:rsid w:val="4BC042A0"/>
    <w:rsid w:val="4BC722AB"/>
    <w:rsid w:val="4BD00EA9"/>
    <w:rsid w:val="4BD14708"/>
    <w:rsid w:val="4BD31734"/>
    <w:rsid w:val="4BD50760"/>
    <w:rsid w:val="4BD747BA"/>
    <w:rsid w:val="4BE446B4"/>
    <w:rsid w:val="4BEC4F5A"/>
    <w:rsid w:val="4BEC66D4"/>
    <w:rsid w:val="4BF301B4"/>
    <w:rsid w:val="4BFC53BA"/>
    <w:rsid w:val="4BFC73B3"/>
    <w:rsid w:val="4BFF32E2"/>
    <w:rsid w:val="4C0371E5"/>
    <w:rsid w:val="4C0740CF"/>
    <w:rsid w:val="4C096CE6"/>
    <w:rsid w:val="4C0E7BA6"/>
    <w:rsid w:val="4C18546D"/>
    <w:rsid w:val="4C1926CC"/>
    <w:rsid w:val="4C1D1038"/>
    <w:rsid w:val="4C1E2456"/>
    <w:rsid w:val="4C2D1D3F"/>
    <w:rsid w:val="4C3959E2"/>
    <w:rsid w:val="4C3C1B7F"/>
    <w:rsid w:val="4C4364AD"/>
    <w:rsid w:val="4C4371EF"/>
    <w:rsid w:val="4C451B60"/>
    <w:rsid w:val="4C463D10"/>
    <w:rsid w:val="4C467C1D"/>
    <w:rsid w:val="4C4905E0"/>
    <w:rsid w:val="4C5B5EFF"/>
    <w:rsid w:val="4C5C77C0"/>
    <w:rsid w:val="4C5D0BC3"/>
    <w:rsid w:val="4C707AFA"/>
    <w:rsid w:val="4C707C54"/>
    <w:rsid w:val="4C7206C7"/>
    <w:rsid w:val="4C8E291A"/>
    <w:rsid w:val="4C9205CE"/>
    <w:rsid w:val="4C997871"/>
    <w:rsid w:val="4CAF05B4"/>
    <w:rsid w:val="4CBD1C3A"/>
    <w:rsid w:val="4CC6579E"/>
    <w:rsid w:val="4CC775E7"/>
    <w:rsid w:val="4CCA6115"/>
    <w:rsid w:val="4CCE3E8B"/>
    <w:rsid w:val="4CD23083"/>
    <w:rsid w:val="4CDD1B32"/>
    <w:rsid w:val="4CE86165"/>
    <w:rsid w:val="4CFE1050"/>
    <w:rsid w:val="4CFF32BF"/>
    <w:rsid w:val="4D0A0676"/>
    <w:rsid w:val="4D1D10AC"/>
    <w:rsid w:val="4D26127A"/>
    <w:rsid w:val="4D2E42DA"/>
    <w:rsid w:val="4D315D90"/>
    <w:rsid w:val="4D377D8C"/>
    <w:rsid w:val="4D3B2BA3"/>
    <w:rsid w:val="4D4045E3"/>
    <w:rsid w:val="4D423E9B"/>
    <w:rsid w:val="4D4C0A53"/>
    <w:rsid w:val="4D4E116D"/>
    <w:rsid w:val="4D4E3F2C"/>
    <w:rsid w:val="4D4E5919"/>
    <w:rsid w:val="4D5B20A5"/>
    <w:rsid w:val="4D6D37FE"/>
    <w:rsid w:val="4D741F86"/>
    <w:rsid w:val="4D7467B7"/>
    <w:rsid w:val="4D752ED8"/>
    <w:rsid w:val="4D7904BB"/>
    <w:rsid w:val="4D8001AF"/>
    <w:rsid w:val="4D8253DE"/>
    <w:rsid w:val="4D957BCA"/>
    <w:rsid w:val="4D992505"/>
    <w:rsid w:val="4D9F42BB"/>
    <w:rsid w:val="4DA07767"/>
    <w:rsid w:val="4DA352DA"/>
    <w:rsid w:val="4DA40127"/>
    <w:rsid w:val="4DAD3920"/>
    <w:rsid w:val="4DAF3069"/>
    <w:rsid w:val="4DB26A06"/>
    <w:rsid w:val="4DB56837"/>
    <w:rsid w:val="4DB84A4E"/>
    <w:rsid w:val="4DBA2519"/>
    <w:rsid w:val="4DBC3759"/>
    <w:rsid w:val="4DC358DE"/>
    <w:rsid w:val="4DC63219"/>
    <w:rsid w:val="4DC73D43"/>
    <w:rsid w:val="4DCA3A06"/>
    <w:rsid w:val="4DE3728B"/>
    <w:rsid w:val="4DE63E7D"/>
    <w:rsid w:val="4DE7643E"/>
    <w:rsid w:val="4DE83381"/>
    <w:rsid w:val="4DEA1A58"/>
    <w:rsid w:val="4DF20A8D"/>
    <w:rsid w:val="4DF34A30"/>
    <w:rsid w:val="4DF62094"/>
    <w:rsid w:val="4DFD6AEB"/>
    <w:rsid w:val="4DFF76C2"/>
    <w:rsid w:val="4E015C8C"/>
    <w:rsid w:val="4E021218"/>
    <w:rsid w:val="4E1474DD"/>
    <w:rsid w:val="4E15029A"/>
    <w:rsid w:val="4E157EFD"/>
    <w:rsid w:val="4E321739"/>
    <w:rsid w:val="4E370F07"/>
    <w:rsid w:val="4E3E340C"/>
    <w:rsid w:val="4E53377D"/>
    <w:rsid w:val="4E5743DB"/>
    <w:rsid w:val="4E623964"/>
    <w:rsid w:val="4E634043"/>
    <w:rsid w:val="4E670645"/>
    <w:rsid w:val="4E6A2A29"/>
    <w:rsid w:val="4E6A7CC0"/>
    <w:rsid w:val="4E710DD1"/>
    <w:rsid w:val="4E712C90"/>
    <w:rsid w:val="4E747202"/>
    <w:rsid w:val="4E785C3F"/>
    <w:rsid w:val="4E7B1960"/>
    <w:rsid w:val="4E8140DE"/>
    <w:rsid w:val="4E887ED1"/>
    <w:rsid w:val="4E8944D9"/>
    <w:rsid w:val="4E983313"/>
    <w:rsid w:val="4EA11BB7"/>
    <w:rsid w:val="4EAB293F"/>
    <w:rsid w:val="4EAD3F4E"/>
    <w:rsid w:val="4EB2794B"/>
    <w:rsid w:val="4EBC0256"/>
    <w:rsid w:val="4EC35785"/>
    <w:rsid w:val="4ECA7354"/>
    <w:rsid w:val="4ED007FA"/>
    <w:rsid w:val="4ED117D6"/>
    <w:rsid w:val="4ED541B1"/>
    <w:rsid w:val="4ED709E0"/>
    <w:rsid w:val="4ED805D7"/>
    <w:rsid w:val="4EE04ACB"/>
    <w:rsid w:val="4EE20D76"/>
    <w:rsid w:val="4EE67022"/>
    <w:rsid w:val="4EEC383E"/>
    <w:rsid w:val="4EED225B"/>
    <w:rsid w:val="4EF67203"/>
    <w:rsid w:val="4EFC74B9"/>
    <w:rsid w:val="4F040AC3"/>
    <w:rsid w:val="4F066338"/>
    <w:rsid w:val="4F066D79"/>
    <w:rsid w:val="4F116806"/>
    <w:rsid w:val="4F1B6034"/>
    <w:rsid w:val="4F20056A"/>
    <w:rsid w:val="4F23763C"/>
    <w:rsid w:val="4F244145"/>
    <w:rsid w:val="4F2D6055"/>
    <w:rsid w:val="4F2F37D3"/>
    <w:rsid w:val="4F3054B9"/>
    <w:rsid w:val="4F31425D"/>
    <w:rsid w:val="4F3201E4"/>
    <w:rsid w:val="4F332629"/>
    <w:rsid w:val="4F3966DD"/>
    <w:rsid w:val="4F422EF5"/>
    <w:rsid w:val="4F4422A3"/>
    <w:rsid w:val="4F477EF4"/>
    <w:rsid w:val="4F4908AD"/>
    <w:rsid w:val="4F531BCE"/>
    <w:rsid w:val="4F5D7F17"/>
    <w:rsid w:val="4F610480"/>
    <w:rsid w:val="4F651762"/>
    <w:rsid w:val="4F656183"/>
    <w:rsid w:val="4F674123"/>
    <w:rsid w:val="4F6A3C25"/>
    <w:rsid w:val="4F6B74F0"/>
    <w:rsid w:val="4F6D4414"/>
    <w:rsid w:val="4F71177E"/>
    <w:rsid w:val="4F730452"/>
    <w:rsid w:val="4F783133"/>
    <w:rsid w:val="4F9827C6"/>
    <w:rsid w:val="4F9B36C2"/>
    <w:rsid w:val="4F9C2886"/>
    <w:rsid w:val="4F9C42D1"/>
    <w:rsid w:val="4FB14ADB"/>
    <w:rsid w:val="4FB82790"/>
    <w:rsid w:val="4FB95B47"/>
    <w:rsid w:val="4FD71D9B"/>
    <w:rsid w:val="4FD97F7E"/>
    <w:rsid w:val="4FDA749E"/>
    <w:rsid w:val="4FDB1045"/>
    <w:rsid w:val="4FDE49D7"/>
    <w:rsid w:val="4FDF07B1"/>
    <w:rsid w:val="4FE90673"/>
    <w:rsid w:val="4FEB19D5"/>
    <w:rsid w:val="4FF06E16"/>
    <w:rsid w:val="4FF32F39"/>
    <w:rsid w:val="4FF754D9"/>
    <w:rsid w:val="4FFC5EA7"/>
    <w:rsid w:val="500839EC"/>
    <w:rsid w:val="50097ADC"/>
    <w:rsid w:val="500D55CE"/>
    <w:rsid w:val="50212D46"/>
    <w:rsid w:val="502A0E62"/>
    <w:rsid w:val="502B25F5"/>
    <w:rsid w:val="503126E4"/>
    <w:rsid w:val="50362D27"/>
    <w:rsid w:val="5038261B"/>
    <w:rsid w:val="50407CDE"/>
    <w:rsid w:val="504D11A2"/>
    <w:rsid w:val="504F6EC5"/>
    <w:rsid w:val="50503476"/>
    <w:rsid w:val="5056546F"/>
    <w:rsid w:val="505748FA"/>
    <w:rsid w:val="50614FCB"/>
    <w:rsid w:val="50624919"/>
    <w:rsid w:val="50722701"/>
    <w:rsid w:val="507A4B5B"/>
    <w:rsid w:val="507C69FC"/>
    <w:rsid w:val="50850973"/>
    <w:rsid w:val="50872B69"/>
    <w:rsid w:val="508A1DA2"/>
    <w:rsid w:val="508A4DDD"/>
    <w:rsid w:val="508C183B"/>
    <w:rsid w:val="509B6A64"/>
    <w:rsid w:val="50AD53EC"/>
    <w:rsid w:val="50C23B5C"/>
    <w:rsid w:val="50C71F94"/>
    <w:rsid w:val="50C77A6D"/>
    <w:rsid w:val="50D20154"/>
    <w:rsid w:val="50D4718B"/>
    <w:rsid w:val="50D74A2A"/>
    <w:rsid w:val="50E001AE"/>
    <w:rsid w:val="50E64090"/>
    <w:rsid w:val="50EA7AC6"/>
    <w:rsid w:val="50F53164"/>
    <w:rsid w:val="50FE2006"/>
    <w:rsid w:val="50FE55ED"/>
    <w:rsid w:val="51095A26"/>
    <w:rsid w:val="510E62D0"/>
    <w:rsid w:val="51262133"/>
    <w:rsid w:val="512E018C"/>
    <w:rsid w:val="512F10D3"/>
    <w:rsid w:val="512F5C97"/>
    <w:rsid w:val="513209CB"/>
    <w:rsid w:val="51380F59"/>
    <w:rsid w:val="513B4F0D"/>
    <w:rsid w:val="513E5A43"/>
    <w:rsid w:val="51464E96"/>
    <w:rsid w:val="5148447D"/>
    <w:rsid w:val="514C78B2"/>
    <w:rsid w:val="51521233"/>
    <w:rsid w:val="516438BA"/>
    <w:rsid w:val="516B7244"/>
    <w:rsid w:val="516D7C04"/>
    <w:rsid w:val="516F169F"/>
    <w:rsid w:val="517167E6"/>
    <w:rsid w:val="517A5B87"/>
    <w:rsid w:val="518622EC"/>
    <w:rsid w:val="51887525"/>
    <w:rsid w:val="518976EE"/>
    <w:rsid w:val="518E7BC0"/>
    <w:rsid w:val="51931E84"/>
    <w:rsid w:val="51A3416B"/>
    <w:rsid w:val="51A64FFE"/>
    <w:rsid w:val="51A87B7B"/>
    <w:rsid w:val="51A92B8F"/>
    <w:rsid w:val="51B30596"/>
    <w:rsid w:val="51B94B12"/>
    <w:rsid w:val="51BA5DC2"/>
    <w:rsid w:val="51C93890"/>
    <w:rsid w:val="51CE7580"/>
    <w:rsid w:val="51D05FAF"/>
    <w:rsid w:val="51D64EE9"/>
    <w:rsid w:val="51E7143D"/>
    <w:rsid w:val="51EC314E"/>
    <w:rsid w:val="51F67C8D"/>
    <w:rsid w:val="51FD48CA"/>
    <w:rsid w:val="52061896"/>
    <w:rsid w:val="520E569F"/>
    <w:rsid w:val="52153DEA"/>
    <w:rsid w:val="52181AFB"/>
    <w:rsid w:val="52211A34"/>
    <w:rsid w:val="52240AE3"/>
    <w:rsid w:val="52293C4B"/>
    <w:rsid w:val="522B5875"/>
    <w:rsid w:val="522D3F03"/>
    <w:rsid w:val="5230228D"/>
    <w:rsid w:val="5233231A"/>
    <w:rsid w:val="52477B02"/>
    <w:rsid w:val="524C2268"/>
    <w:rsid w:val="524C4937"/>
    <w:rsid w:val="52507C9C"/>
    <w:rsid w:val="52554706"/>
    <w:rsid w:val="525B3341"/>
    <w:rsid w:val="525C2A21"/>
    <w:rsid w:val="525E5FFB"/>
    <w:rsid w:val="526E1136"/>
    <w:rsid w:val="52725A77"/>
    <w:rsid w:val="52754DA9"/>
    <w:rsid w:val="52791FC2"/>
    <w:rsid w:val="52795CD2"/>
    <w:rsid w:val="527D6979"/>
    <w:rsid w:val="52821F9E"/>
    <w:rsid w:val="52825A58"/>
    <w:rsid w:val="528412A0"/>
    <w:rsid w:val="528811FA"/>
    <w:rsid w:val="52894CEB"/>
    <w:rsid w:val="528E36CC"/>
    <w:rsid w:val="529E3D88"/>
    <w:rsid w:val="52A01505"/>
    <w:rsid w:val="52A0625C"/>
    <w:rsid w:val="52A133BA"/>
    <w:rsid w:val="52A3579A"/>
    <w:rsid w:val="52A67043"/>
    <w:rsid w:val="52B23A87"/>
    <w:rsid w:val="52B9290F"/>
    <w:rsid w:val="52C64E0F"/>
    <w:rsid w:val="52C74478"/>
    <w:rsid w:val="52D011A3"/>
    <w:rsid w:val="52D0345F"/>
    <w:rsid w:val="52D715D6"/>
    <w:rsid w:val="52DD7ABC"/>
    <w:rsid w:val="52E02051"/>
    <w:rsid w:val="52EA0237"/>
    <w:rsid w:val="52ED493F"/>
    <w:rsid w:val="52F81D6C"/>
    <w:rsid w:val="52FF4E36"/>
    <w:rsid w:val="53004688"/>
    <w:rsid w:val="530C26CD"/>
    <w:rsid w:val="530C451E"/>
    <w:rsid w:val="530E7143"/>
    <w:rsid w:val="5315323D"/>
    <w:rsid w:val="531547C8"/>
    <w:rsid w:val="53176F7B"/>
    <w:rsid w:val="53182367"/>
    <w:rsid w:val="531B77B0"/>
    <w:rsid w:val="531D631F"/>
    <w:rsid w:val="53220744"/>
    <w:rsid w:val="532304C1"/>
    <w:rsid w:val="53237E8C"/>
    <w:rsid w:val="53245E65"/>
    <w:rsid w:val="532D2757"/>
    <w:rsid w:val="532E59DB"/>
    <w:rsid w:val="532F59A4"/>
    <w:rsid w:val="53333C4E"/>
    <w:rsid w:val="53457CA2"/>
    <w:rsid w:val="53481A18"/>
    <w:rsid w:val="5351571D"/>
    <w:rsid w:val="53535055"/>
    <w:rsid w:val="535C4B5C"/>
    <w:rsid w:val="535D42F4"/>
    <w:rsid w:val="53604732"/>
    <w:rsid w:val="5361457A"/>
    <w:rsid w:val="53627683"/>
    <w:rsid w:val="53672091"/>
    <w:rsid w:val="536746F1"/>
    <w:rsid w:val="536A065E"/>
    <w:rsid w:val="536C736C"/>
    <w:rsid w:val="536D0C1F"/>
    <w:rsid w:val="537107C2"/>
    <w:rsid w:val="53887929"/>
    <w:rsid w:val="538928BA"/>
    <w:rsid w:val="538C5A8C"/>
    <w:rsid w:val="53974CCC"/>
    <w:rsid w:val="53990941"/>
    <w:rsid w:val="539D633E"/>
    <w:rsid w:val="53A60B96"/>
    <w:rsid w:val="53AC7200"/>
    <w:rsid w:val="53AD6DB1"/>
    <w:rsid w:val="53AF7813"/>
    <w:rsid w:val="53B6465A"/>
    <w:rsid w:val="53BC28F6"/>
    <w:rsid w:val="53BD48F3"/>
    <w:rsid w:val="53C66768"/>
    <w:rsid w:val="53D13BE9"/>
    <w:rsid w:val="53D80967"/>
    <w:rsid w:val="53DE5398"/>
    <w:rsid w:val="53E22FEE"/>
    <w:rsid w:val="53E35B63"/>
    <w:rsid w:val="53E923F2"/>
    <w:rsid w:val="53EC2E48"/>
    <w:rsid w:val="53F45D8C"/>
    <w:rsid w:val="53FF0751"/>
    <w:rsid w:val="53FF2B02"/>
    <w:rsid w:val="53FF6CE3"/>
    <w:rsid w:val="540168FB"/>
    <w:rsid w:val="54027996"/>
    <w:rsid w:val="540325F4"/>
    <w:rsid w:val="54064F38"/>
    <w:rsid w:val="540A719D"/>
    <w:rsid w:val="5410223E"/>
    <w:rsid w:val="54102AEF"/>
    <w:rsid w:val="5416178A"/>
    <w:rsid w:val="54272510"/>
    <w:rsid w:val="54296E0D"/>
    <w:rsid w:val="543B471D"/>
    <w:rsid w:val="543E5D44"/>
    <w:rsid w:val="544360A6"/>
    <w:rsid w:val="545568FE"/>
    <w:rsid w:val="545B0CD2"/>
    <w:rsid w:val="54617393"/>
    <w:rsid w:val="54617D50"/>
    <w:rsid w:val="546D3CD4"/>
    <w:rsid w:val="546E5AC7"/>
    <w:rsid w:val="547B0CF4"/>
    <w:rsid w:val="548A7257"/>
    <w:rsid w:val="548E6822"/>
    <w:rsid w:val="5490445F"/>
    <w:rsid w:val="54994318"/>
    <w:rsid w:val="549E79FF"/>
    <w:rsid w:val="54A81E87"/>
    <w:rsid w:val="54AC2D56"/>
    <w:rsid w:val="54AD38A4"/>
    <w:rsid w:val="54AD55B1"/>
    <w:rsid w:val="54B0031A"/>
    <w:rsid w:val="54E21D50"/>
    <w:rsid w:val="54EA54D1"/>
    <w:rsid w:val="54F22743"/>
    <w:rsid w:val="54FD3CFC"/>
    <w:rsid w:val="54FD6A3B"/>
    <w:rsid w:val="55106D91"/>
    <w:rsid w:val="55111E91"/>
    <w:rsid w:val="551771C7"/>
    <w:rsid w:val="551943CA"/>
    <w:rsid w:val="55194F4F"/>
    <w:rsid w:val="55214D74"/>
    <w:rsid w:val="55252BB5"/>
    <w:rsid w:val="55291A18"/>
    <w:rsid w:val="5529329B"/>
    <w:rsid w:val="55333FCA"/>
    <w:rsid w:val="5535315F"/>
    <w:rsid w:val="553670A2"/>
    <w:rsid w:val="55375B00"/>
    <w:rsid w:val="553E08A0"/>
    <w:rsid w:val="55442E0B"/>
    <w:rsid w:val="55590CAE"/>
    <w:rsid w:val="555C3C4B"/>
    <w:rsid w:val="556871DF"/>
    <w:rsid w:val="556E625E"/>
    <w:rsid w:val="55767DE0"/>
    <w:rsid w:val="55913B22"/>
    <w:rsid w:val="55926083"/>
    <w:rsid w:val="55987049"/>
    <w:rsid w:val="559C1F6A"/>
    <w:rsid w:val="55B31263"/>
    <w:rsid w:val="55D16579"/>
    <w:rsid w:val="55DE1913"/>
    <w:rsid w:val="55E250A0"/>
    <w:rsid w:val="55E74877"/>
    <w:rsid w:val="55EC771E"/>
    <w:rsid w:val="55EE10FA"/>
    <w:rsid w:val="55F05D4B"/>
    <w:rsid w:val="55F21438"/>
    <w:rsid w:val="55F3226C"/>
    <w:rsid w:val="55F51A7C"/>
    <w:rsid w:val="55F9163F"/>
    <w:rsid w:val="56012E90"/>
    <w:rsid w:val="560B4458"/>
    <w:rsid w:val="560B78CD"/>
    <w:rsid w:val="560C5677"/>
    <w:rsid w:val="560F2B14"/>
    <w:rsid w:val="56122A36"/>
    <w:rsid w:val="56135B2C"/>
    <w:rsid w:val="561503A1"/>
    <w:rsid w:val="562100FD"/>
    <w:rsid w:val="56212628"/>
    <w:rsid w:val="562823A7"/>
    <w:rsid w:val="562960F3"/>
    <w:rsid w:val="56307127"/>
    <w:rsid w:val="563177D1"/>
    <w:rsid w:val="563449B7"/>
    <w:rsid w:val="563D791D"/>
    <w:rsid w:val="56461C43"/>
    <w:rsid w:val="5649678E"/>
    <w:rsid w:val="564D5FDA"/>
    <w:rsid w:val="564E0409"/>
    <w:rsid w:val="56510E72"/>
    <w:rsid w:val="56513116"/>
    <w:rsid w:val="565309FE"/>
    <w:rsid w:val="56576F55"/>
    <w:rsid w:val="565D1B01"/>
    <w:rsid w:val="566049F9"/>
    <w:rsid w:val="56713404"/>
    <w:rsid w:val="567A75C6"/>
    <w:rsid w:val="567A7F86"/>
    <w:rsid w:val="568A5D47"/>
    <w:rsid w:val="568C39AF"/>
    <w:rsid w:val="56971D8E"/>
    <w:rsid w:val="569D60E2"/>
    <w:rsid w:val="56A2715D"/>
    <w:rsid w:val="56A3318A"/>
    <w:rsid w:val="56B5026A"/>
    <w:rsid w:val="56B608E1"/>
    <w:rsid w:val="56B64F0E"/>
    <w:rsid w:val="56BD6AFB"/>
    <w:rsid w:val="56CB1112"/>
    <w:rsid w:val="56CD6915"/>
    <w:rsid w:val="56DC3816"/>
    <w:rsid w:val="56E4191D"/>
    <w:rsid w:val="56E542AB"/>
    <w:rsid w:val="56E55B44"/>
    <w:rsid w:val="56E63E91"/>
    <w:rsid w:val="56F97D56"/>
    <w:rsid w:val="56FA74FF"/>
    <w:rsid w:val="5703107C"/>
    <w:rsid w:val="57066E6C"/>
    <w:rsid w:val="57093711"/>
    <w:rsid w:val="571C0B02"/>
    <w:rsid w:val="571D27A9"/>
    <w:rsid w:val="57282755"/>
    <w:rsid w:val="572A12AA"/>
    <w:rsid w:val="572E454B"/>
    <w:rsid w:val="57406857"/>
    <w:rsid w:val="57454472"/>
    <w:rsid w:val="57476770"/>
    <w:rsid w:val="57504A5C"/>
    <w:rsid w:val="575107A1"/>
    <w:rsid w:val="576420CB"/>
    <w:rsid w:val="5764265A"/>
    <w:rsid w:val="5767387C"/>
    <w:rsid w:val="576D059F"/>
    <w:rsid w:val="576F2B33"/>
    <w:rsid w:val="57750051"/>
    <w:rsid w:val="577A6D5B"/>
    <w:rsid w:val="577B076B"/>
    <w:rsid w:val="57802A2D"/>
    <w:rsid w:val="578049A1"/>
    <w:rsid w:val="57842C8A"/>
    <w:rsid w:val="579519E0"/>
    <w:rsid w:val="579F3C94"/>
    <w:rsid w:val="57A10DFA"/>
    <w:rsid w:val="57A71C42"/>
    <w:rsid w:val="57AC6539"/>
    <w:rsid w:val="57AE28E1"/>
    <w:rsid w:val="57B13A99"/>
    <w:rsid w:val="57BB51BF"/>
    <w:rsid w:val="57C91FE7"/>
    <w:rsid w:val="57D6548D"/>
    <w:rsid w:val="57D7607F"/>
    <w:rsid w:val="57D9379A"/>
    <w:rsid w:val="57E502DB"/>
    <w:rsid w:val="57E64FE4"/>
    <w:rsid w:val="57E927CF"/>
    <w:rsid w:val="57ED1F5B"/>
    <w:rsid w:val="57F917DD"/>
    <w:rsid w:val="57FA46AA"/>
    <w:rsid w:val="58156C90"/>
    <w:rsid w:val="581D12C2"/>
    <w:rsid w:val="58291772"/>
    <w:rsid w:val="582A7220"/>
    <w:rsid w:val="582D4528"/>
    <w:rsid w:val="582E045D"/>
    <w:rsid w:val="58345030"/>
    <w:rsid w:val="583C0653"/>
    <w:rsid w:val="5843095D"/>
    <w:rsid w:val="58575F33"/>
    <w:rsid w:val="585D41DC"/>
    <w:rsid w:val="585E331A"/>
    <w:rsid w:val="586122B6"/>
    <w:rsid w:val="58631C30"/>
    <w:rsid w:val="5864140F"/>
    <w:rsid w:val="58652D0B"/>
    <w:rsid w:val="58671E11"/>
    <w:rsid w:val="586A0B7A"/>
    <w:rsid w:val="586C74F3"/>
    <w:rsid w:val="58701611"/>
    <w:rsid w:val="58703203"/>
    <w:rsid w:val="58703D71"/>
    <w:rsid w:val="58741EA8"/>
    <w:rsid w:val="588340F7"/>
    <w:rsid w:val="588559F8"/>
    <w:rsid w:val="588A02C1"/>
    <w:rsid w:val="589054BB"/>
    <w:rsid w:val="589331B2"/>
    <w:rsid w:val="58934FE8"/>
    <w:rsid w:val="589560E8"/>
    <w:rsid w:val="58986E96"/>
    <w:rsid w:val="58A511E8"/>
    <w:rsid w:val="58BF1452"/>
    <w:rsid w:val="58CD527F"/>
    <w:rsid w:val="58D02067"/>
    <w:rsid w:val="58D24750"/>
    <w:rsid w:val="58D279B1"/>
    <w:rsid w:val="58D43242"/>
    <w:rsid w:val="58E92BFE"/>
    <w:rsid w:val="58E93DC9"/>
    <w:rsid w:val="58F95938"/>
    <w:rsid w:val="58FD0082"/>
    <w:rsid w:val="5905549D"/>
    <w:rsid w:val="590A2B44"/>
    <w:rsid w:val="590C5226"/>
    <w:rsid w:val="590D32C7"/>
    <w:rsid w:val="591946E0"/>
    <w:rsid w:val="591F3E23"/>
    <w:rsid w:val="59200D58"/>
    <w:rsid w:val="59226396"/>
    <w:rsid w:val="59251CB3"/>
    <w:rsid w:val="59272D36"/>
    <w:rsid w:val="59294F4D"/>
    <w:rsid w:val="59357B01"/>
    <w:rsid w:val="593611D8"/>
    <w:rsid w:val="593D327C"/>
    <w:rsid w:val="593E64D4"/>
    <w:rsid w:val="593F359D"/>
    <w:rsid w:val="594B09C1"/>
    <w:rsid w:val="594D3EB2"/>
    <w:rsid w:val="59503DFF"/>
    <w:rsid w:val="59540FB8"/>
    <w:rsid w:val="59597D05"/>
    <w:rsid w:val="595A7150"/>
    <w:rsid w:val="595D6519"/>
    <w:rsid w:val="595F3813"/>
    <w:rsid w:val="596C0851"/>
    <w:rsid w:val="59733891"/>
    <w:rsid w:val="59741916"/>
    <w:rsid w:val="598330AC"/>
    <w:rsid w:val="598C63F6"/>
    <w:rsid w:val="598D3502"/>
    <w:rsid w:val="598D7213"/>
    <w:rsid w:val="59986A27"/>
    <w:rsid w:val="5999137D"/>
    <w:rsid w:val="59A04570"/>
    <w:rsid w:val="59A448C6"/>
    <w:rsid w:val="59A55FF4"/>
    <w:rsid w:val="59A9539A"/>
    <w:rsid w:val="59AA00D7"/>
    <w:rsid w:val="59AA5873"/>
    <w:rsid w:val="59AE6980"/>
    <w:rsid w:val="59B71BD5"/>
    <w:rsid w:val="59C82FE8"/>
    <w:rsid w:val="59C90BD6"/>
    <w:rsid w:val="59CA6CB9"/>
    <w:rsid w:val="59D200F2"/>
    <w:rsid w:val="59D45466"/>
    <w:rsid w:val="59DA1DA8"/>
    <w:rsid w:val="59DC7194"/>
    <w:rsid w:val="59DD6F6D"/>
    <w:rsid w:val="59DE62C1"/>
    <w:rsid w:val="59DE7E2B"/>
    <w:rsid w:val="59E200D5"/>
    <w:rsid w:val="59F6742F"/>
    <w:rsid w:val="59FB6622"/>
    <w:rsid w:val="59FF26FB"/>
    <w:rsid w:val="5A032B6B"/>
    <w:rsid w:val="5A072732"/>
    <w:rsid w:val="5A0D074F"/>
    <w:rsid w:val="5A1229AC"/>
    <w:rsid w:val="5A1F4DD7"/>
    <w:rsid w:val="5A2F2E4E"/>
    <w:rsid w:val="5A3108BC"/>
    <w:rsid w:val="5A3572F7"/>
    <w:rsid w:val="5A37581D"/>
    <w:rsid w:val="5A3B376F"/>
    <w:rsid w:val="5A593B14"/>
    <w:rsid w:val="5A696A09"/>
    <w:rsid w:val="5A790A37"/>
    <w:rsid w:val="5A7D28F7"/>
    <w:rsid w:val="5A7E782B"/>
    <w:rsid w:val="5A7F37AB"/>
    <w:rsid w:val="5A7F54AB"/>
    <w:rsid w:val="5A815FBE"/>
    <w:rsid w:val="5A847336"/>
    <w:rsid w:val="5A95065C"/>
    <w:rsid w:val="5A9F05FA"/>
    <w:rsid w:val="5AA32E74"/>
    <w:rsid w:val="5AA41201"/>
    <w:rsid w:val="5AAA45CE"/>
    <w:rsid w:val="5AB60202"/>
    <w:rsid w:val="5AB87B22"/>
    <w:rsid w:val="5AC76BC7"/>
    <w:rsid w:val="5ACB3EF4"/>
    <w:rsid w:val="5ACD0131"/>
    <w:rsid w:val="5AD0311F"/>
    <w:rsid w:val="5ADD4ED5"/>
    <w:rsid w:val="5AE4054D"/>
    <w:rsid w:val="5AE5793C"/>
    <w:rsid w:val="5AE822CC"/>
    <w:rsid w:val="5AEB04F6"/>
    <w:rsid w:val="5AED1E72"/>
    <w:rsid w:val="5AED50A6"/>
    <w:rsid w:val="5AF36FD7"/>
    <w:rsid w:val="5B02188B"/>
    <w:rsid w:val="5B0F2D75"/>
    <w:rsid w:val="5B212975"/>
    <w:rsid w:val="5B4643CF"/>
    <w:rsid w:val="5B5160E9"/>
    <w:rsid w:val="5B5633D2"/>
    <w:rsid w:val="5B5727CA"/>
    <w:rsid w:val="5B5C46A3"/>
    <w:rsid w:val="5B681592"/>
    <w:rsid w:val="5B757256"/>
    <w:rsid w:val="5B7E3F6D"/>
    <w:rsid w:val="5B880D83"/>
    <w:rsid w:val="5B966409"/>
    <w:rsid w:val="5B984141"/>
    <w:rsid w:val="5BA0154F"/>
    <w:rsid w:val="5BA17740"/>
    <w:rsid w:val="5BA4503A"/>
    <w:rsid w:val="5BA6613C"/>
    <w:rsid w:val="5BA81D4B"/>
    <w:rsid w:val="5BAA3A13"/>
    <w:rsid w:val="5BB247CE"/>
    <w:rsid w:val="5BC06753"/>
    <w:rsid w:val="5BC14C33"/>
    <w:rsid w:val="5BC51ED9"/>
    <w:rsid w:val="5BC74D9D"/>
    <w:rsid w:val="5BC93874"/>
    <w:rsid w:val="5BD043EE"/>
    <w:rsid w:val="5BD6683A"/>
    <w:rsid w:val="5BD90A8A"/>
    <w:rsid w:val="5BDB2F29"/>
    <w:rsid w:val="5BE152AC"/>
    <w:rsid w:val="5BEE0C41"/>
    <w:rsid w:val="5BF00FA3"/>
    <w:rsid w:val="5BF16622"/>
    <w:rsid w:val="5BF40AEC"/>
    <w:rsid w:val="5BFA1F1F"/>
    <w:rsid w:val="5BFC7043"/>
    <w:rsid w:val="5C0362A9"/>
    <w:rsid w:val="5C1061AA"/>
    <w:rsid w:val="5C1655E2"/>
    <w:rsid w:val="5C19713F"/>
    <w:rsid w:val="5C257BD0"/>
    <w:rsid w:val="5C27039B"/>
    <w:rsid w:val="5C2A2F43"/>
    <w:rsid w:val="5C2F5CC5"/>
    <w:rsid w:val="5C301916"/>
    <w:rsid w:val="5C352A73"/>
    <w:rsid w:val="5C373E79"/>
    <w:rsid w:val="5C3D45DD"/>
    <w:rsid w:val="5C40041F"/>
    <w:rsid w:val="5C540BB1"/>
    <w:rsid w:val="5C565606"/>
    <w:rsid w:val="5C575A8F"/>
    <w:rsid w:val="5C61596C"/>
    <w:rsid w:val="5C671ABB"/>
    <w:rsid w:val="5C6B0A25"/>
    <w:rsid w:val="5C6F64C9"/>
    <w:rsid w:val="5C727298"/>
    <w:rsid w:val="5C7343DC"/>
    <w:rsid w:val="5C770C2C"/>
    <w:rsid w:val="5C901391"/>
    <w:rsid w:val="5C912B19"/>
    <w:rsid w:val="5C97310F"/>
    <w:rsid w:val="5C9A7652"/>
    <w:rsid w:val="5C9D7CE9"/>
    <w:rsid w:val="5C9F17D1"/>
    <w:rsid w:val="5C9F314E"/>
    <w:rsid w:val="5CA41927"/>
    <w:rsid w:val="5CA44832"/>
    <w:rsid w:val="5CAB795C"/>
    <w:rsid w:val="5CB52476"/>
    <w:rsid w:val="5CB85FBE"/>
    <w:rsid w:val="5CBB17BA"/>
    <w:rsid w:val="5CBB3C21"/>
    <w:rsid w:val="5CBC0346"/>
    <w:rsid w:val="5CBC1692"/>
    <w:rsid w:val="5CC234D3"/>
    <w:rsid w:val="5CC7356C"/>
    <w:rsid w:val="5CCA5B55"/>
    <w:rsid w:val="5CD526CC"/>
    <w:rsid w:val="5CD713F7"/>
    <w:rsid w:val="5CDB05C7"/>
    <w:rsid w:val="5CDB5E68"/>
    <w:rsid w:val="5CDE71AB"/>
    <w:rsid w:val="5CF15797"/>
    <w:rsid w:val="5CF21E0A"/>
    <w:rsid w:val="5CF2636B"/>
    <w:rsid w:val="5CFE0DCE"/>
    <w:rsid w:val="5D0413B6"/>
    <w:rsid w:val="5D0459C2"/>
    <w:rsid w:val="5D054495"/>
    <w:rsid w:val="5D100754"/>
    <w:rsid w:val="5D1464F0"/>
    <w:rsid w:val="5D1758CC"/>
    <w:rsid w:val="5D201A00"/>
    <w:rsid w:val="5D220C89"/>
    <w:rsid w:val="5D236B07"/>
    <w:rsid w:val="5D240FFE"/>
    <w:rsid w:val="5D273D13"/>
    <w:rsid w:val="5D294DEC"/>
    <w:rsid w:val="5D2E0DF9"/>
    <w:rsid w:val="5D361F98"/>
    <w:rsid w:val="5D382F79"/>
    <w:rsid w:val="5D397720"/>
    <w:rsid w:val="5D446971"/>
    <w:rsid w:val="5D550CF3"/>
    <w:rsid w:val="5D6A4372"/>
    <w:rsid w:val="5D791772"/>
    <w:rsid w:val="5D7A7717"/>
    <w:rsid w:val="5D814AC3"/>
    <w:rsid w:val="5D89686C"/>
    <w:rsid w:val="5D8A2820"/>
    <w:rsid w:val="5D8F2594"/>
    <w:rsid w:val="5D9205BD"/>
    <w:rsid w:val="5D924525"/>
    <w:rsid w:val="5D940C6E"/>
    <w:rsid w:val="5D944335"/>
    <w:rsid w:val="5D9D0B86"/>
    <w:rsid w:val="5DA05E17"/>
    <w:rsid w:val="5DA753E3"/>
    <w:rsid w:val="5DAA0D9A"/>
    <w:rsid w:val="5DAC613D"/>
    <w:rsid w:val="5DB60694"/>
    <w:rsid w:val="5DB85404"/>
    <w:rsid w:val="5DC44173"/>
    <w:rsid w:val="5DC759D8"/>
    <w:rsid w:val="5DC97E6E"/>
    <w:rsid w:val="5DCA5FA9"/>
    <w:rsid w:val="5DCB3ED7"/>
    <w:rsid w:val="5DD06B52"/>
    <w:rsid w:val="5DD82618"/>
    <w:rsid w:val="5DE81642"/>
    <w:rsid w:val="5DEA239C"/>
    <w:rsid w:val="5DF21A5D"/>
    <w:rsid w:val="5DFD108C"/>
    <w:rsid w:val="5E035171"/>
    <w:rsid w:val="5E043AC3"/>
    <w:rsid w:val="5E063CE3"/>
    <w:rsid w:val="5E0728A4"/>
    <w:rsid w:val="5E07345D"/>
    <w:rsid w:val="5E0B3E57"/>
    <w:rsid w:val="5E1174EE"/>
    <w:rsid w:val="5E1760D9"/>
    <w:rsid w:val="5E27418E"/>
    <w:rsid w:val="5E2B672E"/>
    <w:rsid w:val="5E2D3938"/>
    <w:rsid w:val="5E306105"/>
    <w:rsid w:val="5E3205AF"/>
    <w:rsid w:val="5E3646E2"/>
    <w:rsid w:val="5E37540B"/>
    <w:rsid w:val="5E383B1E"/>
    <w:rsid w:val="5E3B04B2"/>
    <w:rsid w:val="5E3E69FF"/>
    <w:rsid w:val="5E48787D"/>
    <w:rsid w:val="5E4A6E89"/>
    <w:rsid w:val="5E550C83"/>
    <w:rsid w:val="5E5745D4"/>
    <w:rsid w:val="5E5E5D21"/>
    <w:rsid w:val="5E616025"/>
    <w:rsid w:val="5E6448C5"/>
    <w:rsid w:val="5E6A5479"/>
    <w:rsid w:val="5E6C7BB5"/>
    <w:rsid w:val="5E6F5492"/>
    <w:rsid w:val="5E7128C8"/>
    <w:rsid w:val="5E846A19"/>
    <w:rsid w:val="5E8A48EA"/>
    <w:rsid w:val="5E8B6680"/>
    <w:rsid w:val="5E8C0623"/>
    <w:rsid w:val="5E9034D9"/>
    <w:rsid w:val="5E96713C"/>
    <w:rsid w:val="5E977ACA"/>
    <w:rsid w:val="5E9D1581"/>
    <w:rsid w:val="5E9E6695"/>
    <w:rsid w:val="5EA9095E"/>
    <w:rsid w:val="5EB96101"/>
    <w:rsid w:val="5EC031C1"/>
    <w:rsid w:val="5EC77C88"/>
    <w:rsid w:val="5ECA3D39"/>
    <w:rsid w:val="5EDA6CC1"/>
    <w:rsid w:val="5EE9771C"/>
    <w:rsid w:val="5EFA4ACA"/>
    <w:rsid w:val="5F013656"/>
    <w:rsid w:val="5F015CCB"/>
    <w:rsid w:val="5F094FFD"/>
    <w:rsid w:val="5F0B7312"/>
    <w:rsid w:val="5F104ED0"/>
    <w:rsid w:val="5F1F7D4E"/>
    <w:rsid w:val="5F290087"/>
    <w:rsid w:val="5F2F705C"/>
    <w:rsid w:val="5F377EF0"/>
    <w:rsid w:val="5F387DAE"/>
    <w:rsid w:val="5F3C5DBB"/>
    <w:rsid w:val="5F4B48E1"/>
    <w:rsid w:val="5F5945B0"/>
    <w:rsid w:val="5F5E5D59"/>
    <w:rsid w:val="5F696E9E"/>
    <w:rsid w:val="5F6B6964"/>
    <w:rsid w:val="5F704BFD"/>
    <w:rsid w:val="5F75578B"/>
    <w:rsid w:val="5F7C32D2"/>
    <w:rsid w:val="5F864ECA"/>
    <w:rsid w:val="5F8D5483"/>
    <w:rsid w:val="5F8E3FF8"/>
    <w:rsid w:val="5F8E6642"/>
    <w:rsid w:val="5F8F15F8"/>
    <w:rsid w:val="5F9A1949"/>
    <w:rsid w:val="5F9C7F34"/>
    <w:rsid w:val="5F9F6E97"/>
    <w:rsid w:val="5FA1378F"/>
    <w:rsid w:val="5FA6034F"/>
    <w:rsid w:val="5FAE0235"/>
    <w:rsid w:val="5FAF015C"/>
    <w:rsid w:val="5FBE08A4"/>
    <w:rsid w:val="5FBE4D1D"/>
    <w:rsid w:val="5FC20077"/>
    <w:rsid w:val="5FC36FA6"/>
    <w:rsid w:val="5FC85FC9"/>
    <w:rsid w:val="5FCE3816"/>
    <w:rsid w:val="5FD2217D"/>
    <w:rsid w:val="5FD36095"/>
    <w:rsid w:val="5FD44B4B"/>
    <w:rsid w:val="5FD478F1"/>
    <w:rsid w:val="5FD506F2"/>
    <w:rsid w:val="5FDB6515"/>
    <w:rsid w:val="5FE35A58"/>
    <w:rsid w:val="5FE4474D"/>
    <w:rsid w:val="5FEA10C1"/>
    <w:rsid w:val="5FEA2D47"/>
    <w:rsid w:val="5FEC2E91"/>
    <w:rsid w:val="5FED46A4"/>
    <w:rsid w:val="5FF0402D"/>
    <w:rsid w:val="5FF96832"/>
    <w:rsid w:val="60072E0E"/>
    <w:rsid w:val="600A5ED7"/>
    <w:rsid w:val="600D0650"/>
    <w:rsid w:val="601057D9"/>
    <w:rsid w:val="60171902"/>
    <w:rsid w:val="601A17B3"/>
    <w:rsid w:val="601D2D07"/>
    <w:rsid w:val="601F74C4"/>
    <w:rsid w:val="60213C24"/>
    <w:rsid w:val="6030778C"/>
    <w:rsid w:val="603B40C7"/>
    <w:rsid w:val="603F426B"/>
    <w:rsid w:val="604E742A"/>
    <w:rsid w:val="605243FF"/>
    <w:rsid w:val="605B25D2"/>
    <w:rsid w:val="605B48E3"/>
    <w:rsid w:val="60630B92"/>
    <w:rsid w:val="60690A40"/>
    <w:rsid w:val="6069169C"/>
    <w:rsid w:val="606A7367"/>
    <w:rsid w:val="60707880"/>
    <w:rsid w:val="60726C4D"/>
    <w:rsid w:val="60753AC1"/>
    <w:rsid w:val="607E79C6"/>
    <w:rsid w:val="60820DBC"/>
    <w:rsid w:val="608D6DC9"/>
    <w:rsid w:val="608F34D9"/>
    <w:rsid w:val="60A02D8C"/>
    <w:rsid w:val="60A228FE"/>
    <w:rsid w:val="60A90F29"/>
    <w:rsid w:val="60A91776"/>
    <w:rsid w:val="60AD0DB3"/>
    <w:rsid w:val="60AE58AD"/>
    <w:rsid w:val="60B13005"/>
    <w:rsid w:val="60BC24D9"/>
    <w:rsid w:val="60BF607C"/>
    <w:rsid w:val="60CC445B"/>
    <w:rsid w:val="60D07E05"/>
    <w:rsid w:val="60E15DF6"/>
    <w:rsid w:val="60E61A57"/>
    <w:rsid w:val="60EF1056"/>
    <w:rsid w:val="60F13FC9"/>
    <w:rsid w:val="60F2099D"/>
    <w:rsid w:val="60F32A8A"/>
    <w:rsid w:val="60FE01D0"/>
    <w:rsid w:val="610605FD"/>
    <w:rsid w:val="611428EB"/>
    <w:rsid w:val="61166FC5"/>
    <w:rsid w:val="611C1F4B"/>
    <w:rsid w:val="611D004F"/>
    <w:rsid w:val="61230D3F"/>
    <w:rsid w:val="612A0F58"/>
    <w:rsid w:val="612F58D3"/>
    <w:rsid w:val="6136784C"/>
    <w:rsid w:val="61371BA7"/>
    <w:rsid w:val="613B65D2"/>
    <w:rsid w:val="613F492A"/>
    <w:rsid w:val="61503A17"/>
    <w:rsid w:val="61554A40"/>
    <w:rsid w:val="61600B7F"/>
    <w:rsid w:val="616923F5"/>
    <w:rsid w:val="617033DB"/>
    <w:rsid w:val="617C65F5"/>
    <w:rsid w:val="618004BB"/>
    <w:rsid w:val="61845007"/>
    <w:rsid w:val="61882403"/>
    <w:rsid w:val="618906CC"/>
    <w:rsid w:val="61897F29"/>
    <w:rsid w:val="6191294C"/>
    <w:rsid w:val="61937BED"/>
    <w:rsid w:val="61947C0A"/>
    <w:rsid w:val="619E4ED4"/>
    <w:rsid w:val="61A33880"/>
    <w:rsid w:val="61AC2599"/>
    <w:rsid w:val="61B22A9A"/>
    <w:rsid w:val="61B56E2D"/>
    <w:rsid w:val="61B70BC4"/>
    <w:rsid w:val="61BA4C0D"/>
    <w:rsid w:val="61BC3C69"/>
    <w:rsid w:val="61BF4A2B"/>
    <w:rsid w:val="61C25CA5"/>
    <w:rsid w:val="61D05185"/>
    <w:rsid w:val="61D0692A"/>
    <w:rsid w:val="61D17E13"/>
    <w:rsid w:val="61D745C0"/>
    <w:rsid w:val="61DF4357"/>
    <w:rsid w:val="61E37639"/>
    <w:rsid w:val="61E83FC6"/>
    <w:rsid w:val="61F222EA"/>
    <w:rsid w:val="61FF212C"/>
    <w:rsid w:val="620627BA"/>
    <w:rsid w:val="62096FA7"/>
    <w:rsid w:val="620C072F"/>
    <w:rsid w:val="62185D02"/>
    <w:rsid w:val="62191413"/>
    <w:rsid w:val="621A6640"/>
    <w:rsid w:val="621C2579"/>
    <w:rsid w:val="622310A8"/>
    <w:rsid w:val="622A0EC9"/>
    <w:rsid w:val="622D42A7"/>
    <w:rsid w:val="622F4831"/>
    <w:rsid w:val="62371A2B"/>
    <w:rsid w:val="623C7BF2"/>
    <w:rsid w:val="623D3838"/>
    <w:rsid w:val="623F123B"/>
    <w:rsid w:val="62405BAB"/>
    <w:rsid w:val="62412B12"/>
    <w:rsid w:val="624B4A86"/>
    <w:rsid w:val="624D5C5D"/>
    <w:rsid w:val="62512FEA"/>
    <w:rsid w:val="625C582E"/>
    <w:rsid w:val="6260477A"/>
    <w:rsid w:val="62692BD0"/>
    <w:rsid w:val="62716393"/>
    <w:rsid w:val="6276412D"/>
    <w:rsid w:val="62765332"/>
    <w:rsid w:val="62787F3F"/>
    <w:rsid w:val="627A24BD"/>
    <w:rsid w:val="627D185F"/>
    <w:rsid w:val="628017D5"/>
    <w:rsid w:val="62806062"/>
    <w:rsid w:val="62843B07"/>
    <w:rsid w:val="628743C6"/>
    <w:rsid w:val="628C70B5"/>
    <w:rsid w:val="629258A4"/>
    <w:rsid w:val="62976040"/>
    <w:rsid w:val="629A0DC9"/>
    <w:rsid w:val="629D4C92"/>
    <w:rsid w:val="62A200EE"/>
    <w:rsid w:val="62A31D68"/>
    <w:rsid w:val="62AF167A"/>
    <w:rsid w:val="62AF7DE3"/>
    <w:rsid w:val="62B125EB"/>
    <w:rsid w:val="62BB632F"/>
    <w:rsid w:val="62C31A4F"/>
    <w:rsid w:val="62C53F17"/>
    <w:rsid w:val="62C815D2"/>
    <w:rsid w:val="62C81E9B"/>
    <w:rsid w:val="62CB62EF"/>
    <w:rsid w:val="62CC2A53"/>
    <w:rsid w:val="62CE171E"/>
    <w:rsid w:val="62DA71B3"/>
    <w:rsid w:val="62DC5344"/>
    <w:rsid w:val="62E636CB"/>
    <w:rsid w:val="62E67534"/>
    <w:rsid w:val="62E7362D"/>
    <w:rsid w:val="62F00AE3"/>
    <w:rsid w:val="62F45876"/>
    <w:rsid w:val="6302174B"/>
    <w:rsid w:val="630E6E19"/>
    <w:rsid w:val="63126C6D"/>
    <w:rsid w:val="631556C0"/>
    <w:rsid w:val="631730FB"/>
    <w:rsid w:val="631F11F3"/>
    <w:rsid w:val="63206D3F"/>
    <w:rsid w:val="632149D6"/>
    <w:rsid w:val="632B1BCB"/>
    <w:rsid w:val="632F4248"/>
    <w:rsid w:val="63314698"/>
    <w:rsid w:val="634F04F2"/>
    <w:rsid w:val="635232D6"/>
    <w:rsid w:val="6354285A"/>
    <w:rsid w:val="63543064"/>
    <w:rsid w:val="635B17DB"/>
    <w:rsid w:val="635B6A4E"/>
    <w:rsid w:val="636F3233"/>
    <w:rsid w:val="637A5691"/>
    <w:rsid w:val="638D7767"/>
    <w:rsid w:val="63926811"/>
    <w:rsid w:val="63931F5D"/>
    <w:rsid w:val="63937391"/>
    <w:rsid w:val="63A0516D"/>
    <w:rsid w:val="63A64EFC"/>
    <w:rsid w:val="63A751CA"/>
    <w:rsid w:val="63B70D82"/>
    <w:rsid w:val="63B840D2"/>
    <w:rsid w:val="63BE7F46"/>
    <w:rsid w:val="63C23421"/>
    <w:rsid w:val="63C23B3F"/>
    <w:rsid w:val="63C71A4A"/>
    <w:rsid w:val="63CD67F3"/>
    <w:rsid w:val="63CD73EE"/>
    <w:rsid w:val="63DC107E"/>
    <w:rsid w:val="63E1576E"/>
    <w:rsid w:val="63E15790"/>
    <w:rsid w:val="63F3517A"/>
    <w:rsid w:val="63F557B9"/>
    <w:rsid w:val="63F73662"/>
    <w:rsid w:val="6404106F"/>
    <w:rsid w:val="640B186D"/>
    <w:rsid w:val="640B3322"/>
    <w:rsid w:val="64150B8A"/>
    <w:rsid w:val="641C219F"/>
    <w:rsid w:val="641C3BFC"/>
    <w:rsid w:val="642515B0"/>
    <w:rsid w:val="642807D8"/>
    <w:rsid w:val="64287ECD"/>
    <w:rsid w:val="64291347"/>
    <w:rsid w:val="642B2624"/>
    <w:rsid w:val="643339B1"/>
    <w:rsid w:val="64337EEF"/>
    <w:rsid w:val="64385352"/>
    <w:rsid w:val="64415061"/>
    <w:rsid w:val="64474E25"/>
    <w:rsid w:val="644B1806"/>
    <w:rsid w:val="6452070F"/>
    <w:rsid w:val="64521E96"/>
    <w:rsid w:val="64555F16"/>
    <w:rsid w:val="645732B0"/>
    <w:rsid w:val="64583151"/>
    <w:rsid w:val="645A3745"/>
    <w:rsid w:val="646105EB"/>
    <w:rsid w:val="64640F6D"/>
    <w:rsid w:val="64736F6A"/>
    <w:rsid w:val="647440EB"/>
    <w:rsid w:val="647A3FC0"/>
    <w:rsid w:val="647C7BE5"/>
    <w:rsid w:val="647E40E6"/>
    <w:rsid w:val="64840106"/>
    <w:rsid w:val="64855759"/>
    <w:rsid w:val="64870DAA"/>
    <w:rsid w:val="648837CB"/>
    <w:rsid w:val="648A5765"/>
    <w:rsid w:val="648B41DC"/>
    <w:rsid w:val="648F51B3"/>
    <w:rsid w:val="649139AC"/>
    <w:rsid w:val="6494184F"/>
    <w:rsid w:val="64951CC6"/>
    <w:rsid w:val="64981AC5"/>
    <w:rsid w:val="649E44E3"/>
    <w:rsid w:val="649E59F6"/>
    <w:rsid w:val="64A224F3"/>
    <w:rsid w:val="64C332C7"/>
    <w:rsid w:val="64CE30C3"/>
    <w:rsid w:val="64CF59E1"/>
    <w:rsid w:val="64D06AD9"/>
    <w:rsid w:val="64D25204"/>
    <w:rsid w:val="64D348C4"/>
    <w:rsid w:val="64DB0E32"/>
    <w:rsid w:val="64DC3B33"/>
    <w:rsid w:val="64E02B6C"/>
    <w:rsid w:val="64E80B00"/>
    <w:rsid w:val="64EC0E84"/>
    <w:rsid w:val="64F63A4F"/>
    <w:rsid w:val="64F83A44"/>
    <w:rsid w:val="64FA7B8A"/>
    <w:rsid w:val="64FE170D"/>
    <w:rsid w:val="65014B1B"/>
    <w:rsid w:val="65090B14"/>
    <w:rsid w:val="650C6744"/>
    <w:rsid w:val="651509FE"/>
    <w:rsid w:val="65187C9E"/>
    <w:rsid w:val="65192534"/>
    <w:rsid w:val="652D1362"/>
    <w:rsid w:val="65303F7F"/>
    <w:rsid w:val="6537477C"/>
    <w:rsid w:val="65380FEB"/>
    <w:rsid w:val="65530FF0"/>
    <w:rsid w:val="655E6012"/>
    <w:rsid w:val="65644D61"/>
    <w:rsid w:val="65654674"/>
    <w:rsid w:val="656C4CA4"/>
    <w:rsid w:val="6573021F"/>
    <w:rsid w:val="657604DD"/>
    <w:rsid w:val="65774455"/>
    <w:rsid w:val="657C65E4"/>
    <w:rsid w:val="657E4A9A"/>
    <w:rsid w:val="657F1D6E"/>
    <w:rsid w:val="65850CE5"/>
    <w:rsid w:val="65980B48"/>
    <w:rsid w:val="659B6BD4"/>
    <w:rsid w:val="65A879B6"/>
    <w:rsid w:val="65AD5F71"/>
    <w:rsid w:val="65B55872"/>
    <w:rsid w:val="65B85503"/>
    <w:rsid w:val="65BC19FB"/>
    <w:rsid w:val="65CD4C8B"/>
    <w:rsid w:val="65D44334"/>
    <w:rsid w:val="65D57B63"/>
    <w:rsid w:val="65E27B0A"/>
    <w:rsid w:val="65F379CA"/>
    <w:rsid w:val="65FF07B9"/>
    <w:rsid w:val="66057923"/>
    <w:rsid w:val="6609788A"/>
    <w:rsid w:val="660D0E22"/>
    <w:rsid w:val="66122556"/>
    <w:rsid w:val="661917E6"/>
    <w:rsid w:val="66293D7A"/>
    <w:rsid w:val="662A60D9"/>
    <w:rsid w:val="662A6AFF"/>
    <w:rsid w:val="662D17BB"/>
    <w:rsid w:val="66313D1A"/>
    <w:rsid w:val="66345385"/>
    <w:rsid w:val="66367CC1"/>
    <w:rsid w:val="663722D5"/>
    <w:rsid w:val="663E53A8"/>
    <w:rsid w:val="66414C92"/>
    <w:rsid w:val="664B6E46"/>
    <w:rsid w:val="665D12D3"/>
    <w:rsid w:val="666052E3"/>
    <w:rsid w:val="6664159F"/>
    <w:rsid w:val="66661BDF"/>
    <w:rsid w:val="666D539F"/>
    <w:rsid w:val="666E69F0"/>
    <w:rsid w:val="66713E96"/>
    <w:rsid w:val="66757251"/>
    <w:rsid w:val="667E7A35"/>
    <w:rsid w:val="667F5AAD"/>
    <w:rsid w:val="66860EDB"/>
    <w:rsid w:val="66972EC3"/>
    <w:rsid w:val="669F3B5D"/>
    <w:rsid w:val="66A4585A"/>
    <w:rsid w:val="66B72650"/>
    <w:rsid w:val="66C37A39"/>
    <w:rsid w:val="66C76ABD"/>
    <w:rsid w:val="66C919F9"/>
    <w:rsid w:val="66CF273F"/>
    <w:rsid w:val="66D80610"/>
    <w:rsid w:val="66E1288D"/>
    <w:rsid w:val="66E86106"/>
    <w:rsid w:val="66EA3AD6"/>
    <w:rsid w:val="66EB4A68"/>
    <w:rsid w:val="66EE78DA"/>
    <w:rsid w:val="66EF2FFE"/>
    <w:rsid w:val="66F37F9B"/>
    <w:rsid w:val="66F56686"/>
    <w:rsid w:val="66F95BFB"/>
    <w:rsid w:val="66FB1818"/>
    <w:rsid w:val="670058D9"/>
    <w:rsid w:val="67016899"/>
    <w:rsid w:val="670735B2"/>
    <w:rsid w:val="670A5205"/>
    <w:rsid w:val="67103118"/>
    <w:rsid w:val="671D7C11"/>
    <w:rsid w:val="6723398C"/>
    <w:rsid w:val="67236225"/>
    <w:rsid w:val="6727446C"/>
    <w:rsid w:val="67286003"/>
    <w:rsid w:val="672C3A83"/>
    <w:rsid w:val="672F4862"/>
    <w:rsid w:val="67313BD6"/>
    <w:rsid w:val="67327418"/>
    <w:rsid w:val="67381E7C"/>
    <w:rsid w:val="673C7437"/>
    <w:rsid w:val="6741361C"/>
    <w:rsid w:val="6743776E"/>
    <w:rsid w:val="6744467C"/>
    <w:rsid w:val="67491EAA"/>
    <w:rsid w:val="67562052"/>
    <w:rsid w:val="675674C7"/>
    <w:rsid w:val="67655612"/>
    <w:rsid w:val="6769328B"/>
    <w:rsid w:val="67797C93"/>
    <w:rsid w:val="677D07E0"/>
    <w:rsid w:val="677F3134"/>
    <w:rsid w:val="678E7979"/>
    <w:rsid w:val="67971CD4"/>
    <w:rsid w:val="679D1036"/>
    <w:rsid w:val="67A2508B"/>
    <w:rsid w:val="67A75D9F"/>
    <w:rsid w:val="67A83260"/>
    <w:rsid w:val="67A97AB8"/>
    <w:rsid w:val="67AE76AA"/>
    <w:rsid w:val="67B228DB"/>
    <w:rsid w:val="67B600D4"/>
    <w:rsid w:val="67B87A7B"/>
    <w:rsid w:val="67C03814"/>
    <w:rsid w:val="67C1604C"/>
    <w:rsid w:val="67C250AA"/>
    <w:rsid w:val="67C465D6"/>
    <w:rsid w:val="67D14D80"/>
    <w:rsid w:val="67D509B8"/>
    <w:rsid w:val="67E52322"/>
    <w:rsid w:val="67E617C8"/>
    <w:rsid w:val="67EA0BB3"/>
    <w:rsid w:val="67FB346D"/>
    <w:rsid w:val="68044C6A"/>
    <w:rsid w:val="6806219B"/>
    <w:rsid w:val="680C2EF6"/>
    <w:rsid w:val="680E6B71"/>
    <w:rsid w:val="68121CDB"/>
    <w:rsid w:val="681500D4"/>
    <w:rsid w:val="681B11F6"/>
    <w:rsid w:val="681F36D2"/>
    <w:rsid w:val="68283A48"/>
    <w:rsid w:val="682D445B"/>
    <w:rsid w:val="68373BBF"/>
    <w:rsid w:val="683A0E57"/>
    <w:rsid w:val="683D6CF7"/>
    <w:rsid w:val="683E5FAA"/>
    <w:rsid w:val="68402912"/>
    <w:rsid w:val="68425D0B"/>
    <w:rsid w:val="684352D5"/>
    <w:rsid w:val="6848470F"/>
    <w:rsid w:val="6851299A"/>
    <w:rsid w:val="68565126"/>
    <w:rsid w:val="685C6B5E"/>
    <w:rsid w:val="68617509"/>
    <w:rsid w:val="686210D0"/>
    <w:rsid w:val="686A1DDB"/>
    <w:rsid w:val="686F3B6F"/>
    <w:rsid w:val="688E31D3"/>
    <w:rsid w:val="68905447"/>
    <w:rsid w:val="68911F90"/>
    <w:rsid w:val="689458B6"/>
    <w:rsid w:val="68A00231"/>
    <w:rsid w:val="68A3294C"/>
    <w:rsid w:val="68B30250"/>
    <w:rsid w:val="68B65F0B"/>
    <w:rsid w:val="68B8425D"/>
    <w:rsid w:val="68BE2BAE"/>
    <w:rsid w:val="68C67A5B"/>
    <w:rsid w:val="68CE59E7"/>
    <w:rsid w:val="68D76C6F"/>
    <w:rsid w:val="68DB4C13"/>
    <w:rsid w:val="68E22221"/>
    <w:rsid w:val="68E42048"/>
    <w:rsid w:val="68E679EB"/>
    <w:rsid w:val="68EC73F1"/>
    <w:rsid w:val="68F67191"/>
    <w:rsid w:val="68FA630D"/>
    <w:rsid w:val="69163812"/>
    <w:rsid w:val="69172B1E"/>
    <w:rsid w:val="692E1CB8"/>
    <w:rsid w:val="69302772"/>
    <w:rsid w:val="69380B9D"/>
    <w:rsid w:val="6945104C"/>
    <w:rsid w:val="69533066"/>
    <w:rsid w:val="695565FE"/>
    <w:rsid w:val="6955728D"/>
    <w:rsid w:val="695C2A77"/>
    <w:rsid w:val="695F518C"/>
    <w:rsid w:val="6960306B"/>
    <w:rsid w:val="696841AC"/>
    <w:rsid w:val="696B07CA"/>
    <w:rsid w:val="696D48EE"/>
    <w:rsid w:val="697732EC"/>
    <w:rsid w:val="69817394"/>
    <w:rsid w:val="69864F42"/>
    <w:rsid w:val="69895EA4"/>
    <w:rsid w:val="698F6C7D"/>
    <w:rsid w:val="699225BF"/>
    <w:rsid w:val="699D6C9C"/>
    <w:rsid w:val="699E1CA7"/>
    <w:rsid w:val="69A0406C"/>
    <w:rsid w:val="69A06DC4"/>
    <w:rsid w:val="69A74C14"/>
    <w:rsid w:val="69C44E68"/>
    <w:rsid w:val="69D17174"/>
    <w:rsid w:val="69D67976"/>
    <w:rsid w:val="69DA0121"/>
    <w:rsid w:val="69EE1ABB"/>
    <w:rsid w:val="69EE5CB8"/>
    <w:rsid w:val="6A027670"/>
    <w:rsid w:val="6A09452A"/>
    <w:rsid w:val="6A1D0D12"/>
    <w:rsid w:val="6A233CF0"/>
    <w:rsid w:val="6A255612"/>
    <w:rsid w:val="6A29413C"/>
    <w:rsid w:val="6A31372C"/>
    <w:rsid w:val="6A31740E"/>
    <w:rsid w:val="6A350C4E"/>
    <w:rsid w:val="6A3A0A9B"/>
    <w:rsid w:val="6A402174"/>
    <w:rsid w:val="6A432291"/>
    <w:rsid w:val="6A4573B9"/>
    <w:rsid w:val="6A4946F9"/>
    <w:rsid w:val="6A5440F2"/>
    <w:rsid w:val="6A5863FB"/>
    <w:rsid w:val="6A664B22"/>
    <w:rsid w:val="6A6C1AD5"/>
    <w:rsid w:val="6A6D4D15"/>
    <w:rsid w:val="6A6F2835"/>
    <w:rsid w:val="6A7074A4"/>
    <w:rsid w:val="6A7614E2"/>
    <w:rsid w:val="6A805C28"/>
    <w:rsid w:val="6A81063B"/>
    <w:rsid w:val="6A812180"/>
    <w:rsid w:val="6A824A29"/>
    <w:rsid w:val="6A8C25C3"/>
    <w:rsid w:val="6A8C70F1"/>
    <w:rsid w:val="6AA27A16"/>
    <w:rsid w:val="6AA62491"/>
    <w:rsid w:val="6AA64F87"/>
    <w:rsid w:val="6AA702A9"/>
    <w:rsid w:val="6AA815FD"/>
    <w:rsid w:val="6AB7064F"/>
    <w:rsid w:val="6ABB0076"/>
    <w:rsid w:val="6ABC0D8C"/>
    <w:rsid w:val="6AC031F2"/>
    <w:rsid w:val="6AC40947"/>
    <w:rsid w:val="6AC75D5C"/>
    <w:rsid w:val="6ACF5AC3"/>
    <w:rsid w:val="6AD24B4E"/>
    <w:rsid w:val="6AD2649C"/>
    <w:rsid w:val="6AE11CB7"/>
    <w:rsid w:val="6AE306AA"/>
    <w:rsid w:val="6AEB5F56"/>
    <w:rsid w:val="6AEC013E"/>
    <w:rsid w:val="6AEC68CB"/>
    <w:rsid w:val="6AED526A"/>
    <w:rsid w:val="6AF05C35"/>
    <w:rsid w:val="6AF3242C"/>
    <w:rsid w:val="6AFC24B5"/>
    <w:rsid w:val="6B074BD2"/>
    <w:rsid w:val="6B075E8A"/>
    <w:rsid w:val="6B0B43A0"/>
    <w:rsid w:val="6B2276DE"/>
    <w:rsid w:val="6B2410B7"/>
    <w:rsid w:val="6B275BCB"/>
    <w:rsid w:val="6B2A1A1B"/>
    <w:rsid w:val="6B2F3FC8"/>
    <w:rsid w:val="6B317EC3"/>
    <w:rsid w:val="6B360196"/>
    <w:rsid w:val="6B3F46E7"/>
    <w:rsid w:val="6B403D4E"/>
    <w:rsid w:val="6B497F8D"/>
    <w:rsid w:val="6B4D45C8"/>
    <w:rsid w:val="6B610496"/>
    <w:rsid w:val="6B692A70"/>
    <w:rsid w:val="6B7F0B16"/>
    <w:rsid w:val="6B7F14E4"/>
    <w:rsid w:val="6B822F1F"/>
    <w:rsid w:val="6B861005"/>
    <w:rsid w:val="6B9802BE"/>
    <w:rsid w:val="6B9E00BB"/>
    <w:rsid w:val="6BA2074F"/>
    <w:rsid w:val="6BA3265D"/>
    <w:rsid w:val="6BA85663"/>
    <w:rsid w:val="6BAB3813"/>
    <w:rsid w:val="6BAC4CF4"/>
    <w:rsid w:val="6BCB2BA5"/>
    <w:rsid w:val="6BCE6AFB"/>
    <w:rsid w:val="6BD0343F"/>
    <w:rsid w:val="6BD12BF8"/>
    <w:rsid w:val="6BD97F56"/>
    <w:rsid w:val="6BED190D"/>
    <w:rsid w:val="6BF37F0F"/>
    <w:rsid w:val="6BF5605F"/>
    <w:rsid w:val="6BF80D27"/>
    <w:rsid w:val="6BF8151D"/>
    <w:rsid w:val="6BFC6B5C"/>
    <w:rsid w:val="6C0B5AC7"/>
    <w:rsid w:val="6C0F6218"/>
    <w:rsid w:val="6C153A02"/>
    <w:rsid w:val="6C185210"/>
    <w:rsid w:val="6C2245AE"/>
    <w:rsid w:val="6C24430C"/>
    <w:rsid w:val="6C270F5C"/>
    <w:rsid w:val="6C3D64DF"/>
    <w:rsid w:val="6C48350C"/>
    <w:rsid w:val="6C4917AB"/>
    <w:rsid w:val="6C4B6BD4"/>
    <w:rsid w:val="6C4C0CEC"/>
    <w:rsid w:val="6C506213"/>
    <w:rsid w:val="6C511BD6"/>
    <w:rsid w:val="6C5F25D3"/>
    <w:rsid w:val="6C601246"/>
    <w:rsid w:val="6C693307"/>
    <w:rsid w:val="6C69533D"/>
    <w:rsid w:val="6C720327"/>
    <w:rsid w:val="6C7922B2"/>
    <w:rsid w:val="6C7A237F"/>
    <w:rsid w:val="6C7D4E04"/>
    <w:rsid w:val="6C87516A"/>
    <w:rsid w:val="6C875629"/>
    <w:rsid w:val="6C8A73C1"/>
    <w:rsid w:val="6C8B724B"/>
    <w:rsid w:val="6C8E4084"/>
    <w:rsid w:val="6C92017A"/>
    <w:rsid w:val="6C9672F5"/>
    <w:rsid w:val="6C973E5D"/>
    <w:rsid w:val="6C9A10BC"/>
    <w:rsid w:val="6C9C6D1D"/>
    <w:rsid w:val="6C9D6084"/>
    <w:rsid w:val="6C9F6DEA"/>
    <w:rsid w:val="6CA368BF"/>
    <w:rsid w:val="6CAD155D"/>
    <w:rsid w:val="6CB33C51"/>
    <w:rsid w:val="6CB45DEA"/>
    <w:rsid w:val="6CC603D4"/>
    <w:rsid w:val="6CC65BF3"/>
    <w:rsid w:val="6CD6133A"/>
    <w:rsid w:val="6CD85C19"/>
    <w:rsid w:val="6CE07597"/>
    <w:rsid w:val="6CE23B7E"/>
    <w:rsid w:val="6CE35E14"/>
    <w:rsid w:val="6CF11C94"/>
    <w:rsid w:val="6CF779B4"/>
    <w:rsid w:val="6CFC77D9"/>
    <w:rsid w:val="6CFD3732"/>
    <w:rsid w:val="6D00242C"/>
    <w:rsid w:val="6D024FCD"/>
    <w:rsid w:val="6D0334D0"/>
    <w:rsid w:val="6D0614C1"/>
    <w:rsid w:val="6D10429B"/>
    <w:rsid w:val="6D1150FA"/>
    <w:rsid w:val="6D151973"/>
    <w:rsid w:val="6D156B14"/>
    <w:rsid w:val="6D19308D"/>
    <w:rsid w:val="6D1C2509"/>
    <w:rsid w:val="6D3205A4"/>
    <w:rsid w:val="6D3B0CC8"/>
    <w:rsid w:val="6D417B47"/>
    <w:rsid w:val="6D473065"/>
    <w:rsid w:val="6D4B54F2"/>
    <w:rsid w:val="6D6056B9"/>
    <w:rsid w:val="6D64379C"/>
    <w:rsid w:val="6D6F1F5C"/>
    <w:rsid w:val="6D724301"/>
    <w:rsid w:val="6D777E1B"/>
    <w:rsid w:val="6D7B4BC9"/>
    <w:rsid w:val="6D8345B5"/>
    <w:rsid w:val="6D852DF4"/>
    <w:rsid w:val="6D893129"/>
    <w:rsid w:val="6D912673"/>
    <w:rsid w:val="6D935D99"/>
    <w:rsid w:val="6D93781D"/>
    <w:rsid w:val="6D9A78D4"/>
    <w:rsid w:val="6DA27870"/>
    <w:rsid w:val="6DA46301"/>
    <w:rsid w:val="6DA66D5B"/>
    <w:rsid w:val="6DAC0B36"/>
    <w:rsid w:val="6DBE4738"/>
    <w:rsid w:val="6DBF4D04"/>
    <w:rsid w:val="6DC326E3"/>
    <w:rsid w:val="6DC45730"/>
    <w:rsid w:val="6DCA3855"/>
    <w:rsid w:val="6DCA4F34"/>
    <w:rsid w:val="6DCB221C"/>
    <w:rsid w:val="6DCB4C09"/>
    <w:rsid w:val="6DCF03BB"/>
    <w:rsid w:val="6DCF0F99"/>
    <w:rsid w:val="6DD208B4"/>
    <w:rsid w:val="6DD54021"/>
    <w:rsid w:val="6DE2344E"/>
    <w:rsid w:val="6DE9150B"/>
    <w:rsid w:val="6DEB1268"/>
    <w:rsid w:val="6DEF37CC"/>
    <w:rsid w:val="6DF077D2"/>
    <w:rsid w:val="6DF32181"/>
    <w:rsid w:val="6DF61A26"/>
    <w:rsid w:val="6DF955DC"/>
    <w:rsid w:val="6E082446"/>
    <w:rsid w:val="6E1A21CC"/>
    <w:rsid w:val="6E1B7A5D"/>
    <w:rsid w:val="6E1D7C8A"/>
    <w:rsid w:val="6E1E7781"/>
    <w:rsid w:val="6E1F50EF"/>
    <w:rsid w:val="6E241BAB"/>
    <w:rsid w:val="6E2A4896"/>
    <w:rsid w:val="6E2C2501"/>
    <w:rsid w:val="6E2C43C6"/>
    <w:rsid w:val="6E3B30AB"/>
    <w:rsid w:val="6E3C0EF6"/>
    <w:rsid w:val="6E3D238D"/>
    <w:rsid w:val="6E414913"/>
    <w:rsid w:val="6E4725C0"/>
    <w:rsid w:val="6E505338"/>
    <w:rsid w:val="6E53384B"/>
    <w:rsid w:val="6E625F75"/>
    <w:rsid w:val="6E6615E9"/>
    <w:rsid w:val="6E7D0383"/>
    <w:rsid w:val="6E7E1258"/>
    <w:rsid w:val="6E8762FA"/>
    <w:rsid w:val="6E8B2D9A"/>
    <w:rsid w:val="6E9076EA"/>
    <w:rsid w:val="6E955922"/>
    <w:rsid w:val="6E9B683B"/>
    <w:rsid w:val="6E9D364C"/>
    <w:rsid w:val="6EA07D8F"/>
    <w:rsid w:val="6EAB08AA"/>
    <w:rsid w:val="6EB102B4"/>
    <w:rsid w:val="6EC13F56"/>
    <w:rsid w:val="6EC35B7C"/>
    <w:rsid w:val="6ECE081C"/>
    <w:rsid w:val="6EDD3662"/>
    <w:rsid w:val="6EDF02A4"/>
    <w:rsid w:val="6EEA34D8"/>
    <w:rsid w:val="6EF7062E"/>
    <w:rsid w:val="6EF821AF"/>
    <w:rsid w:val="6EFE0BCE"/>
    <w:rsid w:val="6EFF3171"/>
    <w:rsid w:val="6F081FEF"/>
    <w:rsid w:val="6F0B4D6B"/>
    <w:rsid w:val="6F14455F"/>
    <w:rsid w:val="6F160B3A"/>
    <w:rsid w:val="6F204077"/>
    <w:rsid w:val="6F220D5E"/>
    <w:rsid w:val="6F2472E5"/>
    <w:rsid w:val="6F254291"/>
    <w:rsid w:val="6F2D1EF4"/>
    <w:rsid w:val="6F2F39E7"/>
    <w:rsid w:val="6F2F5111"/>
    <w:rsid w:val="6F3200E9"/>
    <w:rsid w:val="6F3623B8"/>
    <w:rsid w:val="6F3676B7"/>
    <w:rsid w:val="6F381D79"/>
    <w:rsid w:val="6F3E16A2"/>
    <w:rsid w:val="6F40438B"/>
    <w:rsid w:val="6F43488C"/>
    <w:rsid w:val="6F48632B"/>
    <w:rsid w:val="6F536812"/>
    <w:rsid w:val="6F5B6A68"/>
    <w:rsid w:val="6F5C3971"/>
    <w:rsid w:val="6F6171C2"/>
    <w:rsid w:val="6F7275BE"/>
    <w:rsid w:val="6F760730"/>
    <w:rsid w:val="6F7C5620"/>
    <w:rsid w:val="6F7F5D82"/>
    <w:rsid w:val="6F814F5A"/>
    <w:rsid w:val="6F834AF0"/>
    <w:rsid w:val="6F862890"/>
    <w:rsid w:val="6F8A5598"/>
    <w:rsid w:val="6F8B3D85"/>
    <w:rsid w:val="6F950D48"/>
    <w:rsid w:val="6F952192"/>
    <w:rsid w:val="6FA05970"/>
    <w:rsid w:val="6FA80BF8"/>
    <w:rsid w:val="6FA80C42"/>
    <w:rsid w:val="6FBB129A"/>
    <w:rsid w:val="6FBD5AB0"/>
    <w:rsid w:val="6FC10E57"/>
    <w:rsid w:val="6FC3346C"/>
    <w:rsid w:val="6FC60C16"/>
    <w:rsid w:val="6FD42814"/>
    <w:rsid w:val="6FDA70AB"/>
    <w:rsid w:val="6FDB01D4"/>
    <w:rsid w:val="6FDE210B"/>
    <w:rsid w:val="6FE16B76"/>
    <w:rsid w:val="6FE24E6C"/>
    <w:rsid w:val="6FE269C1"/>
    <w:rsid w:val="6FE34CF9"/>
    <w:rsid w:val="6FE74FF9"/>
    <w:rsid w:val="6FF966A0"/>
    <w:rsid w:val="6FFB7F4E"/>
    <w:rsid w:val="700011E0"/>
    <w:rsid w:val="70031E79"/>
    <w:rsid w:val="700B3A82"/>
    <w:rsid w:val="70180417"/>
    <w:rsid w:val="70182BA3"/>
    <w:rsid w:val="701946BA"/>
    <w:rsid w:val="701F2839"/>
    <w:rsid w:val="7022535B"/>
    <w:rsid w:val="7028540B"/>
    <w:rsid w:val="70304457"/>
    <w:rsid w:val="70307807"/>
    <w:rsid w:val="703D73E9"/>
    <w:rsid w:val="70446C04"/>
    <w:rsid w:val="70455A98"/>
    <w:rsid w:val="70457DB1"/>
    <w:rsid w:val="704D4673"/>
    <w:rsid w:val="70510A79"/>
    <w:rsid w:val="705838E8"/>
    <w:rsid w:val="7064403B"/>
    <w:rsid w:val="706D3557"/>
    <w:rsid w:val="706D62C7"/>
    <w:rsid w:val="70730722"/>
    <w:rsid w:val="707C2900"/>
    <w:rsid w:val="707D2719"/>
    <w:rsid w:val="708B5167"/>
    <w:rsid w:val="708C66E1"/>
    <w:rsid w:val="709A3D91"/>
    <w:rsid w:val="70A80E97"/>
    <w:rsid w:val="70A943A7"/>
    <w:rsid w:val="70AE7A3E"/>
    <w:rsid w:val="70B358AA"/>
    <w:rsid w:val="70BA3C5B"/>
    <w:rsid w:val="70BE6CC7"/>
    <w:rsid w:val="70BF70C6"/>
    <w:rsid w:val="70C33AB3"/>
    <w:rsid w:val="70C46FB6"/>
    <w:rsid w:val="70C94EB9"/>
    <w:rsid w:val="70CB5BFA"/>
    <w:rsid w:val="70CE6B60"/>
    <w:rsid w:val="70D26A74"/>
    <w:rsid w:val="70DD1B4B"/>
    <w:rsid w:val="70DF1913"/>
    <w:rsid w:val="70DF6A2E"/>
    <w:rsid w:val="70F116E1"/>
    <w:rsid w:val="71097705"/>
    <w:rsid w:val="710F3CB8"/>
    <w:rsid w:val="7114435C"/>
    <w:rsid w:val="71176820"/>
    <w:rsid w:val="71182811"/>
    <w:rsid w:val="71264F95"/>
    <w:rsid w:val="71284563"/>
    <w:rsid w:val="712964A4"/>
    <w:rsid w:val="71313630"/>
    <w:rsid w:val="71392741"/>
    <w:rsid w:val="713A00CD"/>
    <w:rsid w:val="714877F4"/>
    <w:rsid w:val="714B138E"/>
    <w:rsid w:val="715065D0"/>
    <w:rsid w:val="7151760B"/>
    <w:rsid w:val="71590E1B"/>
    <w:rsid w:val="715C2C83"/>
    <w:rsid w:val="71624DCA"/>
    <w:rsid w:val="716414CD"/>
    <w:rsid w:val="71651B9D"/>
    <w:rsid w:val="7167606B"/>
    <w:rsid w:val="716A59EB"/>
    <w:rsid w:val="716F2D04"/>
    <w:rsid w:val="717326D8"/>
    <w:rsid w:val="71767403"/>
    <w:rsid w:val="717D25C5"/>
    <w:rsid w:val="7185042D"/>
    <w:rsid w:val="7186689B"/>
    <w:rsid w:val="718C3825"/>
    <w:rsid w:val="71934E01"/>
    <w:rsid w:val="719F7C80"/>
    <w:rsid w:val="71A75F78"/>
    <w:rsid w:val="71AB10F1"/>
    <w:rsid w:val="71AC7F59"/>
    <w:rsid w:val="71BF563D"/>
    <w:rsid w:val="71C51E6A"/>
    <w:rsid w:val="71CA3A43"/>
    <w:rsid w:val="71CB134B"/>
    <w:rsid w:val="71D40DF4"/>
    <w:rsid w:val="71D4362D"/>
    <w:rsid w:val="71D552A0"/>
    <w:rsid w:val="71E061C4"/>
    <w:rsid w:val="71E524C1"/>
    <w:rsid w:val="71E70736"/>
    <w:rsid w:val="71F557B6"/>
    <w:rsid w:val="71FB7C0C"/>
    <w:rsid w:val="71FF245C"/>
    <w:rsid w:val="72004797"/>
    <w:rsid w:val="720608D1"/>
    <w:rsid w:val="72070DAE"/>
    <w:rsid w:val="72111641"/>
    <w:rsid w:val="72183D17"/>
    <w:rsid w:val="721E2FAD"/>
    <w:rsid w:val="72251557"/>
    <w:rsid w:val="72270439"/>
    <w:rsid w:val="723934BE"/>
    <w:rsid w:val="723D7D39"/>
    <w:rsid w:val="723F3486"/>
    <w:rsid w:val="723F46C9"/>
    <w:rsid w:val="72460350"/>
    <w:rsid w:val="724C742F"/>
    <w:rsid w:val="72541E8D"/>
    <w:rsid w:val="725C2FB3"/>
    <w:rsid w:val="72784B9C"/>
    <w:rsid w:val="727B23F9"/>
    <w:rsid w:val="727C0E65"/>
    <w:rsid w:val="72885E14"/>
    <w:rsid w:val="72A57C62"/>
    <w:rsid w:val="72B47CE2"/>
    <w:rsid w:val="72B7731E"/>
    <w:rsid w:val="72BE74E1"/>
    <w:rsid w:val="72C3514B"/>
    <w:rsid w:val="72C903C7"/>
    <w:rsid w:val="72D765C7"/>
    <w:rsid w:val="72D97A83"/>
    <w:rsid w:val="72DF12D2"/>
    <w:rsid w:val="72EC6183"/>
    <w:rsid w:val="72EE442B"/>
    <w:rsid w:val="72F076F2"/>
    <w:rsid w:val="730140D4"/>
    <w:rsid w:val="730C5480"/>
    <w:rsid w:val="730C6A98"/>
    <w:rsid w:val="730F7BD2"/>
    <w:rsid w:val="731C03F8"/>
    <w:rsid w:val="731D12DA"/>
    <w:rsid w:val="73316143"/>
    <w:rsid w:val="733E73C4"/>
    <w:rsid w:val="7340007B"/>
    <w:rsid w:val="734A69D4"/>
    <w:rsid w:val="734C17D6"/>
    <w:rsid w:val="734D0FA7"/>
    <w:rsid w:val="734F31AB"/>
    <w:rsid w:val="735B3860"/>
    <w:rsid w:val="73605AB6"/>
    <w:rsid w:val="73631A72"/>
    <w:rsid w:val="736335D1"/>
    <w:rsid w:val="73673731"/>
    <w:rsid w:val="736921A5"/>
    <w:rsid w:val="73755474"/>
    <w:rsid w:val="73757CC1"/>
    <w:rsid w:val="73886840"/>
    <w:rsid w:val="738A1F32"/>
    <w:rsid w:val="73936355"/>
    <w:rsid w:val="739624F8"/>
    <w:rsid w:val="73985EB0"/>
    <w:rsid w:val="739A147E"/>
    <w:rsid w:val="739D725B"/>
    <w:rsid w:val="73A25653"/>
    <w:rsid w:val="73AC3A3A"/>
    <w:rsid w:val="73AE5DC2"/>
    <w:rsid w:val="73B262EE"/>
    <w:rsid w:val="73C80512"/>
    <w:rsid w:val="73CE3C77"/>
    <w:rsid w:val="73CF0058"/>
    <w:rsid w:val="73D05A79"/>
    <w:rsid w:val="73D15F47"/>
    <w:rsid w:val="73D74448"/>
    <w:rsid w:val="73E210D2"/>
    <w:rsid w:val="73EC1E31"/>
    <w:rsid w:val="73ED5FE6"/>
    <w:rsid w:val="73EE1ACA"/>
    <w:rsid w:val="73F14E0B"/>
    <w:rsid w:val="73F45E63"/>
    <w:rsid w:val="73FE52FF"/>
    <w:rsid w:val="74054E39"/>
    <w:rsid w:val="740C121C"/>
    <w:rsid w:val="740C6F73"/>
    <w:rsid w:val="741C7B58"/>
    <w:rsid w:val="74243611"/>
    <w:rsid w:val="74244353"/>
    <w:rsid w:val="74255263"/>
    <w:rsid w:val="742E37A4"/>
    <w:rsid w:val="743126A9"/>
    <w:rsid w:val="743618D1"/>
    <w:rsid w:val="743F7D58"/>
    <w:rsid w:val="74446F15"/>
    <w:rsid w:val="744775CD"/>
    <w:rsid w:val="7449483B"/>
    <w:rsid w:val="74512E95"/>
    <w:rsid w:val="745A0E57"/>
    <w:rsid w:val="745A13C1"/>
    <w:rsid w:val="74763AB9"/>
    <w:rsid w:val="7476716C"/>
    <w:rsid w:val="747A3CF8"/>
    <w:rsid w:val="74857149"/>
    <w:rsid w:val="74867E1B"/>
    <w:rsid w:val="748A0FB5"/>
    <w:rsid w:val="748D6BDA"/>
    <w:rsid w:val="749337D2"/>
    <w:rsid w:val="7495403D"/>
    <w:rsid w:val="749914D8"/>
    <w:rsid w:val="74A33CBC"/>
    <w:rsid w:val="74A97079"/>
    <w:rsid w:val="74AE2554"/>
    <w:rsid w:val="74B962EE"/>
    <w:rsid w:val="74BC4D4D"/>
    <w:rsid w:val="74BF3F35"/>
    <w:rsid w:val="74C23715"/>
    <w:rsid w:val="74CA3E53"/>
    <w:rsid w:val="74CB3325"/>
    <w:rsid w:val="74CC6D6C"/>
    <w:rsid w:val="74CE4EDB"/>
    <w:rsid w:val="74D21445"/>
    <w:rsid w:val="74D5689D"/>
    <w:rsid w:val="74D56AFE"/>
    <w:rsid w:val="74D9409D"/>
    <w:rsid w:val="74DB532A"/>
    <w:rsid w:val="74DF69B0"/>
    <w:rsid w:val="74E01433"/>
    <w:rsid w:val="74E5293A"/>
    <w:rsid w:val="74E80CD1"/>
    <w:rsid w:val="74EC0AA3"/>
    <w:rsid w:val="74F14151"/>
    <w:rsid w:val="74F960E0"/>
    <w:rsid w:val="74FA31C0"/>
    <w:rsid w:val="75045625"/>
    <w:rsid w:val="750605B4"/>
    <w:rsid w:val="751A7EE5"/>
    <w:rsid w:val="751C1388"/>
    <w:rsid w:val="751F1826"/>
    <w:rsid w:val="75261296"/>
    <w:rsid w:val="75307519"/>
    <w:rsid w:val="75395A37"/>
    <w:rsid w:val="753B247A"/>
    <w:rsid w:val="75426F63"/>
    <w:rsid w:val="7543664B"/>
    <w:rsid w:val="754462B9"/>
    <w:rsid w:val="754A663F"/>
    <w:rsid w:val="754D6730"/>
    <w:rsid w:val="754D7793"/>
    <w:rsid w:val="755A1EB0"/>
    <w:rsid w:val="755B731C"/>
    <w:rsid w:val="75637F4F"/>
    <w:rsid w:val="75661F5B"/>
    <w:rsid w:val="756C42F2"/>
    <w:rsid w:val="756D5CB0"/>
    <w:rsid w:val="756E3266"/>
    <w:rsid w:val="75867E44"/>
    <w:rsid w:val="75882A3C"/>
    <w:rsid w:val="758C5550"/>
    <w:rsid w:val="7598764D"/>
    <w:rsid w:val="75A924F0"/>
    <w:rsid w:val="75A9337A"/>
    <w:rsid w:val="75AF5D58"/>
    <w:rsid w:val="75B02DAB"/>
    <w:rsid w:val="75B47DF2"/>
    <w:rsid w:val="75B75651"/>
    <w:rsid w:val="75C10933"/>
    <w:rsid w:val="75C11A0C"/>
    <w:rsid w:val="75C62BDE"/>
    <w:rsid w:val="75C9265A"/>
    <w:rsid w:val="75D62BB1"/>
    <w:rsid w:val="75E24EAB"/>
    <w:rsid w:val="75E43528"/>
    <w:rsid w:val="75E54E45"/>
    <w:rsid w:val="75E8586C"/>
    <w:rsid w:val="75F15DE6"/>
    <w:rsid w:val="75F53780"/>
    <w:rsid w:val="7600640B"/>
    <w:rsid w:val="76013E34"/>
    <w:rsid w:val="760B293A"/>
    <w:rsid w:val="761C7598"/>
    <w:rsid w:val="761E4275"/>
    <w:rsid w:val="761F1150"/>
    <w:rsid w:val="76236494"/>
    <w:rsid w:val="76267303"/>
    <w:rsid w:val="76341006"/>
    <w:rsid w:val="7641263F"/>
    <w:rsid w:val="764860FB"/>
    <w:rsid w:val="76494BB7"/>
    <w:rsid w:val="764E69C9"/>
    <w:rsid w:val="76566016"/>
    <w:rsid w:val="765C6193"/>
    <w:rsid w:val="76624D35"/>
    <w:rsid w:val="766A0041"/>
    <w:rsid w:val="766A042F"/>
    <w:rsid w:val="767158EF"/>
    <w:rsid w:val="76743F80"/>
    <w:rsid w:val="7682180D"/>
    <w:rsid w:val="76856F81"/>
    <w:rsid w:val="768A7621"/>
    <w:rsid w:val="768C1A73"/>
    <w:rsid w:val="76944F4E"/>
    <w:rsid w:val="76A53F80"/>
    <w:rsid w:val="76A56BC8"/>
    <w:rsid w:val="76A6017D"/>
    <w:rsid w:val="76B01A14"/>
    <w:rsid w:val="76B454A3"/>
    <w:rsid w:val="76C9147E"/>
    <w:rsid w:val="76CE5497"/>
    <w:rsid w:val="76CF6DE7"/>
    <w:rsid w:val="76E62F44"/>
    <w:rsid w:val="76EF1902"/>
    <w:rsid w:val="76EF72EB"/>
    <w:rsid w:val="76F559F1"/>
    <w:rsid w:val="76F61C12"/>
    <w:rsid w:val="76F776C0"/>
    <w:rsid w:val="76FD273C"/>
    <w:rsid w:val="76FF667E"/>
    <w:rsid w:val="77057579"/>
    <w:rsid w:val="77060309"/>
    <w:rsid w:val="77094935"/>
    <w:rsid w:val="770E2F52"/>
    <w:rsid w:val="77187B78"/>
    <w:rsid w:val="771D2D9B"/>
    <w:rsid w:val="7725549C"/>
    <w:rsid w:val="7725583E"/>
    <w:rsid w:val="772E3A49"/>
    <w:rsid w:val="772F4D78"/>
    <w:rsid w:val="77323D15"/>
    <w:rsid w:val="77370A20"/>
    <w:rsid w:val="77372D24"/>
    <w:rsid w:val="773875E5"/>
    <w:rsid w:val="773A7390"/>
    <w:rsid w:val="773E24B3"/>
    <w:rsid w:val="77460E25"/>
    <w:rsid w:val="774A3CBD"/>
    <w:rsid w:val="774E2327"/>
    <w:rsid w:val="774F4AEE"/>
    <w:rsid w:val="775250D0"/>
    <w:rsid w:val="77527A4D"/>
    <w:rsid w:val="77533B83"/>
    <w:rsid w:val="775A2693"/>
    <w:rsid w:val="775D334E"/>
    <w:rsid w:val="776F7047"/>
    <w:rsid w:val="777076C4"/>
    <w:rsid w:val="777A5D87"/>
    <w:rsid w:val="778076A9"/>
    <w:rsid w:val="77844628"/>
    <w:rsid w:val="778D7D30"/>
    <w:rsid w:val="77943FBA"/>
    <w:rsid w:val="779858F5"/>
    <w:rsid w:val="779D7651"/>
    <w:rsid w:val="77A14CC4"/>
    <w:rsid w:val="77A22598"/>
    <w:rsid w:val="77A53EC4"/>
    <w:rsid w:val="77A71D46"/>
    <w:rsid w:val="77A8540E"/>
    <w:rsid w:val="77AD72EC"/>
    <w:rsid w:val="77B20957"/>
    <w:rsid w:val="77B37261"/>
    <w:rsid w:val="77BF5824"/>
    <w:rsid w:val="77C15BE5"/>
    <w:rsid w:val="77C4596C"/>
    <w:rsid w:val="77CA01E9"/>
    <w:rsid w:val="77D11630"/>
    <w:rsid w:val="77D6129F"/>
    <w:rsid w:val="77E36411"/>
    <w:rsid w:val="77E37571"/>
    <w:rsid w:val="77E43CB3"/>
    <w:rsid w:val="77E4487F"/>
    <w:rsid w:val="77E872FF"/>
    <w:rsid w:val="77F033DC"/>
    <w:rsid w:val="77F0778F"/>
    <w:rsid w:val="77F30E66"/>
    <w:rsid w:val="780034E8"/>
    <w:rsid w:val="78037873"/>
    <w:rsid w:val="780B503F"/>
    <w:rsid w:val="78123587"/>
    <w:rsid w:val="78190606"/>
    <w:rsid w:val="78245FA1"/>
    <w:rsid w:val="782B28E8"/>
    <w:rsid w:val="782C16B0"/>
    <w:rsid w:val="783E7F31"/>
    <w:rsid w:val="783F56A5"/>
    <w:rsid w:val="784214D5"/>
    <w:rsid w:val="78446AE0"/>
    <w:rsid w:val="784516CF"/>
    <w:rsid w:val="784C1D2E"/>
    <w:rsid w:val="784D6077"/>
    <w:rsid w:val="785517CD"/>
    <w:rsid w:val="7867080C"/>
    <w:rsid w:val="78715199"/>
    <w:rsid w:val="78722BA8"/>
    <w:rsid w:val="78723099"/>
    <w:rsid w:val="78727CC2"/>
    <w:rsid w:val="78743EBF"/>
    <w:rsid w:val="788260E0"/>
    <w:rsid w:val="78853276"/>
    <w:rsid w:val="788F3C92"/>
    <w:rsid w:val="788F7EC2"/>
    <w:rsid w:val="7890429B"/>
    <w:rsid w:val="78916A0D"/>
    <w:rsid w:val="789410E6"/>
    <w:rsid w:val="78A735C9"/>
    <w:rsid w:val="78A8764D"/>
    <w:rsid w:val="78A91FBD"/>
    <w:rsid w:val="78BE0779"/>
    <w:rsid w:val="78BF79C0"/>
    <w:rsid w:val="78CC3D64"/>
    <w:rsid w:val="78DD4044"/>
    <w:rsid w:val="78E508E6"/>
    <w:rsid w:val="78EF54C0"/>
    <w:rsid w:val="78EF5972"/>
    <w:rsid w:val="78F3507D"/>
    <w:rsid w:val="79037D72"/>
    <w:rsid w:val="790A31DA"/>
    <w:rsid w:val="790B32F5"/>
    <w:rsid w:val="791026DA"/>
    <w:rsid w:val="7910379E"/>
    <w:rsid w:val="791E7841"/>
    <w:rsid w:val="79200259"/>
    <w:rsid w:val="79206F6D"/>
    <w:rsid w:val="79217C4A"/>
    <w:rsid w:val="7923473B"/>
    <w:rsid w:val="79254BD6"/>
    <w:rsid w:val="792627D5"/>
    <w:rsid w:val="792F27B8"/>
    <w:rsid w:val="79334369"/>
    <w:rsid w:val="79342304"/>
    <w:rsid w:val="79390120"/>
    <w:rsid w:val="794151F1"/>
    <w:rsid w:val="794975B5"/>
    <w:rsid w:val="794C096C"/>
    <w:rsid w:val="794F34B5"/>
    <w:rsid w:val="794F371F"/>
    <w:rsid w:val="79560E89"/>
    <w:rsid w:val="795B1D53"/>
    <w:rsid w:val="79697B50"/>
    <w:rsid w:val="7976024A"/>
    <w:rsid w:val="7984469C"/>
    <w:rsid w:val="79877E35"/>
    <w:rsid w:val="798E0B5F"/>
    <w:rsid w:val="798F6D6D"/>
    <w:rsid w:val="79905EFA"/>
    <w:rsid w:val="79951A7B"/>
    <w:rsid w:val="799C26A1"/>
    <w:rsid w:val="799E1564"/>
    <w:rsid w:val="79AE32BE"/>
    <w:rsid w:val="79B07F16"/>
    <w:rsid w:val="79C30DCC"/>
    <w:rsid w:val="79C447AE"/>
    <w:rsid w:val="79C67B14"/>
    <w:rsid w:val="79CE14C0"/>
    <w:rsid w:val="79E07DAE"/>
    <w:rsid w:val="79E1708D"/>
    <w:rsid w:val="79E306EE"/>
    <w:rsid w:val="79E75F8D"/>
    <w:rsid w:val="79EC0D1A"/>
    <w:rsid w:val="79FC1511"/>
    <w:rsid w:val="79FE5A8E"/>
    <w:rsid w:val="7A0B19CB"/>
    <w:rsid w:val="7A0C3DFD"/>
    <w:rsid w:val="7A0F0937"/>
    <w:rsid w:val="7A1153E8"/>
    <w:rsid w:val="7A142589"/>
    <w:rsid w:val="7A1C6AF2"/>
    <w:rsid w:val="7A324703"/>
    <w:rsid w:val="7A3740AE"/>
    <w:rsid w:val="7A452327"/>
    <w:rsid w:val="7A5C2227"/>
    <w:rsid w:val="7A5F338C"/>
    <w:rsid w:val="7A644992"/>
    <w:rsid w:val="7A644B6D"/>
    <w:rsid w:val="7A67359F"/>
    <w:rsid w:val="7A6E4270"/>
    <w:rsid w:val="7A7059B7"/>
    <w:rsid w:val="7A805DBE"/>
    <w:rsid w:val="7A833262"/>
    <w:rsid w:val="7A8370B3"/>
    <w:rsid w:val="7A89774E"/>
    <w:rsid w:val="7A954164"/>
    <w:rsid w:val="7A9D4C0F"/>
    <w:rsid w:val="7AAA0313"/>
    <w:rsid w:val="7AAB144B"/>
    <w:rsid w:val="7AB33336"/>
    <w:rsid w:val="7AB359C1"/>
    <w:rsid w:val="7AB4316A"/>
    <w:rsid w:val="7AB54212"/>
    <w:rsid w:val="7ABA1246"/>
    <w:rsid w:val="7ABF260E"/>
    <w:rsid w:val="7AC227C3"/>
    <w:rsid w:val="7AC426E1"/>
    <w:rsid w:val="7AC469FF"/>
    <w:rsid w:val="7AC50FC5"/>
    <w:rsid w:val="7AC64094"/>
    <w:rsid w:val="7ACE04BE"/>
    <w:rsid w:val="7AD10457"/>
    <w:rsid w:val="7AE34187"/>
    <w:rsid w:val="7AE446F6"/>
    <w:rsid w:val="7AE67E26"/>
    <w:rsid w:val="7AEA4A58"/>
    <w:rsid w:val="7AEB486D"/>
    <w:rsid w:val="7AEE3355"/>
    <w:rsid w:val="7AF20DB6"/>
    <w:rsid w:val="7AFA4A1D"/>
    <w:rsid w:val="7B073DA4"/>
    <w:rsid w:val="7B156721"/>
    <w:rsid w:val="7B196BB8"/>
    <w:rsid w:val="7B1C52F0"/>
    <w:rsid w:val="7B1E2009"/>
    <w:rsid w:val="7B1E699A"/>
    <w:rsid w:val="7B2207C7"/>
    <w:rsid w:val="7B244E0E"/>
    <w:rsid w:val="7B273CC8"/>
    <w:rsid w:val="7B2F4EA2"/>
    <w:rsid w:val="7B421488"/>
    <w:rsid w:val="7B4552F2"/>
    <w:rsid w:val="7B4753B5"/>
    <w:rsid w:val="7B4D066F"/>
    <w:rsid w:val="7B5209C5"/>
    <w:rsid w:val="7B552B56"/>
    <w:rsid w:val="7B593278"/>
    <w:rsid w:val="7B5E3501"/>
    <w:rsid w:val="7B6919B8"/>
    <w:rsid w:val="7B697C63"/>
    <w:rsid w:val="7B743F5D"/>
    <w:rsid w:val="7B77603F"/>
    <w:rsid w:val="7B7B79E9"/>
    <w:rsid w:val="7B83220E"/>
    <w:rsid w:val="7B882CDC"/>
    <w:rsid w:val="7B8B5318"/>
    <w:rsid w:val="7B8F4482"/>
    <w:rsid w:val="7B993875"/>
    <w:rsid w:val="7BB4771D"/>
    <w:rsid w:val="7BCB6901"/>
    <w:rsid w:val="7BD262C0"/>
    <w:rsid w:val="7BD36D39"/>
    <w:rsid w:val="7BE16767"/>
    <w:rsid w:val="7BF20152"/>
    <w:rsid w:val="7BF26B15"/>
    <w:rsid w:val="7C02250B"/>
    <w:rsid w:val="7C064CA4"/>
    <w:rsid w:val="7C0E3B19"/>
    <w:rsid w:val="7C10637F"/>
    <w:rsid w:val="7C1476CC"/>
    <w:rsid w:val="7C1501DC"/>
    <w:rsid w:val="7C1728A9"/>
    <w:rsid w:val="7C1A0FFD"/>
    <w:rsid w:val="7C1A14BF"/>
    <w:rsid w:val="7C1D0623"/>
    <w:rsid w:val="7C1D3E9A"/>
    <w:rsid w:val="7C1F43F6"/>
    <w:rsid w:val="7C217C97"/>
    <w:rsid w:val="7C2D4FB3"/>
    <w:rsid w:val="7C31176E"/>
    <w:rsid w:val="7C337E87"/>
    <w:rsid w:val="7C3410C5"/>
    <w:rsid w:val="7C3A20F4"/>
    <w:rsid w:val="7C3C3055"/>
    <w:rsid w:val="7C3E3329"/>
    <w:rsid w:val="7C3F7356"/>
    <w:rsid w:val="7C466A93"/>
    <w:rsid w:val="7C487E97"/>
    <w:rsid w:val="7C502E86"/>
    <w:rsid w:val="7C521AC3"/>
    <w:rsid w:val="7C6064B9"/>
    <w:rsid w:val="7C69421C"/>
    <w:rsid w:val="7C7C5548"/>
    <w:rsid w:val="7C872A3F"/>
    <w:rsid w:val="7C941945"/>
    <w:rsid w:val="7C961F2A"/>
    <w:rsid w:val="7C964471"/>
    <w:rsid w:val="7C9F06D2"/>
    <w:rsid w:val="7CB4508D"/>
    <w:rsid w:val="7CB57E99"/>
    <w:rsid w:val="7CB857E5"/>
    <w:rsid w:val="7CBB3A27"/>
    <w:rsid w:val="7CBC5D18"/>
    <w:rsid w:val="7CC6609C"/>
    <w:rsid w:val="7CCE2059"/>
    <w:rsid w:val="7CCF1313"/>
    <w:rsid w:val="7CD37650"/>
    <w:rsid w:val="7CD47031"/>
    <w:rsid w:val="7CD95438"/>
    <w:rsid w:val="7CE04240"/>
    <w:rsid w:val="7CE5395C"/>
    <w:rsid w:val="7CE55206"/>
    <w:rsid w:val="7CE917F1"/>
    <w:rsid w:val="7CF23401"/>
    <w:rsid w:val="7CF7658A"/>
    <w:rsid w:val="7CFB321F"/>
    <w:rsid w:val="7CFE461D"/>
    <w:rsid w:val="7CFF3B84"/>
    <w:rsid w:val="7D082D66"/>
    <w:rsid w:val="7D0B15D2"/>
    <w:rsid w:val="7D0E256B"/>
    <w:rsid w:val="7D105F42"/>
    <w:rsid w:val="7D16063A"/>
    <w:rsid w:val="7D1A671A"/>
    <w:rsid w:val="7D1A6DC0"/>
    <w:rsid w:val="7D3B43B0"/>
    <w:rsid w:val="7D4051E5"/>
    <w:rsid w:val="7D4169CC"/>
    <w:rsid w:val="7D4E21D6"/>
    <w:rsid w:val="7D5A509D"/>
    <w:rsid w:val="7D5C4682"/>
    <w:rsid w:val="7D5F4478"/>
    <w:rsid w:val="7D6807CF"/>
    <w:rsid w:val="7D6A3D77"/>
    <w:rsid w:val="7D73512F"/>
    <w:rsid w:val="7D790CE8"/>
    <w:rsid w:val="7D821EF4"/>
    <w:rsid w:val="7D8608C8"/>
    <w:rsid w:val="7D8D030B"/>
    <w:rsid w:val="7D9317C0"/>
    <w:rsid w:val="7DA01F28"/>
    <w:rsid w:val="7DA57406"/>
    <w:rsid w:val="7DAD07C8"/>
    <w:rsid w:val="7DB62EC0"/>
    <w:rsid w:val="7DCD3297"/>
    <w:rsid w:val="7DD11E98"/>
    <w:rsid w:val="7DD35364"/>
    <w:rsid w:val="7DDB188F"/>
    <w:rsid w:val="7DDF73F6"/>
    <w:rsid w:val="7DED0BF2"/>
    <w:rsid w:val="7DEF5EC6"/>
    <w:rsid w:val="7DF533AC"/>
    <w:rsid w:val="7E062A2C"/>
    <w:rsid w:val="7E062BD5"/>
    <w:rsid w:val="7E133096"/>
    <w:rsid w:val="7E1448D2"/>
    <w:rsid w:val="7E18123B"/>
    <w:rsid w:val="7E185822"/>
    <w:rsid w:val="7E264C0C"/>
    <w:rsid w:val="7E2A02D7"/>
    <w:rsid w:val="7E2D36EC"/>
    <w:rsid w:val="7E2E1598"/>
    <w:rsid w:val="7E300A3B"/>
    <w:rsid w:val="7E3C0012"/>
    <w:rsid w:val="7E43279E"/>
    <w:rsid w:val="7E537212"/>
    <w:rsid w:val="7E5B1409"/>
    <w:rsid w:val="7E644453"/>
    <w:rsid w:val="7E644C78"/>
    <w:rsid w:val="7E661F32"/>
    <w:rsid w:val="7E707D36"/>
    <w:rsid w:val="7E7B7F37"/>
    <w:rsid w:val="7E7F56BB"/>
    <w:rsid w:val="7E806A4E"/>
    <w:rsid w:val="7E8126F8"/>
    <w:rsid w:val="7E877AA0"/>
    <w:rsid w:val="7E8D5EDC"/>
    <w:rsid w:val="7E91263E"/>
    <w:rsid w:val="7EA80212"/>
    <w:rsid w:val="7EA85353"/>
    <w:rsid w:val="7EAD6969"/>
    <w:rsid w:val="7EB96A06"/>
    <w:rsid w:val="7EC1132A"/>
    <w:rsid w:val="7EC46D2C"/>
    <w:rsid w:val="7EC76DD5"/>
    <w:rsid w:val="7EC949E0"/>
    <w:rsid w:val="7ECD58A8"/>
    <w:rsid w:val="7ECE6DFF"/>
    <w:rsid w:val="7ED00A55"/>
    <w:rsid w:val="7ED1303A"/>
    <w:rsid w:val="7ED56F24"/>
    <w:rsid w:val="7EDF17FF"/>
    <w:rsid w:val="7EE057CE"/>
    <w:rsid w:val="7EE306BE"/>
    <w:rsid w:val="7EEA42DC"/>
    <w:rsid w:val="7EF7182C"/>
    <w:rsid w:val="7EF7719D"/>
    <w:rsid w:val="7EF8095C"/>
    <w:rsid w:val="7EFD4D26"/>
    <w:rsid w:val="7EFD7A5A"/>
    <w:rsid w:val="7F0404FD"/>
    <w:rsid w:val="7F0A0A81"/>
    <w:rsid w:val="7F0D253A"/>
    <w:rsid w:val="7F141232"/>
    <w:rsid w:val="7F157373"/>
    <w:rsid w:val="7F165825"/>
    <w:rsid w:val="7F181AA9"/>
    <w:rsid w:val="7F2069CC"/>
    <w:rsid w:val="7F26584C"/>
    <w:rsid w:val="7F2701D8"/>
    <w:rsid w:val="7F290AE6"/>
    <w:rsid w:val="7F32481E"/>
    <w:rsid w:val="7F3A2D44"/>
    <w:rsid w:val="7F3B6D0B"/>
    <w:rsid w:val="7F474F6A"/>
    <w:rsid w:val="7F495944"/>
    <w:rsid w:val="7F6175BC"/>
    <w:rsid w:val="7F623FB4"/>
    <w:rsid w:val="7F62618D"/>
    <w:rsid w:val="7F64793F"/>
    <w:rsid w:val="7F6C1788"/>
    <w:rsid w:val="7F72706E"/>
    <w:rsid w:val="7F740607"/>
    <w:rsid w:val="7F7857DB"/>
    <w:rsid w:val="7F7B154E"/>
    <w:rsid w:val="7F7F4AE8"/>
    <w:rsid w:val="7F802699"/>
    <w:rsid w:val="7F8075EB"/>
    <w:rsid w:val="7F863C3C"/>
    <w:rsid w:val="7F864A18"/>
    <w:rsid w:val="7F8F0293"/>
    <w:rsid w:val="7F8F676E"/>
    <w:rsid w:val="7F900F8E"/>
    <w:rsid w:val="7F956C85"/>
    <w:rsid w:val="7F9744C3"/>
    <w:rsid w:val="7FA03099"/>
    <w:rsid w:val="7FB007E8"/>
    <w:rsid w:val="7FB951ED"/>
    <w:rsid w:val="7FBB03BA"/>
    <w:rsid w:val="7FBE58EC"/>
    <w:rsid w:val="7FC257FA"/>
    <w:rsid w:val="7FCA3EDB"/>
    <w:rsid w:val="7FD61F1D"/>
    <w:rsid w:val="7FD755D8"/>
    <w:rsid w:val="7FDB1B4D"/>
    <w:rsid w:val="7FDB7234"/>
    <w:rsid w:val="7FE1372A"/>
    <w:rsid w:val="7FEB3965"/>
    <w:rsid w:val="7FF12880"/>
    <w:rsid w:val="7FF356F6"/>
    <w:rsid w:val="7FFC0B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99"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iPriority="99"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4">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5">
    <w:name w:val="heading 3"/>
    <w:basedOn w:val="1"/>
    <w:next w:val="1"/>
    <w:unhideWhenUsed/>
    <w:qFormat/>
    <w:uiPriority w:val="0"/>
    <w:pPr>
      <w:keepNext/>
      <w:keepLines/>
      <w:spacing w:beforeLines="0" w:beforeAutospacing="0" w:afterLines="0" w:afterAutospacing="0" w:line="360" w:lineRule="auto"/>
      <w:ind w:firstLine="0" w:firstLineChars="0"/>
      <w:jc w:val="left"/>
      <w:outlineLvl w:val="2"/>
    </w:pPr>
    <w:rPr>
      <w:rFonts w:ascii="Calibri" w:hAnsi="Calibri"/>
      <w:b/>
    </w:rPr>
  </w:style>
  <w:style w:type="paragraph" w:styleId="6">
    <w:name w:val="heading 4"/>
    <w:basedOn w:val="1"/>
    <w:next w:val="1"/>
    <w:qFormat/>
    <w:uiPriority w:val="0"/>
    <w:pPr>
      <w:keepNext/>
      <w:keepLines/>
      <w:numPr>
        <w:ilvl w:val="3"/>
        <w:numId w:val="1"/>
      </w:numPr>
      <w:spacing w:before="280" w:after="290" w:line="376" w:lineRule="auto"/>
      <w:outlineLvl w:val="3"/>
    </w:pPr>
    <w:rPr>
      <w:rFonts w:ascii="Arial" w:hAnsi="Arial" w:eastAsia="黑体"/>
      <w:b/>
      <w:bCs/>
      <w:sz w:val="28"/>
      <w:szCs w:val="28"/>
    </w:rPr>
  </w:style>
  <w:style w:type="character" w:default="1" w:styleId="27">
    <w:name w:val="Default Paragraph Font"/>
    <w:semiHidden/>
    <w:qFormat/>
    <w:uiPriority w:val="0"/>
  </w:style>
  <w:style w:type="table" w:default="1" w:styleId="25">
    <w:name w:val="Normal Table"/>
    <w:semiHidden/>
    <w:qFormat/>
    <w:uiPriority w:val="0"/>
    <w:tblPr>
      <w:tblCellMar>
        <w:top w:w="0" w:type="dxa"/>
        <w:left w:w="108" w:type="dxa"/>
        <w:bottom w:w="0" w:type="dxa"/>
        <w:right w:w="108" w:type="dxa"/>
      </w:tblCellMar>
    </w:tblPr>
  </w:style>
  <w:style w:type="paragraph" w:customStyle="1" w:styleId="2">
    <w:name w:val="Default1"/>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styleId="7">
    <w:name w:val="List 3"/>
    <w:basedOn w:val="1"/>
    <w:next w:val="1"/>
    <w:qFormat/>
    <w:uiPriority w:val="0"/>
    <w:pPr>
      <w:autoSpaceDE w:val="0"/>
      <w:autoSpaceDN w:val="0"/>
      <w:adjustRightInd w:val="0"/>
      <w:spacing w:line="288" w:lineRule="auto"/>
      <w:ind w:left="1260" w:hanging="420"/>
      <w:jc w:val="left"/>
      <w:textAlignment w:val="baseline"/>
    </w:pPr>
    <w:rPr>
      <w:kern w:val="0"/>
      <w:sz w:val="24"/>
      <w:szCs w:val="20"/>
    </w:rPr>
  </w:style>
  <w:style w:type="paragraph" w:styleId="8">
    <w:name w:val="Normal Indent"/>
    <w:basedOn w:val="1"/>
    <w:next w:val="9"/>
    <w:qFormat/>
    <w:uiPriority w:val="0"/>
    <w:pPr>
      <w:adjustRightInd w:val="0"/>
      <w:ind w:firstLine="420"/>
      <w:jc w:val="left"/>
      <w:textAlignment w:val="baseline"/>
    </w:pPr>
    <w:rPr>
      <w:rFonts w:ascii="Calibri" w:hAnsi="Calibri" w:eastAsia="微软雅黑" w:cs="Times New Roman"/>
      <w:sz w:val="24"/>
    </w:rPr>
  </w:style>
  <w:style w:type="paragraph" w:customStyle="1" w:styleId="9">
    <w:name w:val="正文1"/>
    <w:basedOn w:val="1"/>
    <w:qFormat/>
    <w:uiPriority w:val="0"/>
    <w:pPr>
      <w:ind w:firstLine="480"/>
    </w:pPr>
    <w:rPr>
      <w:rFonts w:cs="Times New Roman"/>
      <w:color w:val="auto"/>
      <w:kern w:val="0"/>
    </w:rPr>
  </w:style>
  <w:style w:type="paragraph" w:styleId="10">
    <w:name w:val="Body Text"/>
    <w:basedOn w:val="1"/>
    <w:next w:val="11"/>
    <w:qFormat/>
    <w:uiPriority w:val="0"/>
    <w:pPr>
      <w:widowControl/>
      <w:snapToGrid w:val="0"/>
      <w:spacing w:before="60" w:after="160" w:line="259" w:lineRule="auto"/>
      <w:ind w:right="113"/>
    </w:pPr>
    <w:rPr>
      <w:kern w:val="0"/>
      <w:sz w:val="18"/>
      <w:szCs w:val="20"/>
    </w:rPr>
  </w:style>
  <w:style w:type="paragraph" w:customStyle="1" w:styleId="11">
    <w:name w:val="xl27"/>
    <w:basedOn w:val="1"/>
    <w:next w:val="12"/>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PMingLiU" w:eastAsia="PMingLiU" w:cs="Times New Roman"/>
      <w:kern w:val="0"/>
      <w:sz w:val="16"/>
      <w:szCs w:val="16"/>
      <w:lang w:eastAsia="zh-TW"/>
    </w:rPr>
  </w:style>
  <w:style w:type="paragraph" w:customStyle="1" w:styleId="12">
    <w:name w:val="A正文"/>
    <w:basedOn w:val="1"/>
    <w:qFormat/>
    <w:uiPriority w:val="0"/>
  </w:style>
  <w:style w:type="paragraph" w:styleId="13">
    <w:name w:val="Body Text Indent"/>
    <w:basedOn w:val="1"/>
    <w:next w:val="14"/>
    <w:qFormat/>
    <w:uiPriority w:val="0"/>
    <w:pPr>
      <w:spacing w:after="120"/>
      <w:ind w:left="420" w:leftChars="200"/>
    </w:pPr>
    <w:rPr>
      <w:kern w:val="0"/>
      <w:sz w:val="24"/>
      <w:szCs w:val="20"/>
    </w:rPr>
  </w:style>
  <w:style w:type="paragraph" w:styleId="14">
    <w:name w:val="Body Text Indent 2"/>
    <w:basedOn w:val="1"/>
    <w:next w:val="15"/>
    <w:unhideWhenUsed/>
    <w:qFormat/>
    <w:uiPriority w:val="99"/>
    <w:pPr>
      <w:spacing w:after="120" w:line="480" w:lineRule="auto"/>
      <w:ind w:left="420" w:leftChars="200"/>
    </w:pPr>
  </w:style>
  <w:style w:type="paragraph" w:styleId="15">
    <w:name w:val="Body Text First Indent 2"/>
    <w:basedOn w:val="13"/>
    <w:next w:val="1"/>
    <w:qFormat/>
    <w:uiPriority w:val="0"/>
    <w:pPr>
      <w:ind w:firstLine="420"/>
    </w:pPr>
  </w:style>
  <w:style w:type="paragraph" w:styleId="16">
    <w:name w:val="Plain Text"/>
    <w:basedOn w:val="1"/>
    <w:unhideWhenUsed/>
    <w:qFormat/>
    <w:uiPriority w:val="99"/>
    <w:rPr>
      <w:rFonts w:ascii="宋体" w:hAnsi="Courier New" w:cs="Courier New"/>
      <w:szCs w:val="21"/>
    </w:rPr>
  </w:style>
  <w:style w:type="paragraph" w:styleId="17">
    <w:name w:val="footer"/>
    <w:basedOn w:val="1"/>
    <w:qFormat/>
    <w:uiPriority w:val="99"/>
    <w:pPr>
      <w:tabs>
        <w:tab w:val="center" w:pos="4153"/>
        <w:tab w:val="right" w:pos="8306"/>
      </w:tabs>
      <w:snapToGrid w:val="0"/>
      <w:jc w:val="left"/>
    </w:pPr>
    <w:rPr>
      <w:kern w:val="0"/>
      <w:sz w:val="18"/>
      <w:szCs w:val="20"/>
    </w:rPr>
  </w:style>
  <w:style w:type="paragraph" w:styleId="18">
    <w:name w:val="header"/>
    <w:basedOn w:val="1"/>
    <w:qFormat/>
    <w:uiPriority w:val="0"/>
    <w:pPr>
      <w:pBdr>
        <w:bottom w:val="single" w:color="auto" w:sz="6" w:space="1"/>
      </w:pBdr>
      <w:tabs>
        <w:tab w:val="center" w:pos="4153"/>
        <w:tab w:val="right" w:pos="8306"/>
      </w:tabs>
      <w:snapToGrid w:val="0"/>
      <w:jc w:val="center"/>
    </w:pPr>
    <w:rPr>
      <w:kern w:val="0"/>
      <w:sz w:val="18"/>
      <w:szCs w:val="20"/>
    </w:rPr>
  </w:style>
  <w:style w:type="paragraph" w:styleId="19">
    <w:name w:val="Subtitle"/>
    <w:basedOn w:val="1"/>
    <w:next w:val="1"/>
    <w:qFormat/>
    <w:uiPriority w:val="11"/>
    <w:pPr>
      <w:widowControl/>
      <w:spacing w:after="200" w:line="276" w:lineRule="auto"/>
      <w:jc w:val="left"/>
    </w:pPr>
    <w:rPr>
      <w:rFonts w:ascii="Calibri Light" w:hAnsi="Calibri Light"/>
      <w:i/>
      <w:iCs/>
      <w:color w:val="5B9BD5"/>
      <w:spacing w:val="15"/>
      <w:kern w:val="0"/>
      <w:sz w:val="24"/>
    </w:rPr>
  </w:style>
  <w:style w:type="paragraph" w:styleId="20">
    <w:name w:val="List"/>
    <w:basedOn w:val="1"/>
    <w:next w:val="10"/>
    <w:qFormat/>
    <w:uiPriority w:val="99"/>
    <w:pPr>
      <w:widowControl/>
      <w:adjustRightInd w:val="0"/>
      <w:snapToGrid w:val="0"/>
      <w:spacing w:before="120" w:line="460" w:lineRule="atLeast"/>
      <w:ind w:left="420" w:hanging="420"/>
      <w:jc w:val="left"/>
    </w:pPr>
    <w:rPr>
      <w:rFonts w:ascii="宋体" w:cs="宋体"/>
      <w:b/>
      <w:bCs/>
      <w:kern w:val="0"/>
      <w:sz w:val="28"/>
      <w:szCs w:val="28"/>
      <w:lang w:eastAsia="en-US" w:bidi="en-US"/>
    </w:rPr>
  </w:style>
  <w:style w:type="paragraph" w:styleId="21">
    <w:name w:val="toc 9"/>
    <w:basedOn w:val="1"/>
    <w:next w:val="1"/>
    <w:qFormat/>
    <w:uiPriority w:val="0"/>
    <w:pPr>
      <w:widowControl/>
      <w:wordWrap w:val="0"/>
      <w:ind w:left="2975"/>
    </w:pPr>
    <w:rPr>
      <w:szCs w:val="22"/>
    </w:rPr>
  </w:style>
  <w:style w:type="paragraph" w:styleId="22">
    <w:name w:val="Body Text 2"/>
    <w:basedOn w:val="1"/>
    <w:qFormat/>
    <w:uiPriority w:val="0"/>
    <w:rPr>
      <w:sz w:val="28"/>
    </w:rPr>
  </w:style>
  <w:style w:type="paragraph" w:styleId="23">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24">
    <w:name w:val="Body Text First Indent"/>
    <w:basedOn w:val="10"/>
    <w:unhideWhenUsed/>
    <w:qFormat/>
    <w:uiPriority w:val="99"/>
    <w:pPr>
      <w:widowControl w:val="0"/>
      <w:ind w:firstLine="420" w:firstLineChars="100"/>
      <w:jc w:val="both"/>
    </w:pPr>
    <w:rPr>
      <w:kern w:val="2"/>
      <w:sz w:val="21"/>
    </w:rPr>
  </w:style>
  <w:style w:type="table" w:styleId="26">
    <w:name w:val="Table Grid"/>
    <w:basedOn w:val="25"/>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0"/>
    <w:rPr>
      <w:b/>
      <w:bCs/>
    </w:rPr>
  </w:style>
  <w:style w:type="character" w:styleId="29">
    <w:name w:val="page number"/>
    <w:basedOn w:val="27"/>
    <w:qFormat/>
    <w:uiPriority w:val="0"/>
  </w:style>
  <w:style w:type="character" w:styleId="30">
    <w:name w:val="FollowedHyperlink"/>
    <w:basedOn w:val="27"/>
    <w:qFormat/>
    <w:uiPriority w:val="0"/>
    <w:rPr>
      <w:color w:val="333333"/>
      <w:u w:val="none"/>
    </w:rPr>
  </w:style>
  <w:style w:type="character" w:styleId="31">
    <w:name w:val="Emphasis"/>
    <w:basedOn w:val="27"/>
    <w:qFormat/>
    <w:uiPriority w:val="0"/>
    <w:rPr>
      <w:vanish/>
    </w:rPr>
  </w:style>
  <w:style w:type="character" w:styleId="32">
    <w:name w:val="HTML Definition"/>
    <w:basedOn w:val="27"/>
    <w:qFormat/>
    <w:uiPriority w:val="0"/>
    <w:rPr>
      <w:i/>
      <w:iCs/>
    </w:rPr>
  </w:style>
  <w:style w:type="character" w:styleId="33">
    <w:name w:val="Hyperlink"/>
    <w:basedOn w:val="27"/>
    <w:qFormat/>
    <w:uiPriority w:val="0"/>
    <w:rPr>
      <w:color w:val="0000FF"/>
      <w:u w:val="single"/>
    </w:rPr>
  </w:style>
  <w:style w:type="character" w:styleId="34">
    <w:name w:val="HTML Code"/>
    <w:basedOn w:val="27"/>
    <w:qFormat/>
    <w:uiPriority w:val="0"/>
    <w:rPr>
      <w:rFonts w:ascii="monospace" w:hAnsi="monospace" w:eastAsia="monospace" w:cs="monospace"/>
      <w:sz w:val="21"/>
      <w:szCs w:val="21"/>
    </w:rPr>
  </w:style>
  <w:style w:type="character" w:styleId="35">
    <w:name w:val="HTML Keyboard"/>
    <w:basedOn w:val="27"/>
    <w:qFormat/>
    <w:uiPriority w:val="0"/>
    <w:rPr>
      <w:rFonts w:hint="default" w:ascii="monospace" w:hAnsi="monospace" w:eastAsia="monospace" w:cs="monospace"/>
      <w:sz w:val="21"/>
      <w:szCs w:val="21"/>
    </w:rPr>
  </w:style>
  <w:style w:type="character" w:styleId="36">
    <w:name w:val="HTML Sample"/>
    <w:basedOn w:val="27"/>
    <w:qFormat/>
    <w:uiPriority w:val="0"/>
    <w:rPr>
      <w:rFonts w:hint="default" w:ascii="monospace" w:hAnsi="monospace" w:eastAsia="monospace" w:cs="monospace"/>
      <w:sz w:val="21"/>
      <w:szCs w:val="21"/>
    </w:rPr>
  </w:style>
  <w:style w:type="paragraph" w:customStyle="1" w:styleId="37">
    <w:name w:val="Default"/>
    <w:basedOn w:val="38"/>
    <w:next w:val="7"/>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8">
    <w:name w:val="纯文本1"/>
    <w:basedOn w:val="1"/>
    <w:qFormat/>
    <w:uiPriority w:val="0"/>
    <w:pPr>
      <w:adjustRightInd w:val="0"/>
    </w:pPr>
    <w:rPr>
      <w:rFonts w:ascii="宋体" w:hAnsi="Courier New"/>
      <w:szCs w:val="20"/>
    </w:rPr>
  </w:style>
  <w:style w:type="paragraph" w:customStyle="1" w:styleId="39">
    <w:name w:val="图、表标题"/>
    <w:basedOn w:val="1"/>
    <w:qFormat/>
    <w:uiPriority w:val="0"/>
    <w:pPr>
      <w:jc w:val="center"/>
    </w:pPr>
    <w:rPr>
      <w:b/>
      <w:sz w:val="21"/>
    </w:rPr>
  </w:style>
  <w:style w:type="paragraph" w:customStyle="1" w:styleId="40">
    <w:name w:val="表格内容"/>
    <w:basedOn w:val="41"/>
    <w:next w:val="1"/>
    <w:qFormat/>
    <w:uiPriority w:val="0"/>
    <w:pPr>
      <w:spacing w:line="240" w:lineRule="atLeast"/>
      <w:jc w:val="center"/>
    </w:pPr>
    <w:rPr>
      <w:rFonts w:eastAsia="宋体"/>
      <w:sz w:val="21"/>
    </w:rPr>
  </w:style>
  <w:style w:type="paragraph" w:customStyle="1" w:styleId="41">
    <w:name w:val="表格标题"/>
    <w:basedOn w:val="20"/>
    <w:next w:val="40"/>
    <w:qFormat/>
    <w:uiPriority w:val="0"/>
    <w:pPr>
      <w:spacing w:before="0" w:beforeLines="0" w:line="360" w:lineRule="auto"/>
      <w:jc w:val="center"/>
    </w:pPr>
    <w:rPr>
      <w:rFonts w:ascii="Times New Roman" w:hAnsi="Times New Roman" w:eastAsia="黑体"/>
      <w:sz w:val="24"/>
      <w:szCs w:val="20"/>
    </w:rPr>
  </w:style>
  <w:style w:type="paragraph" w:customStyle="1" w:styleId="42">
    <w:name w:val="A-正文"/>
    <w:basedOn w:val="1"/>
    <w:qFormat/>
    <w:uiPriority w:val="0"/>
    <w:pPr>
      <w:widowControl w:val="0"/>
      <w:adjustRightInd/>
      <w:snapToGrid/>
      <w:spacing w:line="560" w:lineRule="exact"/>
      <w:ind w:firstLine="560" w:firstLineChars="200"/>
    </w:pPr>
    <w:rPr>
      <w:rFonts w:ascii="Times New Roman" w:hAnsi="Times New Roman" w:eastAsia="仿宋_GB2312"/>
      <w:kern w:val="0"/>
      <w:sz w:val="24"/>
      <w:lang w:bidi="ar-SA"/>
    </w:rPr>
  </w:style>
  <w:style w:type="paragraph" w:customStyle="1" w:styleId="43">
    <w:name w:val="正文 + 仿宋_GB2312"/>
    <w:basedOn w:val="1"/>
    <w:qFormat/>
    <w:uiPriority w:val="99"/>
    <w:pPr>
      <w:ind w:firstLine="480" w:firstLineChars="200"/>
    </w:pPr>
    <w:rPr>
      <w:rFonts w:ascii="仿宋_GB2312" w:hAnsi="Calibri" w:eastAsia="仿宋_GB2312" w:cs="Times New Roman"/>
      <w:sz w:val="24"/>
    </w:rPr>
  </w:style>
  <w:style w:type="paragraph" w:customStyle="1" w:styleId="44">
    <w:name w:val="胡正文"/>
    <w:basedOn w:val="1"/>
    <w:qFormat/>
    <w:uiPriority w:val="0"/>
    <w:pPr>
      <w:spacing w:line="360" w:lineRule="auto"/>
      <w:ind w:firstLine="200" w:firstLineChars="200"/>
      <w:jc w:val="left"/>
    </w:pPr>
    <w:rPr>
      <w:rFonts w:ascii="宋体" w:hAnsi="宋体"/>
      <w:sz w:val="24"/>
      <w:szCs w:val="28"/>
    </w:rPr>
  </w:style>
  <w:style w:type="paragraph" w:customStyle="1" w:styleId="45">
    <w:name w:val="24磅正文"/>
    <w:basedOn w:val="1"/>
    <w:qFormat/>
    <w:uiPriority w:val="0"/>
    <w:pPr>
      <w:spacing w:line="480" w:lineRule="exact"/>
      <w:ind w:firstLine="480" w:firstLineChars="200"/>
    </w:pPr>
    <w:rPr>
      <w:rFonts w:eastAsia="宋体"/>
    </w:rPr>
  </w:style>
  <w:style w:type="paragraph" w:customStyle="1" w:styleId="46">
    <w:name w:val="文字"/>
    <w:basedOn w:val="1"/>
    <w:qFormat/>
    <w:uiPriority w:val="0"/>
    <w:pPr>
      <w:spacing w:line="360" w:lineRule="auto"/>
    </w:pPr>
  </w:style>
  <w:style w:type="paragraph" w:customStyle="1" w:styleId="47">
    <w:name w:val="表格"/>
    <w:basedOn w:val="1"/>
    <w:next w:val="1"/>
    <w:qFormat/>
    <w:uiPriority w:val="0"/>
    <w:pPr>
      <w:adjustRightInd w:val="0"/>
      <w:snapToGrid w:val="0"/>
      <w:spacing w:beforeLines="10" w:afterLines="10" w:line="259" w:lineRule="auto"/>
      <w:jc w:val="center"/>
    </w:pPr>
    <w:rPr>
      <w:rFonts w:ascii="宋体"/>
      <w:kern w:val="0"/>
      <w:szCs w:val="20"/>
    </w:rPr>
  </w:style>
  <w:style w:type="paragraph" w:customStyle="1" w:styleId="48">
    <w:name w:val="表内容"/>
    <w:basedOn w:val="45"/>
    <w:next w:val="1"/>
    <w:qFormat/>
    <w:uiPriority w:val="0"/>
    <w:pPr>
      <w:spacing w:line="360" w:lineRule="exact"/>
      <w:ind w:firstLine="0" w:firstLineChars="0"/>
      <w:jc w:val="center"/>
    </w:pPr>
    <w:rPr>
      <w:szCs w:val="21"/>
    </w:rPr>
  </w:style>
  <w:style w:type="paragraph" w:customStyle="1" w:styleId="49">
    <w:name w:val="报告表正文"/>
    <w:basedOn w:val="1"/>
    <w:qFormat/>
    <w:uiPriority w:val="0"/>
    <w:pPr>
      <w:ind w:firstLine="640" w:firstLineChars="200"/>
    </w:pPr>
  </w:style>
  <w:style w:type="paragraph" w:customStyle="1" w:styleId="50">
    <w:name w:val="图、表内容"/>
    <w:basedOn w:val="1"/>
    <w:qFormat/>
    <w:uiPriority w:val="0"/>
    <w:pPr>
      <w:spacing w:line="240" w:lineRule="auto"/>
      <w:ind w:firstLine="0" w:firstLineChars="0"/>
      <w:jc w:val="center"/>
    </w:pPr>
    <w:rPr>
      <w:sz w:val="21"/>
    </w:rPr>
  </w:style>
  <w:style w:type="character" w:customStyle="1" w:styleId="51">
    <w:name w:val="img_title"/>
    <w:basedOn w:val="27"/>
    <w:qFormat/>
    <w:uiPriority w:val="0"/>
    <w:rPr>
      <w:vanish/>
    </w:rPr>
  </w:style>
  <w:style w:type="character" w:customStyle="1" w:styleId="52">
    <w:name w:val="img_title1"/>
    <w:basedOn w:val="27"/>
    <w:qFormat/>
    <w:uiPriority w:val="0"/>
    <w:rPr>
      <w:vanish/>
    </w:rPr>
  </w:style>
  <w:style w:type="character" w:customStyle="1" w:styleId="53">
    <w:name w:val="img_title2"/>
    <w:basedOn w:val="27"/>
    <w:qFormat/>
    <w:uiPriority w:val="0"/>
    <w:rPr>
      <w:vanish/>
    </w:rPr>
  </w:style>
  <w:style w:type="character" w:customStyle="1" w:styleId="54">
    <w:name w:val="img_title3"/>
    <w:basedOn w:val="27"/>
    <w:qFormat/>
    <w:uiPriority w:val="0"/>
    <w:rPr>
      <w:vanish/>
    </w:rPr>
  </w:style>
  <w:style w:type="character" w:customStyle="1" w:styleId="55">
    <w:name w:val="img_title4"/>
    <w:basedOn w:val="27"/>
    <w:qFormat/>
    <w:uiPriority w:val="0"/>
    <w:rPr>
      <w:vanish/>
    </w:rPr>
  </w:style>
  <w:style w:type="character" w:customStyle="1" w:styleId="56">
    <w:name w:val="img_title5"/>
    <w:basedOn w:val="27"/>
    <w:qFormat/>
    <w:uiPriority w:val="0"/>
    <w:rPr>
      <w:color w:val="666666"/>
      <w:sz w:val="21"/>
      <w:szCs w:val="21"/>
    </w:rPr>
  </w:style>
  <w:style w:type="character" w:customStyle="1" w:styleId="57">
    <w:name w:val="img_title6"/>
    <w:basedOn w:val="27"/>
    <w:qFormat/>
    <w:uiPriority w:val="0"/>
    <w:rPr>
      <w:vanish/>
    </w:rPr>
  </w:style>
  <w:style w:type="character" w:customStyle="1" w:styleId="58">
    <w:name w:val="img_title7"/>
    <w:basedOn w:val="27"/>
    <w:qFormat/>
    <w:uiPriority w:val="0"/>
    <w:rPr>
      <w:vanish/>
    </w:rPr>
  </w:style>
  <w:style w:type="character" w:customStyle="1" w:styleId="59">
    <w:name w:val="button"/>
    <w:basedOn w:val="27"/>
    <w:qFormat/>
    <w:uiPriority w:val="0"/>
  </w:style>
  <w:style w:type="paragraph" w:customStyle="1" w:styleId="60">
    <w:name w:val="！正文"/>
    <w:basedOn w:val="1"/>
    <w:qFormat/>
    <w:uiPriority w:val="0"/>
    <w:pPr>
      <w:adjustRightInd w:val="0"/>
      <w:snapToGrid w:val="0"/>
      <w:ind w:firstLine="480"/>
    </w:pPr>
    <w:rPr>
      <w:rFonts w:ascii="Times New Roman" w:hAnsi="Times New Roman" w:cs="宋体"/>
      <w:szCs w:val="20"/>
    </w:rPr>
  </w:style>
  <w:style w:type="paragraph" w:customStyle="1" w:styleId="61">
    <w:name w:val="Table Paragraph"/>
    <w:basedOn w:val="1"/>
    <w:qFormat/>
    <w:uiPriority w:val="1"/>
    <w:rPr>
      <w:rFonts w:ascii="Calibri" w:hAnsi="Calibri" w:eastAsia="宋体" w:cs="Times New Roman"/>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oleObject" Target="embeddings/oleObject2.bin"/><Relationship Id="rId7" Type="http://schemas.openxmlformats.org/officeDocument/2006/relationships/image" Target="media/image1.emf"/><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2.w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emf"/><Relationship Id="rId11" Type="http://schemas.openxmlformats.org/officeDocument/2006/relationships/oleObject" Target="embeddings/oleObject3.bin"/><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69</Pages>
  <Words>38524</Words>
  <Characters>43802</Characters>
  <Lines>0</Lines>
  <Paragraphs>0</Paragraphs>
  <TotalTime>3</TotalTime>
  <ScaleCrop>false</ScaleCrop>
  <LinksUpToDate>false</LinksUpToDate>
  <CharactersWithSpaces>44058</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2021-04-22T08:03:00Z</dcterms:created>
  <dc:creator>XJ.W</dc:creator>
  <cp:lastModifiedBy>Leo</cp:lastModifiedBy>
  <cp:lastPrinted>2024-01-08T02:22:00Z</cp:lastPrinted>
  <dcterms:modified xsi:type="dcterms:W3CDTF">2024-01-29T00:21:02Z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AD38D8DE4B9F41EFAFE0481193C53806_13</vt:lpwstr>
  </property>
</Properties>
</file>