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黑体" w:hAnsi="黑体" w:eastAsia="黑体" w:cs="黑体"/>
          <w:spacing w:val="-23"/>
          <w:sz w:val="31"/>
          <w:szCs w:val="31"/>
        </w:rPr>
      </w:pPr>
    </w:p>
    <w:p>
      <w:pPr>
        <w:spacing w:line="256" w:lineRule="auto"/>
      </w:pPr>
    </w:p>
    <w:p>
      <w:pPr>
        <w:spacing w:line="257" w:lineRule="auto"/>
      </w:pPr>
    </w:p>
    <w:p>
      <w:pPr>
        <w:spacing w:before="129" w:line="275" w:lineRule="auto"/>
        <w:ind w:right="777"/>
        <w:jc w:val="center"/>
        <w:rPr>
          <w:rFonts w:ascii="华文中宋" w:hAnsi="华文中宋" w:eastAsia="华文中宋" w:cs="华文中宋"/>
          <w:sz w:val="35"/>
          <w:szCs w:val="35"/>
        </w:rPr>
      </w:pPr>
      <w:r>
        <w:rPr>
          <w:rFonts w:hint="eastAsia" w:ascii="华文中宋" w:hAnsi="华文中宋" w:eastAsia="华文中宋" w:cs="华文中宋"/>
          <w:spacing w:val="-10"/>
          <w:sz w:val="44"/>
          <w:szCs w:val="44"/>
        </w:rPr>
        <w:t>灵璧县</w:t>
      </w:r>
      <w:r>
        <w:rPr>
          <w:rFonts w:hint="eastAsia" w:ascii="华文中宋" w:hAnsi="华文中宋" w:eastAsia="华文中宋" w:cs="华文中宋"/>
          <w:spacing w:val="-10"/>
          <w:sz w:val="44"/>
          <w:szCs w:val="44"/>
          <w:lang w:eastAsia="zh-CN"/>
        </w:rPr>
        <w:t>向阳财政所</w:t>
      </w:r>
      <w:r>
        <w:rPr>
          <w:rFonts w:hint="eastAsia" w:ascii="华文中宋" w:hAnsi="华文中宋" w:eastAsia="华文中宋" w:cs="华文中宋"/>
          <w:spacing w:val="-10"/>
          <w:sz w:val="44"/>
          <w:szCs w:val="44"/>
        </w:rPr>
        <w:t xml:space="preserve"> 202</w:t>
      </w:r>
      <w:r>
        <w:rPr>
          <w:rFonts w:hint="eastAsia" w:ascii="华文中宋" w:hAnsi="华文中宋" w:eastAsia="华文中宋" w:cs="华文中宋"/>
          <w:spacing w:val="-10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pacing w:val="-10"/>
          <w:sz w:val="44"/>
          <w:szCs w:val="44"/>
        </w:rPr>
        <w:t xml:space="preserve"> 年一般公共预算“三公”经费预算</w:t>
      </w:r>
    </w:p>
    <w:p>
      <w:pPr>
        <w:spacing w:line="318" w:lineRule="auto"/>
      </w:pPr>
    </w:p>
    <w:p>
      <w:pPr>
        <w:spacing w:before="101" w:line="226" w:lineRule="auto"/>
        <w:ind w:left="791"/>
        <w:outlineLvl w:val="0"/>
      </w:pPr>
      <w:r>
        <w:rPr>
          <w:rFonts w:ascii="黑体" w:hAnsi="黑体" w:eastAsia="黑体" w:cs="黑体"/>
          <w:spacing w:val="3"/>
          <w:sz w:val="31"/>
          <w:szCs w:val="31"/>
        </w:rPr>
        <w:t>一、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3"/>
          <w:sz w:val="31"/>
          <w:szCs w:val="31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年一般公共预算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黑体" w:hAnsi="黑体" w:eastAsia="黑体" w:cs="黑体"/>
          <w:spacing w:val="3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黑体" w:hAnsi="黑体" w:eastAsia="黑体" w:cs="黑体"/>
          <w:spacing w:val="3"/>
          <w:sz w:val="31"/>
          <w:szCs w:val="31"/>
        </w:rPr>
        <w:t>经费支出预</w:t>
      </w:r>
      <w:r>
        <w:rPr>
          <w:rFonts w:ascii="黑体" w:hAnsi="黑体" w:eastAsia="黑体" w:cs="黑体"/>
          <w:spacing w:val="1"/>
          <w:sz w:val="31"/>
          <w:szCs w:val="31"/>
        </w:rPr>
        <w:t>算</w:t>
      </w:r>
      <w:r>
        <w:rPr>
          <w:rFonts w:ascii="黑体" w:hAnsi="黑体" w:eastAsia="黑体" w:cs="黑体"/>
          <w:sz w:val="31"/>
          <w:szCs w:val="31"/>
        </w:rPr>
        <w:t>表</w:t>
      </w:r>
    </w:p>
    <w:p>
      <w:pPr>
        <w:spacing w:before="92" w:line="216" w:lineRule="auto"/>
        <w:ind w:right="87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单</w:t>
      </w:r>
      <w:r>
        <w:rPr>
          <w:rFonts w:ascii="仿宋" w:hAnsi="仿宋" w:eastAsia="仿宋" w:cs="仿宋"/>
          <w:spacing w:val="-7"/>
          <w:sz w:val="28"/>
          <w:szCs w:val="28"/>
        </w:rPr>
        <w:t>位：万元</w:t>
      </w:r>
    </w:p>
    <w:p>
      <w:pPr>
        <w:spacing w:line="23" w:lineRule="exact"/>
      </w:pPr>
    </w:p>
    <w:tbl>
      <w:tblPr>
        <w:tblStyle w:val="8"/>
        <w:tblW w:w="82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714"/>
        <w:gridCol w:w="1000"/>
        <w:gridCol w:w="1603"/>
        <w:gridCol w:w="1678"/>
        <w:gridCol w:w="10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254" w:type="dxa"/>
            <w:vMerge w:val="restart"/>
            <w:tcBorders>
              <w:bottom w:val="nil"/>
            </w:tcBorders>
          </w:tcPr>
          <w:p>
            <w:pPr>
              <w:spacing w:before="289" w:line="559" w:lineRule="exact"/>
              <w:ind w:left="14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Tahoma" w:hAnsi="Tahoma" w:eastAsia="Tahoma" w:cs="Tahoma"/>
                <w:b/>
                <w:bCs/>
                <w:spacing w:val="12"/>
                <w:position w:val="28"/>
                <w:sz w:val="19"/>
                <w:szCs w:val="19"/>
              </w:rPr>
              <w:t>“</w:t>
            </w:r>
            <w:r>
              <w:rPr>
                <w:rFonts w:ascii="仿宋" w:hAnsi="仿宋" w:eastAsia="仿宋" w:cs="仿宋"/>
                <w:spacing w:val="12"/>
                <w:position w:val="28"/>
                <w:sz w:val="19"/>
                <w:szCs w:val="19"/>
              </w:rPr>
              <w:t>三公</w:t>
            </w:r>
            <w:r>
              <w:rPr>
                <w:rFonts w:ascii="Tahoma" w:hAnsi="Tahoma" w:eastAsia="Tahoma" w:cs="Tahoma"/>
                <w:b/>
                <w:bCs/>
                <w:spacing w:val="12"/>
                <w:position w:val="28"/>
                <w:sz w:val="19"/>
                <w:szCs w:val="19"/>
              </w:rPr>
              <w:t>”</w:t>
            </w:r>
            <w:r>
              <w:rPr>
                <w:rFonts w:ascii="仿宋" w:hAnsi="仿宋" w:eastAsia="仿宋" w:cs="仿宋"/>
                <w:spacing w:val="12"/>
                <w:position w:val="28"/>
                <w:sz w:val="19"/>
                <w:szCs w:val="19"/>
              </w:rPr>
              <w:t>经费</w:t>
            </w:r>
          </w:p>
          <w:p>
            <w:pPr>
              <w:spacing w:line="225" w:lineRule="auto"/>
              <w:ind w:left="4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合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计</w:t>
            </w:r>
          </w:p>
        </w:tc>
        <w:tc>
          <w:tcPr>
            <w:tcW w:w="171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62" w:line="227" w:lineRule="auto"/>
              <w:ind w:left="17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因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公出国 (境) 费</w:t>
            </w:r>
          </w:p>
        </w:tc>
        <w:tc>
          <w:tcPr>
            <w:tcW w:w="4281" w:type="dxa"/>
            <w:gridSpan w:val="3"/>
          </w:tcPr>
          <w:p>
            <w:pPr>
              <w:spacing w:before="284" w:line="223" w:lineRule="auto"/>
              <w:ind w:left="133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公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务用车购置及运行费</w:t>
            </w:r>
          </w:p>
        </w:tc>
        <w:tc>
          <w:tcPr>
            <w:tcW w:w="1029" w:type="dxa"/>
            <w:vMerge w:val="restart"/>
            <w:tcBorders>
              <w:bottom w:val="nil"/>
            </w:tcBorders>
          </w:tcPr>
          <w:p>
            <w:pPr>
              <w:spacing w:before="289" w:line="559" w:lineRule="exact"/>
              <w:ind w:left="36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3"/>
                <w:position w:val="28"/>
                <w:sz w:val="19"/>
                <w:szCs w:val="19"/>
              </w:rPr>
              <w:t>公务</w:t>
            </w:r>
          </w:p>
          <w:p>
            <w:pPr>
              <w:spacing w:line="225" w:lineRule="auto"/>
              <w:ind w:left="26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接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待费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254" w:type="dxa"/>
            <w:vMerge w:val="continue"/>
            <w:tcBorders>
              <w:top w:val="nil"/>
            </w:tcBorders>
          </w:tcPr>
          <w:p/>
        </w:tc>
        <w:tc>
          <w:tcPr>
            <w:tcW w:w="1714" w:type="dxa"/>
            <w:vMerge w:val="continue"/>
            <w:tcBorders>
              <w:top w:val="nil"/>
            </w:tcBorders>
          </w:tcPr>
          <w:p/>
        </w:tc>
        <w:tc>
          <w:tcPr>
            <w:tcW w:w="1000" w:type="dxa"/>
          </w:tcPr>
          <w:p>
            <w:pPr>
              <w:spacing w:before="280" w:line="226" w:lineRule="auto"/>
              <w:ind w:left="35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603" w:type="dxa"/>
          </w:tcPr>
          <w:p>
            <w:pPr>
              <w:spacing w:before="280" w:line="223" w:lineRule="auto"/>
              <w:ind w:left="18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公务用车购置费</w:t>
            </w:r>
          </w:p>
        </w:tc>
        <w:tc>
          <w:tcPr>
            <w:tcW w:w="1678" w:type="dxa"/>
          </w:tcPr>
          <w:p>
            <w:pPr>
              <w:spacing w:before="280" w:line="223" w:lineRule="auto"/>
              <w:ind w:left="23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公务用车运行费</w:t>
            </w:r>
          </w:p>
        </w:tc>
        <w:tc>
          <w:tcPr>
            <w:tcW w:w="1029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center"/>
            </w:pPr>
          </w:p>
        </w:tc>
        <w:tc>
          <w:tcPr>
            <w:tcW w:w="1603" w:type="dxa"/>
            <w:vAlign w:val="center"/>
          </w:tcPr>
          <w:p>
            <w:pPr>
              <w:jc w:val="center"/>
            </w:pPr>
          </w:p>
        </w:tc>
        <w:tc>
          <w:tcPr>
            <w:tcW w:w="1678" w:type="dxa"/>
            <w:vAlign w:val="center"/>
          </w:tcPr>
          <w:p>
            <w:pPr>
              <w:jc w:val="center"/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spacing w:line="315" w:lineRule="auto"/>
      </w:pPr>
    </w:p>
    <w:p>
      <w:pPr>
        <w:spacing w:before="101" w:line="226" w:lineRule="auto"/>
        <w:ind w:left="79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二</w:t>
      </w:r>
      <w:r>
        <w:rPr>
          <w:rFonts w:ascii="黑体" w:hAnsi="黑体" w:eastAsia="黑体" w:cs="黑体"/>
          <w:spacing w:val="-6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-6"/>
          <w:sz w:val="31"/>
          <w:szCs w:val="31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年一般公共预算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“</w:t>
      </w:r>
      <w:r>
        <w:rPr>
          <w:rFonts w:ascii="黑体" w:hAnsi="黑体" w:eastAsia="黑体" w:cs="黑体"/>
          <w:spacing w:val="-6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”</w:t>
      </w:r>
      <w:r>
        <w:rPr>
          <w:rFonts w:ascii="黑体" w:hAnsi="黑体" w:eastAsia="黑体" w:cs="黑体"/>
          <w:spacing w:val="-6"/>
          <w:sz w:val="31"/>
          <w:szCs w:val="31"/>
        </w:rPr>
        <w:t>经费支出预算情况说明</w:t>
      </w:r>
    </w:p>
    <w:p>
      <w:pPr>
        <w:spacing w:before="186" w:line="360" w:lineRule="auto"/>
        <w:ind w:right="14" w:firstLine="656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灵璧县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向阳财政所</w:t>
      </w: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 年一般公共预算“三公</w:t>
      </w:r>
      <w:r>
        <w:rPr>
          <w:rFonts w:hint="eastAsia" w:ascii="仿宋" w:hAnsi="仿宋" w:eastAsia="仿宋" w:cs="仿宋"/>
          <w:spacing w:val="1"/>
          <w:sz w:val="32"/>
          <w:szCs w:val="32"/>
        </w:rPr>
        <w:t>”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经费支出预算为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万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元，比 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减少0.5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减少100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%。其中：因公出国(境)费支出预算为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公务接待费支出预算为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万元，公务用车购置</w:t>
      </w:r>
      <w:r>
        <w:rPr>
          <w:rFonts w:hint="eastAsia" w:ascii="仿宋" w:hAnsi="仿宋" w:eastAsia="仿宋" w:cs="仿宋"/>
          <w:sz w:val="32"/>
          <w:szCs w:val="32"/>
        </w:rPr>
        <w:t>及运行费支出预算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为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万元。具体情况如下：</w:t>
      </w:r>
    </w:p>
    <w:p>
      <w:pPr>
        <w:spacing w:before="13" w:line="360" w:lineRule="auto"/>
        <w:ind w:right="64" w:firstLine="643" w:firstLineChars="200"/>
        <w:jc w:val="both"/>
      </w:pPr>
      <w:r>
        <w:rPr>
          <w:rFonts w:hint="eastAsia" w:ascii="仿宋" w:hAnsi="仿宋" w:eastAsia="仿宋" w:cs="仿宋"/>
          <w:b/>
          <w:snapToGrid/>
          <w:sz w:val="32"/>
          <w:szCs w:val="32"/>
        </w:rPr>
        <w:t>(一)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公务接待费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支出预算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8"/>
          <w:sz w:val="32"/>
          <w:szCs w:val="32"/>
        </w:rPr>
        <w:t>万元，比 202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8"/>
          <w:sz w:val="32"/>
          <w:szCs w:val="32"/>
        </w:rPr>
        <w:t xml:space="preserve"> 年预算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>减少100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%，</w:t>
      </w: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原因主要是</w:t>
      </w: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>本年度</w:t>
      </w:r>
      <w:bookmarkStart w:id="0" w:name="_GoBack"/>
      <w:bookmarkEnd w:id="0"/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>未安排公务接待支出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该项经费主</w:t>
      </w:r>
      <w:r>
        <w:rPr>
          <w:rFonts w:hint="eastAsia" w:ascii="仿宋" w:hAnsi="仿宋" w:eastAsia="仿宋" w:cs="仿宋"/>
          <w:spacing w:val="4"/>
          <w:sz w:val="32"/>
          <w:szCs w:val="32"/>
        </w:rPr>
        <w:t>要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用于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部门公务接待费用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3"/>
          <w:sz w:val="32"/>
          <w:szCs w:val="32"/>
        </w:rPr>
        <w:t>经费使用严格执行《党政机关厉行节约反对浪费条例》、《灵璧县机关单位公务接待费管理暂行办法》（灵财行〔2018〕71号）等相关规定。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2"/>
      <w:jc w:val="right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ZjI4YzhhYjA2ZTU4YTVjZmRjOTc2ZDUzNDI5OTQifQ=="/>
  </w:docVars>
  <w:rsids>
    <w:rsidRoot w:val="35F85440"/>
    <w:rsid w:val="00093CE0"/>
    <w:rsid w:val="004531D3"/>
    <w:rsid w:val="005309AC"/>
    <w:rsid w:val="00633FAB"/>
    <w:rsid w:val="00AF180F"/>
    <w:rsid w:val="084030D7"/>
    <w:rsid w:val="0E625C06"/>
    <w:rsid w:val="32747F2F"/>
    <w:rsid w:val="35F85440"/>
    <w:rsid w:val="361E6492"/>
    <w:rsid w:val="48BE2200"/>
    <w:rsid w:val="4C744868"/>
    <w:rsid w:val="5EC3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</w:pPr>
    <w:rPr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939</Words>
  <Characters>1038</Characters>
  <Lines>1</Lines>
  <Paragraphs>2</Paragraphs>
  <TotalTime>44</TotalTime>
  <ScaleCrop>false</ScaleCrop>
  <LinksUpToDate>false</LinksUpToDate>
  <CharactersWithSpaces>1083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2023-02-07T01:33:00Z</dcterms:created>
  <dc:creator>TF对错</dc:creator>
  <cp:lastModifiedBy>ZGDWPS596203651</cp:lastModifiedBy>
  <dcterms:modified xsi:type="dcterms:W3CDTF">2024-02-25T19:35:30Z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1801FA7D3E184D69B2EECD5503C5AF09</vt:lpwstr>
  </property>
</Properties>
</file>