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pacing w:val="-23"/>
          <w:sz w:val="31"/>
          <w:szCs w:val="31"/>
        </w:rPr>
      </w:pPr>
    </w:p>
    <w:p>
      <w:pPr>
        <w:spacing w:line="256" w:lineRule="auto"/>
      </w:pPr>
    </w:p>
    <w:p>
      <w:pPr>
        <w:spacing w:line="257" w:lineRule="auto"/>
      </w:pPr>
    </w:p>
    <w:p>
      <w:pPr>
        <w:spacing w:before="129" w:line="275" w:lineRule="auto"/>
        <w:ind w:right="777"/>
        <w:jc w:val="center"/>
        <w:rPr>
          <w:rFonts w:ascii="华文中宋" w:hAnsi="华文中宋" w:eastAsia="华文中宋" w:cs="华文中宋"/>
          <w:sz w:val="35"/>
          <w:szCs w:val="35"/>
        </w:rPr>
      </w:pPr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>灵璧县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  <w:lang w:eastAsia="zh-CN"/>
        </w:rPr>
        <w:t>向阳镇人民政府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 xml:space="preserve"> 202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 xml:space="preserve"> 年一般公共预算“三公”经费预算</w:t>
      </w:r>
    </w:p>
    <w:p>
      <w:pPr>
        <w:spacing w:before="189" w:line="224" w:lineRule="auto"/>
        <w:ind w:left="3064"/>
        <w:outlineLvl w:val="0"/>
        <w:rPr>
          <w:rFonts w:ascii="楷体" w:hAnsi="楷体" w:eastAsia="楷体" w:cs="楷体"/>
          <w:sz w:val="31"/>
          <w:szCs w:val="31"/>
        </w:rPr>
      </w:pPr>
    </w:p>
    <w:p>
      <w:pPr>
        <w:spacing w:line="318" w:lineRule="auto"/>
      </w:pPr>
    </w:p>
    <w:p>
      <w:pPr>
        <w:spacing w:line="318" w:lineRule="auto"/>
      </w:pPr>
    </w:p>
    <w:p>
      <w:pPr>
        <w:spacing w:before="101" w:line="226" w:lineRule="auto"/>
        <w:ind w:left="791"/>
        <w:outlineLvl w:val="0"/>
      </w:pPr>
      <w:r>
        <w:rPr>
          <w:rFonts w:ascii="黑体" w:hAnsi="黑体" w:eastAsia="黑体" w:cs="黑体"/>
          <w:spacing w:val="3"/>
          <w:sz w:val="31"/>
          <w:szCs w:val="31"/>
        </w:rPr>
        <w:t>一、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3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年一般公共预算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黑体" w:hAnsi="黑体" w:eastAsia="黑体" w:cs="黑体"/>
          <w:spacing w:val="3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黑体" w:hAnsi="黑体" w:eastAsia="黑体" w:cs="黑体"/>
          <w:spacing w:val="3"/>
          <w:sz w:val="31"/>
          <w:szCs w:val="31"/>
        </w:rPr>
        <w:t>经费支出预</w:t>
      </w:r>
      <w:r>
        <w:rPr>
          <w:rFonts w:ascii="黑体" w:hAnsi="黑体" w:eastAsia="黑体" w:cs="黑体"/>
          <w:spacing w:val="1"/>
          <w:sz w:val="31"/>
          <w:szCs w:val="31"/>
        </w:rPr>
        <w:t>算</w:t>
      </w:r>
      <w:r>
        <w:rPr>
          <w:rFonts w:ascii="黑体" w:hAnsi="黑体" w:eastAsia="黑体" w:cs="黑体"/>
          <w:sz w:val="31"/>
          <w:szCs w:val="31"/>
        </w:rPr>
        <w:t>表</w:t>
      </w:r>
    </w:p>
    <w:p>
      <w:pPr>
        <w:spacing w:before="92" w:line="216" w:lineRule="auto"/>
        <w:ind w:right="87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单</w:t>
      </w:r>
      <w:r>
        <w:rPr>
          <w:rFonts w:ascii="仿宋" w:hAnsi="仿宋" w:eastAsia="仿宋" w:cs="仿宋"/>
          <w:spacing w:val="-7"/>
          <w:sz w:val="28"/>
          <w:szCs w:val="28"/>
        </w:rPr>
        <w:t>位：万元</w:t>
      </w:r>
    </w:p>
    <w:p>
      <w:pPr>
        <w:spacing w:line="23" w:lineRule="exact"/>
      </w:pPr>
    </w:p>
    <w:tbl>
      <w:tblPr>
        <w:tblStyle w:val="8"/>
        <w:tblW w:w="89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849"/>
        <w:gridCol w:w="1079"/>
        <w:gridCol w:w="1729"/>
        <w:gridCol w:w="1809"/>
        <w:gridCol w:w="11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53" w:type="dxa"/>
            <w:vMerge w:val="restart"/>
            <w:tcBorders>
              <w:bottom w:val="nil"/>
            </w:tcBorders>
          </w:tcPr>
          <w:p>
            <w:pPr>
              <w:spacing w:before="289" w:line="559" w:lineRule="exact"/>
              <w:ind w:left="1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ahoma" w:hAnsi="Tahoma" w:eastAsia="Tahoma" w:cs="Tahoma"/>
                <w:b/>
                <w:bCs/>
                <w:spacing w:val="12"/>
                <w:position w:val="28"/>
                <w:sz w:val="19"/>
                <w:szCs w:val="19"/>
              </w:rPr>
              <w:t>“</w:t>
            </w:r>
            <w:r>
              <w:rPr>
                <w:rFonts w:ascii="仿宋" w:hAnsi="仿宋" w:eastAsia="仿宋" w:cs="仿宋"/>
                <w:spacing w:val="12"/>
                <w:position w:val="28"/>
                <w:sz w:val="19"/>
                <w:szCs w:val="19"/>
              </w:rPr>
              <w:t>三公</w:t>
            </w:r>
            <w:r>
              <w:rPr>
                <w:rFonts w:ascii="Tahoma" w:hAnsi="Tahoma" w:eastAsia="Tahoma" w:cs="Tahoma"/>
                <w:b/>
                <w:bCs/>
                <w:spacing w:val="12"/>
                <w:position w:val="28"/>
                <w:sz w:val="19"/>
                <w:szCs w:val="19"/>
              </w:rPr>
              <w:t>”</w:t>
            </w:r>
            <w:r>
              <w:rPr>
                <w:rFonts w:ascii="仿宋" w:hAnsi="仿宋" w:eastAsia="仿宋" w:cs="仿宋"/>
                <w:spacing w:val="12"/>
                <w:position w:val="28"/>
                <w:sz w:val="19"/>
                <w:szCs w:val="19"/>
              </w:rPr>
              <w:t>经费</w:t>
            </w:r>
          </w:p>
          <w:p>
            <w:pPr>
              <w:spacing w:line="225" w:lineRule="auto"/>
              <w:ind w:left="4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计</w:t>
            </w:r>
          </w:p>
        </w:tc>
        <w:tc>
          <w:tcPr>
            <w:tcW w:w="1849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62" w:line="227" w:lineRule="auto"/>
              <w:ind w:left="17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因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公出国 (境) 费</w:t>
            </w:r>
          </w:p>
        </w:tc>
        <w:tc>
          <w:tcPr>
            <w:tcW w:w="4617" w:type="dxa"/>
            <w:gridSpan w:val="3"/>
          </w:tcPr>
          <w:p>
            <w:pPr>
              <w:spacing w:before="284" w:line="223" w:lineRule="auto"/>
              <w:ind w:left="13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公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务用车购置及运行费</w:t>
            </w:r>
          </w:p>
        </w:tc>
        <w:tc>
          <w:tcPr>
            <w:tcW w:w="1110" w:type="dxa"/>
            <w:vMerge w:val="restart"/>
            <w:tcBorders>
              <w:bottom w:val="nil"/>
            </w:tcBorders>
          </w:tcPr>
          <w:p>
            <w:pPr>
              <w:spacing w:before="289" w:line="559" w:lineRule="exact"/>
              <w:ind w:left="36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position w:val="28"/>
                <w:sz w:val="19"/>
                <w:szCs w:val="19"/>
              </w:rPr>
              <w:t>公务</w:t>
            </w:r>
          </w:p>
          <w:p>
            <w:pPr>
              <w:spacing w:line="225" w:lineRule="auto"/>
              <w:ind w:left="2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接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53" w:type="dxa"/>
            <w:vMerge w:val="continue"/>
            <w:tcBorders>
              <w:top w:val="nil"/>
            </w:tcBorders>
          </w:tcPr>
          <w:p/>
        </w:tc>
        <w:tc>
          <w:tcPr>
            <w:tcW w:w="1849" w:type="dxa"/>
            <w:vMerge w:val="continue"/>
            <w:tcBorders>
              <w:top w:val="nil"/>
            </w:tcBorders>
          </w:tcPr>
          <w:p/>
        </w:tc>
        <w:tc>
          <w:tcPr>
            <w:tcW w:w="1079" w:type="dxa"/>
          </w:tcPr>
          <w:p>
            <w:pPr>
              <w:spacing w:before="280" w:line="226" w:lineRule="auto"/>
              <w:ind w:left="3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729" w:type="dxa"/>
          </w:tcPr>
          <w:p>
            <w:pPr>
              <w:spacing w:before="280" w:line="223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公务用车购置费</w:t>
            </w:r>
          </w:p>
        </w:tc>
        <w:tc>
          <w:tcPr>
            <w:tcW w:w="1809" w:type="dxa"/>
          </w:tcPr>
          <w:p>
            <w:pPr>
              <w:spacing w:before="280" w:line="223" w:lineRule="auto"/>
              <w:ind w:left="23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公务用车运行费</w:t>
            </w:r>
          </w:p>
        </w:tc>
        <w:tc>
          <w:tcPr>
            <w:tcW w:w="1110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</w:tbl>
    <w:p>
      <w:pPr>
        <w:spacing w:line="315" w:lineRule="auto"/>
      </w:pPr>
    </w:p>
    <w:p>
      <w:pPr>
        <w:spacing w:before="101" w:line="226" w:lineRule="auto"/>
        <w:ind w:left="79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二</w:t>
      </w:r>
      <w:r>
        <w:rPr>
          <w:rFonts w:ascii="黑体" w:hAnsi="黑体" w:eastAsia="黑体" w:cs="黑体"/>
          <w:spacing w:val="-6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-6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年一般公共预算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“</w:t>
      </w:r>
      <w:r>
        <w:rPr>
          <w:rFonts w:ascii="黑体" w:hAnsi="黑体" w:eastAsia="黑体" w:cs="黑体"/>
          <w:spacing w:val="-6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”</w:t>
      </w:r>
      <w:r>
        <w:rPr>
          <w:rFonts w:ascii="黑体" w:hAnsi="黑体" w:eastAsia="黑体" w:cs="黑体"/>
          <w:spacing w:val="-6"/>
          <w:sz w:val="31"/>
          <w:szCs w:val="31"/>
        </w:rPr>
        <w:t>经费支出预算情况说明</w:t>
      </w:r>
    </w:p>
    <w:p>
      <w:pPr>
        <w:spacing w:before="186" w:line="360" w:lineRule="auto"/>
        <w:ind w:right="14" w:firstLine="656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年一般公共预算“三公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”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经费支出预算为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万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元，比 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年预算减少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下降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19.05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%。其中：因公出国(境)费支出预算为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公务接待费支出预算为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万元，公务用车购置</w:t>
      </w:r>
      <w:r>
        <w:rPr>
          <w:rFonts w:hint="eastAsia" w:ascii="仿宋" w:hAnsi="仿宋" w:eastAsia="仿宋" w:cs="仿宋"/>
          <w:sz w:val="32"/>
          <w:szCs w:val="32"/>
        </w:rPr>
        <w:t>及运行费支出预算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为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万元。具体情况如下：</w:t>
      </w:r>
    </w:p>
    <w:p>
      <w:pPr>
        <w:spacing w:before="12" w:line="360" w:lineRule="auto"/>
        <w:ind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napToGrid/>
          <w:sz w:val="32"/>
          <w:szCs w:val="32"/>
        </w:rPr>
        <w:t>(一)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支出预算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。其中：公务用车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运行费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；该项经费主要用于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公车加油、维修及年审</w:t>
      </w:r>
      <w:r>
        <w:rPr>
          <w:rFonts w:hint="eastAsia" w:ascii="仿宋" w:hAnsi="仿宋" w:eastAsia="仿宋" w:cs="仿宋"/>
          <w:spacing w:val="9"/>
          <w:sz w:val="32"/>
          <w:szCs w:val="32"/>
        </w:rPr>
        <w:t>。公务用车购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置费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0万元，持平</w:t>
      </w:r>
      <w:r>
        <w:rPr>
          <w:rFonts w:hint="eastAsia" w:ascii="仿宋" w:hAnsi="仿宋" w:eastAsia="仿宋" w:cs="仿宋"/>
          <w:sz w:val="32"/>
          <w:szCs w:val="32"/>
        </w:rPr>
        <w:t>；该项经费主要用于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公务用车购置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before="13" w:line="360" w:lineRule="auto"/>
        <w:ind w:right="64" w:firstLine="675" w:firstLineChars="200"/>
        <w:jc w:val="both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)公务接待费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支出预算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 年预算减少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万元，下降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 xml:space="preserve">28.57 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%，下降原因主要</w:t>
      </w:r>
      <w:bookmarkStart w:id="0" w:name="_GoBack"/>
      <w:bookmarkEnd w:id="0"/>
      <w:r>
        <w:rPr>
          <w:rFonts w:hint="eastAsia" w:ascii="仿宋" w:hAnsi="仿宋" w:eastAsia="仿宋" w:cs="仿宋"/>
          <w:spacing w:val="-15"/>
          <w:sz w:val="32"/>
          <w:szCs w:val="32"/>
        </w:rPr>
        <w:t>是</w:t>
      </w:r>
      <w:r>
        <w:rPr>
          <w:rFonts w:hint="eastAsia" w:ascii="仿宋" w:hAnsi="仿宋" w:eastAsia="仿宋" w:cs="仿宋"/>
          <w:spacing w:val="-15"/>
          <w:sz w:val="32"/>
          <w:szCs w:val="32"/>
          <w:lang w:eastAsia="zh-CN"/>
        </w:rPr>
        <w:t>压缩接待支出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该项经费主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用于部门、单位公务接待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经费使用严格执行《党政机关厉行节约反对浪费条例》、《灵璧县机关单位公务接待费管理暂行办法》（灵财行〔2018〕71号）等相关规定。</w:t>
      </w:r>
    </w:p>
    <w:p>
      <w:pPr>
        <w:spacing w:before="4" w:line="360" w:lineRule="auto"/>
        <w:ind w:firstLine="568" w:firstLineChars="200"/>
        <w:jc w:val="both"/>
        <w:rPr>
          <w:rFonts w:ascii="Times New Roman" w:hAnsi="Times New Roman" w:eastAsia="宋体" w:cs="Times New Roman"/>
          <w:spacing w:val="-13"/>
          <w:sz w:val="31"/>
          <w:szCs w:val="31"/>
          <w:u w:val="single"/>
        </w:rPr>
      </w:pPr>
    </w:p>
    <w:p>
      <w:pPr>
        <w:pStyle w:val="2"/>
        <w:ind w:firstLine="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"/>
      <w:jc w:val="right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ZjI4YzhhYjA2ZTU4YTVjZmRjOTc2ZDUzNDI5OTQifQ=="/>
  </w:docVars>
  <w:rsids>
    <w:rsidRoot w:val="35F85440"/>
    <w:rsid w:val="00093CE0"/>
    <w:rsid w:val="004531D3"/>
    <w:rsid w:val="005309AC"/>
    <w:rsid w:val="00633FAB"/>
    <w:rsid w:val="00AF180F"/>
    <w:rsid w:val="084030D7"/>
    <w:rsid w:val="0E625C06"/>
    <w:rsid w:val="35F85440"/>
    <w:rsid w:val="361E6492"/>
    <w:rsid w:val="48BE2200"/>
    <w:rsid w:val="5EC3467C"/>
    <w:rsid w:val="6E0D4A71"/>
    <w:rsid w:val="7107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</w:pPr>
    <w:rPr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939</Words>
  <Characters>1038</Characters>
  <Lines>1</Lines>
  <Paragraphs>2</Paragraphs>
  <TotalTime>9</TotalTime>
  <ScaleCrop>false</ScaleCrop>
  <LinksUpToDate>false</LinksUpToDate>
  <CharactersWithSpaces>1083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2023-02-07T01:33:00Z</dcterms:created>
  <dc:creator>TF对错</dc:creator>
  <cp:lastModifiedBy>ZGDWPS596203651</cp:lastModifiedBy>
  <dcterms:modified xsi:type="dcterms:W3CDTF">2024-02-25T17:37:40Z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1801FA7D3E184D69B2EECD5503C5AF09</vt:lpwstr>
  </property>
</Properties>
</file>