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jc w:val="center"/>
      </w:pPr>
    </w:p>
    <w:p>
      <w:pPr>
        <w:pStyle w:val="2"/>
        <w:spacing w:line="550" w:lineRule="exact"/>
        <w:jc w:val="center"/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城乡建设用地增减挂钩建新区征收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2"/>
        <w:gridCol w:w="1140"/>
        <w:gridCol w:w="1611"/>
        <w:gridCol w:w="956"/>
        <w:gridCol w:w="740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灵璧县人民政府</w:t>
            </w:r>
          </w:p>
        </w:tc>
        <w:tc>
          <w:tcPr>
            <w:tcW w:w="15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灵璧县2022年第6批次（增减挂钩）城镇和村庄建设用地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2355" cy="709930"/>
                  <wp:effectExtent l="0" t="0" r="4445" b="1270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12.6304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12.6304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一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12.6304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12.6304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11.6994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11.6994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0.1125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0.8185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0.8185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是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县级、乡级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灵璧县2021年第十三批次城乡建设用地增减挂钩试点项目区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宿自然资规函【2022】160号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27.87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挂钩项目拆旧区验收情况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已于2022年11月26日验收（宿自然资规函〔2022〕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 号），可提供挂钩指标规模为 23.0143 公顷。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地块一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0.9753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地块二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0.9855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地块三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0.0327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地块四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0.7712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地块五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0.1072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地块六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0.8624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地块七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1.2297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地块八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0.0161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0.5284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地块十一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0.479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地块十二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0.5693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地块十三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1.7414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地块十七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0.5928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地块十九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1.1952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地块二十一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2.3639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地块二十三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0.1803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550" w:lineRule="exact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br w:type="page"/>
      </w:r>
    </w:p>
    <w:tbl>
      <w:tblPr>
        <w:tblStyle w:val="3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YWQ5ZTc1MzI5MjJjNmRhNmY0NmNiZmQ0OGQ2MjAifQ=="/>
  </w:docVars>
  <w:rsids>
    <w:rsidRoot w:val="284F10E0"/>
    <w:rsid w:val="12AC2F0F"/>
    <w:rsid w:val="284F10E0"/>
    <w:rsid w:val="3FFF3293"/>
    <w:rsid w:val="647A3E67"/>
    <w:rsid w:val="7D2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785</Characters>
  <Lines>0</Lines>
  <Paragraphs>0</Paragraphs>
  <TotalTime>4</TotalTime>
  <ScaleCrop>false</ScaleCrop>
  <LinksUpToDate>false</LinksUpToDate>
  <CharactersWithSpaces>1001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2023-01-30T01:36:00Z</dcterms:created>
  <dc:creator>大不点</dc:creator>
  <cp:lastModifiedBy>大不点</cp:lastModifiedBy>
  <dcterms:modified xsi:type="dcterms:W3CDTF">2024-01-03T07:06:52Z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1981B0A58F9048D0A2FF230BCB06EA2C</vt:lpwstr>
  </property>
</Properties>
</file>