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0" w:lineRule="exact"/>
        <w:jc w:val="center"/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城乡建设用地增减挂钩建新区（挂钩方案）征收建设用地呈报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编制机关（公章）：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灵璧县自然资源和规划局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6"/>
        <w:tblW w:w="507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1"/>
        <w:gridCol w:w="1125"/>
        <w:gridCol w:w="1396"/>
        <w:gridCol w:w="1184"/>
        <w:gridCol w:w="739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灵璧县人民政府</w:t>
            </w:r>
          </w:p>
        </w:tc>
        <w:tc>
          <w:tcPr>
            <w:tcW w:w="1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年第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批次（增减挂钩）村庄建设用地（只转不征）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6165" cy="589915"/>
                  <wp:effectExtent l="0" t="0" r="635" b="4445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24.0066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10.5909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13.4157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8"/>
                <w:rFonts w:hint="default"/>
                <w:sz w:val="24"/>
                <w:szCs w:val="24"/>
                <w:lang w:bidi="ar"/>
              </w:rPr>
              <w:t>一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8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13.5634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0.6070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12.9564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sz w:val="24"/>
              </w:rPr>
              <w:t>4.4569</w:t>
            </w:r>
            <w:bookmarkEnd w:id="0"/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0.2290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6.6094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0.1087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6.5007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2.4971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0.2693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2.2278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10.4432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9.9839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0.4593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灵璧县2019年第四批次城乡建设用地增减挂钩试点项目、灵璧县2020年第二十六批次城乡建设用地增减挂钩试点项目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皖自然资管函〔20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〕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130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号、皖政挂〔2021〕134号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交易指标合同编号</w:t>
            </w:r>
          </w:p>
        </w:tc>
        <w:tc>
          <w:tcPr>
            <w:tcW w:w="3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交易指标转自用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灵璧县2019年第四批次城乡建设用地增减挂钩试点项目批准使用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11.2580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公顷，本次使用2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.5339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公顷；灵璧县2020年第二十六批次城乡建设用地增减挂钩试点项目批准使用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32.5929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公顷，本次使用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21.4727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公顷；合计使用2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4.0066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拆旧区均已验收通过，批文号：宿自然资规函〔2020〕115号、宿自然资规函〔2022〕15号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地块1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-1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.7628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采矿用地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地块1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0.1920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地块1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-3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2.0214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管道运输用地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地块1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-4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0.0304</w:t>
            </w:r>
          </w:p>
        </w:tc>
        <w:tc>
          <w:tcPr>
            <w:tcW w:w="2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公路用地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AwM2U3ODg3ZWVmM2QwNjc0ZTJkOWQwZjZjZTEifQ=="/>
  </w:docVars>
  <w:rsids>
    <w:rsidRoot w:val="52313931"/>
    <w:rsid w:val="00007955"/>
    <w:rsid w:val="00033EF7"/>
    <w:rsid w:val="000F3203"/>
    <w:rsid w:val="00123F4C"/>
    <w:rsid w:val="002B4D77"/>
    <w:rsid w:val="00300135"/>
    <w:rsid w:val="0036370A"/>
    <w:rsid w:val="00411CDE"/>
    <w:rsid w:val="004159E0"/>
    <w:rsid w:val="004200DA"/>
    <w:rsid w:val="00422402"/>
    <w:rsid w:val="00455100"/>
    <w:rsid w:val="00486FD2"/>
    <w:rsid w:val="004928D1"/>
    <w:rsid w:val="005247FE"/>
    <w:rsid w:val="005A20EA"/>
    <w:rsid w:val="00605C01"/>
    <w:rsid w:val="0062431D"/>
    <w:rsid w:val="006B62BA"/>
    <w:rsid w:val="006C4C30"/>
    <w:rsid w:val="006F45DF"/>
    <w:rsid w:val="0070023D"/>
    <w:rsid w:val="0073629C"/>
    <w:rsid w:val="0075138A"/>
    <w:rsid w:val="007A2C91"/>
    <w:rsid w:val="007B5214"/>
    <w:rsid w:val="007E6D57"/>
    <w:rsid w:val="007F1442"/>
    <w:rsid w:val="007F5D97"/>
    <w:rsid w:val="007F6B8F"/>
    <w:rsid w:val="00807DCD"/>
    <w:rsid w:val="00824941"/>
    <w:rsid w:val="0084440C"/>
    <w:rsid w:val="008867FC"/>
    <w:rsid w:val="008A5E89"/>
    <w:rsid w:val="009412FF"/>
    <w:rsid w:val="00943D6D"/>
    <w:rsid w:val="009D3219"/>
    <w:rsid w:val="00A536AF"/>
    <w:rsid w:val="00A72D13"/>
    <w:rsid w:val="00AA2185"/>
    <w:rsid w:val="00AA48EE"/>
    <w:rsid w:val="00AD0684"/>
    <w:rsid w:val="00B071A7"/>
    <w:rsid w:val="00B64698"/>
    <w:rsid w:val="00B75131"/>
    <w:rsid w:val="00BF6D50"/>
    <w:rsid w:val="00C872E7"/>
    <w:rsid w:val="00C96CCC"/>
    <w:rsid w:val="00CE719E"/>
    <w:rsid w:val="00D0463A"/>
    <w:rsid w:val="00D20AE1"/>
    <w:rsid w:val="00D27BCD"/>
    <w:rsid w:val="00D32B27"/>
    <w:rsid w:val="00D737BE"/>
    <w:rsid w:val="00D840C8"/>
    <w:rsid w:val="00DC1473"/>
    <w:rsid w:val="00DC3FE1"/>
    <w:rsid w:val="00E115F9"/>
    <w:rsid w:val="00E276B2"/>
    <w:rsid w:val="00E3571C"/>
    <w:rsid w:val="00E94D0B"/>
    <w:rsid w:val="00F25819"/>
    <w:rsid w:val="00F4214E"/>
    <w:rsid w:val="00F5412A"/>
    <w:rsid w:val="00F70DF1"/>
    <w:rsid w:val="00FB0558"/>
    <w:rsid w:val="00FB7DF2"/>
    <w:rsid w:val="0E236E90"/>
    <w:rsid w:val="0E790B30"/>
    <w:rsid w:val="1C8E5D90"/>
    <w:rsid w:val="27441EF5"/>
    <w:rsid w:val="286640ED"/>
    <w:rsid w:val="33D12D62"/>
    <w:rsid w:val="3ECF60F0"/>
    <w:rsid w:val="49C713C2"/>
    <w:rsid w:val="52313931"/>
    <w:rsid w:val="523E3776"/>
    <w:rsid w:val="59F915AC"/>
    <w:rsid w:val="5D7A14C5"/>
    <w:rsid w:val="5F4D50E3"/>
    <w:rsid w:val="6A767C56"/>
    <w:rsid w:val="6AC16985"/>
    <w:rsid w:val="6D631F76"/>
    <w:rsid w:val="7ACA0456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700" w:rightChars="700"/>
    </w:pPr>
  </w:style>
  <w:style w:type="paragraph" w:styleId="3">
    <w:name w:val="Body Text"/>
    <w:basedOn w:val="1"/>
    <w:qFormat/>
    <w:uiPriority w:val="0"/>
    <w:pPr>
      <w:ind w:right="113"/>
    </w:pPr>
    <w:rPr>
      <w:szCs w:val="22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hp</dc:creator>
  <cp:lastModifiedBy>龙在边缘</cp:lastModifiedBy>
  <cp:lastPrinted>2022-08-11T01:29:00Z</cp:lastPrinted>
  <dcterms:modified xsi:type="dcterms:W3CDTF">2023-12-08T02:35:18Z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D1CDB01E55224800868F74770D24C1EB_13</vt:lpwstr>
  </property>
</Properties>
</file>