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灵璧县朝阳中心学校</w:t>
      </w:r>
    </w:p>
    <w:p>
      <w:pPr>
        <w:ind w:firstLine="521" w:firstLineChars="100"/>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2023年部门预算</w:t>
      </w:r>
    </w:p>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ascii="TimesNewRoman" w:hAnsi="TimesNewRoman" w:eastAsia="黑体" w:cs="TimesNewRoman"/>
          <w:bCs/>
          <w:sz w:val="44"/>
          <w:szCs w:val="44"/>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1、灵璧县朝阳中心学校2023年收支总表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2、灵璧县朝阳中心学校2023年收入总表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3、灵璧县朝阳中心学校2023年支出总表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4、灵璧县朝阳中心学校2023年财政拨款收支总表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5、灵璧县朝阳中心学校2023年一般公共预算支出表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6、灵璧县朝阳中心学校2023年一般公共预算基本支出表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7、灵璧县朝阳中心学校2023年政府性基金预算支出表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8、灵璧县朝阳中心学校2023年国有资本经营预算支出表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9、灵璧县朝阳中心学校2023年项目支出表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10、灵璧县朝阳中心学校2023年政府采购支出表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11、灵璧县朝阳中心学校2023年政府购买服务支出表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1、灵璧县朝阳中心学校2023年部门预算纳入绩效考评项目表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2、灵璧县朝阳中心学校2023年部门预算专项资金管理清单（专栏公开）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认真贯彻、落实党和国家的教育方针、政策，正确执行上级主管部门的决议和指示，全面实施素质教育，培养德、智、体、美等方面全面发展的社会主义建设者和接班人。把德育工作放在首位，不断加强对学生的思想政治、法制纪律和道德品质教育。教育全体教职工做到教书育人、服务育人。搞好学校、社会、家庭三结合教育。坚持以教学为中心，保证教学计划的贯彻执行。有计划的开展教研活动，大力推进教学改革。</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灵璧县朝阳中心学校</w:t>
      </w:r>
      <w:r>
        <w:rPr>
          <w:rFonts w:hint="eastAsia" w:ascii="TimesNewRoman" w:hAnsi="TimesNewRoman" w:eastAsia="仿宋_GB2312" w:cs="TimesNewRoman"/>
          <w:sz w:val="32"/>
          <w:szCs w:val="32"/>
        </w:rPr>
        <w:t>2023年度部门预算仅包括局（委）本级预算，无其他下属单位预算。</w:t>
      </w:r>
    </w:p>
    <w:p>
      <w:pPr>
        <w:pStyle w:val="5"/>
        <w:adjustRightInd w:val="0"/>
        <w:snapToGrid w:val="0"/>
        <w:spacing w:line="560" w:lineRule="exact"/>
        <w:ind w:firstLine="627" w:firstLineChars="196"/>
        <w:rPr>
          <w:rFonts w:ascii="TimesNewRoman" w:hAnsi="TimesNewRoman" w:eastAsia="仿宋_GB2312" w:cs="TimesNewRoman"/>
          <w:sz w:val="32"/>
          <w:szCs w:val="32"/>
        </w:rPr>
      </w:pP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pStyle w:val="5"/>
        <w:adjustRightInd w:val="0"/>
        <w:snapToGrid w:val="0"/>
        <w:spacing w:line="560" w:lineRule="exact"/>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（一）贯彻执行国家教育方针政策，促进娄庄中心学校小学及学前教育事业的发展。</w:t>
      </w:r>
    </w:p>
    <w:p>
      <w:pPr>
        <w:pStyle w:val="5"/>
        <w:adjustRightInd w:val="0"/>
        <w:snapToGrid w:val="0"/>
        <w:spacing w:line="560" w:lineRule="exact"/>
        <w:ind w:firstLine="627" w:firstLineChars="196"/>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（二）保障中心学校在职人员、退休人员的正常办公及生活秩序</w:t>
      </w:r>
      <w:r>
        <w:rPr>
          <w:rFonts w:hint="eastAsia" w:ascii="Times New Roman" w:hAnsi="Times New Roman" w:eastAsia="仿宋_GB2312" w:cs="Times New Roman"/>
          <w:color w:val="000000"/>
          <w:sz w:val="32"/>
          <w:szCs w:val="32"/>
          <w:lang w:eastAsia="zh-CN"/>
        </w:rPr>
        <w:t>。</w:t>
      </w:r>
    </w:p>
    <w:p>
      <w:pPr>
        <w:pStyle w:val="5"/>
        <w:adjustRightInd w:val="0"/>
        <w:snapToGrid w:val="0"/>
        <w:spacing w:line="560" w:lineRule="exact"/>
        <w:ind w:firstLine="627" w:firstLineChars="196"/>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（三）坚持“以人为本，共同发展”的办学理念；以“办人民满意的学校，做人民满意的教师”为办学目标；按照“立足科学规范管理，突出教育教学中心；狠抓安全教育，构建和谐校园” 的工作思路，进一步树立学校的发展意识、安全意识、质量意识和创新意识。加强学校文化建设，努力改善办学条件，实现学校各项工作稳定、快速发展。</w:t>
      </w:r>
    </w:p>
    <w:p>
      <w:pPr>
        <w:pStyle w:val="5"/>
        <w:adjustRightInd w:val="0"/>
        <w:snapToGrid w:val="0"/>
        <w:spacing w:line="560" w:lineRule="exact"/>
        <w:ind w:firstLine="627" w:firstLineChars="196"/>
        <w:rPr>
          <w:rFonts w:hint="eastAsia" w:eastAsia="仿宋_GB2312"/>
          <w:lang w:eastAsia="zh-CN"/>
        </w:rPr>
      </w:pPr>
      <w:r>
        <w:rPr>
          <w:rFonts w:hint="eastAsia" w:ascii="Times New Roman" w:hAnsi="Times New Roman" w:eastAsia="仿宋_GB2312" w:cs="Times New Roman"/>
          <w:color w:val="000000"/>
          <w:sz w:val="32"/>
          <w:szCs w:val="32"/>
        </w:rPr>
        <w:t>（四）、把教育教学质量放在首位，提高教师从教的幸福感，办人民满意的教育</w:t>
      </w:r>
      <w:r>
        <w:rPr>
          <w:rFonts w:hint="eastAsia" w:ascii="Times New Roman" w:hAnsi="Times New Roman" w:eastAsia="仿宋_GB2312" w:cs="Times New Roman"/>
          <w:color w:val="000000"/>
          <w:sz w:val="32"/>
          <w:szCs w:val="32"/>
          <w:lang w:eastAsia="zh-CN"/>
        </w:rPr>
        <w:t>。</w:t>
      </w:r>
    </w:p>
    <w:p>
      <w:pPr>
        <w:pStyle w:val="5"/>
        <w:adjustRightInd w:val="0"/>
        <w:snapToGrid w:val="0"/>
        <w:spacing w:line="560" w:lineRule="exact"/>
        <w:jc w:val="both"/>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2023年部门（单位）预算表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2023年部门（单位）预算情况说明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按照综合预算的原则，灵璧县朝阳中心学校所有收入和支出均纳入部门（单位）预算管理。灵璧县朝阳中心学校2023年收支总预算</w:t>
      </w:r>
      <w:r>
        <w:rPr>
          <w:rFonts w:ascii="TimesNewRoman" w:hAnsi="TimesNewRoman" w:eastAsia="仿宋_GB2312" w:cs="TimesNewRoman"/>
          <w:sz w:val="32"/>
          <w:szCs w:val="32"/>
        </w:rPr>
        <w:t>4,639.69</w:t>
      </w:r>
      <w:r>
        <w:rPr>
          <w:rFonts w:hint="eastAsia" w:ascii="TimesNewRoman" w:hAnsi="TimesNewRoman" w:eastAsia="仿宋_GB2312" w:cs="TimesNewRoman"/>
          <w:sz w:val="32"/>
          <w:szCs w:val="32"/>
        </w:rPr>
        <w:t>万元，收入全部是一般公共预算拨款收入</w:t>
      </w:r>
      <w:r>
        <w:rPr>
          <w:rFonts w:ascii="TimesNewRoman" w:hAnsi="TimesNewRoman" w:eastAsia="仿宋_GB2312" w:cs="TimesNewRoman"/>
          <w:sz w:val="32"/>
          <w:szCs w:val="32"/>
        </w:rPr>
        <w:t>4,639.69</w:t>
      </w:r>
      <w:r>
        <w:rPr>
          <w:rFonts w:hint="eastAsia" w:ascii="TimesNewRoman" w:hAnsi="TimesNewRoman" w:eastAsia="仿宋_GB2312" w:cs="TimesNewRoman"/>
          <w:sz w:val="32"/>
          <w:szCs w:val="32"/>
        </w:rPr>
        <w:t>万元；支出包括：社会保障和就业支出、卫生健康支出、节能环保支出、住房保障支出。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灵璧县朝阳中心学校2023年收入预算</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sz w:val="32"/>
          <w:szCs w:val="32"/>
        </w:rPr>
        <w:t>4,639.69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%，比2022年预算增加</w:t>
      </w:r>
      <w:r>
        <w:rPr>
          <w:rFonts w:ascii="TimesNewRoman" w:hAnsi="TimesNewRoman" w:eastAsia="仿宋_GB2312" w:cs="TimesNewRoman"/>
          <w:kern w:val="0"/>
          <w:sz w:val="32"/>
          <w:szCs w:val="32"/>
        </w:rPr>
        <w:t>1,807.1</w:t>
      </w:r>
      <w:r>
        <w:rPr>
          <w:rFonts w:hint="eastAsia" w:ascii="TimesNewRoman" w:hAnsi="TimesNewRoman" w:eastAsia="仿宋_GB2312" w:cs="TimesNewRoman"/>
          <w:kern w:val="0"/>
          <w:sz w:val="32"/>
          <w:szCs w:val="32"/>
        </w:rPr>
        <w:t>万元，增长38.95%，原因主要是</w:t>
      </w:r>
      <w:r>
        <w:rPr>
          <w:rFonts w:hint="eastAsia" w:ascii="仿宋_GB2312" w:hAnsi="仿宋" w:eastAsia="仿宋_GB2312"/>
          <w:sz w:val="32"/>
          <w:szCs w:val="32"/>
        </w:rPr>
        <w:t>政策性追加项目</w:t>
      </w:r>
      <w:r>
        <w:rPr>
          <w:rFonts w:hint="eastAsia" w:ascii="TimesNewRoman" w:hAnsi="TimesNewRoman" w:eastAsia="仿宋_GB2312" w:cs="TimesNewRoman"/>
          <w:kern w:val="0"/>
          <w:sz w:val="32"/>
          <w:szCs w:val="32"/>
        </w:rPr>
        <w:t>；政府性基金预算拨款收入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%，比2022年预算增加（减少）</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万元，增长（下降）</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无政府性基金预算拨款收入</w:t>
      </w:r>
      <w:r>
        <w:rPr>
          <w:rFonts w:hint="eastAsia" w:ascii="TimesNewRoman" w:hAnsi="TimesNewRoman" w:eastAsia="仿宋_GB2312" w:cs="TimesNewRoman"/>
          <w:kern w:val="0"/>
          <w:sz w:val="32"/>
          <w:szCs w:val="32"/>
        </w:rPr>
        <w:t>；财政专户管理资金收入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%，比2022年预算增加（减少）</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万元，增长（下降）</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无财政专户管理资金收入</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灵璧县朝阳中心学校2023年支出预算</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1,807.1</w:t>
      </w:r>
      <w:r>
        <w:rPr>
          <w:rFonts w:hint="eastAsia" w:ascii="TimesNewRoman" w:hAnsi="TimesNewRoman" w:eastAsia="仿宋_GB2312" w:cs="TimesNewRoman"/>
          <w:kern w:val="0"/>
          <w:sz w:val="32"/>
          <w:szCs w:val="32"/>
        </w:rPr>
        <w:t>万元，增长38.95%，原因主要是</w:t>
      </w:r>
      <w:r>
        <w:rPr>
          <w:rFonts w:hint="eastAsia" w:ascii="仿宋_GB2312" w:hAnsi="仿宋" w:eastAsia="仿宋_GB2312"/>
          <w:sz w:val="32"/>
          <w:szCs w:val="32"/>
        </w:rPr>
        <w:t>政策性追加项目；</w:t>
      </w:r>
      <w:r>
        <w:rPr>
          <w:rFonts w:hint="eastAsia" w:ascii="TimesNewRoman" w:hAnsi="TimesNewRoman" w:eastAsia="仿宋_GB2312" w:cs="TimesNewRoman"/>
          <w:kern w:val="0"/>
          <w:sz w:val="32"/>
          <w:szCs w:val="32"/>
        </w:rPr>
        <w:t>其中，基本支出</w:t>
      </w:r>
      <w:r>
        <w:rPr>
          <w:rFonts w:ascii="TimesNewRoman" w:hAnsi="TimesNewRoman" w:eastAsia="仿宋_GB2312" w:cs="TimesNewRoman"/>
          <w:kern w:val="0"/>
          <w:sz w:val="32"/>
          <w:szCs w:val="32"/>
        </w:rPr>
        <w:t>4537.7</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97.80</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102.0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2.20</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节能环保支出</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灵璧县朝阳中心学校2023年财政拨款收支预算</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万元、政府性基金预算拨款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万元。支出按功能分类分为：社会保障和就业支出</w:t>
      </w:r>
      <w:r>
        <w:rPr>
          <w:rFonts w:ascii="TimesNewRoman" w:hAnsi="TimesNewRoman" w:eastAsia="仿宋_GB2312" w:cs="TimesNewRoman"/>
          <w:kern w:val="0"/>
          <w:sz w:val="32"/>
          <w:szCs w:val="32"/>
        </w:rPr>
        <w:t>611.4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13.18</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164.4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3.4</w:t>
      </w:r>
      <w:r>
        <w:rPr>
          <w:rFonts w:hint="eastAsia" w:ascii="TimesNewRoman" w:hAnsi="TimesNewRoman" w:eastAsia="仿宋_GB2312" w:cs="TimesNewRoman"/>
          <w:kern w:val="0"/>
          <w:sz w:val="32"/>
          <w:szCs w:val="32"/>
        </w:rPr>
        <w:t>%；教育支出</w:t>
      </w:r>
      <w:r>
        <w:rPr>
          <w:rFonts w:ascii="TimesNewRoman" w:hAnsi="TimesNewRoman" w:eastAsia="仿宋_GB2312" w:cs="TimesNewRoman"/>
          <w:kern w:val="0"/>
          <w:sz w:val="32"/>
          <w:szCs w:val="32"/>
        </w:rPr>
        <w:t>3293.8</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70.99</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468.1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10.09</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灵璧县朝阳中心学校2023年一般公共预算支出</w:t>
      </w:r>
      <w:r>
        <w:rPr>
          <w:rFonts w:ascii="TimesNewRoman" w:hAnsi="TimesNewRoman" w:eastAsia="仿宋_GB2312" w:cs="TimesNewRoman"/>
          <w:sz w:val="32"/>
          <w:szCs w:val="32"/>
        </w:rPr>
        <w:t>4,639.69</w:t>
      </w:r>
      <w:r>
        <w:rPr>
          <w:rFonts w:hint="eastAsia" w:ascii="TimesNewRoman" w:hAnsi="TimesNewRoman" w:eastAsia="仿宋_GB2312" w:cs="TimesNewRoman"/>
          <w:kern w:val="0"/>
          <w:sz w:val="32"/>
          <w:szCs w:val="32"/>
        </w:rPr>
        <w:t>万元，比2022年预算增加1,807.1万元，增长38.95%，主要原因：</w:t>
      </w:r>
      <w:r>
        <w:rPr>
          <w:rFonts w:hint="eastAsia" w:ascii="仿宋_GB2312" w:hAnsi="仿宋" w:eastAsia="仿宋_GB2312"/>
          <w:sz w:val="32"/>
          <w:szCs w:val="32"/>
        </w:rPr>
        <w:t>政策性追加项目</w:t>
      </w:r>
      <w:r>
        <w:rPr>
          <w:rFonts w:hint="eastAsia" w:ascii="TimesNewRoman" w:hAnsi="TimesNewRoman" w:eastAsia="仿宋_GB2312" w:cs="TimesNewRoman"/>
          <w:kern w:val="0"/>
          <w:sz w:val="32"/>
          <w:szCs w:val="32"/>
        </w:rPr>
        <w:t>，单位节能环保支出预算增加。</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611.4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13.18</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164.4</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3.4</w:t>
      </w:r>
      <w:r>
        <w:rPr>
          <w:rFonts w:hint="eastAsia" w:ascii="TimesNewRoman" w:hAnsi="TimesNewRoman" w:eastAsia="仿宋_GB2312" w:cs="TimesNewRoman"/>
          <w:kern w:val="0"/>
          <w:sz w:val="32"/>
          <w:szCs w:val="32"/>
        </w:rPr>
        <w:t>%；教育支出</w:t>
      </w:r>
      <w:r>
        <w:rPr>
          <w:rFonts w:ascii="TimesNewRoman" w:hAnsi="TimesNewRoman" w:eastAsia="仿宋_GB2312" w:cs="TimesNewRoman"/>
          <w:kern w:val="0"/>
          <w:sz w:val="32"/>
          <w:szCs w:val="32"/>
        </w:rPr>
        <w:t>3293.8</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70.99</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468.1</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10.09</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宋体" w:hAnsi="宋体" w:eastAsia="宋体" w:cs="Arial"/>
          <w:color w:val="000000"/>
          <w:kern w:val="0"/>
          <w:sz w:val="18"/>
          <w:szCs w:val="18"/>
        </w:rPr>
      </w:pPr>
      <w:r>
        <w:rPr>
          <w:rFonts w:hint="eastAsia" w:ascii="TimesNewRoman" w:hAnsi="TimesNewRoman" w:eastAsia="仿宋_GB2312" w:cs="TimesNewRoman"/>
          <w:kern w:val="0"/>
          <w:sz w:val="32"/>
          <w:szCs w:val="32"/>
        </w:rPr>
        <w:t>1、教育支出（类）普通教育（款）小学教育（项）2023年预算</w:t>
      </w:r>
      <w:r>
        <w:rPr>
          <w:rFonts w:ascii="TimesNewRoman" w:hAnsi="TimesNewRoman" w:eastAsia="仿宋_GB2312" w:cs="TimesNewRoman"/>
          <w:kern w:val="0"/>
          <w:sz w:val="32"/>
          <w:szCs w:val="32"/>
        </w:rPr>
        <w:t>3293.8</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1338.3</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40.63</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公务定额增加行政单位离退休人员补贴增加</w:t>
      </w:r>
      <w:r>
        <w:rPr>
          <w:rFonts w:hint="eastAsia" w:ascii="TimesNewRoman" w:hAnsi="TimesNewRoman" w:eastAsia="仿宋_GB2312" w:cs="TimesNewRoman"/>
          <w:kern w:val="0"/>
          <w:sz w:val="32"/>
          <w:szCs w:val="32"/>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、社会保障和就业支出（类）行政事业单位养老支出（款）机关事业单位基本养老保险缴费支出（项）2023年预算</w:t>
      </w:r>
      <w:r>
        <w:rPr>
          <w:rFonts w:ascii="TimesNewRoman" w:hAnsi="TimesNewRoman" w:eastAsia="仿宋_GB2312" w:cs="TimesNewRoman"/>
          <w:kern w:val="0"/>
          <w:sz w:val="32"/>
          <w:szCs w:val="32"/>
        </w:rPr>
        <w:t>407.6</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146.6</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35.97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养老保险基数调整公务定额增加</w:t>
      </w:r>
      <w:r>
        <w:rPr>
          <w:rFonts w:hint="eastAsia" w:ascii="TimesNewRoman" w:hAnsi="TimesNewRoman" w:eastAsia="仿宋_GB2312" w:cs="TimesNewRoman"/>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、社会保障和就业支出（类）行政事业单位养老支出（款）机关事业单位职业年金缴费支出（项）2023年预算</w:t>
      </w:r>
      <w:r>
        <w:rPr>
          <w:rFonts w:ascii="TimesNewRoman" w:hAnsi="TimesNewRoman" w:eastAsia="仿宋_GB2312" w:cs="TimesNewRoman"/>
          <w:kern w:val="0"/>
          <w:sz w:val="32"/>
          <w:szCs w:val="32"/>
        </w:rPr>
        <w:t>203.8</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73.3</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35.97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新增机关事业单位职业年金缴费支出公务定额增加</w:t>
      </w:r>
      <w:r>
        <w:rPr>
          <w:rFonts w:hint="eastAsia" w:ascii="TimesNewRoman" w:hAnsi="TimesNewRoman" w:eastAsia="仿宋_GB2312" w:cs="TimesNewRoman"/>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、卫生健康支出（类）行政事业单位医疗（款）事业单位医疗（项）2023年预算</w:t>
      </w:r>
      <w:r>
        <w:rPr>
          <w:rFonts w:ascii="TimesNewRoman" w:hAnsi="TimesNewRoman" w:eastAsia="仿宋_GB2312" w:cs="TimesNewRoman"/>
          <w:kern w:val="0"/>
          <w:sz w:val="32"/>
          <w:szCs w:val="32"/>
        </w:rPr>
        <w:t>123.0</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18.6</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15.12</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公务定额增加行政单位医疗补贴增加预算</w:t>
      </w:r>
      <w:r>
        <w:rPr>
          <w:rFonts w:hint="eastAsia" w:ascii="TimesNewRoman" w:hAnsi="TimesNewRoman" w:eastAsia="仿宋_GB2312" w:cs="TimesNewRoman"/>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7、卫生健康支出（类）行政事业单位医疗（款）其他行政事业单位医疗支出（项）2023年预算</w:t>
      </w:r>
      <w:r>
        <w:rPr>
          <w:rFonts w:ascii="TimesNewRoman" w:hAnsi="TimesNewRoman" w:eastAsia="仿宋_GB2312" w:cs="TimesNewRoman"/>
          <w:kern w:val="0"/>
          <w:sz w:val="32"/>
          <w:szCs w:val="32"/>
        </w:rPr>
        <w:t>41.4</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28.3</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68.36</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公务定额增加公务员医疗补助增加预算</w:t>
      </w:r>
      <w:r>
        <w:rPr>
          <w:rFonts w:hint="eastAsia" w:ascii="TimesNewRoman" w:hAnsi="TimesNewRoman" w:eastAsia="仿宋_GB2312" w:cs="TimesNewRoman"/>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9、住房保障支出（类）住房改革支出（款）住房公积金（项）2023年预算</w:t>
      </w:r>
      <w:r>
        <w:rPr>
          <w:rFonts w:ascii="TimesNewRoman" w:hAnsi="TimesNewRoman" w:eastAsia="仿宋_GB2312" w:cs="TimesNewRoman"/>
          <w:kern w:val="0"/>
          <w:sz w:val="32"/>
          <w:szCs w:val="32"/>
        </w:rPr>
        <w:t>332.6</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136.8</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41.13</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公务定额增加</w:t>
      </w:r>
      <w:r>
        <w:rPr>
          <w:rFonts w:hint="eastAsia" w:ascii="TimesNewRoman" w:hAnsi="TimesNewRoman" w:eastAsia="仿宋_GB2312" w:cs="TimesNewRoman"/>
          <w:kern w:val="0"/>
          <w:sz w:val="32"/>
          <w:szCs w:val="32"/>
        </w:rPr>
        <w:t>。</w:t>
      </w:r>
    </w:p>
    <w:p>
      <w:pPr>
        <w:keepNext w:val="0"/>
        <w:keepLines w:val="0"/>
        <w:pageBreakBefore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10</w:t>
      </w:r>
      <w:r>
        <w:rPr>
          <w:rFonts w:hint="eastAsia" w:ascii="TimesNewRoman" w:hAnsi="TimesNewRoman" w:eastAsia="仿宋_GB2312" w:cs="TimesNewRoman"/>
          <w:kern w:val="0"/>
          <w:sz w:val="32"/>
          <w:szCs w:val="32"/>
        </w:rPr>
        <w:t>、住房保障支出（类）住房改革支出（款）提租补贴（项）2023年预算</w:t>
      </w:r>
      <w:r>
        <w:rPr>
          <w:rFonts w:ascii="TimesNewRoman" w:hAnsi="TimesNewRoman" w:eastAsia="仿宋_GB2312" w:cs="TimesNewRoman"/>
          <w:kern w:val="0"/>
          <w:sz w:val="32"/>
          <w:szCs w:val="32"/>
        </w:rPr>
        <w:t>135.4</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47.6</w:t>
      </w:r>
      <w:r>
        <w:rPr>
          <w:rFonts w:hint="eastAsia" w:ascii="TimesNewRoman" w:hAnsi="TimesNewRoman" w:eastAsia="仿宋_GB2312" w:cs="TimesNewRoman"/>
          <w:kern w:val="0"/>
          <w:sz w:val="32"/>
          <w:szCs w:val="32"/>
        </w:rPr>
        <w:t>万元，增长3</w:t>
      </w:r>
      <w:r>
        <w:rPr>
          <w:rFonts w:ascii="TimesNewRoman" w:hAnsi="TimesNewRoman" w:eastAsia="仿宋_GB2312" w:cs="TimesNewRoman"/>
          <w:kern w:val="0"/>
          <w:sz w:val="32"/>
          <w:szCs w:val="32"/>
        </w:rPr>
        <w:t>5.16</w:t>
      </w:r>
      <w:r>
        <w:rPr>
          <w:rFonts w:hint="eastAsia" w:ascii="TimesNewRoman" w:hAnsi="TimesNewRoman" w:eastAsia="仿宋_GB2312" w:cs="TimesNewRoman"/>
          <w:kern w:val="0"/>
          <w:sz w:val="32"/>
          <w:szCs w:val="32"/>
        </w:rPr>
        <w:t>%，原因主要是2</w:t>
      </w:r>
      <w:r>
        <w:rPr>
          <w:rFonts w:ascii="TimesNewRoman" w:hAnsi="TimesNewRoman" w:eastAsia="仿宋_GB2312" w:cs="TimesNewRoman"/>
          <w:kern w:val="0"/>
          <w:sz w:val="32"/>
          <w:szCs w:val="32"/>
        </w:rPr>
        <w:t>022</w:t>
      </w:r>
      <w:r>
        <w:rPr>
          <w:rFonts w:hint="eastAsia" w:ascii="TimesNewRoman" w:hAnsi="TimesNewRoman" w:eastAsia="仿宋_GB2312" w:cs="TimesNewRoman"/>
          <w:kern w:val="0"/>
          <w:sz w:val="32"/>
          <w:szCs w:val="32"/>
        </w:rPr>
        <w:t>年住房保障支出主要有住房公积金、提租补贴以及购房补贴。2</w:t>
      </w:r>
      <w:r>
        <w:rPr>
          <w:rFonts w:ascii="TimesNewRoman" w:hAnsi="TimesNewRoman" w:eastAsia="仿宋_GB2312" w:cs="TimesNewRoman"/>
          <w:kern w:val="0"/>
          <w:sz w:val="32"/>
          <w:szCs w:val="32"/>
        </w:rPr>
        <w:t>023</w:t>
      </w:r>
      <w:r>
        <w:rPr>
          <w:rFonts w:hint="eastAsia" w:ascii="TimesNewRoman" w:hAnsi="TimesNewRoman" w:eastAsia="仿宋_GB2312" w:cs="TimesNewRoman"/>
          <w:kern w:val="0"/>
          <w:sz w:val="32"/>
          <w:szCs w:val="32"/>
        </w:rPr>
        <w:t>年住房保障支出主要是住房公积金以及购房补贴。</w:t>
      </w:r>
    </w:p>
    <w:p>
      <w:pPr>
        <w:rPr>
          <w:rFonts w:ascii="TimesNewRoman" w:hAnsi="TimesNewRoman" w:eastAsia="仿宋_GB2312" w:cs="TimesNewRoman"/>
          <w:kern w:val="0"/>
          <w:sz w:val="32"/>
          <w:szCs w:val="32"/>
        </w:rPr>
      </w:pP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widowControl/>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灵璧县朝阳中心学校2023年一般公共预算基本支出</w:t>
      </w:r>
      <w:r>
        <w:rPr>
          <w:rFonts w:ascii="TimesNewRoman" w:hAnsi="TimesNewRoman" w:eastAsia="仿宋_GB2312" w:cs="TimesNewRoman"/>
          <w:kern w:val="0"/>
          <w:sz w:val="32"/>
          <w:szCs w:val="32"/>
        </w:rPr>
        <w:t>4537.7</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4520.9</w:t>
      </w:r>
      <w:r>
        <w:rPr>
          <w:rFonts w:hint="eastAsia" w:ascii="TimesNewRoman" w:hAnsi="TimesNewRoman" w:eastAsia="仿宋_GB2312" w:cs="TimesNewRoman"/>
          <w:kern w:val="0"/>
          <w:sz w:val="32"/>
          <w:szCs w:val="32"/>
        </w:rPr>
        <w:t>万元，公用经费16.8万元。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4520.9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pPr>
        <w:ind w:firstLine="643" w:firstLineChars="200"/>
        <w:rPr>
          <w:rFonts w:ascii="TimesNewRoman" w:hAnsi="TimesNewRoman" w:eastAsia="黑体" w:cs="TimesNewRoman"/>
          <w:bCs/>
          <w:sz w:val="32"/>
          <w:szCs w:val="32"/>
        </w:rPr>
      </w:pPr>
      <w:r>
        <w:rPr>
          <w:rFonts w:hint="eastAsia" w:ascii="TimesNewRoman" w:hAnsi="TimesNewRoman" w:eastAsia="仿宋_GB2312" w:cs="TimesNewRoman"/>
          <w:b/>
          <w:kern w:val="0"/>
          <w:sz w:val="32"/>
          <w:szCs w:val="32"/>
        </w:rPr>
        <w:t>（二）公用经费</w:t>
      </w:r>
      <w:r>
        <w:rPr>
          <w:rFonts w:ascii="TimesNewRoman" w:hAnsi="TimesNewRoman" w:eastAsia="仿宋_GB2312" w:cs="TimesNewRoman"/>
          <w:b/>
          <w:kern w:val="0"/>
          <w:sz w:val="32"/>
          <w:szCs w:val="32"/>
        </w:rPr>
        <w:t>16.8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灵璧县朝阳中心学校2023年预算共安排项目支出</w:t>
      </w:r>
      <w:r>
        <w:rPr>
          <w:rFonts w:ascii="TimesNewRoman" w:hAnsi="TimesNewRoman" w:eastAsia="仿宋_GB2312" w:cs="TimesNewRoman"/>
          <w:kern w:val="0"/>
          <w:sz w:val="32"/>
          <w:szCs w:val="32"/>
        </w:rPr>
        <w:t>102.00</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36</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35.29</w:t>
      </w:r>
      <w:r>
        <w:rPr>
          <w:rFonts w:hint="eastAsia" w:ascii="TimesNewRoman" w:hAnsi="TimesNewRoman" w:eastAsia="仿宋_GB2312" w:cs="TimesNewRoman"/>
          <w:kern w:val="0"/>
          <w:sz w:val="32"/>
          <w:szCs w:val="32"/>
        </w:rPr>
        <w:t>%，原因主要是单位办公费预算增加。主要包括：本年财政拨款安排</w:t>
      </w:r>
      <w:r>
        <w:rPr>
          <w:rFonts w:ascii="TimesNewRoman" w:hAnsi="TimesNewRoman" w:eastAsia="仿宋_GB2312" w:cs="TimesNewRoman"/>
          <w:kern w:val="0"/>
          <w:sz w:val="32"/>
          <w:szCs w:val="32"/>
        </w:rPr>
        <w:t>102.00</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102.00</w:t>
      </w:r>
      <w:r>
        <w:rPr>
          <w:rFonts w:hint="eastAsia" w:ascii="TimesNewRoman" w:hAnsi="TimesNewRoman" w:eastAsia="仿宋_GB2312" w:cs="TimesNewRoman"/>
          <w:kern w:val="0"/>
          <w:sz w:val="32"/>
          <w:szCs w:val="32"/>
        </w:rPr>
        <w:t>万元，政府性基金预算拨款安排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ascii="TimesNewRoman" w:hAnsi="TimesNewRoman" w:eastAsia="黑体" w:cs="TimesNewRoman"/>
          <w:bCs/>
          <w:sz w:val="32"/>
          <w:szCs w:val="32"/>
        </w:rPr>
      </w:pPr>
      <w:r>
        <w:rPr>
          <w:rFonts w:hint="eastAsia" w:ascii="TimesNewRoman" w:hAnsi="TimesNewRoman" w:eastAsia="仿宋_GB2312" w:cs="TimesNewRoman"/>
          <w:kern w:val="0"/>
          <w:sz w:val="32"/>
          <w:szCs w:val="32"/>
        </w:rPr>
        <w:t>灵璧县朝阳中心学校2023年没有使用一般公共预算拨款、政府性基金预算拨款、国有资本经营预算拨款、财政专户管理资金和单位资金安排的政府采购支出。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灵璧县朝阳中心学校2023年机关运行经费财政拨款预算</w:t>
      </w:r>
      <w:r>
        <w:rPr>
          <w:rFonts w:ascii="TimesNewRoman" w:hAnsi="TimesNewRoman" w:eastAsia="仿宋_GB2312" w:cs="TimesNewRoman"/>
          <w:kern w:val="0"/>
          <w:sz w:val="32"/>
          <w:szCs w:val="32"/>
        </w:rPr>
        <w:t>102.00</w:t>
      </w:r>
      <w:r>
        <w:rPr>
          <w:rFonts w:hint="eastAsia" w:ascii="TimesNewRoman" w:hAnsi="TimesNewRoman" w:eastAsia="仿宋_GB2312" w:cs="TimesNewRoman"/>
          <w:kern w:val="0"/>
          <w:sz w:val="32"/>
          <w:szCs w:val="32"/>
        </w:rPr>
        <w:t>万元，比2022年预算增加</w:t>
      </w:r>
      <w:r>
        <w:rPr>
          <w:rFonts w:ascii="TimesNewRoman" w:hAnsi="TimesNewRoman" w:eastAsia="仿宋_GB2312" w:cs="TimesNewRoman"/>
          <w:kern w:val="0"/>
          <w:sz w:val="32"/>
          <w:szCs w:val="32"/>
        </w:rPr>
        <w:t>36</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35.29</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公务定额增加</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灵璧县朝阳中心学校2023年政府采购预算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万元。其中：政府采购货物预算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万元，政府采购工程预算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万元，政府采购服务预算</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截至2022年12月31日，灵璧县朝阳中心学校共有车辆</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辆，其中：执法执勤用车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台（套），单价100万元以上的专用设备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万元，其中：主要领导干部用车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辆、机要通信用车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辆、应急保障用车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辆、特种专业技术用车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辆、离退休干部用车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辆、其他用车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辆（只列报车辆不为0的车型）；安排购置单价50万元以上的通用设备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2023年，灵璧县朝阳中心学校</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102.00</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907C4"/>
    <w:rsid w:val="00000743"/>
    <w:rsid w:val="00022CDE"/>
    <w:rsid w:val="000236EE"/>
    <w:rsid w:val="00054E89"/>
    <w:rsid w:val="000578B1"/>
    <w:rsid w:val="000760BA"/>
    <w:rsid w:val="00081FB6"/>
    <w:rsid w:val="00082462"/>
    <w:rsid w:val="000C0A28"/>
    <w:rsid w:val="000D5B5F"/>
    <w:rsid w:val="000D6829"/>
    <w:rsid w:val="000E1065"/>
    <w:rsid w:val="000F032B"/>
    <w:rsid w:val="00127D1F"/>
    <w:rsid w:val="00130849"/>
    <w:rsid w:val="00144408"/>
    <w:rsid w:val="00155E71"/>
    <w:rsid w:val="001A0A3B"/>
    <w:rsid w:val="001A6E75"/>
    <w:rsid w:val="001B771D"/>
    <w:rsid w:val="001C0975"/>
    <w:rsid w:val="001D0DA8"/>
    <w:rsid w:val="00216B06"/>
    <w:rsid w:val="00231A50"/>
    <w:rsid w:val="00256637"/>
    <w:rsid w:val="002836E5"/>
    <w:rsid w:val="002A4E34"/>
    <w:rsid w:val="002C3F67"/>
    <w:rsid w:val="002F076F"/>
    <w:rsid w:val="002F22F2"/>
    <w:rsid w:val="00301AAE"/>
    <w:rsid w:val="0030425C"/>
    <w:rsid w:val="00321A41"/>
    <w:rsid w:val="00322103"/>
    <w:rsid w:val="00332B6F"/>
    <w:rsid w:val="003357B1"/>
    <w:rsid w:val="003525CB"/>
    <w:rsid w:val="00370195"/>
    <w:rsid w:val="003729EA"/>
    <w:rsid w:val="0037380A"/>
    <w:rsid w:val="003B6EBB"/>
    <w:rsid w:val="003B74E3"/>
    <w:rsid w:val="003C17EB"/>
    <w:rsid w:val="003C3762"/>
    <w:rsid w:val="003F53A1"/>
    <w:rsid w:val="00411B86"/>
    <w:rsid w:val="0043771E"/>
    <w:rsid w:val="00470D0F"/>
    <w:rsid w:val="004A25B7"/>
    <w:rsid w:val="004A6CBD"/>
    <w:rsid w:val="004F0439"/>
    <w:rsid w:val="00515A12"/>
    <w:rsid w:val="00541367"/>
    <w:rsid w:val="0055289D"/>
    <w:rsid w:val="0057562B"/>
    <w:rsid w:val="00594AC3"/>
    <w:rsid w:val="005A343B"/>
    <w:rsid w:val="005A603C"/>
    <w:rsid w:val="005D40A2"/>
    <w:rsid w:val="005D73C2"/>
    <w:rsid w:val="00632302"/>
    <w:rsid w:val="006546AF"/>
    <w:rsid w:val="006837D5"/>
    <w:rsid w:val="00685F44"/>
    <w:rsid w:val="006874BF"/>
    <w:rsid w:val="006C3FD8"/>
    <w:rsid w:val="006C6FBB"/>
    <w:rsid w:val="0071517F"/>
    <w:rsid w:val="00765188"/>
    <w:rsid w:val="00773C29"/>
    <w:rsid w:val="007803BB"/>
    <w:rsid w:val="0078294E"/>
    <w:rsid w:val="00791156"/>
    <w:rsid w:val="00794806"/>
    <w:rsid w:val="007B6DB0"/>
    <w:rsid w:val="007B7E20"/>
    <w:rsid w:val="007C0A73"/>
    <w:rsid w:val="00810CC3"/>
    <w:rsid w:val="00844314"/>
    <w:rsid w:val="00846D58"/>
    <w:rsid w:val="00847F28"/>
    <w:rsid w:val="00852457"/>
    <w:rsid w:val="00862DA3"/>
    <w:rsid w:val="00871414"/>
    <w:rsid w:val="00877A7F"/>
    <w:rsid w:val="008828EC"/>
    <w:rsid w:val="00884EFC"/>
    <w:rsid w:val="008A2BAB"/>
    <w:rsid w:val="008A76B8"/>
    <w:rsid w:val="008B54DB"/>
    <w:rsid w:val="008C05AC"/>
    <w:rsid w:val="008C0DCD"/>
    <w:rsid w:val="008D4156"/>
    <w:rsid w:val="008E000D"/>
    <w:rsid w:val="008F4A2E"/>
    <w:rsid w:val="008F6D1A"/>
    <w:rsid w:val="0091122E"/>
    <w:rsid w:val="00914A70"/>
    <w:rsid w:val="0092189A"/>
    <w:rsid w:val="00943963"/>
    <w:rsid w:val="009658CC"/>
    <w:rsid w:val="0096711B"/>
    <w:rsid w:val="009719AA"/>
    <w:rsid w:val="0097632F"/>
    <w:rsid w:val="0099123D"/>
    <w:rsid w:val="009A3CA3"/>
    <w:rsid w:val="009B0AF9"/>
    <w:rsid w:val="009B413E"/>
    <w:rsid w:val="009C2B65"/>
    <w:rsid w:val="009E6FCC"/>
    <w:rsid w:val="00A018C8"/>
    <w:rsid w:val="00A01BB5"/>
    <w:rsid w:val="00A02F71"/>
    <w:rsid w:val="00A04BE3"/>
    <w:rsid w:val="00A071F1"/>
    <w:rsid w:val="00A70F70"/>
    <w:rsid w:val="00A8549F"/>
    <w:rsid w:val="00A935BD"/>
    <w:rsid w:val="00A9466C"/>
    <w:rsid w:val="00AE3242"/>
    <w:rsid w:val="00AF500B"/>
    <w:rsid w:val="00B12B0F"/>
    <w:rsid w:val="00B3015D"/>
    <w:rsid w:val="00B51E19"/>
    <w:rsid w:val="00B62F17"/>
    <w:rsid w:val="00B742C4"/>
    <w:rsid w:val="00B817A4"/>
    <w:rsid w:val="00BA7556"/>
    <w:rsid w:val="00BB5AC4"/>
    <w:rsid w:val="00BC7FCB"/>
    <w:rsid w:val="00BD0E42"/>
    <w:rsid w:val="00C2613E"/>
    <w:rsid w:val="00C4117B"/>
    <w:rsid w:val="00C668F2"/>
    <w:rsid w:val="00C75D35"/>
    <w:rsid w:val="00CC3599"/>
    <w:rsid w:val="00CE79CE"/>
    <w:rsid w:val="00CF1357"/>
    <w:rsid w:val="00CF2EA7"/>
    <w:rsid w:val="00D00815"/>
    <w:rsid w:val="00D11FFB"/>
    <w:rsid w:val="00D154D9"/>
    <w:rsid w:val="00D3323C"/>
    <w:rsid w:val="00DB4197"/>
    <w:rsid w:val="00DB6FEC"/>
    <w:rsid w:val="00DE64D6"/>
    <w:rsid w:val="00E1320B"/>
    <w:rsid w:val="00E35C97"/>
    <w:rsid w:val="00E3682F"/>
    <w:rsid w:val="00E51B17"/>
    <w:rsid w:val="00E907C4"/>
    <w:rsid w:val="00E95BCD"/>
    <w:rsid w:val="00E97FCD"/>
    <w:rsid w:val="00EB214C"/>
    <w:rsid w:val="00EB3E25"/>
    <w:rsid w:val="00EB7C17"/>
    <w:rsid w:val="00EC2BA6"/>
    <w:rsid w:val="00EC7755"/>
    <w:rsid w:val="00ED4453"/>
    <w:rsid w:val="00ED5AC6"/>
    <w:rsid w:val="00EE0CF8"/>
    <w:rsid w:val="00F25BB7"/>
    <w:rsid w:val="00F341D0"/>
    <w:rsid w:val="00F5166A"/>
    <w:rsid w:val="00F5208C"/>
    <w:rsid w:val="00F559F2"/>
    <w:rsid w:val="00FA3B34"/>
    <w:rsid w:val="00FA3FDE"/>
    <w:rsid w:val="00FB51D4"/>
    <w:rsid w:val="00FB7A34"/>
    <w:rsid w:val="00FC2167"/>
    <w:rsid w:val="4B7E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9"/>
    <w:qFormat/>
    <w:uiPriority w:val="99"/>
    <w:pPr>
      <w:ind w:firstLine="640" w:firstLineChars="200"/>
    </w:pPr>
    <w:rPr>
      <w:rFonts w:ascii="Times New Roman" w:hAnsi="Times New Roman" w:eastAsia="宋体" w:cs="Times New Roman"/>
      <w:sz w:val="32"/>
      <w:szCs w:val="32"/>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正文文本缩进 2 字符"/>
    <w:basedOn w:val="7"/>
    <w:link w:val="2"/>
    <w:uiPriority w:val="99"/>
    <w:rPr>
      <w:rFonts w:ascii="Times New Roman" w:hAnsi="Times New Roman" w:eastAsia="宋体" w:cs="Times New Roman"/>
      <w:sz w:val="32"/>
      <w:szCs w:val="32"/>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784</Words>
  <Characters>4469</Characters>
  <Lines>37</Lines>
  <Paragraphs>10</Paragraphs>
  <TotalTime>516</TotalTime>
  <ScaleCrop>false</ScaleCrop>
  <LinksUpToDate>false</LinksUpToDate>
  <CharactersWithSpaces>5243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伟</cp:lastModifiedBy>
  <dcterms:modified xsi:type="dcterms:W3CDTF">2023-09-03T09:32:00Z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F4B4856F80DA4C1E9DB34946BF35C7DC_13</vt:lpwstr>
  </property>
</Properties>
</file>