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9" w:line="295" w:lineRule="auto"/>
        <w:ind w:left="3319" w:hanging="2538"/>
        <w:outlineLvl w:val="0"/>
        <w:rPr>
          <w:sz w:val="32"/>
          <w:szCs w:val="32"/>
        </w:rPr>
      </w:pPr>
      <w:r>
        <w:rPr>
          <w:spacing w:val="6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灵璧县</w:t>
      </w:r>
      <w:r>
        <w:rPr>
          <w:rFonts w:hint="eastAsia"/>
          <w:spacing w:val="6"/>
          <w:sz w:val="32"/>
          <w:szCs w:val="32"/>
          <w:lang w:eastAsia="zh-CN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尹集</w:t>
      </w:r>
      <w:r>
        <w:rPr>
          <w:spacing w:val="6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镇</w:t>
      </w:r>
      <w:r>
        <w:rPr>
          <w:spacing w:val="-49"/>
          <w:sz w:val="32"/>
          <w:szCs w:val="32"/>
        </w:rPr>
        <w:t xml:space="preserve"> </w:t>
      </w:r>
      <w:r>
        <w:rPr>
          <w:spacing w:val="6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spacing w:val="-46"/>
          <w:sz w:val="32"/>
          <w:szCs w:val="32"/>
        </w:rPr>
        <w:t xml:space="preserve"> </w:t>
      </w:r>
      <w:r>
        <w:rPr>
          <w:spacing w:val="6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年度一般公共预算财政拨款“三公</w:t>
      </w:r>
      <w:r>
        <w:rPr>
          <w:spacing w:val="-111"/>
          <w:sz w:val="32"/>
          <w:szCs w:val="32"/>
        </w:rPr>
        <w:t xml:space="preserve"> </w:t>
      </w:r>
      <w:r>
        <w:rPr>
          <w:spacing w:val="6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”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经费支出决算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4" w:line="638" w:lineRule="exact"/>
        <w:ind w:left="77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position w:val="23"/>
          <w:sz w:val="32"/>
          <w:szCs w:val="32"/>
        </w:rPr>
        <w:t>一、2022</w:t>
      </w:r>
      <w:r>
        <w:rPr>
          <w:rFonts w:ascii="黑体" w:hAnsi="黑体" w:eastAsia="黑体" w:cs="黑体"/>
          <w:spacing w:val="-61"/>
          <w:position w:val="2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5"/>
          <w:position w:val="23"/>
          <w:sz w:val="32"/>
          <w:szCs w:val="32"/>
        </w:rPr>
        <w:t>年度一般公共预算财政拨款“三公”经费支出</w:t>
      </w:r>
    </w:p>
    <w:p>
      <w:pPr>
        <w:spacing w:before="1" w:line="221" w:lineRule="auto"/>
        <w:ind w:left="12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决算表</w:t>
      </w:r>
    </w:p>
    <w:p>
      <w:pPr>
        <w:pStyle w:val="2"/>
        <w:spacing w:before="253" w:line="221" w:lineRule="auto"/>
        <w:ind w:left="6840"/>
        <w:rPr>
          <w:sz w:val="32"/>
          <w:szCs w:val="32"/>
        </w:rPr>
      </w:pPr>
      <w:r>
        <w:rPr>
          <w:spacing w:val="-5"/>
          <w:sz w:val="32"/>
          <w:szCs w:val="32"/>
        </w:rPr>
        <w:t>单位：万元</w:t>
      </w:r>
    </w:p>
    <w:p>
      <w:pPr>
        <w:spacing w:line="94" w:lineRule="exact"/>
      </w:pPr>
    </w:p>
    <w:tbl>
      <w:tblPr>
        <w:tblStyle w:val="5"/>
        <w:tblW w:w="8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8"/>
        <w:gridCol w:w="2222"/>
        <w:gridCol w:w="20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388" w:type="dxa"/>
            <w:vAlign w:val="top"/>
          </w:tcPr>
          <w:p>
            <w:pPr>
              <w:pStyle w:val="6"/>
              <w:spacing w:before="77" w:line="205" w:lineRule="auto"/>
              <w:ind w:left="1730"/>
            </w:pPr>
            <w:r>
              <w:rPr>
                <w:spacing w:val="-1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39"/>
              </w:rPr>
              <w:t xml:space="preserve">  </w:t>
            </w:r>
            <w:r>
              <w:rPr>
                <w:spacing w:val="-1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2222" w:type="dxa"/>
            <w:vAlign w:val="top"/>
          </w:tcPr>
          <w:p>
            <w:pPr>
              <w:pStyle w:val="6"/>
              <w:spacing w:before="77" w:line="205" w:lineRule="auto"/>
              <w:ind w:left="489"/>
            </w:pPr>
            <w:r>
              <w:rPr>
                <w:spacing w:val="-15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</w:t>
            </w:r>
            <w:r>
              <w:rPr>
                <w:spacing w:val="22"/>
              </w:rPr>
              <w:t xml:space="preserve"> </w:t>
            </w:r>
            <w:r>
              <w:rPr>
                <w:spacing w:val="-15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算</w:t>
            </w:r>
            <w:r>
              <w:rPr>
                <w:spacing w:val="21"/>
              </w:rPr>
              <w:t xml:space="preserve"> </w:t>
            </w:r>
            <w:r>
              <w:rPr>
                <w:spacing w:val="-15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  <w:tc>
          <w:tcPr>
            <w:tcW w:w="2049" w:type="dxa"/>
            <w:vAlign w:val="top"/>
          </w:tcPr>
          <w:p>
            <w:pPr>
              <w:pStyle w:val="6"/>
              <w:spacing w:before="77" w:line="205" w:lineRule="auto"/>
              <w:ind w:left="401"/>
            </w:pPr>
            <w:r>
              <w:rPr>
                <w:spacing w:val="-15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决</w:t>
            </w:r>
            <w:r>
              <w:rPr>
                <w:spacing w:val="22"/>
              </w:rPr>
              <w:t xml:space="preserve"> </w:t>
            </w:r>
            <w:r>
              <w:rPr>
                <w:spacing w:val="-15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算</w:t>
            </w:r>
            <w:r>
              <w:rPr>
                <w:spacing w:val="22"/>
              </w:rPr>
              <w:t xml:space="preserve"> </w:t>
            </w:r>
            <w:r>
              <w:rPr>
                <w:spacing w:val="-15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388" w:type="dxa"/>
            <w:vAlign w:val="top"/>
          </w:tcPr>
          <w:p>
            <w:pPr>
              <w:pStyle w:val="6"/>
              <w:spacing w:before="74" w:line="204" w:lineRule="auto"/>
              <w:ind w:left="1737"/>
            </w:pPr>
            <w:r>
              <w:rPr>
                <w:spacing w:val="-16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spacing w:val="11"/>
              </w:rPr>
              <w:t xml:space="preserve">  </w:t>
            </w:r>
            <w:r>
              <w:rPr>
                <w:spacing w:val="-16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2222" w:type="dxa"/>
            <w:vAlign w:val="top"/>
          </w:tcPr>
          <w:p>
            <w:pPr>
              <w:spacing w:before="197" w:line="181" w:lineRule="auto"/>
              <w:ind w:left="1573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049" w:type="dxa"/>
            <w:vAlign w:val="top"/>
          </w:tcPr>
          <w:p>
            <w:pPr>
              <w:spacing w:before="196" w:line="182" w:lineRule="auto"/>
              <w:ind w:left="141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88" w:type="dxa"/>
            <w:vAlign w:val="top"/>
          </w:tcPr>
          <w:p>
            <w:pPr>
              <w:pStyle w:val="6"/>
              <w:spacing w:before="75" w:line="204" w:lineRule="auto"/>
              <w:ind w:left="156"/>
            </w:pPr>
            <w:r>
              <w:rPr>
                <w:spacing w:val="-6"/>
              </w:rPr>
              <w:t>因公出国（境）费</w:t>
            </w:r>
          </w:p>
        </w:tc>
        <w:tc>
          <w:tcPr>
            <w:tcW w:w="2222" w:type="dxa"/>
            <w:vAlign w:val="top"/>
          </w:tcPr>
          <w:p>
            <w:pPr>
              <w:spacing w:before="199" w:line="181" w:lineRule="auto"/>
              <w:ind w:left="168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2049" w:type="dxa"/>
            <w:vAlign w:val="top"/>
          </w:tcPr>
          <w:p>
            <w:pPr>
              <w:spacing w:before="199" w:line="181" w:lineRule="auto"/>
              <w:ind w:left="150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88" w:type="dxa"/>
            <w:vAlign w:val="top"/>
          </w:tcPr>
          <w:p>
            <w:pPr>
              <w:pStyle w:val="6"/>
              <w:spacing w:before="77" w:line="203" w:lineRule="auto"/>
              <w:ind w:left="130"/>
            </w:pPr>
            <w:r>
              <w:rPr>
                <w:spacing w:val="-5"/>
              </w:rPr>
              <w:t>公务接待费</w:t>
            </w:r>
          </w:p>
        </w:tc>
        <w:tc>
          <w:tcPr>
            <w:tcW w:w="2222" w:type="dxa"/>
            <w:vAlign w:val="top"/>
          </w:tcPr>
          <w:p>
            <w:pPr>
              <w:spacing w:before="199" w:line="182" w:lineRule="auto"/>
              <w:ind w:left="1586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049" w:type="dxa"/>
            <w:vAlign w:val="top"/>
          </w:tcPr>
          <w:p>
            <w:pPr>
              <w:spacing w:before="199" w:line="182" w:lineRule="auto"/>
              <w:ind w:left="1509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88" w:type="dxa"/>
            <w:vAlign w:val="top"/>
          </w:tcPr>
          <w:p>
            <w:pPr>
              <w:pStyle w:val="6"/>
              <w:spacing w:before="78" w:line="202" w:lineRule="auto"/>
              <w:ind w:left="130"/>
            </w:pPr>
            <w:r>
              <w:rPr>
                <w:spacing w:val="-3"/>
              </w:rPr>
              <w:t>公务用车购置及运行维护费</w:t>
            </w:r>
          </w:p>
        </w:tc>
        <w:tc>
          <w:tcPr>
            <w:tcW w:w="2222" w:type="dxa"/>
            <w:vAlign w:val="top"/>
          </w:tcPr>
          <w:p>
            <w:pPr>
              <w:spacing w:before="200" w:line="182" w:lineRule="auto"/>
              <w:ind w:left="1586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049" w:type="dxa"/>
            <w:vAlign w:val="top"/>
          </w:tcPr>
          <w:p>
            <w:pPr>
              <w:spacing w:before="200" w:line="182" w:lineRule="auto"/>
              <w:ind w:left="141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88" w:type="dxa"/>
            <w:vAlign w:val="top"/>
          </w:tcPr>
          <w:p>
            <w:pPr>
              <w:pStyle w:val="6"/>
              <w:spacing w:before="78" w:line="202" w:lineRule="auto"/>
              <w:ind w:left="446"/>
            </w:pPr>
            <w:r>
              <w:rPr>
                <w:spacing w:val="-3"/>
              </w:rPr>
              <w:t>其中：公务用车购置费</w:t>
            </w:r>
          </w:p>
        </w:tc>
        <w:tc>
          <w:tcPr>
            <w:tcW w:w="2222" w:type="dxa"/>
            <w:vAlign w:val="top"/>
          </w:tcPr>
          <w:p>
            <w:pPr>
              <w:spacing w:before="202" w:line="181" w:lineRule="auto"/>
              <w:ind w:left="168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  <w:tc>
          <w:tcPr>
            <w:tcW w:w="2049" w:type="dxa"/>
            <w:vAlign w:val="top"/>
          </w:tcPr>
          <w:p>
            <w:pPr>
              <w:spacing w:before="202" w:line="181" w:lineRule="auto"/>
              <w:ind w:left="150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388" w:type="dxa"/>
            <w:vAlign w:val="top"/>
          </w:tcPr>
          <w:p>
            <w:pPr>
              <w:pStyle w:val="6"/>
              <w:spacing w:before="79" w:line="204" w:lineRule="auto"/>
              <w:ind w:left="1410"/>
            </w:pPr>
            <w:r>
              <w:rPr>
                <w:spacing w:val="-3"/>
              </w:rPr>
              <w:t>公务用车运行维护费</w:t>
            </w:r>
          </w:p>
        </w:tc>
        <w:tc>
          <w:tcPr>
            <w:tcW w:w="2222" w:type="dxa"/>
            <w:vAlign w:val="top"/>
          </w:tcPr>
          <w:p>
            <w:pPr>
              <w:spacing w:before="202" w:line="182" w:lineRule="auto"/>
              <w:ind w:left="1586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049" w:type="dxa"/>
            <w:vAlign w:val="top"/>
          </w:tcPr>
          <w:p>
            <w:pPr>
              <w:spacing w:before="202" w:line="182" w:lineRule="auto"/>
              <w:ind w:left="141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6.5</w:t>
            </w:r>
          </w:p>
        </w:tc>
      </w:tr>
    </w:tbl>
    <w:p>
      <w:pPr>
        <w:pStyle w:val="2"/>
        <w:spacing w:before="58" w:line="249" w:lineRule="auto"/>
        <w:ind w:left="126" w:right="479" w:firstLine="6"/>
        <w:jc w:val="both"/>
      </w:pPr>
      <w:r>
        <w:rPr>
          <w:spacing w:val="-3"/>
        </w:rPr>
        <w:t>注：本表反映部门本年度一般公共预算财政拨款“三公”经费支出预决算情况。其中，预算</w:t>
      </w:r>
      <w:r>
        <w:t xml:space="preserve"> </w:t>
      </w:r>
      <w:r>
        <w:rPr>
          <w:spacing w:val="-3"/>
        </w:rPr>
        <w:t>数为“三公</w:t>
      </w:r>
      <w:r>
        <w:rPr>
          <w:spacing w:val="-77"/>
        </w:rPr>
        <w:t xml:space="preserve"> </w:t>
      </w:r>
      <w:r>
        <w:rPr>
          <w:spacing w:val="-3"/>
        </w:rPr>
        <w:t>”经费全年预算数， 反映按规定程</w:t>
      </w:r>
      <w:r>
        <w:rPr>
          <w:spacing w:val="-4"/>
        </w:rPr>
        <w:t>序调整后的预算数;决算数是包括当年一般公</w:t>
      </w:r>
      <w:r>
        <w:t xml:space="preserve"> </w:t>
      </w:r>
      <w:r>
        <w:rPr>
          <w:spacing w:val="-2"/>
        </w:rPr>
        <w:t>共预算财政拨款和以前年度结转资金安排的实际支出。</w:t>
      </w:r>
    </w:p>
    <w:p>
      <w:pPr>
        <w:spacing w:line="249" w:lineRule="auto"/>
        <w:sectPr>
          <w:pgSz w:w="11906" w:h="16839"/>
          <w:pgMar w:top="1431" w:right="1323" w:bottom="0" w:left="1690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4" w:line="221" w:lineRule="auto"/>
        <w:ind w:firstLine="604" w:firstLineChars="20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pacing w:val="-9"/>
          <w:sz w:val="32"/>
          <w:szCs w:val="32"/>
        </w:rPr>
        <w:t>二、2022</w:t>
      </w:r>
      <w:r>
        <w:rPr>
          <w:rFonts w:ascii="黑体" w:hAnsi="黑体" w:eastAsia="黑体" w:cs="黑体"/>
          <w:spacing w:val="-7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9"/>
          <w:sz w:val="32"/>
          <w:szCs w:val="32"/>
        </w:rPr>
        <w:t>年度一般公共预算财政拨款“三公”经费支出情况说明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7" w:line="600" w:lineRule="exact"/>
        <w:ind w:firstLine="604" w:firstLineChars="200"/>
        <w:textAlignment w:val="baseline"/>
        <w:rPr>
          <w:spacing w:val="-9"/>
          <w:position w:val="20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spacing w:val="-9"/>
          <w:position w:val="20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（一）一般公共预算财政拨款“三公 </w:t>
      </w:r>
      <w:r>
        <w:rPr>
          <w:spacing w:val="-9"/>
          <w:position w:val="20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”经费支出决算总体情况说明。</w:t>
      </w:r>
    </w:p>
    <w:p>
      <w:pPr>
        <w:pStyle w:val="2"/>
        <w:spacing w:before="213" w:line="346" w:lineRule="auto"/>
        <w:ind w:left="1" w:right="247" w:firstLine="649"/>
        <w:jc w:val="both"/>
        <w:rPr>
          <w:sz w:val="32"/>
          <w:szCs w:val="32"/>
        </w:rPr>
      </w:pPr>
      <w:r>
        <w:rPr>
          <w:spacing w:val="-5"/>
          <w:sz w:val="32"/>
          <w:szCs w:val="32"/>
        </w:rPr>
        <w:t>灵璧县</w:t>
      </w:r>
      <w:r>
        <w:rPr>
          <w:rFonts w:hint="eastAsia"/>
          <w:spacing w:val="-5"/>
          <w:sz w:val="32"/>
          <w:szCs w:val="32"/>
          <w:lang w:eastAsia="zh-CN"/>
        </w:rPr>
        <w:t>尹集</w:t>
      </w:r>
      <w:r>
        <w:rPr>
          <w:spacing w:val="-5"/>
          <w:sz w:val="32"/>
          <w:szCs w:val="32"/>
        </w:rPr>
        <w:t>镇</w:t>
      </w:r>
      <w:r>
        <w:rPr>
          <w:spacing w:val="-5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2022</w:t>
      </w:r>
      <w:r>
        <w:rPr>
          <w:spacing w:val="-5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年度一般公共预算财政拨款“三公</w:t>
      </w:r>
      <w:r>
        <w:rPr>
          <w:spacing w:val="-11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”经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费支出预算为</w:t>
      </w:r>
      <w:r>
        <w:rPr>
          <w:rFonts w:hint="eastAsia"/>
          <w:spacing w:val="-8"/>
          <w:sz w:val="32"/>
          <w:szCs w:val="32"/>
          <w:lang w:val="en-US" w:eastAsia="zh-CN"/>
        </w:rPr>
        <w:t>15</w:t>
      </w:r>
      <w:r>
        <w:rPr>
          <w:spacing w:val="-8"/>
          <w:sz w:val="32"/>
          <w:szCs w:val="32"/>
        </w:rPr>
        <w:t>万元，支出决算为</w:t>
      </w:r>
      <w:r>
        <w:rPr>
          <w:rFonts w:hint="eastAsia"/>
          <w:spacing w:val="-8"/>
          <w:sz w:val="32"/>
          <w:szCs w:val="32"/>
          <w:lang w:val="en-US" w:eastAsia="zh-CN"/>
        </w:rPr>
        <w:t>12.1</w:t>
      </w:r>
      <w:r>
        <w:rPr>
          <w:spacing w:val="-9"/>
          <w:sz w:val="32"/>
          <w:szCs w:val="32"/>
        </w:rPr>
        <w:t>万元，完成预算的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spacing w:val="-5"/>
          <w:sz w:val="32"/>
          <w:szCs w:val="32"/>
        </w:rPr>
        <w:t>.</w:t>
      </w:r>
      <w:r>
        <w:rPr>
          <w:rFonts w:hint="eastAsia"/>
          <w:spacing w:val="-5"/>
          <w:sz w:val="32"/>
          <w:szCs w:val="32"/>
          <w:lang w:val="en-US" w:eastAsia="zh-CN"/>
        </w:rPr>
        <w:t>6</w:t>
      </w:r>
      <w:r>
        <w:rPr>
          <w:spacing w:val="-5"/>
          <w:sz w:val="32"/>
          <w:szCs w:val="32"/>
        </w:rPr>
        <w:t>%；较上年</w:t>
      </w:r>
      <w:r>
        <w:rPr>
          <w:rFonts w:hint="eastAsia"/>
          <w:spacing w:val="-5"/>
          <w:sz w:val="32"/>
          <w:szCs w:val="32"/>
          <w:lang w:eastAsia="zh-CN"/>
        </w:rPr>
        <w:t>减少</w:t>
      </w:r>
      <w:r>
        <w:rPr>
          <w:rFonts w:hint="eastAsia"/>
          <w:spacing w:val="-5"/>
          <w:sz w:val="32"/>
          <w:szCs w:val="32"/>
          <w:lang w:val="en-US" w:eastAsia="zh-CN"/>
        </w:rPr>
        <w:t>8.4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rFonts w:hint="eastAsia"/>
          <w:spacing w:val="-5"/>
          <w:sz w:val="32"/>
          <w:szCs w:val="32"/>
          <w:lang w:eastAsia="zh-CN"/>
        </w:rPr>
        <w:t>减少</w:t>
      </w:r>
      <w:r>
        <w:rPr>
          <w:rFonts w:hint="eastAsia"/>
          <w:spacing w:val="-5"/>
          <w:sz w:val="32"/>
          <w:szCs w:val="32"/>
          <w:lang w:val="en-US" w:eastAsia="zh-CN"/>
        </w:rPr>
        <w:t>40.9</w:t>
      </w:r>
      <w:r>
        <w:rPr>
          <w:spacing w:val="-5"/>
          <w:sz w:val="32"/>
          <w:szCs w:val="32"/>
        </w:rPr>
        <w:t>%。决算数小于预算</w:t>
      </w:r>
      <w:r>
        <w:rPr>
          <w:spacing w:val="-7"/>
          <w:sz w:val="32"/>
          <w:szCs w:val="32"/>
        </w:rPr>
        <w:t>数的主要原因是缩减开支。为全面反映“三公”经费支出，本次公布的“三公”经费决算为部门汇总数，包含单位本级和所属单位。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7" w:line="600" w:lineRule="exact"/>
        <w:ind w:firstLine="604" w:firstLineChars="200"/>
        <w:textAlignment w:val="baseline"/>
        <w:rPr>
          <w:rFonts w:hint="default" w:eastAsia="仿宋"/>
          <w:spacing w:val="-9"/>
          <w:sz w:val="32"/>
          <w:szCs w:val="32"/>
          <w:lang w:val="en-US" w:eastAsia="zh-CN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spacing w:val="-9"/>
          <w:position w:val="20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（二）一般公共预算财政拨款“三公</w:t>
      </w:r>
      <w:r>
        <w:rPr>
          <w:spacing w:val="-112"/>
          <w:position w:val="20"/>
          <w:sz w:val="32"/>
          <w:szCs w:val="32"/>
        </w:rPr>
        <w:t xml:space="preserve"> </w:t>
      </w:r>
      <w:r>
        <w:rPr>
          <w:spacing w:val="-9"/>
          <w:position w:val="20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”经费支出决算</w:t>
      </w:r>
      <w:r>
        <w:rPr>
          <w:rFonts w:hint="eastAsia"/>
          <w:spacing w:val="-9"/>
          <w:position w:val="20"/>
          <w:sz w:val="32"/>
          <w:szCs w:val="32"/>
          <w:lang w:val="en-US" w:eastAsia="zh-CN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具体情况说明。</w:t>
      </w:r>
    </w:p>
    <w:p>
      <w:pPr>
        <w:pStyle w:val="2"/>
        <w:spacing w:before="213" w:line="346" w:lineRule="auto"/>
        <w:ind w:left="1" w:right="247" w:firstLine="649"/>
        <w:jc w:val="both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灵</w:t>
      </w:r>
      <w:r>
        <w:rPr>
          <w:rFonts w:hint="eastAsia"/>
          <w:spacing w:val="-8"/>
          <w:sz w:val="32"/>
          <w:szCs w:val="32"/>
          <w:lang w:val="en-US" w:eastAsia="zh-CN"/>
        </w:rPr>
        <w:t>璧县尹集镇 2022 年度一般公共预算财政拨款“三公 ”经费支出决算中，因公出国（境）费支出决算 0 万元，占0.00%;公 务接待费支出决算</w:t>
      </w:r>
      <w:r>
        <w:rPr>
          <w:rFonts w:hint="eastAsia"/>
          <w:spacing w:val="-8"/>
          <w:sz w:val="32"/>
          <w:szCs w:val="32"/>
          <w:lang w:val="en-US" w:eastAsia="zh-CN"/>
        </w:rPr>
        <w:t>5.6万元， 占</w:t>
      </w:r>
      <w:r>
        <w:rPr>
          <w:rFonts w:hint="eastAsia"/>
          <w:spacing w:val="-8"/>
          <w:sz w:val="32"/>
          <w:szCs w:val="32"/>
          <w:lang w:val="en-US" w:eastAsia="zh-CN"/>
        </w:rPr>
        <w:t>46.28%；公务用车购置及运行维护费支出决算</w:t>
      </w:r>
      <w:r>
        <w:rPr>
          <w:rFonts w:hint="eastAsia"/>
          <w:spacing w:val="-8"/>
          <w:sz w:val="32"/>
          <w:szCs w:val="32"/>
          <w:lang w:val="en-US" w:eastAsia="zh-CN"/>
        </w:rPr>
        <w:t>6.5万元， 占</w:t>
      </w:r>
      <w:r>
        <w:rPr>
          <w:rFonts w:hint="eastAsia"/>
          <w:spacing w:val="-8"/>
          <w:sz w:val="32"/>
          <w:szCs w:val="32"/>
          <w:lang w:val="en-US" w:eastAsia="zh-CN"/>
        </w:rPr>
        <w:t>53.72%。具体情况如</w:t>
      </w:r>
      <w:r>
        <w:rPr>
          <w:rFonts w:hint="eastAsia"/>
          <w:spacing w:val="-8"/>
          <w:sz w:val="32"/>
          <w:szCs w:val="32"/>
          <w:lang w:val="en-US" w:eastAsia="zh-CN"/>
        </w:rPr>
        <w:t xml:space="preserve">下：            </w:t>
      </w:r>
      <w:r>
        <w:rPr>
          <w:spacing w:val="-8"/>
          <w:sz w:val="32"/>
          <w:szCs w:val="32"/>
        </w:rPr>
        <w:t>1. 因公出国（境）费预算为 0 万元，支出决算为 0 万元，完成预算的0.00%；较上年减少0 万元，下降了0.00%。原因是2021年度、2022 年度均未安排因公出国（境）计划。故2022 年灵璧县</w:t>
      </w:r>
      <w:r>
        <w:rPr>
          <w:rFonts w:hint="eastAsia"/>
          <w:spacing w:val="-8"/>
          <w:sz w:val="32"/>
          <w:szCs w:val="32"/>
          <w:lang w:eastAsia="zh-CN"/>
        </w:rPr>
        <w:t>尹集</w:t>
      </w:r>
      <w:r>
        <w:rPr>
          <w:spacing w:val="-8"/>
          <w:sz w:val="32"/>
          <w:szCs w:val="32"/>
        </w:rPr>
        <w:t>镇因公出国（境）团组 0 次，出国（境）0 人次。</w:t>
      </w:r>
    </w:p>
    <w:p>
      <w:pPr>
        <w:pStyle w:val="2"/>
        <w:spacing w:before="104" w:line="346" w:lineRule="auto"/>
        <w:ind w:firstLine="608" w:firstLineChars="200"/>
        <w:jc w:val="both"/>
        <w:rPr>
          <w:sz w:val="32"/>
          <w:szCs w:val="32"/>
        </w:rPr>
      </w:pPr>
      <w:r>
        <w:rPr>
          <w:spacing w:val="-8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2. 公务接待费</w:t>
      </w:r>
      <w:r>
        <w:rPr>
          <w:spacing w:val="-9"/>
          <w:sz w:val="32"/>
          <w:szCs w:val="32"/>
        </w:rPr>
        <w:t>预算为</w:t>
      </w:r>
      <w:r>
        <w:rPr>
          <w:rFonts w:hint="eastAsia"/>
          <w:spacing w:val="-9"/>
          <w:sz w:val="32"/>
          <w:szCs w:val="32"/>
          <w:lang w:val="en-US" w:eastAsia="zh-CN"/>
        </w:rPr>
        <w:t>8</w:t>
      </w:r>
      <w:r>
        <w:rPr>
          <w:spacing w:val="-9"/>
          <w:sz w:val="32"/>
          <w:szCs w:val="32"/>
        </w:rPr>
        <w:t xml:space="preserve"> 万元，支出决算为</w:t>
      </w:r>
      <w:r>
        <w:rPr>
          <w:rFonts w:hint="eastAsia"/>
          <w:spacing w:val="-9"/>
          <w:sz w:val="32"/>
          <w:szCs w:val="32"/>
          <w:lang w:val="en-US" w:eastAsia="zh-CN"/>
        </w:rPr>
        <w:t>5.6</w:t>
      </w:r>
      <w:r>
        <w:rPr>
          <w:spacing w:val="-9"/>
          <w:sz w:val="32"/>
          <w:szCs w:val="32"/>
        </w:rPr>
        <w:t>万元，完成预算的</w:t>
      </w:r>
      <w:r>
        <w:rPr>
          <w:rFonts w:hint="eastAsia"/>
          <w:spacing w:val="-9"/>
          <w:sz w:val="32"/>
          <w:szCs w:val="32"/>
          <w:lang w:val="en-US" w:eastAsia="zh-CN"/>
        </w:rPr>
        <w:t>70</w:t>
      </w:r>
      <w:r>
        <w:rPr>
          <w:spacing w:val="-9"/>
          <w:sz w:val="32"/>
          <w:szCs w:val="32"/>
        </w:rPr>
        <w:t>%；较上年</w:t>
      </w:r>
      <w:r>
        <w:rPr>
          <w:rFonts w:hint="eastAsia"/>
          <w:spacing w:val="-9"/>
          <w:sz w:val="32"/>
          <w:szCs w:val="32"/>
          <w:lang w:eastAsia="zh-CN"/>
        </w:rPr>
        <w:t>减少</w:t>
      </w:r>
      <w:r>
        <w:rPr>
          <w:rFonts w:hint="eastAsia"/>
          <w:spacing w:val="-9"/>
          <w:sz w:val="32"/>
          <w:szCs w:val="32"/>
          <w:lang w:val="en-US" w:eastAsia="zh-CN"/>
        </w:rPr>
        <w:t>8.2</w:t>
      </w:r>
      <w:r>
        <w:rPr>
          <w:spacing w:val="-9"/>
          <w:sz w:val="32"/>
          <w:szCs w:val="32"/>
        </w:rPr>
        <w:t>万元，</w:t>
      </w:r>
      <w:r>
        <w:rPr>
          <w:rFonts w:hint="eastAsia"/>
          <w:spacing w:val="-9"/>
          <w:sz w:val="32"/>
          <w:szCs w:val="32"/>
          <w:lang w:eastAsia="zh-CN"/>
        </w:rPr>
        <w:t>减少</w:t>
      </w:r>
      <w:r>
        <w:rPr>
          <w:rFonts w:hint="eastAsia"/>
          <w:spacing w:val="-9"/>
          <w:sz w:val="32"/>
          <w:szCs w:val="32"/>
          <w:lang w:val="en-US" w:eastAsia="zh-CN"/>
        </w:rPr>
        <w:t>59.42</w:t>
      </w:r>
      <w:r>
        <w:rPr>
          <w:spacing w:val="-9"/>
          <w:sz w:val="32"/>
          <w:szCs w:val="32"/>
        </w:rPr>
        <w:t>%。决</w:t>
      </w:r>
      <w:r>
        <w:rPr>
          <w:rFonts w:hint="eastAsia"/>
          <w:spacing w:val="-9"/>
          <w:sz w:val="32"/>
          <w:szCs w:val="32"/>
          <w:lang w:val="en-US" w:eastAsia="zh-CN"/>
        </w:rPr>
        <w:t>算</w:t>
      </w:r>
      <w:r>
        <w:rPr>
          <w:spacing w:val="-9"/>
          <w:sz w:val="32"/>
          <w:szCs w:val="32"/>
        </w:rPr>
        <w:t>数小于预算数的主要原因是缩减开支。2022 年灵璧县</w:t>
      </w:r>
      <w:r>
        <w:rPr>
          <w:rFonts w:hint="eastAsia"/>
          <w:spacing w:val="-9"/>
          <w:sz w:val="32"/>
          <w:szCs w:val="32"/>
          <w:lang w:eastAsia="zh-CN"/>
        </w:rPr>
        <w:t>尹集</w:t>
      </w:r>
      <w:r>
        <w:rPr>
          <w:spacing w:val="-9"/>
          <w:sz w:val="32"/>
          <w:szCs w:val="32"/>
        </w:rPr>
        <w:t>镇国内公务</w:t>
      </w:r>
      <w:r>
        <w:rPr>
          <w:spacing w:val="-9"/>
          <w:sz w:val="32"/>
          <w:szCs w:val="32"/>
        </w:rPr>
        <w:t xml:space="preserve">接待共 </w:t>
      </w:r>
      <w:r>
        <w:rPr>
          <w:spacing w:val="-9"/>
          <w:sz w:val="32"/>
          <w:szCs w:val="32"/>
        </w:rPr>
        <w:t>1</w:t>
      </w:r>
      <w:r>
        <w:rPr>
          <w:rFonts w:hint="eastAsia"/>
          <w:spacing w:val="-9"/>
          <w:sz w:val="32"/>
          <w:szCs w:val="32"/>
          <w:lang w:val="en-US" w:eastAsia="zh-CN"/>
        </w:rPr>
        <w:t>56</w:t>
      </w:r>
      <w:r>
        <w:rPr>
          <w:spacing w:val="-9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 xml:space="preserve">批次（其中外事接待 </w:t>
      </w:r>
      <w:r>
        <w:rPr>
          <w:spacing w:val="-9"/>
          <w:sz w:val="32"/>
          <w:szCs w:val="32"/>
        </w:rPr>
        <w:t xml:space="preserve">0 </w:t>
      </w:r>
      <w:r>
        <w:rPr>
          <w:spacing w:val="-9"/>
          <w:sz w:val="32"/>
          <w:szCs w:val="32"/>
        </w:rPr>
        <w:t>批次），</w:t>
      </w:r>
      <w:r>
        <w:rPr>
          <w:spacing w:val="-9"/>
          <w:sz w:val="32"/>
          <w:szCs w:val="32"/>
        </w:rPr>
        <w:t>1</w:t>
      </w:r>
      <w:r>
        <w:rPr>
          <w:rFonts w:hint="eastAsia"/>
          <w:spacing w:val="-9"/>
          <w:sz w:val="32"/>
          <w:szCs w:val="32"/>
          <w:lang w:val="en-US" w:eastAsia="zh-CN"/>
        </w:rPr>
        <w:t>410</w:t>
      </w:r>
      <w:r>
        <w:rPr>
          <w:spacing w:val="-9"/>
          <w:sz w:val="32"/>
          <w:szCs w:val="32"/>
        </w:rPr>
        <w:t>人次（其中外事</w:t>
      </w:r>
      <w:r>
        <w:rPr>
          <w:spacing w:val="-19"/>
          <w:sz w:val="32"/>
          <w:szCs w:val="32"/>
        </w:rPr>
        <w:t>接待</w:t>
      </w:r>
      <w:r>
        <w:rPr>
          <w:spacing w:val="-63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0</w:t>
      </w:r>
      <w:r>
        <w:rPr>
          <w:spacing w:val="-57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人次）。主要是用于日常工作检查来人接待。经费使用贯彻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中央八项规定和省市实施细则，严格执行《党政机关厉行节约反</w:t>
      </w:r>
      <w:r>
        <w:rPr>
          <w:spacing w:val="5"/>
          <w:sz w:val="32"/>
          <w:szCs w:val="32"/>
        </w:rPr>
        <w:t xml:space="preserve"> </w:t>
      </w:r>
      <w:r>
        <w:rPr>
          <w:spacing w:val="-28"/>
          <w:sz w:val="32"/>
          <w:szCs w:val="32"/>
        </w:rPr>
        <w:t>对浪费条例》《灵璧县党政机关公务接待管理办法（修订）》（灵办</w:t>
      </w:r>
    </w:p>
    <w:p>
      <w:pPr>
        <w:pStyle w:val="2"/>
        <w:spacing w:before="1" w:line="221" w:lineRule="auto"/>
        <w:ind w:left="9"/>
        <w:rPr>
          <w:sz w:val="32"/>
          <w:szCs w:val="32"/>
        </w:rPr>
      </w:pPr>
      <w:r>
        <w:rPr>
          <w:spacing w:val="-8"/>
          <w:sz w:val="32"/>
          <w:szCs w:val="32"/>
        </w:rPr>
        <w:t>发（2018）22</w:t>
      </w:r>
      <w:r>
        <w:rPr>
          <w:spacing w:val="-50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号）等相关规定。</w:t>
      </w:r>
    </w:p>
    <w:p>
      <w:pPr>
        <w:pStyle w:val="2"/>
        <w:spacing w:before="219" w:line="346" w:lineRule="auto"/>
        <w:ind w:firstLine="636"/>
        <w:jc w:val="both"/>
        <w:rPr>
          <w:sz w:val="32"/>
          <w:szCs w:val="32"/>
        </w:rPr>
      </w:pPr>
      <w:r>
        <w:rPr>
          <w:spacing w:val="-8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3.公务用车购置及运行维护费</w:t>
      </w:r>
      <w:r>
        <w:rPr>
          <w:spacing w:val="-8"/>
          <w:sz w:val="32"/>
          <w:szCs w:val="32"/>
        </w:rPr>
        <w:t>预算为</w:t>
      </w:r>
      <w:r>
        <w:rPr>
          <w:rFonts w:hint="eastAsia"/>
          <w:spacing w:val="-8"/>
          <w:sz w:val="32"/>
          <w:szCs w:val="32"/>
          <w:lang w:val="en-US" w:eastAsia="zh-CN"/>
        </w:rPr>
        <w:t>7</w:t>
      </w:r>
      <w:r>
        <w:rPr>
          <w:spacing w:val="-8"/>
          <w:sz w:val="32"/>
          <w:szCs w:val="32"/>
        </w:rPr>
        <w:t>万元，支</w:t>
      </w:r>
      <w:r>
        <w:rPr>
          <w:spacing w:val="-9"/>
          <w:sz w:val="32"/>
          <w:szCs w:val="32"/>
        </w:rPr>
        <w:t>出决算</w:t>
      </w:r>
      <w:r>
        <w:rPr>
          <w:spacing w:val="-7"/>
          <w:sz w:val="32"/>
          <w:szCs w:val="32"/>
        </w:rPr>
        <w:t>为</w:t>
      </w:r>
      <w:r>
        <w:rPr>
          <w:spacing w:val="-48"/>
          <w:sz w:val="32"/>
          <w:szCs w:val="32"/>
        </w:rPr>
        <w:t xml:space="preserve"> </w:t>
      </w:r>
      <w:r>
        <w:rPr>
          <w:rFonts w:hint="eastAsia"/>
          <w:spacing w:val="-48"/>
          <w:sz w:val="32"/>
          <w:szCs w:val="32"/>
          <w:lang w:val="en-US" w:eastAsia="zh-CN"/>
        </w:rPr>
        <w:t>6.5</w:t>
      </w:r>
      <w:r>
        <w:rPr>
          <w:spacing w:val="-53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万元，完成预算的</w:t>
      </w:r>
      <w:r>
        <w:rPr>
          <w:rFonts w:hint="eastAsia"/>
          <w:spacing w:val="-7"/>
          <w:sz w:val="32"/>
          <w:szCs w:val="32"/>
          <w:lang w:val="en-US" w:eastAsia="zh-CN"/>
        </w:rPr>
        <w:t>92.86</w:t>
      </w:r>
      <w:r>
        <w:rPr>
          <w:spacing w:val="-7"/>
          <w:sz w:val="32"/>
          <w:szCs w:val="32"/>
        </w:rPr>
        <w:t>%；较上年</w:t>
      </w:r>
      <w:r>
        <w:rPr>
          <w:rFonts w:hint="eastAsia"/>
          <w:spacing w:val="-7"/>
          <w:sz w:val="32"/>
          <w:szCs w:val="32"/>
          <w:lang w:eastAsia="zh-CN"/>
        </w:rPr>
        <w:t>减少</w:t>
      </w:r>
      <w:r>
        <w:rPr>
          <w:rFonts w:hint="eastAsia"/>
          <w:spacing w:val="-7"/>
          <w:sz w:val="32"/>
          <w:szCs w:val="32"/>
          <w:lang w:val="en-US" w:eastAsia="zh-CN"/>
        </w:rPr>
        <w:t>0.2</w:t>
      </w:r>
      <w:r>
        <w:rPr>
          <w:spacing w:val="-7"/>
          <w:sz w:val="32"/>
          <w:szCs w:val="32"/>
        </w:rPr>
        <w:t>万</w:t>
      </w:r>
      <w:r>
        <w:rPr>
          <w:spacing w:val="-8"/>
          <w:sz w:val="32"/>
          <w:szCs w:val="32"/>
        </w:rPr>
        <w:t>元</w:t>
      </w:r>
      <w:r>
        <w:rPr>
          <w:rFonts w:hint="eastAsia"/>
          <w:spacing w:val="-8"/>
          <w:sz w:val="32"/>
          <w:szCs w:val="32"/>
          <w:lang w:eastAsia="zh-CN"/>
        </w:rPr>
        <w:t>。</w:t>
      </w:r>
      <w:r>
        <w:rPr>
          <w:spacing w:val="-7"/>
          <w:sz w:val="32"/>
          <w:szCs w:val="32"/>
        </w:rPr>
        <w:t>其中，公务用车购置费</w:t>
      </w:r>
      <w:r>
        <w:rPr>
          <w:spacing w:val="-8"/>
          <w:sz w:val="32"/>
          <w:szCs w:val="32"/>
        </w:rPr>
        <w:t>预算为</w:t>
      </w:r>
      <w:r>
        <w:rPr>
          <w:spacing w:val="-73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0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万元，支出决算为</w:t>
      </w:r>
      <w:r>
        <w:rPr>
          <w:spacing w:val="-52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0</w:t>
      </w:r>
      <w:r>
        <w:rPr>
          <w:spacing w:val="-54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万元，完成预算的</w:t>
      </w:r>
      <w:r>
        <w:rPr>
          <w:spacing w:val="-70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0.00%；较上年减少</w:t>
      </w:r>
      <w:r>
        <w:rPr>
          <w:spacing w:val="-70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0</w:t>
      </w:r>
      <w:r>
        <w:rPr>
          <w:spacing w:val="-54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万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元，下降</w:t>
      </w:r>
      <w:r>
        <w:rPr>
          <w:spacing w:val="-6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0.00%。原因是</w:t>
      </w:r>
      <w:r>
        <w:rPr>
          <w:spacing w:val="-6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2021</w:t>
      </w:r>
      <w:r>
        <w:rPr>
          <w:spacing w:val="-4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年度、2022</w:t>
      </w:r>
      <w:r>
        <w:rPr>
          <w:spacing w:val="-4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年度均未安排公务用</w:t>
      </w:r>
      <w:r>
        <w:rPr>
          <w:spacing w:val="-8"/>
          <w:sz w:val="32"/>
          <w:szCs w:val="32"/>
        </w:rPr>
        <w:t>车购置计划。公务用车运行维护费预算为</w:t>
      </w:r>
      <w:r>
        <w:rPr>
          <w:rFonts w:hint="eastAsia"/>
          <w:spacing w:val="-8"/>
          <w:sz w:val="32"/>
          <w:szCs w:val="32"/>
          <w:lang w:val="en-US" w:eastAsia="zh-CN"/>
        </w:rPr>
        <w:t>7</w:t>
      </w:r>
      <w:r>
        <w:rPr>
          <w:spacing w:val="-8"/>
          <w:sz w:val="32"/>
          <w:szCs w:val="32"/>
        </w:rPr>
        <w:t>万元，支出决算</w:t>
      </w:r>
      <w:r>
        <w:rPr>
          <w:spacing w:val="-7"/>
          <w:sz w:val="32"/>
          <w:szCs w:val="32"/>
        </w:rPr>
        <w:t>为</w:t>
      </w:r>
      <w:r>
        <w:rPr>
          <w:rFonts w:hint="eastAsia"/>
          <w:spacing w:val="-7"/>
          <w:sz w:val="32"/>
          <w:szCs w:val="32"/>
          <w:lang w:val="en-US" w:eastAsia="zh-CN"/>
        </w:rPr>
        <w:t>6.5</w:t>
      </w:r>
      <w:r>
        <w:rPr>
          <w:spacing w:val="-7"/>
          <w:sz w:val="32"/>
          <w:szCs w:val="32"/>
        </w:rPr>
        <w:t>万元，完成预算的</w:t>
      </w:r>
      <w:r>
        <w:rPr>
          <w:rFonts w:hint="eastAsia"/>
          <w:spacing w:val="-7"/>
          <w:sz w:val="32"/>
          <w:szCs w:val="32"/>
          <w:lang w:val="en-US" w:eastAsia="zh-CN"/>
        </w:rPr>
        <w:t>92.86</w:t>
      </w:r>
      <w:r>
        <w:rPr>
          <w:spacing w:val="-7"/>
          <w:sz w:val="32"/>
          <w:szCs w:val="32"/>
        </w:rPr>
        <w:t>%；较上年</w:t>
      </w:r>
      <w:r>
        <w:rPr>
          <w:rFonts w:hint="eastAsia"/>
          <w:spacing w:val="-7"/>
          <w:sz w:val="32"/>
          <w:szCs w:val="32"/>
          <w:lang w:eastAsia="zh-CN"/>
        </w:rPr>
        <w:t>减少</w:t>
      </w:r>
      <w:r>
        <w:rPr>
          <w:rFonts w:hint="eastAsia"/>
          <w:spacing w:val="-7"/>
          <w:sz w:val="32"/>
          <w:szCs w:val="32"/>
          <w:lang w:val="en-US" w:eastAsia="zh-CN"/>
        </w:rPr>
        <w:t>0.2</w:t>
      </w:r>
      <w:r>
        <w:rPr>
          <w:spacing w:val="-7"/>
          <w:sz w:val="32"/>
          <w:szCs w:val="32"/>
        </w:rPr>
        <w:t>万</w:t>
      </w:r>
      <w:r>
        <w:rPr>
          <w:spacing w:val="-8"/>
          <w:sz w:val="32"/>
          <w:szCs w:val="32"/>
        </w:rPr>
        <w:t>元</w:t>
      </w:r>
      <w:r>
        <w:rPr>
          <w:spacing w:val="-5"/>
          <w:sz w:val="32"/>
          <w:szCs w:val="32"/>
        </w:rPr>
        <w:t>。</w:t>
      </w:r>
      <w:r>
        <w:rPr>
          <w:spacing w:val="-7"/>
          <w:sz w:val="32"/>
          <w:szCs w:val="32"/>
        </w:rPr>
        <w:t>公务用车运行维护费，包括车辆燃料费、维修费、过路过桥费、保险费等支出，主要用于日常工</w:t>
      </w:r>
      <w:r>
        <w:rPr>
          <w:spacing w:val="-8"/>
          <w:sz w:val="32"/>
          <w:szCs w:val="32"/>
        </w:rPr>
        <w:t>作检查。截至</w:t>
      </w:r>
      <w:r>
        <w:rPr>
          <w:spacing w:val="-65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2022</w:t>
      </w:r>
      <w:r>
        <w:rPr>
          <w:spacing w:val="-44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年</w:t>
      </w:r>
      <w:r>
        <w:rPr>
          <w:spacing w:val="-46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12</w:t>
      </w:r>
      <w:r>
        <w:rPr>
          <w:spacing w:val="-35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月</w:t>
      </w:r>
      <w:r>
        <w:rPr>
          <w:spacing w:val="-64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31 日，灵璧县</w:t>
      </w:r>
      <w:r>
        <w:rPr>
          <w:rFonts w:hint="eastAsia"/>
          <w:spacing w:val="-8"/>
          <w:sz w:val="32"/>
          <w:szCs w:val="32"/>
          <w:lang w:eastAsia="zh-CN"/>
        </w:rPr>
        <w:t>尹集</w:t>
      </w:r>
      <w:r>
        <w:rPr>
          <w:spacing w:val="-9"/>
          <w:sz w:val="32"/>
          <w:szCs w:val="32"/>
        </w:rPr>
        <w:t>镇机关及所属单</w:t>
      </w:r>
      <w:r>
        <w:rPr>
          <w:spacing w:val="-8"/>
          <w:sz w:val="32"/>
          <w:szCs w:val="32"/>
        </w:rPr>
        <w:t>位开支财政拨款的公务用车保有量为</w:t>
      </w:r>
      <w:r>
        <w:rPr>
          <w:spacing w:val="-71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2</w:t>
      </w:r>
      <w:r>
        <w:rPr>
          <w:spacing w:val="-63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辆。</w:t>
      </w:r>
    </w:p>
    <w:sectPr>
      <w:footerReference r:id="rId5" w:type="default"/>
      <w:pgSz w:w="11906" w:h="16839"/>
      <w:pgMar w:top="1431" w:right="1524" w:bottom="1855" w:left="1608" w:header="0" w:footer="15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1" w:lineRule="auto"/>
      <w:ind w:right="6"/>
      <w:jc w:val="right"/>
      <w:rPr>
        <w:sz w:val="28"/>
        <w:szCs w:val="28"/>
      </w:rPr>
    </w:pPr>
    <w:r>
      <w:rPr>
        <w:spacing w:val="-3"/>
        <w:sz w:val="28"/>
        <w:szCs w:val="28"/>
      </w:rPr>
      <w:t>-3-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1"/>
  <w:documentProtection w:edit="forms"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I1OTI3NzExOWQ1ZjQzYzVlNDA1Mzk2NDRkMWI5ZWIifQ=="/>
  </w:docVars>
  <w:rsids>
    <w:rsidRoot w:val="00000000"/>
    <w:rsid w:val="02532C2E"/>
    <w:rsid w:val="1265705C"/>
    <w:rsid w:val="17251BA9"/>
    <w:rsid w:val="212F5410"/>
    <w:rsid w:val="24235A50"/>
    <w:rsid w:val="31BC6B2B"/>
    <w:rsid w:val="57CF7431"/>
    <w:rsid w:val="79005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2023-09-10T10:24:00Z</dcterms:created>
  <dc:creator>Administrator</dc:creator>
  <cp:lastModifiedBy>11</cp:lastModifiedBy>
  <cp:lastPrinted>2023-09-22T09:54:00Z</cp:lastPrinted>
  <dcterms:modified xsi:type="dcterms:W3CDTF">2023-09-22T10:09:46Z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2023-09-22T17:41:17Z</vt:filetime>
  </property>
  <property fmtid="{D5CDD505-2E9C-101B-9397-08002B2CF9AE}" pid="4" name="KSOProductBuildVer">
    <vt:lpwstr>2052-12.1.0.15398</vt:lpwstr>
  </property>
  <property fmtid="{D5CDD505-2E9C-101B-9397-08002B2CF9AE}" pid="5" name="ICV">
    <vt:lpwstr>77FDB39F2B9E4F8B84C706AA68C40C14_13</vt:lpwstr>
  </property>
</Properties>
</file>