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7"/>
          <w:sz w:val="31"/>
          <w:szCs w:val="31"/>
          <w:lang w:eastAsia="zh-CN"/>
        </w:rPr>
      </w:pPr>
    </w:p>
    <w:p>
      <w:pPr>
        <w:pStyle w:val="2"/>
        <w:rPr>
          <w:rFonts w:hint="eastAsia" w:ascii="黑体" w:hAnsi="黑体" w:eastAsia="黑体" w:cs="黑体"/>
          <w:spacing w:val="-17"/>
          <w:sz w:val="31"/>
          <w:szCs w:val="31"/>
          <w:lang w:eastAsia="zh-CN"/>
        </w:rPr>
      </w:pPr>
    </w:p>
    <w:p>
      <w:pPr>
        <w:pStyle w:val="2"/>
        <w:rPr>
          <w:rFonts w:hint="eastAsia" w:ascii="黑体" w:hAnsi="黑体" w:eastAsia="黑体" w:cs="黑体"/>
          <w:spacing w:val="-17"/>
          <w:sz w:val="31"/>
          <w:szCs w:val="31"/>
          <w:lang w:eastAsia="zh-CN"/>
        </w:rPr>
      </w:pPr>
    </w:p>
    <w:p>
      <w:pPr>
        <w:pStyle w:val="2"/>
        <w:rPr>
          <w:rFonts w:hint="eastAsia" w:ascii="黑体" w:hAnsi="黑体" w:eastAsia="黑体" w:cs="黑体"/>
          <w:spacing w:val="-17"/>
          <w:sz w:val="31"/>
          <w:szCs w:val="31"/>
          <w:lang w:eastAsia="zh-CN"/>
        </w:rPr>
      </w:pPr>
    </w:p>
    <w:p>
      <w:pPr>
        <w:pStyle w:val="2"/>
        <w:rPr>
          <w:rFonts w:hint="eastAsia" w:eastAsiaTheme="minorEastAsia"/>
        </w:rPr>
      </w:pPr>
    </w:p>
    <w:p>
      <w:pPr>
        <w:spacing w:before="159" w:line="233" w:lineRule="auto"/>
        <w:ind w:left="906" w:right="709" w:hanging="198"/>
        <w:jc w:val="center"/>
        <w:rPr>
          <w:rFonts w:ascii="华文中宋" w:hAnsi="华文中宋" w:eastAsia="华文中宋" w:cs="华文中宋"/>
          <w:sz w:val="43"/>
          <w:szCs w:val="43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eastAsia="zh-CN"/>
        </w:rPr>
        <w:t>向阳镇人民政府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</w:rPr>
        <w:t>2023</w:t>
      </w:r>
      <w:r>
        <w:rPr>
          <w:rFonts w:hint="eastAsia" w:ascii="华文中宋" w:hAnsi="华文中宋" w:eastAsia="华文中宋" w:cs="华文中宋"/>
          <w:spacing w:val="-5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部门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  <w:u w:val="single"/>
        </w:rPr>
        <w:t>(单位)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预</w:t>
      </w:r>
      <w:r>
        <w:rPr>
          <w:rFonts w:hint="eastAsia" w:ascii="华文中宋" w:hAnsi="华文中宋" w:eastAsia="华文中宋" w:cs="华文中宋"/>
          <w:sz w:val="44"/>
          <w:szCs w:val="44"/>
        </w:rPr>
        <w:t>算</w:t>
      </w:r>
    </w:p>
    <w:p>
      <w:pPr>
        <w:spacing w:line="256" w:lineRule="auto"/>
      </w:pPr>
    </w:p>
    <w:p>
      <w:pPr>
        <w:spacing w:line="256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before="140" w:line="227" w:lineRule="auto"/>
        <w:ind w:left="3341"/>
        <w:rPr>
          <w:rFonts w:eastAsia="宋体"/>
        </w:rPr>
        <w:sectPr>
          <w:footerReference r:id="rId3" w:type="default"/>
          <w:pgSz w:w="11906" w:h="16839"/>
          <w:pgMar w:top="1431" w:right="1529" w:bottom="1410" w:left="1618" w:header="0" w:footer="1034" w:gutter="0"/>
          <w:cols w:space="720" w:num="1"/>
        </w:sect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2023</w:t>
      </w:r>
      <w:r>
        <w:rPr>
          <w:rFonts w:ascii="黑体" w:hAnsi="黑体" w:eastAsia="黑体" w:cs="黑体"/>
          <w:spacing w:val="2"/>
          <w:sz w:val="43"/>
          <w:szCs w:val="43"/>
        </w:rPr>
        <w:t>年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</w:rPr>
        <w:t>月</w:t>
      </w:r>
    </w:p>
    <w:p>
      <w:pPr>
        <w:spacing w:line="326" w:lineRule="auto"/>
      </w:pPr>
    </w:p>
    <w:p>
      <w:pPr>
        <w:spacing w:before="140" w:line="225" w:lineRule="auto"/>
        <w:ind w:left="3804"/>
        <w:jc w:val="both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2"/>
          <w:sz w:val="43"/>
          <w:szCs w:val="43"/>
        </w:rPr>
        <w:t>目</w:t>
      </w:r>
      <w:r>
        <w:rPr>
          <w:rFonts w:ascii="黑体" w:hAnsi="黑体" w:eastAsia="黑体" w:cs="黑体"/>
          <w:spacing w:val="-11"/>
          <w:sz w:val="43"/>
          <w:szCs w:val="43"/>
        </w:rPr>
        <w:t>录</w:t>
      </w:r>
    </w:p>
    <w:p>
      <w:pPr>
        <w:spacing w:line="297" w:lineRule="auto"/>
        <w:jc w:val="both"/>
      </w:pPr>
    </w:p>
    <w:p>
      <w:pPr>
        <w:spacing w:line="298" w:lineRule="auto"/>
        <w:jc w:val="both"/>
      </w:pPr>
    </w:p>
    <w:p>
      <w:pPr>
        <w:spacing w:before="101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第一部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部门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概况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1.主要职责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2.部门(单位)预算构成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3.2023年度主要工作任务</w:t>
      </w:r>
    </w:p>
    <w:p>
      <w:pPr>
        <w:spacing w:before="189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第二部分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2023年部门(单位)预算表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2023年收支总表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2023年收入总表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2023年支出总表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2023年财政拨款收支总表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2023年一般公共预算支出表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2023年一般公共预算基本支出表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2023年政府性基金预算支出表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2023年国有资本经营预算支出表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2023年项目支出表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2023年政府采购支出表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2023年政府购买服务支出表</w:t>
      </w:r>
    </w:p>
    <w:p>
      <w:pPr>
        <w:spacing w:before="100"/>
        <w:ind w:firstLine="655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第三部分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2023年部门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预算情况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1.关于2023年收支总表的说明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2.关于2023年收入总表的说明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3.关于2023年支出总表的说明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4.关于2023年财政拨款收支总表的说明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5.关于2023年一般公共预算支出表的说明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6.关于2023年一般公共预算基本支出表的说明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7.关于2023年政府性基金预算支出表的说明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8.关于2023年国有资本经营预算支出表的说明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9.关于2023年项目支出表的说明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10.关于2023年政府采购支出表的说明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11.关于2023年政府购买服务支出表的说明</w:t>
      </w:r>
    </w:p>
    <w:p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12.其他重要事项情况说明</w:t>
      </w:r>
    </w:p>
    <w:p>
      <w:pPr>
        <w:spacing w:before="100"/>
        <w:ind w:firstLine="655" w:firstLineChars="200"/>
        <w:rPr>
          <w:rFonts w:ascii="仿宋" w:hAnsi="仿宋" w:eastAsia="仿宋" w:cs="仿宋"/>
          <w:b/>
          <w:bCs/>
          <w:spacing w:val="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第四部分名词解释</w:t>
      </w:r>
    </w:p>
    <w:p>
      <w:pPr>
        <w:spacing w:before="100"/>
        <w:ind w:left="457"/>
        <w:rPr>
          <w:rFonts w:ascii="仿宋" w:hAnsi="仿宋" w:eastAsia="仿宋" w:cs="仿宋"/>
          <w:spacing w:val="3"/>
          <w:sz w:val="32"/>
          <w:szCs w:val="32"/>
        </w:rPr>
        <w:sectPr>
          <w:footerReference r:id="rId4" w:type="default"/>
          <w:pgSz w:w="11906" w:h="16839"/>
          <w:pgMar w:top="1431" w:right="1529" w:bottom="1412" w:left="1785" w:header="0" w:footer="1034" w:gutter="0"/>
          <w:cols w:space="720" w:num="1"/>
        </w:sectPr>
      </w:pPr>
    </w:p>
    <w:p>
      <w:pPr>
        <w:spacing w:before="113" w:line="226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6"/>
          <w:sz w:val="36"/>
          <w:szCs w:val="36"/>
        </w:rPr>
        <w:t>第</w:t>
      </w:r>
      <w:r>
        <w:rPr>
          <w:rFonts w:ascii="黑体" w:hAnsi="黑体" w:eastAsia="黑体" w:cs="黑体"/>
          <w:spacing w:val="-9"/>
          <w:sz w:val="36"/>
          <w:szCs w:val="36"/>
        </w:rPr>
        <w:t>一</w:t>
      </w:r>
      <w:r>
        <w:rPr>
          <w:rFonts w:ascii="黑体" w:hAnsi="黑体" w:eastAsia="黑体" w:cs="黑体"/>
          <w:spacing w:val="-8"/>
          <w:sz w:val="36"/>
          <w:szCs w:val="36"/>
        </w:rPr>
        <w:t>部分</w:t>
      </w:r>
      <w:r>
        <w:rPr>
          <w:rFonts w:hint="eastAsia" w:ascii="黑体" w:hAnsi="黑体" w:eastAsia="黑体" w:cs="黑体"/>
          <w:spacing w:val="-8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8"/>
          <w:sz w:val="36"/>
          <w:szCs w:val="36"/>
        </w:rPr>
        <w:t>部门</w:t>
      </w:r>
      <w:r>
        <w:rPr>
          <w:rFonts w:ascii="黑体" w:hAnsi="黑体" w:eastAsia="黑体" w:cs="黑体"/>
          <w:spacing w:val="-8"/>
          <w:sz w:val="36"/>
          <w:szCs w:val="36"/>
          <w:u w:val="single"/>
        </w:rPr>
        <w:t>(单位)</w:t>
      </w:r>
      <w:r>
        <w:rPr>
          <w:rFonts w:ascii="黑体" w:hAnsi="黑体" w:eastAsia="黑体" w:cs="黑体"/>
          <w:spacing w:val="-8"/>
          <w:sz w:val="36"/>
          <w:szCs w:val="36"/>
        </w:rPr>
        <w:t>概况</w:t>
      </w:r>
    </w:p>
    <w:p>
      <w:pPr>
        <w:spacing w:line="311" w:lineRule="auto"/>
      </w:pPr>
    </w:p>
    <w:p>
      <w:pPr>
        <w:spacing w:line="311" w:lineRule="auto"/>
      </w:pPr>
    </w:p>
    <w:p>
      <w:pPr>
        <w:spacing w:before="101" w:line="513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4"/>
          <w:sz w:val="32"/>
          <w:szCs w:val="32"/>
        </w:rPr>
        <w:t>一、主要职</w:t>
      </w:r>
      <w:r>
        <w:rPr>
          <w:rFonts w:ascii="黑体" w:hAnsi="黑体" w:eastAsia="黑体" w:cs="黑体"/>
          <w:spacing w:val="1"/>
          <w:position w:val="4"/>
          <w:sz w:val="32"/>
          <w:szCs w:val="32"/>
        </w:rPr>
        <w:t>责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在镇政府直接领导下，编制本级预算和决算，办理预算执行业务;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根据国家的财政法令和财政政策制定各项财政业务规章制度、法规条例，管理所属部门的财务;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贯彻落实财务会计制度和管理法规条例，管理事业和行政单位的会计工作;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进行财政监督、检查，执行财经纪律;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管理各项财政收入、预算外资金和财政专户以及政府性基金和行政事业性收费;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镇委镇政府交办的事项等。</w:t>
      </w:r>
    </w:p>
    <w:p>
      <w:pPr>
        <w:spacing w:before="223" w:line="334" w:lineRule="auto"/>
        <w:ind w:left="64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、部门</w:t>
      </w:r>
      <w:r>
        <w:rPr>
          <w:rFonts w:hint="eastAsia" w:ascii="黑体" w:hAnsi="黑体" w:eastAsia="黑体" w:cs="黑体"/>
          <w:spacing w:val="3"/>
          <w:sz w:val="32"/>
          <w:szCs w:val="32"/>
          <w:u w:val="single"/>
        </w:rPr>
        <w:t>(单位)</w:t>
      </w:r>
      <w:r>
        <w:rPr>
          <w:rFonts w:hint="eastAsia" w:ascii="黑体" w:hAnsi="黑体" w:eastAsia="黑体" w:cs="黑体"/>
          <w:spacing w:val="3"/>
          <w:sz w:val="32"/>
          <w:szCs w:val="32"/>
        </w:rPr>
        <w:t>预算构成</w:t>
      </w:r>
    </w:p>
    <w:p>
      <w:pPr>
        <w:tabs>
          <w:tab w:val="left" w:pos="784"/>
        </w:tabs>
        <w:spacing w:before="191" w:line="333" w:lineRule="auto"/>
        <w:ind w:left="17" w:firstLine="60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从预算单位构成看，灵璧县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2023年度部门预算包括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本级预算，纳入部门预算编制范围的预算单位共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，具体情况见下表。</w:t>
      </w:r>
    </w:p>
    <w:p>
      <w:pPr>
        <w:spacing w:line="138" w:lineRule="auto"/>
        <w:rPr>
          <w:sz w:val="2"/>
        </w:rPr>
      </w:pPr>
    </w:p>
    <w:tbl>
      <w:tblPr>
        <w:tblStyle w:val="8"/>
        <w:tblW w:w="88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528"/>
        <w:gridCol w:w="4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8" w:line="225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号</w:t>
            </w:r>
          </w:p>
        </w:tc>
        <w:tc>
          <w:tcPr>
            <w:tcW w:w="3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7" w:line="224" w:lineRule="auto"/>
              <w:ind w:left="1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位名称</w:t>
            </w:r>
          </w:p>
        </w:tc>
        <w:tc>
          <w:tcPr>
            <w:tcW w:w="44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7" w:line="223" w:lineRule="auto"/>
              <w:ind w:left="16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位性质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95" w:lineRule="auto"/>
              <w:ind w:left="384"/>
              <w:rPr>
                <w:rFonts w:ascii="Tahoma" w:hAnsi="Tahoma" w:eastAsia="Tahoma" w:cs="Tahoma"/>
                <w:sz w:val="23"/>
                <w:szCs w:val="23"/>
              </w:rPr>
            </w:pPr>
            <w:r>
              <w:rPr>
                <w:rFonts w:ascii="Tahoma" w:hAnsi="Tahoma" w:eastAsia="Tahoma" w:cs="Tahoma"/>
                <w:sz w:val="23"/>
                <w:szCs w:val="23"/>
              </w:rPr>
              <w:t>1</w:t>
            </w:r>
          </w:p>
        </w:tc>
        <w:tc>
          <w:tcPr>
            <w:tcW w:w="3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25" w:lineRule="auto"/>
              <w:ind w:left="4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</w:rPr>
              <w:t>灵璧县</w:t>
            </w:r>
            <w:r>
              <w:rPr>
                <w:rFonts w:hint="eastAsia" w:ascii="Tahoma" w:hAnsi="Tahoma" w:eastAsia="宋体" w:cs="Tahoma"/>
                <w:spacing w:val="-2"/>
                <w:sz w:val="23"/>
                <w:szCs w:val="23"/>
                <w:lang w:eastAsia="zh-CN"/>
              </w:rPr>
              <w:t>向阳镇人民政府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本级</w:t>
            </w:r>
          </w:p>
        </w:tc>
        <w:tc>
          <w:tcPr>
            <w:tcW w:w="44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24" w:lineRule="auto"/>
              <w:ind w:left="16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行政单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197" w:lineRule="auto"/>
              <w:ind w:left="370"/>
              <w:rPr>
                <w:rFonts w:ascii="Tahoma" w:hAnsi="Tahoma" w:eastAsia="Tahoma" w:cs="Tahoma"/>
                <w:sz w:val="23"/>
                <w:szCs w:val="23"/>
              </w:rPr>
            </w:pPr>
          </w:p>
        </w:tc>
        <w:tc>
          <w:tcPr>
            <w:tcW w:w="35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33" w:lineRule="exact"/>
              <w:ind w:left="1522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44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9" w:line="224" w:lineRule="auto"/>
              <w:ind w:left="621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</w:tbl>
    <w:p>
      <w:pPr>
        <w:spacing w:before="189" w:line="226" w:lineRule="auto"/>
        <w:ind w:left="4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2"/>
          <w:sz w:val="32"/>
          <w:szCs w:val="32"/>
        </w:rPr>
        <w:t>2023年度主要工作任务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2023年度，我们将以党的二十大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32"/>
          <w:szCs w:val="32"/>
        </w:rPr>
        <w:t>精神为指导，认真学习并领悟习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近平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总书记重要讲话，奋力创先，加快发展，着力做好四个方面工作：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、着力协调各方，财政收入稳步增长。转变观念，改进作风，积极协调税务、市场监管部门，努力培植一批有潜力的税源大户，对重点税源进行跟踪分析，确保税收应收尽收。规范非税收入的收缴和管理，确保非税收入征缴到位，充分发挥非税收入在地方财政收入中的补充作用。实现财政增收，促进经济快速、可持续发展。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、着力以稳促进，提高财政支出效益。硬化预算约束，严格预算管理。严守“三保”底线，大力压缩一般性支出，严格控制“三公经费”增长，进一步提升财政支出效益。推进财政工作精细化管理，突出依法理财，加强财政监督，充分发挥财政职能，提高管理效能。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、着力改善民生，增加人民幸福指数。积极实施民生工程，努力实现争先进位。创新为民服务方式，推动惠民一卡通手机APP查询知晓度，使用率。让群众足不出户即可查询惠民政策，查询一卡通明细。认真落实各项奖补政策，积极引导人民群众广泛参与，切实把民生工程做成民心工程。</w:t>
      </w:r>
    </w:p>
    <w:p>
      <w:pPr>
        <w:tabs>
          <w:tab w:val="left" w:pos="607"/>
        </w:tabs>
        <w:spacing w:before="189" w:line="360" w:lineRule="auto"/>
        <w:ind w:left="44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4、着力壮大村级集体经济收入，推动乡村振兴。认真落实上级乡村振兴相关政策，认真盘活管好用好专项资金，助力村级集体经济发展壮大，推动乡村振兴进一步发展。</w:t>
      </w:r>
    </w:p>
    <w:p>
      <w:pPr>
        <w:sectPr>
          <w:footerReference r:id="rId5" w:type="default"/>
          <w:pgSz w:w="11906" w:h="16839"/>
          <w:pgMar w:top="1431" w:right="1526" w:bottom="1413" w:left="1611" w:header="0" w:footer="1034" w:gutter="0"/>
          <w:cols w:space="720" w:num="1"/>
        </w:sectPr>
      </w:pPr>
    </w:p>
    <w:p>
      <w:pPr>
        <w:spacing w:before="114" w:line="227" w:lineRule="auto"/>
        <w:jc w:val="center"/>
      </w:pPr>
      <w:r>
        <w:rPr>
          <w:rFonts w:ascii="黑体" w:hAnsi="黑体" w:eastAsia="黑体" w:cs="黑体"/>
          <w:spacing w:val="-7"/>
          <w:sz w:val="35"/>
          <w:szCs w:val="35"/>
        </w:rPr>
        <w:t>第</w:t>
      </w:r>
      <w:r>
        <w:rPr>
          <w:rFonts w:ascii="黑体" w:hAnsi="黑体" w:eastAsia="黑体" w:cs="黑体"/>
          <w:spacing w:val="-5"/>
          <w:sz w:val="35"/>
          <w:szCs w:val="35"/>
        </w:rPr>
        <w:t>二部分</w:t>
      </w:r>
      <w:r>
        <w:rPr>
          <w:rFonts w:hint="eastAsia" w:ascii="黑体" w:hAnsi="黑体" w:eastAsia="黑体" w:cs="黑体"/>
          <w:spacing w:val="-5"/>
          <w:sz w:val="35"/>
          <w:szCs w:val="35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5"/>
          <w:szCs w:val="35"/>
        </w:rPr>
        <w:t>2023</w:t>
      </w:r>
      <w:r>
        <w:rPr>
          <w:rFonts w:ascii="黑体" w:hAnsi="黑体" w:eastAsia="黑体" w:cs="黑体"/>
          <w:spacing w:val="-5"/>
          <w:sz w:val="35"/>
          <w:szCs w:val="35"/>
        </w:rPr>
        <w:t>年部门</w:t>
      </w:r>
      <w:r>
        <w:rPr>
          <w:rFonts w:ascii="黑体" w:hAnsi="黑体" w:eastAsia="黑体" w:cs="黑体"/>
          <w:spacing w:val="-5"/>
          <w:sz w:val="35"/>
          <w:szCs w:val="35"/>
          <w:u w:val="single"/>
        </w:rPr>
        <w:t>(单位)</w:t>
      </w:r>
      <w:r>
        <w:rPr>
          <w:rFonts w:ascii="黑体" w:hAnsi="黑体" w:eastAsia="黑体" w:cs="黑体"/>
          <w:spacing w:val="-5"/>
          <w:sz w:val="35"/>
          <w:szCs w:val="35"/>
        </w:rPr>
        <w:t>预算表</w:t>
      </w:r>
    </w:p>
    <w:p>
      <w:pPr>
        <w:spacing w:line="255" w:lineRule="auto"/>
      </w:pPr>
    </w:p>
    <w:p>
      <w:pPr>
        <w:spacing w:before="62" w:line="224" w:lineRule="auto"/>
        <w:ind w:left="6032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部</w:t>
      </w:r>
      <w:r>
        <w:rPr>
          <w:rFonts w:ascii="仿宋" w:hAnsi="仿宋" w:eastAsia="仿宋" w:cs="仿宋"/>
          <w:sz w:val="19"/>
          <w:szCs w:val="19"/>
        </w:rPr>
        <w:t>门</w:t>
      </w:r>
      <w:r>
        <w:rPr>
          <w:rFonts w:ascii="仿宋" w:hAnsi="仿宋" w:eastAsia="仿宋" w:cs="仿宋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1</w:t>
      </w:r>
    </w:p>
    <w:p>
      <w:pPr>
        <w:spacing w:line="343" w:lineRule="auto"/>
      </w:pPr>
    </w:p>
    <w:p>
      <w:pPr>
        <w:spacing w:before="115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5"/>
          <w:position w:val="5"/>
          <w:sz w:val="31"/>
          <w:szCs w:val="31"/>
        </w:rPr>
        <w:t>2023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年收支总表</w:t>
      </w:r>
    </w:p>
    <w:p>
      <w:pPr>
        <w:spacing w:before="61" w:line="224" w:lineRule="auto"/>
        <w:ind w:right="38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50" w:lineRule="exact"/>
      </w:pPr>
    </w:p>
    <w:tbl>
      <w:tblPr>
        <w:tblStyle w:val="8"/>
        <w:tblW w:w="8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030"/>
        <w:gridCol w:w="3285"/>
        <w:gridCol w:w="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566" w:type="dxa"/>
            <w:gridSpan w:val="2"/>
          </w:tcPr>
          <w:p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173" w:type="dxa"/>
            <w:gridSpan w:val="2"/>
          </w:tcPr>
          <w:p>
            <w:pPr>
              <w:spacing w:before="282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1030" w:type="dxa"/>
          </w:tcPr>
          <w:p>
            <w:pPr>
              <w:spacing w:before="279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285" w:type="dxa"/>
          </w:tcPr>
          <w:p>
            <w:pPr>
              <w:spacing w:before="279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888" w:type="dxa"/>
          </w:tcPr>
          <w:p>
            <w:pPr>
              <w:spacing w:before="279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536" w:type="dxa"/>
          </w:tcPr>
          <w:p>
            <w:pPr>
              <w:spacing w:before="278" w:line="286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般公共预算拨款收入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3285" w:type="dxa"/>
          </w:tcPr>
          <w:p>
            <w:pPr>
              <w:spacing w:before="278" w:line="286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一般公共服务支出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/>
              </w:rPr>
              <w:t>526.63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536" w:type="dxa"/>
          </w:tcPr>
          <w:p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/>
              </w:rPr>
              <w:t>672.42</w:t>
            </w:r>
          </w:p>
        </w:tc>
        <w:tc>
          <w:tcPr>
            <w:tcW w:w="3285" w:type="dxa"/>
          </w:tcPr>
          <w:p>
            <w:pPr>
              <w:spacing w:before="280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二、外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交支出</w:t>
            </w:r>
          </w:p>
        </w:tc>
        <w:tc>
          <w:tcPr>
            <w:tcW w:w="888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国库管理非税收入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/>
              </w:rPr>
              <w:t>8.00</w:t>
            </w:r>
          </w:p>
        </w:tc>
        <w:tc>
          <w:tcPr>
            <w:tcW w:w="3285" w:type="dxa"/>
          </w:tcPr>
          <w:p>
            <w:pPr>
              <w:spacing w:before="280" w:line="253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三、国防支出</w:t>
            </w:r>
          </w:p>
        </w:tc>
        <w:tc>
          <w:tcPr>
            <w:tcW w:w="888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2" w:line="266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二、政府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性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基金预算拨款收入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2" w:line="238" w:lineRule="auto"/>
              <w:ind w:left="1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四、公</w:t>
            </w:r>
            <w:r>
              <w:rPr>
                <w:rFonts w:ascii="仿宋" w:hAnsi="仿宋" w:eastAsia="仿宋" w:cs="仿宋"/>
                <w:sz w:val="19"/>
                <w:szCs w:val="19"/>
              </w:rPr>
              <w:t>共安全支出</w:t>
            </w:r>
          </w:p>
        </w:tc>
        <w:tc>
          <w:tcPr>
            <w:tcW w:w="888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1" w:line="258" w:lineRule="exact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、教育支出</w:t>
            </w:r>
          </w:p>
        </w:tc>
        <w:tc>
          <w:tcPr>
            <w:tcW w:w="888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/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2" w:line="235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、科学技术支出</w:t>
            </w:r>
          </w:p>
        </w:tc>
        <w:tc>
          <w:tcPr>
            <w:tcW w:w="888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1" w:line="253" w:lineRule="exact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三、国有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资本经营预算拨款收入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2" w:line="237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、文化旅游体育与传媒支出</w:t>
            </w:r>
          </w:p>
        </w:tc>
        <w:tc>
          <w:tcPr>
            <w:tcW w:w="888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3" w:line="222" w:lineRule="auto"/>
              <w:ind w:left="7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2" w:line="237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八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、社会保障和就业支出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/>
              </w:rPr>
              <w:t>76.43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/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1" w:line="228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九、卫生健康支出</w:t>
            </w:r>
          </w:p>
        </w:tc>
        <w:tc>
          <w:tcPr>
            <w:tcW w:w="888" w:type="dxa"/>
            <w:vAlign w:val="center"/>
          </w:tcPr>
          <w:p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21.24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2" w:line="238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四、财政专户管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理资金收入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、节能环保支出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536" w:type="dxa"/>
          </w:tcPr>
          <w:p/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1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城乡社区支出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3" w:line="258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五、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单位资金收入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二、农林水支出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2" w:line="226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：事业收入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十三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交通运输支出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36" w:type="dxa"/>
          </w:tcPr>
          <w:p>
            <w:pPr>
              <w:spacing w:before="284" w:line="224" w:lineRule="auto"/>
              <w:ind w:left="14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事业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位经营收入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十四、资源勘探工业信息等支出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536" w:type="dxa"/>
          </w:tcPr>
          <w:p>
            <w:pPr>
              <w:spacing w:before="282" w:line="225" w:lineRule="auto"/>
              <w:ind w:left="14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上级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补助收入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3285" w:type="dxa"/>
          </w:tcPr>
          <w:p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十五、商业服务业等支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</w:tbl>
    <w:p>
      <w:pPr>
        <w:sectPr>
          <w:footerReference r:id="rId6" w:type="default"/>
          <w:pgSz w:w="11906" w:h="16839"/>
          <w:pgMar w:top="1431" w:right="1785" w:bottom="400" w:left="1475" w:header="0" w:footer="0" w:gutter="0"/>
          <w:cols w:space="720" w:num="1"/>
        </w:sectPr>
      </w:pPr>
    </w:p>
    <w:p/>
    <w:p/>
    <w:p>
      <w:pPr>
        <w:spacing w:line="239" w:lineRule="exact"/>
      </w:pPr>
    </w:p>
    <w:tbl>
      <w:tblPr>
        <w:tblStyle w:val="8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3"/>
        <w:gridCol w:w="1058"/>
        <w:gridCol w:w="3375"/>
        <w:gridCol w:w="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691" w:type="dxa"/>
            <w:gridSpan w:val="2"/>
          </w:tcPr>
          <w:p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288" w:type="dxa"/>
            <w:gridSpan w:val="2"/>
          </w:tcPr>
          <w:p>
            <w:pPr>
              <w:spacing w:before="283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33" w:type="dxa"/>
          </w:tcPr>
          <w:p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1058" w:type="dxa"/>
          </w:tcPr>
          <w:p>
            <w:pPr>
              <w:spacing w:before="280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375" w:type="dxa"/>
          </w:tcPr>
          <w:p>
            <w:pPr>
              <w:spacing w:before="280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913" w:type="dxa"/>
          </w:tcPr>
          <w:p>
            <w:pPr>
              <w:spacing w:before="280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33" w:type="dxa"/>
          </w:tcPr>
          <w:p>
            <w:pPr>
              <w:spacing w:before="280" w:line="224" w:lineRule="auto"/>
              <w:ind w:left="14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附属单位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上缴收入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79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六、金融支出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33" w:type="dxa"/>
          </w:tcPr>
          <w:p>
            <w:pPr>
              <w:spacing w:before="282" w:line="225" w:lineRule="auto"/>
              <w:ind w:left="14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其他收入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十七、援助其他地区支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2" w:line="224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十八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自然资源海洋气象等支出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十九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住房保障支出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/>
              </w:rPr>
              <w:t>56.13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油物资储备支出</w:t>
            </w:r>
          </w:p>
        </w:tc>
        <w:tc>
          <w:tcPr>
            <w:tcW w:w="913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二十一、灾害防治及应急管理支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二十二、预备费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二十三、其他支出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十四、转移性支出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、债务还本支出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、债务付息支出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/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债务发行费用支出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>
            <w:pPr>
              <w:spacing w:before="281" w:line="226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收入小计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1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支出小计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>
            <w:pPr>
              <w:spacing w:before="283" w:line="222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年结转数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2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结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转下年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>
            <w:pPr>
              <w:spacing w:before="282" w:line="225" w:lineRule="auto"/>
              <w:ind w:left="5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2" w:line="225" w:lineRule="auto"/>
              <w:ind w:left="5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>
            <w:pPr>
              <w:spacing w:before="282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2" w:line="224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33" w:type="dxa"/>
          </w:tcPr>
          <w:p>
            <w:pPr>
              <w:spacing w:before="282" w:line="225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2" w:line="225" w:lineRule="auto"/>
              <w:ind w:left="5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>
            <w:pPr>
              <w:spacing w:before="283" w:line="227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7" w:lineRule="auto"/>
              <w:ind w:left="5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3" w:type="dxa"/>
          </w:tcPr>
          <w:p>
            <w:pPr>
              <w:spacing w:before="283" w:line="224" w:lineRule="auto"/>
              <w:ind w:left="5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</w:p>
        </w:tc>
        <w:tc>
          <w:tcPr>
            <w:tcW w:w="3375" w:type="dxa"/>
          </w:tcPr>
          <w:p>
            <w:pPr>
              <w:spacing w:before="283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33" w:type="dxa"/>
          </w:tcPr>
          <w:p>
            <w:pPr>
              <w:spacing w:before="284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入总计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3375" w:type="dxa"/>
          </w:tcPr>
          <w:p>
            <w:pPr>
              <w:spacing w:before="284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</w:tr>
    </w:tbl>
    <w:p/>
    <w:p>
      <w:pPr>
        <w:sectPr>
          <w:footerReference r:id="rId7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>
      <w:pPr>
        <w:spacing w:before="62" w:line="224" w:lineRule="auto"/>
        <w:ind w:right="151" w:firstLine="11716" w:firstLineChars="5800"/>
        <w:jc w:val="both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部门</w:t>
      </w:r>
      <w:r>
        <w:rPr>
          <w:rFonts w:ascii="仿宋" w:hAnsi="仿宋" w:eastAsia="仿宋" w:cs="仿宋"/>
          <w:spacing w:val="3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3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2</w:t>
      </w:r>
    </w:p>
    <w:p>
      <w:pPr>
        <w:spacing w:before="33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2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2"/>
          <w:position w:val="5"/>
          <w:sz w:val="31"/>
          <w:szCs w:val="31"/>
        </w:rPr>
        <w:t>2023</w:t>
      </w:r>
      <w:r>
        <w:rPr>
          <w:rFonts w:ascii="华文中宋" w:hAnsi="华文中宋" w:eastAsia="华文中宋" w:cs="华文中宋"/>
          <w:spacing w:val="2"/>
          <w:position w:val="5"/>
          <w:sz w:val="31"/>
          <w:szCs w:val="31"/>
        </w:rPr>
        <w:t>年收入总</w:t>
      </w:r>
      <w:r>
        <w:rPr>
          <w:rFonts w:ascii="华文中宋" w:hAnsi="华文中宋" w:eastAsia="华文中宋" w:cs="华文中宋"/>
          <w:spacing w:val="1"/>
          <w:position w:val="5"/>
          <w:sz w:val="31"/>
          <w:szCs w:val="31"/>
        </w:rPr>
        <w:t>表</w:t>
      </w:r>
    </w:p>
    <w:p>
      <w:pPr>
        <w:spacing w:line="315" w:lineRule="auto"/>
      </w:pPr>
    </w:p>
    <w:p>
      <w:pPr>
        <w:spacing w:before="62" w:line="224" w:lineRule="auto"/>
        <w:ind w:right="157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单位：</w:t>
      </w:r>
      <w:r>
        <w:rPr>
          <w:rFonts w:ascii="仿宋" w:hAnsi="仿宋" w:eastAsia="仿宋" w:cs="仿宋"/>
          <w:sz w:val="19"/>
          <w:szCs w:val="19"/>
        </w:rPr>
        <w:t>万元</w:t>
      </w:r>
    </w:p>
    <w:p>
      <w:pPr>
        <w:spacing w:line="50" w:lineRule="exact"/>
      </w:pPr>
    </w:p>
    <w:tbl>
      <w:tblPr>
        <w:tblStyle w:val="8"/>
        <w:tblW w:w="14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944"/>
        <w:gridCol w:w="756"/>
        <w:gridCol w:w="708"/>
        <w:gridCol w:w="612"/>
        <w:gridCol w:w="624"/>
        <w:gridCol w:w="660"/>
        <w:gridCol w:w="552"/>
        <w:gridCol w:w="648"/>
        <w:gridCol w:w="684"/>
        <w:gridCol w:w="606"/>
        <w:gridCol w:w="703"/>
        <w:gridCol w:w="810"/>
        <w:gridCol w:w="766"/>
        <w:gridCol w:w="754"/>
        <w:gridCol w:w="736"/>
        <w:gridCol w:w="683"/>
        <w:gridCol w:w="683"/>
        <w:gridCol w:w="6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9" w:type="dxa"/>
            <w:vMerge w:val="restart"/>
            <w:tcBorders>
              <w:bottom w:val="nil"/>
            </w:tcBorders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62" w:line="224" w:lineRule="auto"/>
              <w:ind w:left="2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门(单位)名称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83" w:line="212" w:lineRule="auto"/>
              <w:ind w:left="14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计</w:t>
            </w:r>
          </w:p>
        </w:tc>
        <w:tc>
          <w:tcPr>
            <w:tcW w:w="7363" w:type="dxa"/>
            <w:gridSpan w:val="11"/>
          </w:tcPr>
          <w:p>
            <w:pPr>
              <w:spacing w:before="284" w:line="226" w:lineRule="auto"/>
              <w:ind w:left="32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本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年收入</w:t>
            </w:r>
          </w:p>
        </w:tc>
        <w:tc>
          <w:tcPr>
            <w:tcW w:w="4312" w:type="dxa"/>
            <w:gridSpan w:val="6"/>
          </w:tcPr>
          <w:p>
            <w:pPr>
              <w:spacing w:before="285" w:line="222" w:lineRule="auto"/>
              <w:ind w:left="1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7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4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44" w:line="213" w:lineRule="auto"/>
              <w:ind w:left="11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小计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一般公共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12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管理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资金</w:t>
            </w:r>
          </w:p>
        </w:tc>
        <w:tc>
          <w:tcPr>
            <w:tcW w:w="4003" w:type="dxa"/>
            <w:gridSpan w:val="6"/>
          </w:tcPr>
          <w:p>
            <w:pPr>
              <w:spacing w:before="280" w:line="224" w:lineRule="auto"/>
              <w:ind w:left="16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766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61" w:line="226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公共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73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683" w:type="dxa"/>
            <w:vMerge w:val="restart"/>
            <w:tcBorders>
              <w:bottom w:val="nil"/>
            </w:tcBorders>
          </w:tcPr>
          <w:p>
            <w:pPr>
              <w:spacing w:line="249" w:lineRule="auto"/>
              <w:jc w:val="both"/>
            </w:pPr>
          </w:p>
          <w:p>
            <w:pPr>
              <w:spacing w:line="262" w:lineRule="auto"/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3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专户管理资金</w:t>
            </w:r>
          </w:p>
        </w:tc>
        <w:tc>
          <w:tcPr>
            <w:tcW w:w="690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61" w:line="560" w:lineRule="exact"/>
              <w:ind w:left="189" w:leftChars="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479" w:type="dxa"/>
            <w:vMerge w:val="continue"/>
            <w:tcBorders>
              <w:top w:val="nil"/>
            </w:tcBorders>
          </w:tcPr>
          <w:p/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56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08" w:type="dxa"/>
            <w:vMerge w:val="continue"/>
            <w:tcBorders>
              <w:top w:val="nil"/>
            </w:tcBorders>
          </w:tcPr>
          <w:p/>
        </w:tc>
        <w:tc>
          <w:tcPr>
            <w:tcW w:w="612" w:type="dxa"/>
            <w:vMerge w:val="continue"/>
            <w:tcBorders>
              <w:top w:val="nil"/>
            </w:tcBorders>
          </w:tcPr>
          <w:p/>
        </w:tc>
        <w:tc>
          <w:tcPr>
            <w:tcW w:w="624" w:type="dxa"/>
            <w:vMerge w:val="continue"/>
            <w:tcBorders>
              <w:top w:val="nil"/>
            </w:tcBorders>
          </w:tcPr>
          <w:p/>
        </w:tc>
        <w:tc>
          <w:tcPr>
            <w:tcW w:w="660" w:type="dxa"/>
            <w:vMerge w:val="continue"/>
            <w:tcBorders>
              <w:top w:val="nil"/>
            </w:tcBorders>
          </w:tcPr>
          <w:p/>
        </w:tc>
        <w:tc>
          <w:tcPr>
            <w:tcW w:w="55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62" w:line="226" w:lineRule="auto"/>
              <w:ind w:firstLine="202" w:firstLineChars="100"/>
              <w:rPr>
                <w:rFonts w:ascii="仿宋" w:hAnsi="仿宋" w:eastAsia="仿宋" w:cs="仿宋"/>
                <w:spacing w:val="6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</w:p>
          <w:p>
            <w:pPr>
              <w:spacing w:before="62" w:line="226" w:lineRule="auto"/>
              <w:ind w:firstLine="200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648" w:type="dxa"/>
          </w:tcPr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84" w:type="dxa"/>
          </w:tcPr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06" w:type="dxa"/>
          </w:tcPr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上级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补助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03" w:type="dxa"/>
          </w:tcPr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附属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上缴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810" w:type="dxa"/>
          </w:tcPr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其他</w:t>
            </w:r>
          </w:p>
          <w:p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/>
        </w:tc>
        <w:tc>
          <w:tcPr>
            <w:tcW w:w="754" w:type="dxa"/>
            <w:vMerge w:val="continue"/>
            <w:tcBorders>
              <w:top w:val="nil"/>
            </w:tcBorders>
          </w:tcPr>
          <w:p/>
        </w:tc>
        <w:tc>
          <w:tcPr>
            <w:tcW w:w="736" w:type="dxa"/>
            <w:vMerge w:val="continue"/>
            <w:tcBorders>
              <w:top w:val="nil"/>
            </w:tcBorders>
          </w:tcPr>
          <w:p/>
        </w:tc>
        <w:tc>
          <w:tcPr>
            <w:tcW w:w="683" w:type="dxa"/>
            <w:vMerge w:val="continue"/>
            <w:tcBorders>
              <w:top w:val="nil"/>
            </w:tcBorders>
          </w:tcPr>
          <w:p/>
        </w:tc>
        <w:tc>
          <w:tcPr>
            <w:tcW w:w="683" w:type="dxa"/>
            <w:vMerge w:val="continue"/>
            <w:tcBorders>
              <w:top w:val="nil"/>
            </w:tcBorders>
          </w:tcPr>
          <w:p/>
        </w:tc>
        <w:tc>
          <w:tcPr>
            <w:tcW w:w="69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79" w:type="dxa"/>
          </w:tcPr>
          <w:p>
            <w:pPr>
              <w:spacing w:before="282" w:line="225" w:lineRule="auto"/>
              <w:ind w:left="108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default" w:ascii="Arial" w:hAnsi="Arial" w:eastAsia="宋体" w:cs="Arial"/>
                <w:sz w:val="19"/>
                <w:szCs w:val="19"/>
                <w:lang w:eastAsia="zh-CN"/>
              </w:rPr>
              <w:t>向阳镇人民政府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552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79" w:type="dxa"/>
          </w:tcPr>
          <w:p>
            <w:pPr>
              <w:spacing w:before="283" w:line="225" w:lineRule="auto"/>
              <w:ind w:left="108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552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79" w:type="dxa"/>
          </w:tcPr>
          <w:p>
            <w:pPr>
              <w:spacing w:before="283" w:line="224" w:lineRule="auto"/>
              <w:ind w:left="108"/>
              <w:rPr>
                <w:rFonts w:ascii="Tahoma" w:hAnsi="Tahoma" w:eastAsia="Tahoma" w:cs="Tahoma"/>
                <w:sz w:val="19"/>
                <w:szCs w:val="19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552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79" w:type="dxa"/>
          </w:tcPr>
          <w:p>
            <w:pPr>
              <w:spacing w:before="284" w:line="224" w:lineRule="auto"/>
              <w:ind w:left="108"/>
              <w:rPr>
                <w:rFonts w:ascii="Tahoma" w:hAnsi="Tahoma" w:eastAsia="Tahoma" w:cs="Tahoma"/>
                <w:sz w:val="19"/>
                <w:szCs w:val="19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552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79" w:type="dxa"/>
          </w:tcPr>
          <w:p>
            <w:pPr>
              <w:spacing w:line="360" w:lineRule="auto"/>
            </w:pPr>
          </w:p>
          <w:p>
            <w:pPr>
              <w:spacing w:before="67" w:line="70" w:lineRule="exact"/>
              <w:ind w:left="325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23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552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703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</w:p>
        </w:tc>
        <w:tc>
          <w:tcPr>
            <w:tcW w:w="766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</w:tr>
    </w:tbl>
    <w:p/>
    <w:p>
      <w:pPr>
        <w:sectPr>
          <w:footerReference r:id="rId8" w:type="default"/>
          <w:pgSz w:w="16839" w:h="11906"/>
          <w:pgMar w:top="1012" w:right="1481" w:bottom="1271" w:left="1327" w:header="0" w:footer="892" w:gutter="0"/>
          <w:cols w:space="720" w:num="1"/>
        </w:sectPr>
      </w:pPr>
    </w:p>
    <w:p>
      <w:pPr>
        <w:spacing w:before="61" w:line="224" w:lineRule="auto"/>
        <w:ind w:right="33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3</w:t>
      </w:r>
    </w:p>
    <w:p>
      <w:pPr>
        <w:spacing w:line="346" w:lineRule="auto"/>
      </w:pPr>
    </w:p>
    <w:p>
      <w:pPr>
        <w:spacing w:before="114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5"/>
          <w:position w:val="5"/>
          <w:sz w:val="31"/>
          <w:szCs w:val="31"/>
        </w:rPr>
        <w:t>2023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年支出总表</w:t>
      </w:r>
    </w:p>
    <w:p>
      <w:pPr>
        <w:spacing w:before="62" w:line="224" w:lineRule="auto"/>
        <w:ind w:right="3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51" w:lineRule="exact"/>
      </w:pPr>
    </w:p>
    <w:tbl>
      <w:tblPr>
        <w:tblStyle w:val="8"/>
        <w:tblW w:w="89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2896"/>
        <w:gridCol w:w="782"/>
        <w:gridCol w:w="762"/>
        <w:gridCol w:w="742"/>
        <w:gridCol w:w="921"/>
        <w:gridCol w:w="871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060" w:type="dxa"/>
          </w:tcPr>
          <w:p>
            <w:pPr>
              <w:spacing w:line="469" w:lineRule="auto"/>
            </w:pPr>
          </w:p>
          <w:p>
            <w:pPr>
              <w:spacing w:before="71" w:line="562" w:lineRule="exact"/>
              <w:ind w:left="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>
            <w:pPr>
              <w:spacing w:line="219" w:lineRule="auto"/>
              <w:ind w:left="3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9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2" w:line="217" w:lineRule="auto"/>
              <w:ind w:left="10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782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72" w:line="218" w:lineRule="auto"/>
              <w:ind w:left="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762" w:type="dxa"/>
          </w:tcPr>
          <w:p>
            <w:pPr>
              <w:spacing w:line="469" w:lineRule="auto"/>
            </w:pPr>
          </w:p>
          <w:p>
            <w:pPr>
              <w:spacing w:before="71" w:line="562" w:lineRule="exact"/>
              <w:ind w:left="1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2"/>
                <w:position w:val="26"/>
                <w:sz w:val="22"/>
                <w:szCs w:val="22"/>
              </w:rPr>
              <w:t>本</w:t>
            </w:r>
          </w:p>
          <w:p>
            <w:pPr>
              <w:spacing w:line="219" w:lineRule="auto"/>
              <w:ind w:left="1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742" w:type="dxa"/>
          </w:tcPr>
          <w:p>
            <w:pPr>
              <w:spacing w:line="469" w:lineRule="auto"/>
            </w:pPr>
          </w:p>
          <w:p>
            <w:pPr>
              <w:spacing w:before="71" w:line="562" w:lineRule="exact"/>
              <w:ind w:left="1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position w:val="26"/>
                <w:sz w:val="22"/>
                <w:szCs w:val="22"/>
              </w:rPr>
              <w:t>目</w:t>
            </w:r>
          </w:p>
          <w:p>
            <w:pPr>
              <w:spacing w:line="219" w:lineRule="auto"/>
              <w:ind w:left="1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921" w:type="dxa"/>
          </w:tcPr>
          <w:p>
            <w:pPr>
              <w:spacing w:before="264" w:line="217" w:lineRule="auto"/>
              <w:ind w:left="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事业单</w:t>
            </w:r>
          </w:p>
          <w:p>
            <w:pPr>
              <w:spacing w:before="301" w:line="217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经营</w:t>
            </w:r>
          </w:p>
          <w:p>
            <w:pPr>
              <w:spacing w:before="300" w:line="219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871" w:type="dxa"/>
          </w:tcPr>
          <w:p>
            <w:pPr>
              <w:spacing w:line="470" w:lineRule="auto"/>
            </w:pPr>
          </w:p>
          <w:p>
            <w:pPr>
              <w:spacing w:before="71" w:line="474" w:lineRule="auto"/>
              <w:ind w:left="128" w:right="102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缴上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支出</w:t>
            </w:r>
          </w:p>
        </w:tc>
        <w:tc>
          <w:tcPr>
            <w:tcW w:w="923" w:type="dxa"/>
          </w:tcPr>
          <w:p>
            <w:pPr>
              <w:spacing w:before="266" w:line="469" w:lineRule="auto"/>
              <w:ind w:left="147" w:righ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附属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位补</w:t>
            </w:r>
          </w:p>
          <w:p>
            <w:pPr>
              <w:spacing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助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526.63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518.63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526.63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518.63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446.18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438.18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80.45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50.95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25.48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11.77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11.77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3.68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41.22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56" w:type="dxa"/>
            <w:gridSpan w:val="2"/>
          </w:tcPr>
          <w:p>
            <w:pPr>
              <w:spacing w:before="263" w:line="218" w:lineRule="auto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672.42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8.00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871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vAlign w:val="center"/>
          </w:tcPr>
          <w:p>
            <w:pPr>
              <w:jc w:val="center"/>
            </w:pPr>
          </w:p>
        </w:tc>
      </w:tr>
    </w:tbl>
    <w:p/>
    <w:p>
      <w:pPr>
        <w:sectPr>
          <w:footerReference r:id="rId9" w:type="default"/>
          <w:pgSz w:w="11906" w:h="16839"/>
          <w:pgMar w:top="1431" w:right="1490" w:bottom="1413" w:left="1475" w:header="0" w:footer="1034" w:gutter="0"/>
          <w:cols w:space="720" w:num="1"/>
        </w:sectPr>
      </w:pPr>
    </w:p>
    <w:p>
      <w:pPr>
        <w:spacing w:before="61" w:line="224" w:lineRule="auto"/>
        <w:ind w:right="33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4</w:t>
      </w:r>
    </w:p>
    <w:p>
      <w:pPr>
        <w:spacing w:before="306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29"/>
          <w:szCs w:val="29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2023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年财政拨款收支总表</w:t>
      </w:r>
    </w:p>
    <w:p>
      <w:pPr>
        <w:spacing w:line="254" w:lineRule="auto"/>
      </w:pPr>
    </w:p>
    <w:p>
      <w:pPr>
        <w:spacing w:before="61" w:line="224" w:lineRule="auto"/>
        <w:ind w:left="671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106" w:lineRule="auto"/>
        <w:rPr>
          <w:sz w:val="2"/>
        </w:rPr>
      </w:pPr>
    </w:p>
    <w:tbl>
      <w:tblPr>
        <w:tblStyle w:val="8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1118"/>
        <w:gridCol w:w="3663"/>
        <w:gridCol w:w="12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994" w:type="dxa"/>
            <w:gridSpan w:val="2"/>
          </w:tcPr>
          <w:p>
            <w:pPr>
              <w:spacing w:before="283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905" w:type="dxa"/>
            <w:gridSpan w:val="2"/>
          </w:tcPr>
          <w:p>
            <w:pPr>
              <w:spacing w:before="284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>
            <w:pPr>
              <w:spacing w:before="279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18" w:type="dxa"/>
          </w:tcPr>
          <w:p>
            <w:pPr>
              <w:spacing w:before="279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663" w:type="dxa"/>
          </w:tcPr>
          <w:p>
            <w:pPr>
              <w:spacing w:before="279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42" w:type="dxa"/>
          </w:tcPr>
          <w:p>
            <w:pPr>
              <w:spacing w:before="279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>
            <w:pPr>
              <w:spacing w:before="281" w:line="283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本年收入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680.42</w:t>
            </w:r>
          </w:p>
        </w:tc>
        <w:tc>
          <w:tcPr>
            <w:tcW w:w="3663" w:type="dxa"/>
          </w:tcPr>
          <w:p>
            <w:pPr>
              <w:spacing w:before="281" w:line="283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本年支出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6" w:type="dxa"/>
          </w:tcPr>
          <w:p>
            <w:pPr>
              <w:spacing w:before="281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680.42</w:t>
            </w:r>
          </w:p>
        </w:tc>
        <w:tc>
          <w:tcPr>
            <w:tcW w:w="3663" w:type="dxa"/>
          </w:tcPr>
          <w:p>
            <w:pPr>
              <w:spacing w:before="280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)一般公共服务支出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>
            <w:pPr>
              <w:spacing w:before="282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二)外交支出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>
            <w:pPr>
              <w:spacing w:before="282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三)国防支出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3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四)公共安全支出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>
            <w:pPr>
              <w:spacing w:before="282" w:line="265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二、上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年结转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五)教育支出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(六)科学技术支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>
            <w:pPr>
              <w:spacing w:before="281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(七)文化旅游体育与传媒支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(八)社会保障和就业支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(九)卫生健康支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3663" w:type="dxa"/>
          </w:tcPr>
          <w:p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(十)节能环保支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3663" w:type="dxa"/>
          </w:tcPr>
          <w:p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十一)城乡社区支出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3663" w:type="dxa"/>
          </w:tcPr>
          <w:p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(十二)农林水支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3663" w:type="dxa"/>
          </w:tcPr>
          <w:p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十三)交通运输支出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3663" w:type="dxa"/>
          </w:tcPr>
          <w:p>
            <w:pPr>
              <w:spacing w:before="284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十四)资源勘探工业信息等支出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3663" w:type="dxa"/>
          </w:tcPr>
          <w:p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(十五)商业服务业等支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876" w:type="dxa"/>
          </w:tcPr>
          <w:p/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3663" w:type="dxa"/>
          </w:tcPr>
          <w:p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(十六)金融支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</w:p>
        </w:tc>
      </w:tr>
    </w:tbl>
    <w:p/>
    <w:p>
      <w:pPr>
        <w:sectPr>
          <w:footerReference r:id="rId10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/>
    <w:p/>
    <w:p>
      <w:pPr>
        <w:spacing w:line="239" w:lineRule="exact"/>
      </w:pPr>
    </w:p>
    <w:tbl>
      <w:tblPr>
        <w:tblStyle w:val="8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4"/>
        <w:gridCol w:w="1134"/>
        <w:gridCol w:w="3712"/>
        <w:gridCol w:w="12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048" w:type="dxa"/>
            <w:gridSpan w:val="2"/>
          </w:tcPr>
          <w:p>
            <w:pPr>
              <w:spacing w:before="282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971" w:type="dxa"/>
            <w:gridSpan w:val="2"/>
          </w:tcPr>
          <w:p>
            <w:pPr>
              <w:spacing w:before="283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914" w:type="dxa"/>
          </w:tcPr>
          <w:p>
            <w:pPr>
              <w:spacing w:before="280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34" w:type="dxa"/>
          </w:tcPr>
          <w:p>
            <w:pPr>
              <w:spacing w:before="280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712" w:type="dxa"/>
          </w:tcPr>
          <w:p>
            <w:pPr>
              <w:spacing w:before="280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59" w:type="dxa"/>
          </w:tcPr>
          <w:p>
            <w:pPr>
              <w:spacing w:before="280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0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(十七)援助其他地区支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十八)自然资源海洋气象等支出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十九)住房保障支出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(二十)粮油物资储备支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十一)灾害防治及应急管理支出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(二十二)预备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3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(二十三)其他支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二十四)转移性支出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二十五)债务还本支出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4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二十六)债务付息支出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二十七)债务发行费用支出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4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二、年终结转结余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(一)一般公共预算结转结</w:t>
            </w:r>
            <w:r>
              <w:rPr>
                <w:rFonts w:ascii="仿宋" w:hAnsi="仿宋" w:eastAsia="仿宋" w:cs="仿宋"/>
                <w:sz w:val="19"/>
                <w:szCs w:val="19"/>
              </w:rPr>
              <w:t>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)政府性基金预算结转结余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三)国有资本经营预算结转结余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14" w:type="dxa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712" w:type="dxa"/>
          </w:tcPr>
          <w:p/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14" w:type="dxa"/>
          </w:tcPr>
          <w:p>
            <w:pPr>
              <w:spacing w:before="282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3712" w:type="dxa"/>
          </w:tcPr>
          <w:p>
            <w:pPr>
              <w:spacing w:before="282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</w:tr>
    </w:tbl>
    <w:p/>
    <w:p>
      <w:pPr>
        <w:sectPr>
          <w:footerReference r:id="rId11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>
      <w:pPr>
        <w:spacing w:before="62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5</w:t>
      </w:r>
    </w:p>
    <w:p>
      <w:pPr>
        <w:spacing w:before="33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29"/>
          <w:szCs w:val="29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2023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年一般公共预算支出表</w:t>
      </w:r>
    </w:p>
    <w:p>
      <w:pPr>
        <w:spacing w:line="273" w:lineRule="auto"/>
      </w:pPr>
    </w:p>
    <w:p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15" w:lineRule="exact"/>
      </w:pPr>
    </w:p>
    <w:tbl>
      <w:tblPr>
        <w:tblStyle w:val="8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2833"/>
        <w:gridCol w:w="840"/>
        <w:gridCol w:w="830"/>
        <w:gridCol w:w="1129"/>
        <w:gridCol w:w="1099"/>
        <w:gridCol w:w="1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93" w:type="dxa"/>
            <w:vMerge w:val="restart"/>
            <w:tcBorders>
              <w:bottom w:val="nil"/>
            </w:tcBorders>
          </w:tcPr>
          <w:p>
            <w:pPr>
              <w:spacing w:before="270" w:line="559" w:lineRule="exact"/>
              <w:ind w:left="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>
            <w:pPr>
              <w:spacing w:line="219" w:lineRule="auto"/>
              <w:ind w:left="3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>
            <w:pPr>
              <w:spacing w:line="476" w:lineRule="auto"/>
            </w:pPr>
          </w:p>
          <w:p>
            <w:pPr>
              <w:spacing w:before="71" w:line="217" w:lineRule="auto"/>
              <w:ind w:left="9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>
            <w:pPr>
              <w:spacing w:line="476" w:lineRule="auto"/>
            </w:pPr>
          </w:p>
          <w:p>
            <w:pPr>
              <w:spacing w:before="72" w:line="218" w:lineRule="auto"/>
              <w:ind w:left="2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3058" w:type="dxa"/>
            <w:gridSpan w:val="3"/>
          </w:tcPr>
          <w:p>
            <w:pPr>
              <w:spacing w:before="265" w:line="218" w:lineRule="auto"/>
              <w:ind w:left="11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105" w:type="dxa"/>
            <w:vMerge w:val="restart"/>
            <w:tcBorders>
              <w:bottom w:val="nil"/>
            </w:tcBorders>
          </w:tcPr>
          <w:p>
            <w:pPr>
              <w:spacing w:line="477" w:lineRule="auto"/>
            </w:pPr>
          </w:p>
          <w:p>
            <w:pPr>
              <w:spacing w:before="71" w:line="219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Merge w:val="continue"/>
            <w:tcBorders>
              <w:top w:val="nil"/>
            </w:tcBorders>
          </w:tcPr>
          <w:p/>
        </w:tc>
        <w:tc>
          <w:tcPr>
            <w:tcW w:w="2833" w:type="dxa"/>
            <w:vMerge w:val="continue"/>
            <w:tcBorders>
              <w:top w:val="nil"/>
            </w:tcBorders>
          </w:tcPr>
          <w:p/>
        </w:tc>
        <w:tc>
          <w:tcPr>
            <w:tcW w:w="840" w:type="dxa"/>
            <w:vMerge w:val="continue"/>
            <w:tcBorders>
              <w:top w:val="nil"/>
            </w:tcBorders>
          </w:tcPr>
          <w:p/>
        </w:tc>
        <w:tc>
          <w:tcPr>
            <w:tcW w:w="830" w:type="dxa"/>
          </w:tcPr>
          <w:p>
            <w:pPr>
              <w:spacing w:before="260" w:line="218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计</w:t>
            </w:r>
          </w:p>
        </w:tc>
        <w:tc>
          <w:tcPr>
            <w:tcW w:w="1129" w:type="dxa"/>
          </w:tcPr>
          <w:p>
            <w:pPr>
              <w:spacing w:before="260" w:line="219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099" w:type="dxa"/>
          </w:tcPr>
          <w:p>
            <w:pPr>
              <w:spacing w:before="260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  <w:tc>
          <w:tcPr>
            <w:tcW w:w="1105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526.63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518.63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415.64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102.99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20103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526.63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518.63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415.64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102.99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2010301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446.18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438.18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354.18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2010350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80.45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61.46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2080505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50.95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50.95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2080506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25.48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25.48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21.24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11.77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11.77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2101103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3.68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3.68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2101199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2210201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41.22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41.22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2210202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14.90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926" w:type="dxa"/>
            <w:gridSpan w:val="2"/>
          </w:tcPr>
          <w:p>
            <w:pPr>
              <w:spacing w:before="265" w:line="218" w:lineRule="auto"/>
              <w:ind w:left="17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680.42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672.42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569.43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8.00</w:t>
            </w:r>
          </w:p>
        </w:tc>
      </w:tr>
    </w:tbl>
    <w:p/>
    <w:p>
      <w:pPr>
        <w:sectPr>
          <w:footerReference r:id="rId12" w:type="default"/>
          <w:pgSz w:w="11906" w:h="16839"/>
          <w:pgMar w:top="1431" w:right="1496" w:bottom="1413" w:left="1475" w:header="0" w:footer="1034" w:gutter="0"/>
          <w:cols w:space="720" w:num="1"/>
        </w:sectPr>
      </w:pPr>
    </w:p>
    <w:p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6</w:t>
      </w:r>
    </w:p>
    <w:p>
      <w:pPr>
        <w:spacing w:line="395" w:lineRule="auto"/>
      </w:pPr>
    </w:p>
    <w:p>
      <w:pPr>
        <w:spacing w:before="103" w:line="433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6"/>
          <w:position w:val="5"/>
          <w:sz w:val="28"/>
          <w:szCs w:val="28"/>
        </w:rPr>
        <w:t>灵璧县</w:t>
      </w:r>
      <w:r>
        <w:rPr>
          <w:rFonts w:hint="eastAsia" w:ascii="Times New Roman" w:hAnsi="Times New Roman" w:eastAsia="宋体" w:cs="Times New Roman"/>
          <w:b/>
          <w:bCs/>
          <w:spacing w:val="-3"/>
          <w:position w:val="5"/>
          <w:sz w:val="28"/>
          <w:szCs w:val="28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-3"/>
          <w:position w:val="5"/>
          <w:sz w:val="28"/>
          <w:szCs w:val="28"/>
        </w:rPr>
        <w:t>2023</w:t>
      </w:r>
      <w:r>
        <w:rPr>
          <w:rFonts w:ascii="华文中宋" w:hAnsi="华文中宋" w:eastAsia="华文中宋" w:cs="华文中宋"/>
          <w:spacing w:val="-3"/>
          <w:position w:val="5"/>
          <w:sz w:val="28"/>
          <w:szCs w:val="28"/>
        </w:rPr>
        <w:t>年一般公共预算基本支出表</w:t>
      </w:r>
    </w:p>
    <w:p>
      <w:pPr>
        <w:spacing w:line="460" w:lineRule="auto"/>
        <w:jc w:val="center"/>
      </w:pPr>
    </w:p>
    <w:p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51" w:lineRule="exact"/>
      </w:pPr>
    </w:p>
    <w:tbl>
      <w:tblPr>
        <w:tblStyle w:val="8"/>
        <w:tblW w:w="8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818"/>
        <w:gridCol w:w="1562"/>
        <w:gridCol w:w="1428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02" w:type="dxa"/>
            <w:gridSpan w:val="2"/>
          </w:tcPr>
          <w:p>
            <w:pPr>
              <w:spacing w:before="264" w:line="217" w:lineRule="auto"/>
              <w:ind w:left="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门预算支出经济分类科目</w:t>
            </w:r>
          </w:p>
        </w:tc>
        <w:tc>
          <w:tcPr>
            <w:tcW w:w="4550" w:type="dxa"/>
            <w:gridSpan w:val="3"/>
          </w:tcPr>
          <w:p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84" w:type="dxa"/>
          </w:tcPr>
          <w:p>
            <w:pPr>
              <w:spacing w:before="260" w:line="218" w:lineRule="auto"/>
              <w:ind w:left="4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2818" w:type="dxa"/>
          </w:tcPr>
          <w:p>
            <w:pPr>
              <w:spacing w:before="259" w:line="217" w:lineRule="auto"/>
              <w:ind w:left="8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562" w:type="dxa"/>
          </w:tcPr>
          <w:p>
            <w:pPr>
              <w:spacing w:before="260" w:line="218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428" w:type="dxa"/>
          </w:tcPr>
          <w:p>
            <w:pPr>
              <w:spacing w:before="260" w:line="219" w:lineRule="auto"/>
              <w:ind w:left="3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560" w:type="dxa"/>
          </w:tcPr>
          <w:p>
            <w:pPr>
              <w:spacing w:before="260" w:line="219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495.59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495.59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30101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148.33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148.33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10.31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4.18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17.64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30103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30103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30106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30107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10.53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30107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10.36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30108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50.95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30109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25.48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30110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15.24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top"/>
          </w:tcPr>
          <w:p>
            <w:pPr>
              <w:spacing w:before="260" w:line="218" w:lineRule="auto"/>
              <w:ind w:left="464" w:leftChars="0"/>
              <w:rPr>
                <w:rFonts w:ascii="仿宋" w:hAnsi="仿宋" w:eastAsia="仿宋" w:cs="仿宋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2818" w:type="dxa"/>
            <w:vAlign w:val="top"/>
          </w:tcPr>
          <w:p>
            <w:pPr>
              <w:spacing w:before="259" w:line="217" w:lineRule="auto"/>
              <w:ind w:left="887" w:leftChars="0"/>
              <w:rPr>
                <w:rFonts w:ascii="仿宋" w:hAnsi="仿宋" w:eastAsia="仿宋" w:cs="仿宋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562" w:type="dxa"/>
            <w:vAlign w:val="top"/>
          </w:tcPr>
          <w:p>
            <w:pPr>
              <w:spacing w:before="260" w:line="218" w:lineRule="auto"/>
              <w:ind w:left="256" w:leftChars="0"/>
              <w:rPr>
                <w:rFonts w:ascii="仿宋" w:hAnsi="仿宋" w:eastAsia="仿宋" w:cs="仿宋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428" w:type="dxa"/>
            <w:vAlign w:val="top"/>
          </w:tcPr>
          <w:p>
            <w:pPr>
              <w:spacing w:before="260" w:line="219" w:lineRule="auto"/>
              <w:ind w:left="372" w:leftChars="0"/>
              <w:rPr>
                <w:rFonts w:ascii="仿宋" w:hAnsi="仿宋" w:eastAsia="仿宋" w:cs="仿宋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560" w:type="dxa"/>
            <w:vAlign w:val="top"/>
          </w:tcPr>
          <w:p>
            <w:pPr>
              <w:spacing w:before="260" w:line="219" w:lineRule="auto"/>
              <w:ind w:left="353" w:leftChars="0"/>
              <w:rPr>
                <w:rFonts w:ascii="仿宋" w:hAnsi="仿宋" w:eastAsia="仿宋" w:cs="仿宋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30113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88.99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30201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30205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30206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30215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30217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30226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30228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30229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30231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30239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30299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73.83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59.15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30305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30307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30399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31002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02" w:type="dxa"/>
            <w:gridSpan w:val="2"/>
          </w:tcPr>
          <w:p>
            <w:pPr>
              <w:spacing w:before="265" w:line="218" w:lineRule="auto"/>
              <w:ind w:left="19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672.42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569.43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102.99</w:t>
            </w:r>
          </w:p>
        </w:tc>
      </w:tr>
    </w:tbl>
    <w:p>
      <w:pPr>
        <w:sectPr>
          <w:footerReference r:id="rId13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7</w:t>
      </w:r>
    </w:p>
    <w:p>
      <w:pPr>
        <w:spacing w:line="372" w:lineRule="auto"/>
      </w:pPr>
    </w:p>
    <w:p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29"/>
          <w:szCs w:val="29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2023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年政府性基金预算支出表</w:t>
      </w:r>
    </w:p>
    <w:p>
      <w:pPr>
        <w:spacing w:line="452" w:lineRule="auto"/>
      </w:pPr>
    </w:p>
    <w:p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51" w:lineRule="exact"/>
      </w:pPr>
    </w:p>
    <w:tbl>
      <w:tblPr>
        <w:tblStyle w:val="8"/>
        <w:tblW w:w="9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4065"/>
        <w:gridCol w:w="1062"/>
        <w:gridCol w:w="1307"/>
        <w:gridCol w:w="1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44" w:type="dxa"/>
            <w:vMerge w:val="restart"/>
            <w:tcBorders>
              <w:bottom w:val="nil"/>
            </w:tcBorders>
          </w:tcPr>
          <w:p>
            <w:pPr>
              <w:spacing w:line="476" w:lineRule="auto"/>
            </w:pPr>
          </w:p>
          <w:p>
            <w:pPr>
              <w:spacing w:before="72" w:line="218" w:lineRule="auto"/>
              <w:ind w:left="1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4065" w:type="dxa"/>
            <w:vMerge w:val="restart"/>
            <w:tcBorders>
              <w:bottom w:val="nil"/>
            </w:tcBorders>
          </w:tcPr>
          <w:p>
            <w:pPr>
              <w:spacing w:line="476" w:lineRule="auto"/>
            </w:pPr>
          </w:p>
          <w:p>
            <w:pPr>
              <w:spacing w:before="71" w:line="217" w:lineRule="auto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3749" w:type="dxa"/>
            <w:gridSpan w:val="3"/>
          </w:tcPr>
          <w:p>
            <w:pPr>
              <w:spacing w:before="265" w:line="216" w:lineRule="auto"/>
              <w:ind w:left="5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  <w:vMerge w:val="continue"/>
            <w:tcBorders>
              <w:top w:val="nil"/>
            </w:tcBorders>
          </w:tcPr>
          <w:p/>
        </w:tc>
        <w:tc>
          <w:tcPr>
            <w:tcW w:w="4065" w:type="dxa"/>
            <w:vMerge w:val="continue"/>
            <w:tcBorders>
              <w:top w:val="nil"/>
            </w:tcBorders>
          </w:tcPr>
          <w:p/>
        </w:tc>
        <w:tc>
          <w:tcPr>
            <w:tcW w:w="1062" w:type="dxa"/>
          </w:tcPr>
          <w:p>
            <w:pPr>
              <w:spacing w:before="260" w:line="218" w:lineRule="auto"/>
              <w:ind w:left="2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07" w:type="dxa"/>
          </w:tcPr>
          <w:p>
            <w:pPr>
              <w:spacing w:before="260" w:line="218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380" w:type="dxa"/>
          </w:tcPr>
          <w:p>
            <w:pPr>
              <w:spacing w:before="260"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44" w:type="dxa"/>
          </w:tcPr>
          <w:p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</w:t>
            </w:r>
          </w:p>
        </w:tc>
        <w:tc>
          <w:tcPr>
            <w:tcW w:w="4065" w:type="dxa"/>
          </w:tcPr>
          <w:p>
            <w:pPr>
              <w:spacing w:before="261" w:line="218" w:lineRule="auto"/>
              <w:ind w:left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学技术支出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44" w:type="dxa"/>
          </w:tcPr>
          <w:p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0610</w:t>
            </w:r>
          </w:p>
        </w:tc>
        <w:tc>
          <w:tcPr>
            <w:tcW w:w="4065" w:type="dxa"/>
          </w:tcPr>
          <w:p>
            <w:pPr>
              <w:spacing w:before="261" w:line="216" w:lineRule="auto"/>
              <w:ind w:left="5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核电站乏燃料处理处置基金支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44" w:type="dxa"/>
          </w:tcPr>
          <w:p>
            <w:pPr>
              <w:spacing w:before="286" w:line="191" w:lineRule="auto"/>
              <w:ind w:left="225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061001</w:t>
            </w:r>
          </w:p>
        </w:tc>
        <w:tc>
          <w:tcPr>
            <w:tcW w:w="4065" w:type="dxa"/>
          </w:tcPr>
          <w:p>
            <w:pPr>
              <w:spacing w:before="263" w:line="216" w:lineRule="auto"/>
              <w:ind w:left="9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燃料运输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44" w:type="dxa"/>
          </w:tcPr>
          <w:p>
            <w:pPr>
              <w:spacing w:line="323" w:lineRule="auto"/>
            </w:pPr>
          </w:p>
          <w:p>
            <w:pPr>
              <w:spacing w:before="99" w:line="133" w:lineRule="exact"/>
              <w:ind w:left="4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4065" w:type="dxa"/>
          </w:tcPr>
          <w:p/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</w:tcPr>
          <w:p/>
        </w:tc>
        <w:tc>
          <w:tcPr>
            <w:tcW w:w="4065" w:type="dxa"/>
          </w:tcPr>
          <w:p/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</w:tcPr>
          <w:p/>
        </w:tc>
        <w:tc>
          <w:tcPr>
            <w:tcW w:w="4065" w:type="dxa"/>
          </w:tcPr>
          <w:p/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</w:tcPr>
          <w:p/>
        </w:tc>
        <w:tc>
          <w:tcPr>
            <w:tcW w:w="4065" w:type="dxa"/>
          </w:tcPr>
          <w:p/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</w:tcPr>
          <w:p/>
        </w:tc>
        <w:tc>
          <w:tcPr>
            <w:tcW w:w="4065" w:type="dxa"/>
          </w:tcPr>
          <w:p/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</w:tcPr>
          <w:p/>
        </w:tc>
        <w:tc>
          <w:tcPr>
            <w:tcW w:w="4065" w:type="dxa"/>
          </w:tcPr>
          <w:p/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09" w:type="dxa"/>
            <w:gridSpan w:val="2"/>
          </w:tcPr>
          <w:p>
            <w:pPr>
              <w:spacing w:before="264" w:line="218" w:lineRule="auto"/>
              <w:ind w:left="22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246" w:line="451" w:lineRule="auto"/>
        <w:ind w:left="114" w:right="41" w:firstLine="14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6"/>
          <w:sz w:val="24"/>
          <w:szCs w:val="24"/>
        </w:rPr>
        <w:t>注：</w:t>
      </w:r>
      <w:r>
        <w:rPr>
          <w:rFonts w:ascii="仿宋" w:hAnsi="仿宋" w:eastAsia="仿宋" w:cs="仿宋"/>
          <w:color w:val="auto"/>
          <w:spacing w:val="3"/>
          <w:sz w:val="24"/>
          <w:szCs w:val="24"/>
        </w:rPr>
        <w:t>安徽省</w:t>
      </w:r>
      <w:r>
        <w:rPr>
          <w:rFonts w:hint="eastAsia" w:ascii="Tahoma" w:hAnsi="Tahoma" w:eastAsia="宋体" w:cs="Tahoma"/>
          <w:color w:val="auto"/>
          <w:sz w:val="24"/>
          <w:szCs w:val="24"/>
          <w:lang w:eastAsia="zh-CN"/>
        </w:rPr>
        <w:t>宿州市灵璧县向阳镇人民政府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没有政府性基金预算拨款收入，也没有政府性基金预算拨款安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排的支出，故本表无数据。</w:t>
      </w:r>
    </w:p>
    <w:p>
      <w:pPr>
        <w:rPr>
          <w:color w:val="auto"/>
          <w:sz w:val="22"/>
          <w:szCs w:val="22"/>
        </w:rPr>
        <w:sectPr>
          <w:footerReference r:id="rId14" w:type="default"/>
          <w:pgSz w:w="11906" w:h="16839"/>
          <w:pgMar w:top="1431" w:right="1527" w:bottom="1412" w:left="1475" w:header="0" w:footer="1034" w:gutter="0"/>
          <w:cols w:space="720" w:num="1"/>
        </w:sectPr>
      </w:pPr>
    </w:p>
    <w:p>
      <w:pPr>
        <w:spacing w:before="61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8</w:t>
      </w:r>
    </w:p>
    <w:p>
      <w:pPr>
        <w:spacing w:line="372" w:lineRule="auto"/>
      </w:pPr>
    </w:p>
    <w:p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29"/>
          <w:szCs w:val="29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2023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年国有资本经营预算支出表</w:t>
      </w:r>
    </w:p>
    <w:p>
      <w:pPr>
        <w:spacing w:before="233" w:line="224" w:lineRule="auto"/>
        <w:ind w:right="3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49" w:lineRule="exact"/>
      </w:pPr>
    </w:p>
    <w:tbl>
      <w:tblPr>
        <w:tblStyle w:val="8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968"/>
        <w:gridCol w:w="1329"/>
        <w:gridCol w:w="1389"/>
        <w:gridCol w:w="13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>
            <w:pPr>
              <w:spacing w:before="265" w:line="217" w:lineRule="auto"/>
              <w:ind w:left="19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功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能分类科目</w:t>
            </w:r>
          </w:p>
        </w:tc>
        <w:tc>
          <w:tcPr>
            <w:tcW w:w="4026" w:type="dxa"/>
            <w:gridSpan w:val="3"/>
          </w:tcPr>
          <w:p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资本经营预算拨款支出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>
            <w:pPr>
              <w:spacing w:before="262" w:line="218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968" w:type="dxa"/>
          </w:tcPr>
          <w:p>
            <w:pPr>
              <w:spacing w:before="261" w:line="217" w:lineRule="auto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329" w:type="dxa"/>
          </w:tcPr>
          <w:p>
            <w:pPr>
              <w:spacing w:before="262" w:line="218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89" w:type="dxa"/>
          </w:tcPr>
          <w:p>
            <w:pPr>
              <w:spacing w:before="262" w:line="218" w:lineRule="auto"/>
              <w:ind w:left="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308" w:type="dxa"/>
          </w:tcPr>
          <w:p>
            <w:pPr>
              <w:spacing w:before="262" w:line="219" w:lineRule="auto"/>
              <w:ind w:left="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23</w:t>
            </w:r>
          </w:p>
        </w:tc>
        <w:tc>
          <w:tcPr>
            <w:tcW w:w="3968" w:type="dxa"/>
          </w:tcPr>
          <w:p>
            <w:pPr>
              <w:spacing w:before="262" w:line="217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有资本经营预算支出</w:t>
            </w:r>
          </w:p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301</w:t>
            </w:r>
          </w:p>
        </w:tc>
        <w:tc>
          <w:tcPr>
            <w:tcW w:w="3968" w:type="dxa"/>
          </w:tcPr>
          <w:p>
            <w:pPr>
              <w:spacing w:before="264" w:line="218" w:lineRule="auto"/>
              <w:ind w:left="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230101</w:t>
            </w:r>
          </w:p>
        </w:tc>
        <w:tc>
          <w:tcPr>
            <w:tcW w:w="3968" w:type="dxa"/>
          </w:tcPr>
          <w:p>
            <w:pPr>
              <w:spacing w:before="264" w:line="217" w:lineRule="auto"/>
              <w:ind w:left="9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厂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办大集体改革支出</w:t>
            </w:r>
          </w:p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>
            <w:pPr>
              <w:spacing w:line="324" w:lineRule="auto"/>
            </w:pPr>
          </w:p>
          <w:p>
            <w:pPr>
              <w:spacing w:before="99" w:line="133" w:lineRule="exact"/>
              <w:ind w:left="3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3968" w:type="dxa"/>
          </w:tcPr>
          <w:p>
            <w:pPr>
              <w:spacing w:line="324" w:lineRule="auto"/>
            </w:pPr>
          </w:p>
          <w:p>
            <w:pPr>
              <w:spacing w:before="99" w:line="133" w:lineRule="exact"/>
              <w:ind w:left="180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/>
        </w:tc>
        <w:tc>
          <w:tcPr>
            <w:tcW w:w="3968" w:type="dxa"/>
          </w:tcPr>
          <w:p/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>
            <w:pPr>
              <w:spacing w:before="264" w:line="218" w:lineRule="auto"/>
              <w:ind w:left="2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329" w:type="dxa"/>
          </w:tcPr>
          <w:p/>
        </w:tc>
        <w:tc>
          <w:tcPr>
            <w:tcW w:w="1389" w:type="dxa"/>
          </w:tcPr>
          <w:p/>
        </w:tc>
        <w:tc>
          <w:tcPr>
            <w:tcW w:w="1308" w:type="dxa"/>
          </w:tcPr>
          <w:p/>
        </w:tc>
      </w:tr>
    </w:tbl>
    <w:p>
      <w:pPr>
        <w:spacing w:line="328" w:lineRule="auto"/>
      </w:pPr>
    </w:p>
    <w:p>
      <w:pPr>
        <w:spacing w:before="75" w:line="459" w:lineRule="auto"/>
        <w:ind w:left="121" w:right="212" w:firstLine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color w:val="auto"/>
          <w:spacing w:val="8"/>
          <w:sz w:val="24"/>
          <w:szCs w:val="24"/>
        </w:rPr>
        <w:t>注：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安徽</w:t>
      </w:r>
      <w:r>
        <w:rPr>
          <w:rFonts w:ascii="仿宋" w:hAnsi="仿宋" w:eastAsia="仿宋" w:cs="仿宋"/>
          <w:color w:val="auto"/>
          <w:spacing w:val="8"/>
          <w:sz w:val="24"/>
          <w:szCs w:val="24"/>
        </w:rPr>
        <w:t>省</w:t>
      </w:r>
      <w:r>
        <w:rPr>
          <w:rFonts w:hint="eastAsia" w:ascii="Tahoma" w:hAnsi="Tahoma" w:eastAsia="宋体" w:cs="Tahoma"/>
          <w:color w:val="auto"/>
          <w:sz w:val="24"/>
          <w:szCs w:val="24"/>
          <w:lang w:eastAsia="zh-CN"/>
        </w:rPr>
        <w:t>宿州市灵璧县向阳镇人民政府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没有国有资本经营预算拨款收入，也没有国有资本经营预算</w:t>
      </w:r>
      <w:r>
        <w:rPr>
          <w:rFonts w:ascii="仿宋" w:hAnsi="仿宋" w:eastAsia="仿宋" w:cs="仿宋"/>
          <w:color w:val="auto"/>
          <w:spacing w:val="6"/>
          <w:sz w:val="24"/>
          <w:szCs w:val="24"/>
        </w:rPr>
        <w:t>拨款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安</w:t>
      </w:r>
      <w:r>
        <w:rPr>
          <w:rFonts w:ascii="仿宋" w:hAnsi="仿宋" w:eastAsia="仿宋" w:cs="仿宋"/>
          <w:color w:val="auto"/>
          <w:spacing w:val="3"/>
          <w:sz w:val="24"/>
          <w:szCs w:val="24"/>
        </w:rPr>
        <w:t>排的支出，故本表无数据。</w:t>
      </w:r>
    </w:p>
    <w:p>
      <w:pPr>
        <w:rPr>
          <w:sz w:val="22"/>
          <w:szCs w:val="22"/>
        </w:rPr>
        <w:sectPr>
          <w:footerReference r:id="rId15" w:type="default"/>
          <w:pgSz w:w="11906" w:h="16839"/>
          <w:pgMar w:top="1431" w:right="1313" w:bottom="1413" w:left="1475" w:header="0" w:footer="1034" w:gutter="0"/>
          <w:cols w:space="720" w:num="1"/>
        </w:sectPr>
      </w:pPr>
    </w:p>
    <w:p>
      <w:pPr>
        <w:spacing w:before="62" w:line="224" w:lineRule="auto"/>
        <w:ind w:right="97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4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9</w:t>
      </w:r>
    </w:p>
    <w:p>
      <w:pPr>
        <w:spacing w:before="196" w:line="460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20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29"/>
          <w:szCs w:val="29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10"/>
          <w:position w:val="5"/>
          <w:sz w:val="29"/>
          <w:szCs w:val="29"/>
        </w:rPr>
        <w:t>2023</w:t>
      </w:r>
      <w:r>
        <w:rPr>
          <w:rFonts w:ascii="华文中宋" w:hAnsi="华文中宋" w:eastAsia="华文中宋" w:cs="华文中宋"/>
          <w:spacing w:val="10"/>
          <w:position w:val="5"/>
          <w:sz w:val="29"/>
          <w:szCs w:val="29"/>
        </w:rPr>
        <w:t>年项目支出表</w:t>
      </w:r>
    </w:p>
    <w:p>
      <w:pPr>
        <w:spacing w:before="233" w:line="224" w:lineRule="auto"/>
        <w:ind w:right="378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单位：万元</w:t>
      </w:r>
    </w:p>
    <w:p>
      <w:pPr>
        <w:spacing w:line="50" w:lineRule="exact"/>
      </w:pPr>
    </w:p>
    <w:tbl>
      <w:tblPr>
        <w:tblStyle w:val="8"/>
        <w:tblW w:w="142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46"/>
        <w:gridCol w:w="1366"/>
        <w:gridCol w:w="924"/>
        <w:gridCol w:w="1226"/>
        <w:gridCol w:w="1226"/>
        <w:gridCol w:w="1227"/>
        <w:gridCol w:w="1225"/>
        <w:gridCol w:w="1226"/>
        <w:gridCol w:w="1226"/>
        <w:gridCol w:w="1025"/>
        <w:gridCol w:w="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210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71" w:line="220" w:lineRule="auto"/>
              <w:ind w:left="3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型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before="72" w:line="217" w:lineRule="auto"/>
              <w:ind w:left="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项目名称</w:t>
            </w:r>
          </w:p>
        </w:tc>
        <w:tc>
          <w:tcPr>
            <w:tcW w:w="1366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before="72" w:line="217" w:lineRule="auto"/>
              <w:ind w:left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项目单位</w:t>
            </w:r>
          </w:p>
        </w:tc>
        <w:tc>
          <w:tcPr>
            <w:tcW w:w="924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71" w:line="218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合计</w:t>
            </w:r>
          </w:p>
        </w:tc>
        <w:tc>
          <w:tcPr>
            <w:tcW w:w="3679" w:type="dxa"/>
            <w:gridSpan w:val="3"/>
          </w:tcPr>
          <w:p>
            <w:pPr>
              <w:spacing w:line="293" w:lineRule="auto"/>
            </w:pPr>
          </w:p>
          <w:p>
            <w:pPr>
              <w:spacing w:before="72" w:line="218" w:lineRule="auto"/>
              <w:ind w:left="11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年财政拨款</w:t>
            </w:r>
          </w:p>
        </w:tc>
        <w:tc>
          <w:tcPr>
            <w:tcW w:w="3677" w:type="dxa"/>
            <w:gridSpan w:val="3"/>
          </w:tcPr>
          <w:p>
            <w:pPr>
              <w:spacing w:line="293" w:lineRule="auto"/>
            </w:pPr>
          </w:p>
          <w:p>
            <w:pPr>
              <w:spacing w:before="72" w:line="214" w:lineRule="auto"/>
              <w:ind w:left="9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财政拨款结转结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余</w:t>
            </w:r>
          </w:p>
        </w:tc>
        <w:tc>
          <w:tcPr>
            <w:tcW w:w="1025" w:type="dxa"/>
            <w:vMerge w:val="restart"/>
            <w:tcBorders>
              <w:bottom w:val="nil"/>
            </w:tcBorders>
          </w:tcPr>
          <w:p>
            <w:pPr>
              <w:spacing w:line="297" w:lineRule="auto"/>
            </w:pPr>
          </w:p>
          <w:p>
            <w:pPr>
              <w:spacing w:before="72" w:line="21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财政专</w:t>
            </w:r>
          </w:p>
          <w:p>
            <w:pPr>
              <w:spacing w:before="298" w:line="219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户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管理</w:t>
            </w:r>
          </w:p>
          <w:p>
            <w:pPr>
              <w:spacing w:before="299" w:line="219" w:lineRule="auto"/>
              <w:ind w:left="2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  <w:tc>
          <w:tcPr>
            <w:tcW w:w="888" w:type="dxa"/>
            <w:vMerge w:val="restart"/>
            <w:tcBorders>
              <w:bottom w:val="nil"/>
            </w:tcBorders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spacing w:before="71" w:line="562" w:lineRule="exact"/>
              <w:ind w:left="2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position w:val="26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position w:val="26"/>
                <w:sz w:val="22"/>
                <w:szCs w:val="22"/>
              </w:rPr>
              <w:t>位</w:t>
            </w:r>
          </w:p>
          <w:p>
            <w:pPr>
              <w:spacing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10" w:type="dxa"/>
            <w:vMerge w:val="continue"/>
            <w:tcBorders>
              <w:top w:val="nil"/>
            </w:tcBorders>
          </w:tcPr>
          <w:p/>
        </w:tc>
        <w:tc>
          <w:tcPr>
            <w:tcW w:w="1446" w:type="dxa"/>
            <w:vMerge w:val="continue"/>
            <w:tcBorders>
              <w:top w:val="nil"/>
            </w:tcBorders>
          </w:tcPr>
          <w:p/>
        </w:tc>
        <w:tc>
          <w:tcPr>
            <w:tcW w:w="1366" w:type="dxa"/>
            <w:vMerge w:val="continue"/>
            <w:tcBorders>
              <w:top w:val="nil"/>
            </w:tcBorders>
          </w:tcPr>
          <w:p/>
        </w:tc>
        <w:tc>
          <w:tcPr>
            <w:tcW w:w="924" w:type="dxa"/>
            <w:vMerge w:val="continue"/>
            <w:tcBorders>
              <w:top w:val="nil"/>
            </w:tcBorders>
          </w:tcPr>
          <w:p/>
        </w:tc>
        <w:tc>
          <w:tcPr>
            <w:tcW w:w="1226" w:type="dxa"/>
          </w:tcPr>
          <w:p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6" w:type="dxa"/>
          </w:tcPr>
          <w:p>
            <w:pPr>
              <w:spacing w:before="260" w:line="562" w:lineRule="exact"/>
              <w:ind w:left="2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>
            <w:pPr>
              <w:spacing w:line="217" w:lineRule="auto"/>
              <w:ind w:left="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27" w:type="dxa"/>
          </w:tcPr>
          <w:p>
            <w:pPr>
              <w:spacing w:before="260" w:line="562" w:lineRule="exact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>
            <w:pPr>
              <w:spacing w:line="217" w:lineRule="auto"/>
              <w:ind w:left="1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225" w:type="dxa"/>
          </w:tcPr>
          <w:p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6" w:type="dxa"/>
          </w:tcPr>
          <w:p>
            <w:pPr>
              <w:spacing w:before="260" w:line="562" w:lineRule="exact"/>
              <w:ind w:left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>
            <w:pPr>
              <w:spacing w:line="217" w:lineRule="auto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26" w:type="dxa"/>
          </w:tcPr>
          <w:p>
            <w:pPr>
              <w:spacing w:before="260" w:line="562" w:lineRule="exact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>
            <w:pPr>
              <w:spacing w:line="217" w:lineRule="auto"/>
              <w:ind w:left="1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025" w:type="dxa"/>
            <w:vMerge w:val="continue"/>
            <w:tcBorders>
              <w:top w:val="nil"/>
            </w:tcBorders>
          </w:tcPr>
          <w:p/>
        </w:tc>
        <w:tc>
          <w:tcPr>
            <w:tcW w:w="888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10" w:type="dxa"/>
          </w:tcPr>
          <w:p/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向阳镇政府2023年非税收入支出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灵璧县向阳镇人民政府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10" w:type="dxa"/>
          </w:tcPr>
          <w:p/>
        </w:tc>
        <w:tc>
          <w:tcPr>
            <w:tcW w:w="1446" w:type="dxa"/>
          </w:tcPr>
          <w:p>
            <w:pPr>
              <w:spacing w:before="264" w:line="219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6" w:type="dxa"/>
          </w:tcPr>
          <w:p/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10" w:type="dxa"/>
          </w:tcPr>
          <w:p/>
        </w:tc>
        <w:tc>
          <w:tcPr>
            <w:tcW w:w="1446" w:type="dxa"/>
          </w:tcPr>
          <w:p>
            <w:pPr>
              <w:spacing w:before="263" w:line="219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6" w:type="dxa"/>
          </w:tcPr>
          <w:p/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10" w:type="dxa"/>
          </w:tcPr>
          <w:p/>
        </w:tc>
        <w:tc>
          <w:tcPr>
            <w:tcW w:w="1446" w:type="dxa"/>
          </w:tcPr>
          <w:p>
            <w:pPr>
              <w:spacing w:line="323" w:lineRule="auto"/>
            </w:pPr>
          </w:p>
          <w:p>
            <w:pPr>
              <w:spacing w:before="99" w:line="133" w:lineRule="exact"/>
              <w:ind w:left="5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7"/>
                <w:position w:val="3"/>
                <w:sz w:val="23"/>
                <w:szCs w:val="23"/>
              </w:rPr>
              <w:t>…</w:t>
            </w:r>
            <w:r>
              <w:rPr>
                <w:rFonts w:ascii="微软雅黑" w:hAnsi="微软雅黑" w:eastAsia="微软雅黑" w:cs="微软雅黑"/>
                <w:spacing w:val="-16"/>
                <w:position w:val="3"/>
                <w:sz w:val="23"/>
                <w:szCs w:val="23"/>
              </w:rPr>
              <w:t>…</w:t>
            </w:r>
          </w:p>
        </w:tc>
        <w:tc>
          <w:tcPr>
            <w:tcW w:w="1366" w:type="dxa"/>
          </w:tcPr>
          <w:p/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10" w:type="dxa"/>
          </w:tcPr>
          <w:p/>
        </w:tc>
        <w:tc>
          <w:tcPr>
            <w:tcW w:w="1446" w:type="dxa"/>
          </w:tcPr>
          <w:p/>
        </w:tc>
        <w:tc>
          <w:tcPr>
            <w:tcW w:w="1366" w:type="dxa"/>
          </w:tcPr>
          <w:p/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022" w:type="dxa"/>
            <w:gridSpan w:val="3"/>
          </w:tcPr>
          <w:p>
            <w:pPr>
              <w:spacing w:before="266" w:line="218" w:lineRule="auto"/>
              <w:ind w:left="1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计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259" w:line="471" w:lineRule="auto"/>
        <w:ind w:left="125" w:right="102"/>
        <w:sectPr>
          <w:footerReference r:id="rId16" w:type="default"/>
          <w:pgSz w:w="16839" w:h="11906"/>
          <w:pgMar w:top="1012" w:right="1361" w:bottom="1270" w:left="1327" w:header="0" w:footer="892" w:gutter="0"/>
          <w:cols w:space="720" w:num="1"/>
        </w:sectPr>
      </w:pPr>
    </w:p>
    <w:p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10</w:t>
      </w:r>
    </w:p>
    <w:p>
      <w:pPr>
        <w:spacing w:before="114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29"/>
          <w:szCs w:val="29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31"/>
          <w:szCs w:val="31"/>
        </w:rPr>
        <w:t>2023</w:t>
      </w:r>
      <w:r>
        <w:rPr>
          <w:rFonts w:ascii="华文中宋" w:hAnsi="华文中宋" w:eastAsia="华文中宋" w:cs="华文中宋"/>
          <w:spacing w:val="4"/>
          <w:position w:val="5"/>
          <w:sz w:val="31"/>
          <w:szCs w:val="31"/>
        </w:rPr>
        <w:t>年政府采购支出表</w:t>
      </w:r>
    </w:p>
    <w:p>
      <w:pPr>
        <w:spacing w:before="222" w:line="224" w:lineRule="auto"/>
        <w:ind w:left="736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>
      <w:pPr>
        <w:spacing w:line="49" w:lineRule="exact"/>
      </w:pPr>
    </w:p>
    <w:tbl>
      <w:tblPr>
        <w:tblStyle w:val="8"/>
        <w:tblW w:w="88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151"/>
        <w:gridCol w:w="901"/>
        <w:gridCol w:w="1035"/>
        <w:gridCol w:w="1148"/>
        <w:gridCol w:w="1141"/>
        <w:gridCol w:w="1121"/>
        <w:gridCol w:w="11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206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1" w:line="224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51" w:type="dxa"/>
          </w:tcPr>
          <w:p>
            <w:pPr>
              <w:spacing w:before="283" w:line="559" w:lineRule="exact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28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府采购</w:t>
            </w:r>
          </w:p>
          <w:p>
            <w:pPr>
              <w:spacing w:line="229" w:lineRule="auto"/>
              <w:ind w:left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品目</w:t>
            </w:r>
          </w:p>
        </w:tc>
        <w:tc>
          <w:tcPr>
            <w:tcW w:w="901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62" w:line="226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035" w:type="dxa"/>
          </w:tcPr>
          <w:p>
            <w:pPr>
              <w:spacing w:before="283" w:line="559" w:lineRule="exact"/>
              <w:ind w:left="1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2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般公共</w:t>
            </w:r>
          </w:p>
          <w:p>
            <w:pPr>
              <w:spacing w:line="225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算</w:t>
            </w:r>
          </w:p>
        </w:tc>
        <w:tc>
          <w:tcPr>
            <w:tcW w:w="1148" w:type="dxa"/>
          </w:tcPr>
          <w:p>
            <w:pPr>
              <w:spacing w:before="283" w:line="559" w:lineRule="exact"/>
              <w:ind w:left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政府性</w:t>
            </w:r>
          </w:p>
          <w:p>
            <w:pPr>
              <w:spacing w:line="225" w:lineRule="auto"/>
              <w:ind w:left="1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金预算</w:t>
            </w:r>
          </w:p>
        </w:tc>
        <w:tc>
          <w:tcPr>
            <w:tcW w:w="1141" w:type="dxa"/>
          </w:tcPr>
          <w:p>
            <w:pPr>
              <w:spacing w:before="283" w:line="559" w:lineRule="exact"/>
              <w:ind w:left="2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position w:val="28"/>
                <w:sz w:val="19"/>
                <w:szCs w:val="19"/>
              </w:rPr>
              <w:t>国有资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本</w:t>
            </w:r>
          </w:p>
          <w:p>
            <w:pPr>
              <w:spacing w:line="225" w:lineRule="auto"/>
              <w:ind w:left="1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1121" w:type="dxa"/>
          </w:tcPr>
          <w:p>
            <w:pPr>
              <w:spacing w:before="283" w:line="559" w:lineRule="exact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财政专户</w:t>
            </w:r>
          </w:p>
          <w:p>
            <w:pPr>
              <w:spacing w:line="227" w:lineRule="auto"/>
              <w:ind w:left="17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理资金</w:t>
            </w:r>
          </w:p>
        </w:tc>
        <w:tc>
          <w:tcPr>
            <w:tcW w:w="1194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1" w:line="224" w:lineRule="auto"/>
              <w:ind w:left="2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206" w:type="dxa"/>
          </w:tcPr>
          <w:p>
            <w:r>
              <w:rPr>
                <w:rFonts w:hint="eastAsia"/>
              </w:rPr>
              <w:t>灵璧县向阳乡人民政府_综合定额（行政）</w:t>
            </w:r>
          </w:p>
        </w:tc>
        <w:tc>
          <w:tcPr>
            <w:tcW w:w="1151" w:type="dxa"/>
          </w:tcPr>
          <w:p>
            <w:r>
              <w:rPr>
                <w:rFonts w:hint="eastAsia"/>
              </w:rPr>
              <w:t>A02010104-台式计算机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206" w:type="dxa"/>
          </w:tcPr>
          <w:p>
            <w:r>
              <w:rPr>
                <w:rFonts w:hint="eastAsia"/>
              </w:rPr>
              <w:t>灵璧县向阳乡人民政府_综合定额（行政）</w:t>
            </w:r>
          </w:p>
        </w:tc>
        <w:tc>
          <w:tcPr>
            <w:tcW w:w="1151" w:type="dxa"/>
          </w:tcPr>
          <w:p>
            <w:r>
              <w:rPr>
                <w:rFonts w:hint="eastAsia"/>
              </w:rPr>
              <w:t>空调机组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206" w:type="dxa"/>
          </w:tcPr>
          <w:p>
            <w:r>
              <w:rPr>
                <w:rFonts w:hint="eastAsia"/>
              </w:rPr>
              <w:t>灵璧县向阳乡人民政府_综合定额（行政）</w:t>
            </w:r>
          </w:p>
        </w:tc>
        <w:tc>
          <w:tcPr>
            <w:tcW w:w="1151" w:type="dxa"/>
          </w:tcPr>
          <w:p>
            <w:r>
              <w:rPr>
                <w:rFonts w:hint="eastAsia"/>
              </w:rPr>
              <w:t>轿车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206" w:type="dxa"/>
          </w:tcPr>
          <w:p/>
        </w:tc>
        <w:tc>
          <w:tcPr>
            <w:tcW w:w="1151" w:type="dxa"/>
          </w:tcPr>
          <w:p/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206" w:type="dxa"/>
          </w:tcPr>
          <w:p/>
        </w:tc>
        <w:tc>
          <w:tcPr>
            <w:tcW w:w="1151" w:type="dxa"/>
          </w:tcPr>
          <w:p/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06" w:type="dxa"/>
          </w:tcPr>
          <w:p/>
        </w:tc>
        <w:tc>
          <w:tcPr>
            <w:tcW w:w="1151" w:type="dxa"/>
          </w:tcPr>
          <w:p/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06" w:type="dxa"/>
          </w:tcPr>
          <w:p/>
        </w:tc>
        <w:tc>
          <w:tcPr>
            <w:tcW w:w="1151" w:type="dxa"/>
          </w:tcPr>
          <w:p/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357" w:type="dxa"/>
            <w:gridSpan w:val="2"/>
          </w:tcPr>
          <w:p>
            <w:pPr>
              <w:spacing w:before="264" w:line="219" w:lineRule="auto"/>
              <w:ind w:left="9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计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320000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262" w:line="471" w:lineRule="auto"/>
        <w:ind w:left="65" w:right="43"/>
        <w:rPr>
          <w:rFonts w:ascii="仿宋" w:hAnsi="仿宋" w:eastAsia="仿宋" w:cs="仿宋"/>
          <w:color w:val="FF0000"/>
          <w:sz w:val="22"/>
          <w:szCs w:val="22"/>
        </w:rPr>
      </w:pPr>
    </w:p>
    <w:p>
      <w:pPr>
        <w:rPr>
          <w:color w:val="FF0000"/>
        </w:rPr>
        <w:sectPr>
          <w:footerReference r:id="rId17" w:type="default"/>
          <w:pgSz w:w="11906" w:h="16839"/>
          <w:pgMar w:top="1431" w:right="1480" w:bottom="1412" w:left="1537" w:header="0" w:footer="1034" w:gutter="0"/>
          <w:cols w:space="720" w:num="1"/>
        </w:sectPr>
      </w:pPr>
    </w:p>
    <w:p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11</w:t>
      </w:r>
    </w:p>
    <w:p>
      <w:pPr>
        <w:spacing w:before="17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6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29"/>
          <w:szCs w:val="29"/>
          <w:lang w:eastAsia="zh-CN"/>
        </w:rPr>
        <w:t>向阳镇人民政府</w:t>
      </w:r>
      <w:r>
        <w:rPr>
          <w:rFonts w:ascii="Times New Roman" w:hAnsi="Times New Roman" w:eastAsia="Times New Roman" w:cs="Times New Roman"/>
          <w:b/>
          <w:bCs/>
          <w:spacing w:val="3"/>
          <w:position w:val="5"/>
          <w:sz w:val="31"/>
          <w:szCs w:val="31"/>
        </w:rPr>
        <w:t>2023</w:t>
      </w:r>
      <w:r>
        <w:rPr>
          <w:rFonts w:ascii="华文中宋" w:hAnsi="华文中宋" w:eastAsia="华文中宋" w:cs="华文中宋"/>
          <w:spacing w:val="3"/>
          <w:position w:val="5"/>
          <w:sz w:val="31"/>
          <w:szCs w:val="31"/>
        </w:rPr>
        <w:t>年政府购买服务支出表</w:t>
      </w:r>
    </w:p>
    <w:p>
      <w:pPr>
        <w:spacing w:before="222" w:line="224" w:lineRule="auto"/>
        <w:ind w:right="58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7"/>
          <w:sz w:val="19"/>
          <w:szCs w:val="19"/>
        </w:rPr>
        <w:t>单位：万元</w:t>
      </w:r>
    </w:p>
    <w:p>
      <w:pPr>
        <w:spacing w:line="49" w:lineRule="exact"/>
      </w:pPr>
    </w:p>
    <w:tbl>
      <w:tblPr>
        <w:tblStyle w:val="8"/>
        <w:tblW w:w="137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952"/>
        <w:gridCol w:w="1783"/>
        <w:gridCol w:w="1932"/>
        <w:gridCol w:w="2482"/>
        <w:gridCol w:w="1684"/>
        <w:gridCol w:w="1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77" w:type="dxa"/>
          </w:tcPr>
          <w:p>
            <w:pPr>
              <w:spacing w:before="284" w:line="224" w:lineRule="auto"/>
              <w:ind w:left="6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项目名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称</w:t>
            </w:r>
          </w:p>
        </w:tc>
        <w:tc>
          <w:tcPr>
            <w:tcW w:w="1952" w:type="dxa"/>
          </w:tcPr>
          <w:p>
            <w:pPr>
              <w:spacing w:before="283" w:line="319" w:lineRule="exact"/>
              <w:ind w:left="3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2"/>
                <w:sz w:val="19"/>
                <w:szCs w:val="19"/>
              </w:rPr>
              <w:t>一级目录名</w:t>
            </w:r>
            <w:r>
              <w:rPr>
                <w:rFonts w:ascii="仿宋" w:hAnsi="仿宋" w:eastAsia="仿宋" w:cs="仿宋"/>
                <w:spacing w:val="6"/>
                <w:position w:val="2"/>
                <w:sz w:val="19"/>
                <w:szCs w:val="19"/>
              </w:rPr>
              <w:t>称</w:t>
            </w:r>
          </w:p>
        </w:tc>
        <w:tc>
          <w:tcPr>
            <w:tcW w:w="1783" w:type="dxa"/>
          </w:tcPr>
          <w:p>
            <w:pPr>
              <w:spacing w:before="284" w:line="224" w:lineRule="auto"/>
              <w:ind w:left="3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级目录名称</w:t>
            </w:r>
          </w:p>
        </w:tc>
        <w:tc>
          <w:tcPr>
            <w:tcW w:w="1932" w:type="dxa"/>
          </w:tcPr>
          <w:p>
            <w:pPr>
              <w:spacing w:before="284" w:line="224" w:lineRule="auto"/>
              <w:ind w:left="3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级目录名称</w:t>
            </w:r>
          </w:p>
        </w:tc>
        <w:tc>
          <w:tcPr>
            <w:tcW w:w="2482" w:type="dxa"/>
          </w:tcPr>
          <w:p>
            <w:pPr>
              <w:spacing w:before="283" w:line="226" w:lineRule="auto"/>
              <w:ind w:left="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府购买服务内容</w:t>
            </w:r>
          </w:p>
        </w:tc>
        <w:tc>
          <w:tcPr>
            <w:tcW w:w="1684" w:type="dxa"/>
          </w:tcPr>
          <w:p>
            <w:pPr>
              <w:spacing w:before="283" w:line="227" w:lineRule="auto"/>
              <w:ind w:left="4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买数量</w:t>
            </w:r>
          </w:p>
        </w:tc>
        <w:tc>
          <w:tcPr>
            <w:tcW w:w="1837" w:type="dxa"/>
          </w:tcPr>
          <w:p>
            <w:pPr>
              <w:spacing w:before="283" w:line="227" w:lineRule="auto"/>
              <w:ind w:left="5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/>
        </w:tc>
        <w:tc>
          <w:tcPr>
            <w:tcW w:w="1952" w:type="dxa"/>
          </w:tcPr>
          <w:p/>
        </w:tc>
        <w:tc>
          <w:tcPr>
            <w:tcW w:w="1783" w:type="dxa"/>
          </w:tcPr>
          <w:p/>
        </w:tc>
        <w:tc>
          <w:tcPr>
            <w:tcW w:w="1932" w:type="dxa"/>
          </w:tcPr>
          <w:p/>
        </w:tc>
        <w:tc>
          <w:tcPr>
            <w:tcW w:w="2482" w:type="dxa"/>
          </w:tcPr>
          <w:p/>
        </w:tc>
        <w:tc>
          <w:tcPr>
            <w:tcW w:w="1684" w:type="dxa"/>
          </w:tcPr>
          <w:p/>
        </w:tc>
        <w:tc>
          <w:tcPr>
            <w:tcW w:w="18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/>
        </w:tc>
        <w:tc>
          <w:tcPr>
            <w:tcW w:w="1952" w:type="dxa"/>
          </w:tcPr>
          <w:p/>
        </w:tc>
        <w:tc>
          <w:tcPr>
            <w:tcW w:w="1783" w:type="dxa"/>
          </w:tcPr>
          <w:p/>
        </w:tc>
        <w:tc>
          <w:tcPr>
            <w:tcW w:w="1932" w:type="dxa"/>
          </w:tcPr>
          <w:p/>
        </w:tc>
        <w:tc>
          <w:tcPr>
            <w:tcW w:w="2482" w:type="dxa"/>
          </w:tcPr>
          <w:p/>
        </w:tc>
        <w:tc>
          <w:tcPr>
            <w:tcW w:w="1684" w:type="dxa"/>
          </w:tcPr>
          <w:p/>
        </w:tc>
        <w:tc>
          <w:tcPr>
            <w:tcW w:w="18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/>
        </w:tc>
        <w:tc>
          <w:tcPr>
            <w:tcW w:w="1952" w:type="dxa"/>
          </w:tcPr>
          <w:p/>
        </w:tc>
        <w:tc>
          <w:tcPr>
            <w:tcW w:w="1783" w:type="dxa"/>
          </w:tcPr>
          <w:p/>
        </w:tc>
        <w:tc>
          <w:tcPr>
            <w:tcW w:w="1932" w:type="dxa"/>
          </w:tcPr>
          <w:p/>
        </w:tc>
        <w:tc>
          <w:tcPr>
            <w:tcW w:w="2482" w:type="dxa"/>
          </w:tcPr>
          <w:p/>
        </w:tc>
        <w:tc>
          <w:tcPr>
            <w:tcW w:w="1684" w:type="dxa"/>
          </w:tcPr>
          <w:p/>
        </w:tc>
        <w:tc>
          <w:tcPr>
            <w:tcW w:w="183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7" w:type="dxa"/>
          </w:tcPr>
          <w:p>
            <w:pPr>
              <w:spacing w:before="298" w:line="226" w:lineRule="auto"/>
              <w:ind w:left="79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1952" w:type="dxa"/>
          </w:tcPr>
          <w:p/>
        </w:tc>
        <w:tc>
          <w:tcPr>
            <w:tcW w:w="1783" w:type="dxa"/>
          </w:tcPr>
          <w:p/>
        </w:tc>
        <w:tc>
          <w:tcPr>
            <w:tcW w:w="1932" w:type="dxa"/>
          </w:tcPr>
          <w:p/>
        </w:tc>
        <w:tc>
          <w:tcPr>
            <w:tcW w:w="2482" w:type="dxa"/>
          </w:tcPr>
          <w:p/>
        </w:tc>
        <w:tc>
          <w:tcPr>
            <w:tcW w:w="1684" w:type="dxa"/>
          </w:tcPr>
          <w:p/>
        </w:tc>
        <w:tc>
          <w:tcPr>
            <w:tcW w:w="1837" w:type="dxa"/>
          </w:tcPr>
          <w:p/>
        </w:tc>
      </w:tr>
    </w:tbl>
    <w:p>
      <w:pPr>
        <w:spacing w:before="260" w:line="472" w:lineRule="auto"/>
        <w:ind w:left="337" w:right="329" w:firstLine="5"/>
        <w:rPr>
          <w:rFonts w:ascii="楷体" w:hAnsi="楷体" w:eastAsia="楷体" w:cs="楷体"/>
          <w:color w:val="FF0000"/>
          <w:spacing w:val="3"/>
          <w:sz w:val="31"/>
          <w:szCs w:val="31"/>
        </w:rPr>
        <w:sectPr>
          <w:footerReference r:id="rId18" w:type="default"/>
          <w:pgSz w:w="16839" w:h="11906"/>
          <w:pgMar w:top="1012" w:right="1825" w:bottom="1412" w:left="1260" w:header="0" w:footer="1034" w:gutter="0"/>
          <w:cols w:space="720" w:num="1"/>
        </w:sectPr>
      </w:pP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安徽省宿州市灵璧县向阳镇人民政府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没有安排政府购买服务支出，故本</w:t>
      </w:r>
      <w:r>
        <w:rPr>
          <w:rFonts w:ascii="仿宋" w:hAnsi="仿宋" w:eastAsia="仿宋" w:cs="仿宋"/>
          <w:color w:val="auto"/>
          <w:sz w:val="24"/>
          <w:szCs w:val="24"/>
        </w:rPr>
        <w:t>表无数据。</w:t>
      </w:r>
    </w:p>
    <w:p>
      <w:pPr>
        <w:spacing w:before="113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-8"/>
          <w:sz w:val="36"/>
          <w:szCs w:val="36"/>
        </w:rPr>
        <w:t>第</w:t>
      </w:r>
      <w:r>
        <w:rPr>
          <w:rFonts w:hint="eastAsia" w:ascii="黑体" w:hAnsi="黑体" w:eastAsia="黑体" w:cs="黑体"/>
          <w:spacing w:val="-4"/>
          <w:sz w:val="36"/>
          <w:szCs w:val="36"/>
        </w:rPr>
        <w:t>三部分 2023 年部门</w:t>
      </w:r>
      <w:r>
        <w:rPr>
          <w:rFonts w:hint="eastAsia" w:ascii="黑体" w:hAnsi="黑体" w:eastAsia="黑体" w:cs="黑体"/>
          <w:spacing w:val="-4"/>
          <w:sz w:val="36"/>
          <w:szCs w:val="36"/>
          <w:u w:val="single"/>
        </w:rPr>
        <w:t xml:space="preserve"> (单位) 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 预算情况说明</w:t>
      </w:r>
    </w:p>
    <w:p>
      <w:pPr>
        <w:spacing w:line="312" w:lineRule="auto"/>
      </w:pPr>
    </w:p>
    <w:p>
      <w:pPr>
        <w:spacing w:before="100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一、关于 2023 年收支总表的说明</w:t>
      </w:r>
    </w:p>
    <w:p>
      <w:pPr>
        <w:spacing w:before="4" w:line="360" w:lineRule="auto"/>
        <w:ind w:right="92" w:firstLine="615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按照综合预算的原则，灵璧县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 (单位) 预算管理。灵璧县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2023年收支总预算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680.42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万元，收入包括一般公共预算拨款收入，支出包括：一般公共服务支出、社会保障和就业支出、卫生健康支出、住房保障支出。</w:t>
      </w:r>
    </w:p>
    <w:p>
      <w:pPr>
        <w:spacing w:line="360" w:lineRule="auto"/>
        <w:ind w:left="628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二、关于 2023 年收入总表的说明</w:t>
      </w:r>
    </w:p>
    <w:p>
      <w:pPr>
        <w:spacing w:before="101" w:line="360" w:lineRule="auto"/>
        <w:ind w:right="2" w:firstLine="632" w:firstLineChars="200"/>
        <w:jc w:val="both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2023年收入预算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680.42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万，其中，本年收入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680.42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万元，上年结转收入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万元。</w:t>
      </w:r>
    </w:p>
    <w:p>
      <w:pPr>
        <w:spacing w:before="185" w:line="360" w:lineRule="auto"/>
        <w:ind w:firstLine="632" w:firstLineChars="200"/>
        <w:jc w:val="both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680.42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万元，主要包括：一般公共预算拨款收入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680.42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，比 2022 年预算增加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117.31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20.83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，增长原因主要是人员提高工资待遇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188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、关于 2023 年支出总表的说明</w:t>
      </w:r>
    </w:p>
    <w:p>
      <w:pPr>
        <w:spacing w:before="101" w:line="360" w:lineRule="auto"/>
        <w:ind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2023 年支出预</w:t>
      </w:r>
      <w:r>
        <w:rPr>
          <w:rFonts w:hint="eastAsia" w:ascii="仿宋" w:hAnsi="仿宋" w:eastAsia="仿宋" w:cs="仿宋"/>
          <w:sz w:val="32"/>
          <w:szCs w:val="32"/>
        </w:rPr>
        <w:t>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680.42</w:t>
      </w:r>
      <w:r>
        <w:rPr>
          <w:rFonts w:hint="eastAsia" w:ascii="仿宋" w:hAnsi="仿宋" w:eastAsia="仿宋" w:cs="仿宋"/>
          <w:sz w:val="32"/>
          <w:szCs w:val="32"/>
        </w:rPr>
        <w:t xml:space="preserve">万元，比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2022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预算增加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117.31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20.83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%，增长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原因主要是人员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调资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。其中，基本支出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672.42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98.82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%，主要用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于保障机构日常运转、完成日常工作任务；项目支出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8.00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1.18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%，主要用于主要用于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办公设备购置和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日常办公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四、关于 2023 年财政拨款收支总表的说明</w:t>
      </w:r>
    </w:p>
    <w:p>
      <w:pPr>
        <w:spacing w:before="187" w:line="360" w:lineRule="auto"/>
        <w:ind w:right="79" w:firstLine="644" w:firstLineChars="200"/>
        <w:rPr>
          <w:rFonts w:hint="eastAsia" w:ascii="楷体" w:hAnsi="楷体" w:eastAsia="仿宋" w:cs="楷体"/>
          <w:color w:val="FF0000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2023 年财政拨款收支预算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680.42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万元。收入按资金来源分为：一般公共预算拨款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672.42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万元、国库管理非税收入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8.00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万元；按资金年度分为：本年财政拨款收入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680.42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万元，上年结转收入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万元。支出按功能分类分为：一般公共服务支出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526.63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77.40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%；社会保障和就业支出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76.43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11.23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%；卫生健康支出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21.24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3.12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住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房保障支出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56.13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8.25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%。</w:t>
      </w:r>
    </w:p>
    <w:p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五、关于 2023 年一般公共预算支出表的说明</w:t>
      </w:r>
    </w:p>
    <w:p>
      <w:pPr>
        <w:spacing w:before="181" w:line="360" w:lineRule="auto"/>
        <w:ind w:left="61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-5"/>
          <w:sz w:val="32"/>
          <w:szCs w:val="32"/>
        </w:rPr>
        <w:t>一</w:t>
      </w: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) 一般公共预算支出规模变化情况。</w:t>
      </w:r>
    </w:p>
    <w:p>
      <w:pPr>
        <w:spacing w:before="100" w:line="360" w:lineRule="auto"/>
        <w:ind w:left="21" w:right="72" w:firstLine="60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2023 年一般公共预算支出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680.42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117.31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20.83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主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原因是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人员提高工资待遇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>
      <w:pPr>
        <w:spacing w:before="12" w:line="360" w:lineRule="auto"/>
        <w:ind w:left="614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13"/>
          <w:sz w:val="32"/>
          <w:szCs w:val="32"/>
        </w:rPr>
        <w:t>二) 一般公共预算支出结构情况。</w:t>
      </w:r>
    </w:p>
    <w:p>
      <w:pPr>
        <w:spacing w:before="136" w:line="360" w:lineRule="auto"/>
        <w:ind w:left="25" w:right="152" w:firstLine="6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般公共服务支出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526.63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77.40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%；社会保障和就业支出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76.43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11.23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%；卫生健康支出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21.24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3.12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%；住房保障支出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56.13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元， 占</w:t>
      </w:r>
      <w:r>
        <w:rPr>
          <w:rFonts w:hint="eastAsia" w:ascii="仿宋" w:hAnsi="仿宋" w:eastAsia="仿宋" w:cs="仿宋"/>
          <w:spacing w:val="-25"/>
          <w:sz w:val="32"/>
          <w:szCs w:val="32"/>
          <w:lang w:val="en-US" w:eastAsia="zh-CN"/>
        </w:rPr>
        <w:t>8.25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%。</w:t>
      </w:r>
    </w:p>
    <w:p>
      <w:pPr>
        <w:spacing w:before="4" w:line="360" w:lineRule="auto"/>
        <w:ind w:left="642" w:right="158" w:hanging="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(三) 一般公共预算支出具体使用情况。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>
      <w:pPr>
        <w:spacing w:before="4" w:line="360" w:lineRule="auto"/>
        <w:ind w:right="158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1.一般公共服务支出(类)政府办公厅（室）及相关机构事务(款)行政运行(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)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年预算446.18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47.67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11.96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提高人员工资待遇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3" w:line="360" w:lineRule="auto"/>
        <w:ind w:right="1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2.一般公共服务支出(类)政府办公厅（室）及相关机构事务(款)事业运行(项)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2023 年预算80.45万元，比 2022 年预算增加 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23.35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  <w:lang w:val="en-US" w:eastAsia="zh-CN"/>
        </w:rPr>
        <w:t>40.88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提高人员工资待遇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。</w:t>
      </w:r>
    </w:p>
    <w:p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3.社会保障和就业支出(类)行政事业单位养老支出(款)机关事业单位基本养老保险缴费支出(项)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2023 年预算50.95万元，比 2022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年预算增加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15.52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43.80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 ，增长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原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提高人员工资待遇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4.社会保障和就业支出(类)行政事业单位养老支出(款)机关事业单位职业年金缴费支出(项)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年预算25.48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7.76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43.80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提高人员工资待遇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99" w:line="360" w:lineRule="auto"/>
        <w:ind w:firstLine="663" w:firstLineChars="200"/>
        <w:jc w:val="both"/>
        <w:rPr>
          <w:rFonts w:hint="eastAsia" w:ascii="仿宋" w:hAnsi="仿宋" w:eastAsia="仿宋" w:cs="仿宋"/>
          <w:spacing w:val="-25"/>
          <w:positio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.卫生健康支出(类)行政事业单位医疗(款)行政单位医疗(项)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年预算11.77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0.78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7.05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人员提高工资待遇和医疗保险提高标准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99" w:line="360" w:lineRule="auto"/>
        <w:ind w:firstLine="66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.卫生健康支出(类)行政事业单位医疗(款)事业单位医疗(项)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年预算3.46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9.06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，增长原因主要是人员提高工资待遇和医疗保险提高标准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99" w:line="360" w:lineRule="auto"/>
        <w:ind w:firstLine="663" w:firstLineChars="200"/>
        <w:jc w:val="both"/>
        <w:rPr>
          <w:rFonts w:hint="eastAsia" w:ascii="仿宋" w:hAnsi="仿宋" w:eastAsia="仿宋" w:cs="仿宋"/>
          <w:spacing w:val="-25"/>
          <w:positio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.卫生健康支出(类)行政事业单位医疗(款)公务员医疗补助(项)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年预算3.68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2.42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7.05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人员提高工资待遇和医疗保险提高标准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99" w:line="360" w:lineRule="auto"/>
        <w:ind w:firstLine="663" w:firstLineChars="200"/>
        <w:jc w:val="both"/>
        <w:rPr>
          <w:rFonts w:hint="eastAsia" w:ascii="仿宋" w:hAnsi="仿宋" w:eastAsia="仿宋" w:cs="仿宋"/>
          <w:spacing w:val="-25"/>
          <w:positio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.卫生健康支出(类)行政事业单位医疗(款)其他行政事业单位医疗支出(项)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年预算2.32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1.92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484.79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人员提高工资待遇和医疗保险提高标准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99" w:line="360" w:lineRule="auto"/>
        <w:ind w:firstLine="663" w:firstLineChars="200"/>
        <w:jc w:val="both"/>
        <w:rPr>
          <w:rFonts w:hint="eastAsia" w:ascii="仿宋" w:hAnsi="仿宋" w:eastAsia="仿宋" w:cs="仿宋"/>
          <w:spacing w:val="-25"/>
          <w:positio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.住房保障支出(类)住房改革支出(款)住房公积金(项)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年预算41.22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14.65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55.13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，增长原因主要是提高人员工资待遇、提高人员住房公积金缴纳标准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199" w:line="360" w:lineRule="auto"/>
        <w:ind w:firstLine="663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.住房保障支出(类)住房改革支出(款)提租补贴(项)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2023 年预算14.90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2022 年预算增加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5.13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52.58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人员提高工资待遇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六、关于 2023 年一般公共预算基本支出表的说明</w:t>
      </w:r>
    </w:p>
    <w:p>
      <w:pPr>
        <w:spacing w:before="179" w:line="360" w:lineRule="auto"/>
        <w:ind w:right="95"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2023 年一般</w:t>
      </w:r>
      <w:r>
        <w:rPr>
          <w:rFonts w:hint="eastAsia" w:ascii="仿宋" w:hAnsi="仿宋" w:eastAsia="仿宋" w:cs="仿宋"/>
          <w:sz w:val="32"/>
          <w:szCs w:val="32"/>
        </w:rPr>
        <w:t>公共预算基本支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672.42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万元，其中，人员经费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569.43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万元，公用经费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102.99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万元。</w:t>
      </w:r>
    </w:p>
    <w:p>
      <w:pPr>
        <w:spacing w:before="5" w:line="360" w:lineRule="auto"/>
        <w:ind w:left="5" w:right="92" w:firstLine="61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(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) 人员经费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569.43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万元，主要包括:基本工资、津贴补贴、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奖金、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伙食补助费、绩效工资、机关事业单位基本养老保险费、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职业年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金缴费、职工基本医疗保险缴费、公务员医疗补助缴费、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其他社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会保障缴费、住房公积金、医疗费、其他工资福利支出、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离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休费、退休费、生活补助、对其他个人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和家</w:t>
      </w:r>
      <w:r>
        <w:rPr>
          <w:rFonts w:hint="eastAsia" w:ascii="仿宋" w:hAnsi="仿宋" w:eastAsia="仿宋" w:cs="仿宋"/>
          <w:sz w:val="32"/>
          <w:szCs w:val="32"/>
        </w:rPr>
        <w:t xml:space="preserve">庭的补助支出。 </w:t>
      </w:r>
    </w:p>
    <w:p>
      <w:pPr>
        <w:spacing w:line="360" w:lineRule="auto"/>
        <w:ind w:left="11" w:firstLine="61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( 二 ) 公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经费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102.99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万元，主要包括：办公费、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水费、电费、差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旅费、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维修 (护) 费、会议费、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公务接待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费、劳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务费、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工会经费、福利费、公务用车运行维护费、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其他交通费用、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其他商品服务支出、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办公设备购置、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公务用车购置、其他支出等。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七、关于 2023 年政府性基金预算支出表的说明</w:t>
      </w:r>
    </w:p>
    <w:p>
      <w:pPr>
        <w:spacing w:before="188" w:line="360" w:lineRule="auto"/>
        <w:ind w:firstLine="688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2023 年没有政府性基金预算拨款收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入，也没有使用政府性基金预算拨款安排的支出。</w:t>
      </w:r>
    </w:p>
    <w:p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八、关于 2023 年国有资本经营预算支出表的说明</w:t>
      </w:r>
    </w:p>
    <w:p>
      <w:pPr>
        <w:spacing w:before="187" w:line="360" w:lineRule="auto"/>
        <w:ind w:left="13" w:right="79" w:firstLine="62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2023 年没有</w:t>
      </w:r>
      <w:r>
        <w:rPr>
          <w:rFonts w:hint="eastAsia" w:ascii="仿宋" w:hAnsi="仿宋" w:eastAsia="仿宋" w:cs="仿宋"/>
          <w:sz w:val="32"/>
          <w:szCs w:val="32"/>
        </w:rPr>
        <w:t>国有资本经营预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拨款收入，也没有使用国有资本经营预算拨款安排的支出。</w:t>
      </w:r>
    </w:p>
    <w:p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九、关于 2023 年项目支出表的说明</w:t>
      </w:r>
    </w:p>
    <w:p>
      <w:pPr>
        <w:spacing w:before="190" w:line="360" w:lineRule="auto"/>
        <w:ind w:firstLine="628" w:firstLineChars="200"/>
        <w:jc w:val="both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2023 年预算共安排项目支出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8.00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2022 年预算减少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9.9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万元，下降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55.31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%，下降原因主要是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2022年有公务用车购置，2023年公务用车购置没有做项目支出安排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。</w:t>
      </w:r>
    </w:p>
    <w:p>
      <w:pPr>
        <w:spacing w:line="360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十、关于 2023 年政府采购支出表的说明</w:t>
      </w:r>
    </w:p>
    <w:p>
      <w:pPr>
        <w:spacing w:before="190" w:line="360" w:lineRule="auto"/>
        <w:ind w:firstLine="644" w:firstLineChars="20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2023 年预算</w:t>
      </w:r>
      <w:r>
        <w:rPr>
          <w:rFonts w:hint="eastAsia" w:ascii="仿宋" w:hAnsi="仿宋" w:eastAsia="仿宋" w:cs="仿宋"/>
          <w:sz w:val="32"/>
          <w:szCs w:val="32"/>
        </w:rPr>
        <w:t>安排政府采购支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比 2022 年预算增加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14.1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78.77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%，增长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公务用车购置没有作项目预算，只做采购预算支出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>
      <w:pPr>
        <w:spacing w:line="360" w:lineRule="auto"/>
        <w:ind w:left="634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十一、关于 2023 年政府购买服务支出表的说明</w:t>
      </w:r>
    </w:p>
    <w:p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2023 年没有</w:t>
      </w:r>
      <w:r>
        <w:rPr>
          <w:rFonts w:hint="eastAsia" w:ascii="仿宋" w:hAnsi="仿宋" w:eastAsia="仿宋" w:cs="仿宋"/>
          <w:sz w:val="32"/>
          <w:szCs w:val="32"/>
        </w:rPr>
        <w:t>安排政府购买服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务支</w:t>
      </w:r>
      <w:r>
        <w:rPr>
          <w:rFonts w:hint="eastAsia" w:ascii="仿宋" w:hAnsi="仿宋" w:eastAsia="仿宋" w:cs="仿宋"/>
          <w:sz w:val="32"/>
          <w:szCs w:val="32"/>
        </w:rPr>
        <w:t>出。</w:t>
      </w:r>
    </w:p>
    <w:p>
      <w:pPr>
        <w:spacing w:line="232" w:lineRule="auto"/>
        <w:ind w:left="623"/>
        <w:rPr>
          <w:rFonts w:ascii="黑体" w:hAnsi="黑体" w:eastAsia="黑体" w:cs="黑体"/>
          <w:spacing w:val="2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十二、其他重要事项情况说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</w:p>
    <w:p>
      <w:pPr>
        <w:pStyle w:val="2"/>
      </w:pPr>
    </w:p>
    <w:p>
      <w:pPr>
        <w:spacing w:line="232" w:lineRule="auto"/>
        <w:ind w:left="623"/>
        <w:rPr>
          <w:rFonts w:hint="eastAsia" w:ascii="仿宋" w:hAnsi="仿宋" w:eastAsia="仿宋" w:cs="仿宋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一 ) 项目及绩效目标情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  <w:lang w:eastAsia="zh-CN"/>
        </w:rPr>
        <w:t>况。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向阳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镇人民政府2023年非税收入安排的支出”项目。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(1) 项目概述。 首先完成2023年度非税收入征缴任务，其次完成2023年度非税收入安排的支出（办公设备购置和保障日常办公正常运转）。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(2) 立项依据。首先完成2023年度非税收入征缴任务，其次完成2023年度非税收入安排的支出（办公设备购置和保障日常办公正常运转）。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(3) 实施主体。向阳镇人民政府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(4) 起止时间。 2023年1月1日--2023年12月31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(5) 项目内容。首先完成2023年度非税收入征缴任务，其次完成2023年度非税收入安排的支出（办公设备购置和保障日常办公正常运转）。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(6) 年度预算安排。 2023年度预算安排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万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(7) 绩效目标。</w:t>
      </w:r>
    </w:p>
    <w:p>
      <w:pPr>
        <w:spacing w:before="91" w:line="221" w:lineRule="auto"/>
        <w:ind w:left="32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项</w:t>
      </w:r>
      <w:r>
        <w:rPr>
          <w:rFonts w:ascii="宋体" w:hAnsi="宋体" w:eastAsia="宋体" w:cs="宋体"/>
          <w:spacing w:val="-5"/>
          <w:sz w:val="28"/>
          <w:szCs w:val="28"/>
        </w:rPr>
        <w:t>目支出绩效目标表</w:t>
      </w:r>
    </w:p>
    <w:p>
      <w:pPr>
        <w:spacing w:before="22" w:line="227" w:lineRule="auto"/>
        <w:ind w:left="39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</w:t>
      </w:r>
      <w:r>
        <w:rPr>
          <w:rFonts w:ascii="宋体" w:hAnsi="宋体" w:eastAsia="宋体" w:cs="宋体"/>
          <w:spacing w:val="6"/>
          <w:sz w:val="19"/>
          <w:szCs w:val="19"/>
        </w:rPr>
        <w:t>2023 年度)</w:t>
      </w: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50"/>
        <w:gridCol w:w="812"/>
        <w:gridCol w:w="3199"/>
        <w:gridCol w:w="853"/>
        <w:gridCol w:w="2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54" w:type="dxa"/>
            <w:gridSpan w:val="2"/>
          </w:tcPr>
          <w:p>
            <w:pPr>
              <w:spacing w:before="71" w:line="230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7105" w:type="dxa"/>
            <w:gridSpan w:val="4"/>
            <w:vAlign w:val="center"/>
          </w:tcPr>
          <w:p>
            <w:pPr>
              <w:jc w:val="both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18"/>
                <w:szCs w:val="18"/>
                <w:lang w:val="en-US" w:eastAsia="zh-CN"/>
              </w:rPr>
              <w:t>灵璧县向阳镇人民政府2023年非税收入安排的支出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4" w:type="dxa"/>
            <w:gridSpan w:val="2"/>
          </w:tcPr>
          <w:p>
            <w:pPr>
              <w:spacing w:before="49" w:line="194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管部门</w:t>
            </w:r>
          </w:p>
          <w:p>
            <w:pPr>
              <w:spacing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代码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113413230032004974</w:t>
            </w:r>
          </w:p>
        </w:tc>
        <w:tc>
          <w:tcPr>
            <w:tcW w:w="853" w:type="dxa"/>
            <w:vAlign w:val="center"/>
          </w:tcPr>
          <w:p>
            <w:pPr>
              <w:spacing w:before="147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实施单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位</w:t>
            </w:r>
          </w:p>
        </w:tc>
        <w:tc>
          <w:tcPr>
            <w:tcW w:w="2241" w:type="dxa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灵璧县向阳镇人民政府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54" w:type="dxa"/>
            <w:gridSpan w:val="2"/>
          </w:tcPr>
          <w:p>
            <w:pPr>
              <w:spacing w:before="86" w:line="22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项目来源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灵璧县向阳镇人民政府组织征收的非税收入</w:t>
            </w:r>
          </w:p>
        </w:tc>
        <w:tc>
          <w:tcPr>
            <w:tcW w:w="853" w:type="dxa"/>
            <w:vAlign w:val="center"/>
          </w:tcPr>
          <w:p>
            <w:pPr>
              <w:spacing w:before="86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项目期</w:t>
            </w:r>
          </w:p>
        </w:tc>
        <w:tc>
          <w:tcPr>
            <w:tcW w:w="2241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restart"/>
            <w:tcBorders>
              <w:bottom w:val="nil"/>
            </w:tcBorders>
          </w:tcPr>
          <w:p>
            <w:pPr>
              <w:spacing w:line="383" w:lineRule="auto"/>
            </w:pPr>
          </w:p>
          <w:p>
            <w:pPr>
              <w:spacing w:before="62" w:line="259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项目资金</w:t>
            </w:r>
          </w:p>
          <w:p>
            <w:pPr>
              <w:spacing w:line="22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万元)</w:t>
            </w:r>
          </w:p>
        </w:tc>
        <w:tc>
          <w:tcPr>
            <w:tcW w:w="4011" w:type="dxa"/>
            <w:gridSpan w:val="2"/>
          </w:tcPr>
          <w:p>
            <w:pPr>
              <w:spacing w:before="68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年度资金总额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：</w:t>
            </w:r>
          </w:p>
        </w:tc>
        <w:tc>
          <w:tcPr>
            <w:tcW w:w="309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011" w:type="dxa"/>
            <w:gridSpan w:val="2"/>
          </w:tcPr>
          <w:p>
            <w:pPr>
              <w:spacing w:before="66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中：财政拨款</w:t>
            </w:r>
          </w:p>
        </w:tc>
        <w:tc>
          <w:tcPr>
            <w:tcW w:w="3094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011" w:type="dxa"/>
            <w:gridSpan w:val="2"/>
          </w:tcPr>
          <w:p>
            <w:pPr>
              <w:spacing w:before="67" w:line="229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3094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011" w:type="dxa"/>
            <w:gridSpan w:val="2"/>
          </w:tcPr>
          <w:p>
            <w:pPr>
              <w:spacing w:before="68" w:line="230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</w:t>
            </w:r>
          </w:p>
        </w:tc>
        <w:tc>
          <w:tcPr>
            <w:tcW w:w="3094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04" w:type="dxa"/>
            <w:textDirection w:val="tbRlV"/>
          </w:tcPr>
          <w:p>
            <w:pPr>
              <w:spacing w:before="117" w:line="21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年度目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标</w:t>
            </w:r>
          </w:p>
        </w:tc>
        <w:tc>
          <w:tcPr>
            <w:tcW w:w="7855" w:type="dxa"/>
            <w:gridSpan w:val="5"/>
          </w:tcPr>
          <w:p>
            <w:r>
              <w:rPr>
                <w:rFonts w:hint="eastAsia"/>
              </w:rPr>
              <w:t>首先完成2023年度非税收入征缴任务，其次完成2023年度非税收入安排的支出（办公设备购置和保障日常办公正常运转）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7" w:line="216" w:lineRule="auto"/>
              <w:ind w:left="3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效 指 标</w:t>
            </w:r>
          </w:p>
        </w:tc>
        <w:tc>
          <w:tcPr>
            <w:tcW w:w="750" w:type="dxa"/>
          </w:tcPr>
          <w:p>
            <w:pPr>
              <w:spacing w:before="58" w:line="196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一级</w:t>
            </w:r>
          </w:p>
          <w:p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</w:tcPr>
          <w:p>
            <w:pPr>
              <w:spacing w:before="58" w:line="196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二级</w:t>
            </w:r>
          </w:p>
          <w:p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158" w:line="230" w:lineRule="auto"/>
              <w:ind w:left="10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三级指标</w:t>
            </w:r>
          </w:p>
        </w:tc>
        <w:tc>
          <w:tcPr>
            <w:tcW w:w="3094" w:type="dxa"/>
            <w:gridSpan w:val="2"/>
          </w:tcPr>
          <w:p>
            <w:pPr>
              <w:spacing w:before="158" w:line="229" w:lineRule="auto"/>
              <w:ind w:left="18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restart"/>
            <w:tcBorders>
              <w:bottom w:val="nil"/>
            </w:tcBorders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62" w:line="259" w:lineRule="exact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出</w:t>
            </w:r>
          </w:p>
          <w:p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1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  <w:p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5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非税收入安排支出足额保障率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1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质量</w:t>
            </w:r>
          </w:p>
          <w:p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非税收入安排支出合规率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173" w:line="196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时效</w:t>
            </w:r>
          </w:p>
          <w:p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非税收入安排支出发放及时率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173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成本</w:t>
            </w:r>
          </w:p>
          <w:p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4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非税收入安排支出项目成本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80000元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</w:tcBorders>
          </w:tcPr>
          <w:p/>
        </w:tc>
        <w:tc>
          <w:tcPr>
            <w:tcW w:w="812" w:type="dxa"/>
          </w:tcPr>
          <w:p>
            <w:pPr>
              <w:spacing w:before="85" w:line="282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199" w:type="dxa"/>
          </w:tcPr>
          <w:p/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62" w:line="259" w:lineRule="exact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4"/>
                <w:sz w:val="19"/>
                <w:szCs w:val="19"/>
              </w:rPr>
              <w:t>效益</w:t>
            </w:r>
          </w:p>
          <w:p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</w:p>
          <w:p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240" w:line="111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75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</w:t>
            </w:r>
          </w:p>
          <w:p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非税收入安排支出，对保障机构正常运转的影响程度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较高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</w:p>
          <w:p>
            <w:pPr>
              <w:spacing w:line="194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4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</w:t>
            </w:r>
          </w:p>
          <w:p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续影</w:t>
            </w:r>
          </w:p>
          <w:p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响指</w:t>
            </w:r>
          </w:p>
          <w:p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标</w:t>
            </w:r>
          </w:p>
        </w:tc>
        <w:tc>
          <w:tcPr>
            <w:tcW w:w="3199" w:type="dxa"/>
          </w:tcPr>
          <w:p>
            <w:pPr>
              <w:spacing w:before="113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3199" w:type="dxa"/>
          </w:tcPr>
          <w:p>
            <w:pPr>
              <w:spacing w:before="125" w:line="309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</w:tcBorders>
          </w:tcPr>
          <w:p/>
        </w:tc>
        <w:tc>
          <w:tcPr>
            <w:tcW w:w="812" w:type="dxa"/>
          </w:tcPr>
          <w:p>
            <w:pPr>
              <w:spacing w:before="88" w:line="280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199" w:type="dxa"/>
          </w:tcPr>
          <w:p/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750" w:type="dxa"/>
            <w:vMerge w:val="restart"/>
            <w:tcBorders>
              <w:bottom w:val="nil"/>
            </w:tcBorders>
          </w:tcPr>
          <w:p>
            <w:pPr>
              <w:spacing w:before="62" w:line="194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>
            <w:pPr>
              <w:spacing w:line="195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>
            <w:pPr>
              <w:spacing w:line="22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spacing w:before="62" w:line="194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>
            <w:pPr>
              <w:spacing w:line="195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>
            <w:pPr>
              <w:spacing w:line="229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受益人满意度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≧</w:t>
            </w:r>
            <w:r>
              <w:rPr>
                <w:rFonts w:hint="eastAsia" w:eastAsia="宋体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50" w:type="dxa"/>
            <w:vMerge w:val="continue"/>
            <w:tcBorders>
              <w:top w:val="nil"/>
            </w:tcBorders>
          </w:tcPr>
          <w:p/>
        </w:tc>
        <w:tc>
          <w:tcPr>
            <w:tcW w:w="812" w:type="dxa"/>
            <w:vMerge w:val="continue"/>
            <w:tcBorders>
              <w:top w:val="nil"/>
            </w:tcBorders>
          </w:tcPr>
          <w:p/>
        </w:tc>
        <w:tc>
          <w:tcPr>
            <w:tcW w:w="3199" w:type="dxa"/>
          </w:tcPr>
          <w:p>
            <w:pPr>
              <w:spacing w:before="86" w:line="285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spacing w:line="221" w:lineRule="auto"/>
        <w:ind w:firstLine="603" w:firstLineChars="20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二 ) 机关运行经费。</w:t>
      </w:r>
    </w:p>
    <w:p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2023 年机关运行经费财政拨款预算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84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比 2022 年预算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84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增加0.00万元</w:t>
      </w:r>
      <w:r>
        <w:rPr>
          <w:rFonts w:ascii="仿宋" w:hAnsi="仿宋" w:eastAsia="仿宋" w:cs="仿宋"/>
          <w:spacing w:val="1"/>
          <w:sz w:val="32"/>
          <w:szCs w:val="32"/>
        </w:rPr>
        <w:t>，增长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0.00</w:t>
      </w:r>
      <w:r>
        <w:rPr>
          <w:rFonts w:ascii="仿宋" w:hAnsi="仿宋" w:eastAsia="仿宋" w:cs="仿宋"/>
          <w:spacing w:val="1"/>
          <w:sz w:val="32"/>
          <w:szCs w:val="32"/>
        </w:rPr>
        <w:t>%，增长主要原因是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2023年预算与2022年预算持平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</w:p>
    <w:p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三 ) 政府采购情况。</w:t>
      </w:r>
    </w:p>
    <w:p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2023 年政府采购预算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32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其中：政府采购货物预算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32</w:t>
      </w:r>
      <w:r>
        <w:rPr>
          <w:rFonts w:ascii="仿宋" w:hAnsi="仿宋" w:eastAsia="仿宋" w:cs="仿宋"/>
          <w:spacing w:val="1"/>
          <w:sz w:val="32"/>
          <w:szCs w:val="32"/>
        </w:rPr>
        <w:t>万元。</w:t>
      </w:r>
    </w:p>
    <w:p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四 ) 国有资产占有使用情况。</w:t>
      </w:r>
    </w:p>
    <w:p>
      <w:pPr>
        <w:spacing w:before="193" w:line="360" w:lineRule="auto"/>
        <w:ind w:right="92" w:firstLine="63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截至 2022 年 12 月 31 日，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ascii="仿宋" w:hAnsi="仿宋" w:eastAsia="仿宋" w:cs="仿宋"/>
          <w:spacing w:val="-2"/>
          <w:sz w:val="32"/>
          <w:szCs w:val="32"/>
        </w:rPr>
        <w:t>共有车辆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辆，其中：主要领导干部用车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辆。</w:t>
      </w:r>
    </w:p>
    <w:p>
      <w:pPr>
        <w:spacing w:before="5" w:line="360" w:lineRule="auto"/>
        <w:ind w:firstLine="63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2023 年部门 (单位) 预算安排购置公务用车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辆，购置费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"/>
          <w:spacing w:val="-2"/>
          <w:sz w:val="32"/>
          <w:szCs w:val="32"/>
        </w:rPr>
        <w:t>万元，其中：主要领导干部用车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辆。</w:t>
      </w:r>
    </w:p>
    <w:p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五 ) 绩效目标设置情况。</w:t>
      </w:r>
    </w:p>
    <w:p>
      <w:pPr>
        <w:spacing w:before="193" w:line="360" w:lineRule="auto"/>
        <w:ind w:right="92" w:firstLine="61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023 年，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向阳镇人民政府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-2"/>
          <w:sz w:val="32"/>
          <w:szCs w:val="32"/>
        </w:rPr>
        <w:t>万元。</w:t>
      </w:r>
    </w:p>
    <w:p>
      <w:pPr>
        <w:spacing w:before="190" w:line="360" w:lineRule="auto"/>
        <w:ind w:firstLine="420" w:firstLineChars="20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br w:type="page"/>
      </w:r>
    </w:p>
    <w:p>
      <w:pPr>
        <w:pStyle w:val="2"/>
        <w:ind w:firstLine="0"/>
      </w:pPr>
    </w:p>
    <w:p>
      <w:pPr>
        <w:spacing w:before="114" w:line="227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第四</w:t>
      </w:r>
      <w:r>
        <w:rPr>
          <w:rFonts w:ascii="黑体" w:hAnsi="黑体" w:eastAsia="黑体" w:cs="黑体"/>
          <w:spacing w:val="2"/>
          <w:sz w:val="35"/>
          <w:szCs w:val="35"/>
        </w:rPr>
        <w:t>部分名词解释</w:t>
      </w:r>
    </w:p>
    <w:p>
      <w:pPr>
        <w:spacing w:line="310" w:lineRule="auto"/>
      </w:pPr>
    </w:p>
    <w:p>
      <w:pPr>
        <w:spacing w:line="311" w:lineRule="auto"/>
      </w:pPr>
    </w:p>
    <w:p>
      <w:pPr>
        <w:spacing w:before="101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一、财政拨款收入：</w:t>
      </w:r>
      <w:r>
        <w:rPr>
          <w:rFonts w:ascii="仿宋" w:hAnsi="仿宋" w:eastAsia="仿宋" w:cs="仿宋"/>
          <w:spacing w:val="-2"/>
          <w:sz w:val="32"/>
          <w:szCs w:val="32"/>
        </w:rPr>
        <w:t>指部门或单位从同级财政部门取得的财政预算资金。</w:t>
      </w:r>
    </w:p>
    <w:p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二、财政专户管理资金：</w:t>
      </w:r>
      <w:r>
        <w:rPr>
          <w:rFonts w:ascii="仿宋" w:hAnsi="仿宋" w:eastAsia="仿宋" w:cs="仿宋"/>
          <w:spacing w:val="-2"/>
          <w:sz w:val="32"/>
          <w:szCs w:val="32"/>
        </w:rPr>
        <w:t>指按照非税收入管理相关规定，纳入财政专户管理的教育收费等。</w:t>
      </w:r>
    </w:p>
    <w:p>
      <w:pPr>
        <w:spacing w:before="2"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pacing w:val="-3"/>
          <w:sz w:val="32"/>
          <w:szCs w:val="32"/>
        </w:rPr>
        <w:t>、上年结转：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指以前年度安排、结转到本年仍按原用途继续使用的资金。</w:t>
      </w:r>
    </w:p>
    <w:p>
      <w:pPr>
        <w:spacing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spacing w:val="-3"/>
          <w:sz w:val="32"/>
          <w:szCs w:val="32"/>
        </w:rPr>
        <w:t>、结转下年：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指以前年度预算安排、因客观条件发生变化无法按原计划实施，需以后年度按原用途继续使用的资金。</w:t>
      </w:r>
    </w:p>
    <w:p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、基本支出：</w:t>
      </w:r>
      <w:r>
        <w:rPr>
          <w:rFonts w:ascii="仿宋" w:hAnsi="仿宋" w:eastAsia="仿宋" w:cs="仿宋"/>
          <w:spacing w:val="-2"/>
          <w:sz w:val="32"/>
          <w:szCs w:val="32"/>
        </w:rPr>
        <w:t>指为保障机构正常运转、完成日常工作任务而发生的人员支出和公用支出。</w:t>
      </w:r>
    </w:p>
    <w:p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、项目支出：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指在除基本支出之外的支出，主要用于完成特定的工作任务和事业发展目标。</w:t>
      </w:r>
    </w:p>
    <w:p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七</w:t>
      </w:r>
      <w:r>
        <w:rPr>
          <w:rFonts w:ascii="黑体" w:hAnsi="黑体" w:eastAsia="黑体" w:cs="黑体"/>
          <w:spacing w:val="-3"/>
          <w:sz w:val="32"/>
          <w:szCs w:val="32"/>
        </w:rPr>
        <w:t>、机关运行经费: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为保障行政单位(包括参照公务员法管理的事业单位)运行用于购买货物和服务的各项资金，包括办公费、差旅费、会议费、福利费、日常维修费、一般</w:t>
      </w:r>
      <w:r>
        <w:rPr>
          <w:rFonts w:ascii="仿宋" w:hAnsi="仿宋" w:eastAsia="仿宋" w:cs="仿宋"/>
          <w:spacing w:val="-2"/>
          <w:sz w:val="32"/>
          <w:szCs w:val="32"/>
        </w:rPr>
        <w:t>设备购置费、办公用房水电费、公务用车运行维护费以及其他费用。</w:t>
      </w:r>
    </w:p>
    <w:p>
      <w:pPr>
        <w:spacing w:before="223" w:line="360" w:lineRule="auto"/>
        <w:ind w:firstLine="644" w:firstLineChars="200"/>
        <w:jc w:val="both"/>
        <w:rPr>
          <w:rFonts w:ascii="楷体" w:hAnsi="楷体" w:eastAsia="楷体" w:cs="楷体"/>
          <w:color w:val="FF0000"/>
          <w:spacing w:val="9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八</w:t>
      </w:r>
      <w:r>
        <w:rPr>
          <w:rFonts w:ascii="黑体" w:hAnsi="黑体" w:eastAsia="黑体" w:cs="黑体"/>
          <w:spacing w:val="6"/>
          <w:sz w:val="31"/>
          <w:szCs w:val="31"/>
        </w:rPr>
        <w:t>、</w:t>
      </w:r>
      <w:r>
        <w:rPr>
          <w:rFonts w:ascii="黑体" w:hAnsi="黑体" w:eastAsia="黑体" w:cs="黑体"/>
          <w:spacing w:val="4"/>
          <w:sz w:val="31"/>
          <w:szCs w:val="31"/>
        </w:rPr>
        <w:t>一</w:t>
      </w:r>
      <w:r>
        <w:rPr>
          <w:rFonts w:ascii="黑体" w:hAnsi="黑体" w:eastAsia="黑体" w:cs="黑体"/>
          <w:spacing w:val="3"/>
          <w:sz w:val="31"/>
          <w:szCs w:val="31"/>
        </w:rPr>
        <w:t>般公共服务支出(类)财政事务(款)财政国库业</w:t>
      </w:r>
      <w:r>
        <w:rPr>
          <w:rFonts w:ascii="黑体" w:hAnsi="黑体" w:eastAsia="黑体" w:cs="黑体"/>
          <w:spacing w:val="-4"/>
          <w:sz w:val="31"/>
          <w:szCs w:val="31"/>
        </w:rPr>
        <w:t>务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  <w:r>
        <w:rPr>
          <w:rFonts w:ascii="仿宋" w:hAnsi="仿宋" w:eastAsia="仿宋" w:cs="仿宋"/>
          <w:spacing w:val="-2"/>
          <w:sz w:val="32"/>
          <w:szCs w:val="32"/>
        </w:rPr>
        <w:t>反映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县财政局</w:t>
      </w:r>
      <w:r>
        <w:rPr>
          <w:rFonts w:ascii="仿宋" w:hAnsi="仿宋" w:eastAsia="仿宋" w:cs="仿宋"/>
          <w:spacing w:val="-2"/>
          <w:sz w:val="32"/>
          <w:szCs w:val="32"/>
        </w:rPr>
        <w:t>用于国库集中收付业务方面的支出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>
      <w:pPr>
        <w:pStyle w:val="2"/>
        <w:ind w:firstLine="0"/>
      </w:pPr>
    </w:p>
    <w:sectPr>
      <w:footerReference r:id="rId19" w:type="default"/>
      <w:pgSz w:w="11906" w:h="16838"/>
      <w:pgMar w:top="141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ind w:right="215"/>
      <w:jc w:val="right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ind w:right="48"/>
      <w:jc w:val="right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ind w:left="6603"/>
      <w:rPr>
        <w:rFonts w:ascii="宋体" w:hAnsi="宋体" w:eastAsia="宋体" w:cs="宋体"/>
        <w:sz w:val="28"/>
        <w:szCs w:val="2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8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ind w:right="38"/>
      <w:jc w:val="right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TU5NmI1Y2UwZjdjM2U5ZjMzMDRhY2YxZDA5ZTkifQ=="/>
  </w:docVars>
  <w:rsids>
    <w:rsidRoot w:val="35F85440"/>
    <w:rsid w:val="00000913"/>
    <w:rsid w:val="00025B52"/>
    <w:rsid w:val="000350CA"/>
    <w:rsid w:val="000E056F"/>
    <w:rsid w:val="00106F14"/>
    <w:rsid w:val="001A1A36"/>
    <w:rsid w:val="00272BB3"/>
    <w:rsid w:val="002D6982"/>
    <w:rsid w:val="00310ECA"/>
    <w:rsid w:val="003221FC"/>
    <w:rsid w:val="00377C70"/>
    <w:rsid w:val="00385B4E"/>
    <w:rsid w:val="003A70A4"/>
    <w:rsid w:val="00406007"/>
    <w:rsid w:val="00445342"/>
    <w:rsid w:val="0048509C"/>
    <w:rsid w:val="004A3B6E"/>
    <w:rsid w:val="004A4856"/>
    <w:rsid w:val="00650C76"/>
    <w:rsid w:val="0065235A"/>
    <w:rsid w:val="00670202"/>
    <w:rsid w:val="0069505C"/>
    <w:rsid w:val="00723A45"/>
    <w:rsid w:val="00790C5D"/>
    <w:rsid w:val="007E340E"/>
    <w:rsid w:val="008409F8"/>
    <w:rsid w:val="009267F2"/>
    <w:rsid w:val="00932A92"/>
    <w:rsid w:val="00947115"/>
    <w:rsid w:val="0095307A"/>
    <w:rsid w:val="00987340"/>
    <w:rsid w:val="009A2897"/>
    <w:rsid w:val="00AA0B40"/>
    <w:rsid w:val="00AA4733"/>
    <w:rsid w:val="00B730C4"/>
    <w:rsid w:val="00BA7BFF"/>
    <w:rsid w:val="00BB386F"/>
    <w:rsid w:val="00BC3A13"/>
    <w:rsid w:val="00BC4997"/>
    <w:rsid w:val="00C77ADB"/>
    <w:rsid w:val="00CB3D14"/>
    <w:rsid w:val="00CB6E70"/>
    <w:rsid w:val="00D17E6B"/>
    <w:rsid w:val="00D251E8"/>
    <w:rsid w:val="00D73B6B"/>
    <w:rsid w:val="00DC2D30"/>
    <w:rsid w:val="00DF6686"/>
    <w:rsid w:val="00E27BFB"/>
    <w:rsid w:val="00E5648B"/>
    <w:rsid w:val="00E60ACE"/>
    <w:rsid w:val="00F95854"/>
    <w:rsid w:val="00FA09E6"/>
    <w:rsid w:val="01675739"/>
    <w:rsid w:val="03977E2B"/>
    <w:rsid w:val="066D1D8C"/>
    <w:rsid w:val="084030D7"/>
    <w:rsid w:val="0D2673F7"/>
    <w:rsid w:val="0E625C06"/>
    <w:rsid w:val="102173FB"/>
    <w:rsid w:val="112C42A9"/>
    <w:rsid w:val="1F5638F5"/>
    <w:rsid w:val="1F7317C2"/>
    <w:rsid w:val="33FF032A"/>
    <w:rsid w:val="35F85440"/>
    <w:rsid w:val="3D22018A"/>
    <w:rsid w:val="3EAF2D25"/>
    <w:rsid w:val="48BE2200"/>
    <w:rsid w:val="4AD425F5"/>
    <w:rsid w:val="542974CB"/>
    <w:rsid w:val="54C51EDD"/>
    <w:rsid w:val="5C683FC9"/>
    <w:rsid w:val="60EC4488"/>
    <w:rsid w:val="628A3F58"/>
    <w:rsid w:val="66F932EC"/>
    <w:rsid w:val="74A446F1"/>
    <w:rsid w:val="74EE0377"/>
    <w:rsid w:val="76C94F0B"/>
    <w:rsid w:val="78D41840"/>
    <w:rsid w:val="798A194F"/>
    <w:rsid w:val="7B840A4C"/>
    <w:rsid w:val="7CB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16B075-6A4D-4BB6-9024-BF59F0D07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9994</Words>
  <Characters>11015</Characters>
  <Lines>29</Lines>
  <Paragraphs>27</Paragraphs>
  <TotalTime>9</TotalTime>
  <ScaleCrop>false</ScaleCrop>
  <LinksUpToDate>false</LinksUpToDate>
  <CharactersWithSpaces>11486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福气</cp:lastModifiedBy>
  <dcterms:modified xsi:type="dcterms:W3CDTF">2023-09-08T01:03:46Z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67FF732544B5454692DBFDD6C285AA22</vt:lpwstr>
  </property>
</Properties>
</file>