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right="709"/>
        <w:jc w:val="both"/>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虞姬镇人民政府</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1"/>
          <w:sz w:val="44"/>
          <w:szCs w:val="44"/>
          <w:lang w:eastAsia="zh-CN"/>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w:t>
      </w:r>
      <w:r>
        <w:rPr>
          <w:rFonts w:hint="eastAsia" w:ascii="仿宋" w:hAnsi="仿宋" w:eastAsia="仿宋" w:cs="仿宋"/>
          <w:b/>
          <w:bCs/>
          <w:spacing w:val="2"/>
          <w:sz w:val="32"/>
          <w:szCs w:val="32"/>
          <w:lang w:eastAsia="zh-CN"/>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w:t>
      </w:r>
      <w:r>
        <w:rPr>
          <w:rFonts w:hint="eastAsia" w:ascii="仿宋" w:hAnsi="仿宋" w:eastAsia="仿宋" w:cs="仿宋"/>
          <w:spacing w:val="2"/>
          <w:sz w:val="32"/>
          <w:szCs w:val="32"/>
          <w:lang w:eastAsia="zh-CN"/>
        </w:rPr>
        <w:t>单位</w:t>
      </w:r>
      <w:r>
        <w:rPr>
          <w:rFonts w:hint="eastAsia" w:ascii="仿宋" w:hAnsi="仿宋" w:eastAsia="仿宋" w:cs="仿宋"/>
          <w:spacing w:val="2"/>
          <w:sz w:val="32"/>
          <w:szCs w:val="32"/>
        </w:rPr>
        <w:t>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w:t>
      </w:r>
      <w:r>
        <w:rPr>
          <w:rFonts w:hint="eastAsia" w:ascii="仿宋" w:hAnsi="仿宋" w:eastAsia="仿宋" w:cs="仿宋"/>
          <w:b/>
          <w:bCs/>
          <w:spacing w:val="4"/>
          <w:sz w:val="32"/>
          <w:szCs w:val="32"/>
          <w:lang w:eastAsia="zh-CN"/>
        </w:rPr>
        <w:t>单位</w:t>
      </w:r>
      <w:r>
        <w:rPr>
          <w:rFonts w:hint="eastAsia" w:ascii="仿宋" w:hAnsi="仿宋" w:eastAsia="仿宋" w:cs="仿宋"/>
          <w:b/>
          <w:bCs/>
          <w:spacing w:val="4"/>
          <w:sz w:val="32"/>
          <w:szCs w:val="32"/>
        </w:rPr>
        <w:t>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w:t>
      </w:r>
      <w:r>
        <w:rPr>
          <w:rFonts w:hint="eastAsia" w:ascii="仿宋" w:hAnsi="仿宋" w:eastAsia="仿宋" w:cs="仿宋"/>
          <w:b/>
          <w:bCs/>
          <w:spacing w:val="3"/>
          <w:sz w:val="32"/>
          <w:szCs w:val="32"/>
          <w:lang w:eastAsia="zh-CN"/>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pacing w:val="-8"/>
          <w:sz w:val="10"/>
          <w:szCs w:val="10"/>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w:t>
      </w:r>
      <w:r>
        <w:rPr>
          <w:rFonts w:hint="eastAsia" w:ascii="黑体" w:hAnsi="黑体" w:eastAsia="黑体" w:cs="黑体"/>
          <w:spacing w:val="-8"/>
          <w:sz w:val="36"/>
          <w:szCs w:val="36"/>
          <w:lang w:eastAsia="zh-CN"/>
        </w:rPr>
        <w:t>单位</w:t>
      </w:r>
      <w:r>
        <w:rPr>
          <w:rFonts w:ascii="黑体" w:hAnsi="黑体" w:eastAsia="黑体" w:cs="黑体"/>
          <w:spacing w:val="-8"/>
          <w:sz w:val="36"/>
          <w:szCs w:val="36"/>
        </w:rPr>
        <w:t>概况</w:t>
      </w:r>
    </w:p>
    <w:p>
      <w:pPr>
        <w:pStyle w:val="2"/>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rPr>
        <w:t>(一)</w:t>
      </w:r>
      <w:r>
        <w:rPr>
          <w:rFonts w:hint="eastAsia" w:ascii="仿宋" w:hAnsi="仿宋" w:eastAsia="仿宋" w:cs="仿宋"/>
          <w:spacing w:val="-3"/>
          <w:sz w:val="32"/>
          <w:szCs w:val="32"/>
        </w:rPr>
        <w:t>创造发展环境。抓好新农村建设整体规划和经济发展规划，促进农村经济社会健康发展；改善软硬环境，为市场主体提供便利条件和优质服务，优化发展环境；组织引导农村富余劳动力转移和就业，提高农村城镇化水平；扶持和发展特色经济、优势产业，推进农业产业化，促进农民增收；培育多种形式的农村专业经济合作组织，提高农业集约化的程度和农民进入市场的组织化程度。</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（二）</w:t>
      </w:r>
      <w:r>
        <w:rPr>
          <w:rFonts w:hint="eastAsia" w:ascii="仿宋" w:hAnsi="仿宋" w:eastAsia="仿宋" w:cs="仿宋"/>
          <w:spacing w:val="-3"/>
          <w:sz w:val="32"/>
          <w:szCs w:val="32"/>
        </w:rPr>
        <w:t>加强社会管理。按规定权限管理或协助上级政府部门管理本行政区域内的教育、公安、民政、劳动保障、安全生产、文化、卫生、人口与计划生育、保护耕地、环境保护、村镇规划建设管理等行政工作；协同有关部门搞好农村市场监管，维护市场秩序；建立重大疫情、灾情等公共突发事件预防和应急机制，提高应对公共危机能力。指导村（居）民自治活动，推动农村民主政治建设和村民自治。</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（三）</w:t>
      </w:r>
      <w:r>
        <w:rPr>
          <w:rFonts w:hint="eastAsia" w:ascii="仿宋" w:hAnsi="仿宋" w:eastAsia="仿宋" w:cs="仿宋"/>
          <w:spacing w:val="-3"/>
          <w:sz w:val="32"/>
          <w:szCs w:val="32"/>
        </w:rPr>
        <w:t>搞好公共服务。按规定权限负责或协助上级政府部门抓好农田水利、乡村道路、广播电视、供水、供电等基础设施建设与管理，改善农村生产生活条件；加快农村教育、文化、科技、卫生等社会公共事业建设，提高农民的思想道德、科学文化和健康素质；建立健全农业服务体系，为农民群众和市场主体提供政策、科技、信息服务。</w:t>
      </w:r>
    </w:p>
    <w:p>
      <w:pPr>
        <w:tabs>
          <w:tab w:val="left" w:pos="607"/>
        </w:tabs>
        <w:spacing w:before="189" w:line="360" w:lineRule="auto"/>
        <w:ind w:left="448"/>
        <w:outlineLvl w:val="0"/>
        <w:rPr>
          <w:rFonts w:ascii="仿宋" w:hAnsi="仿宋" w:eastAsia="仿宋" w:cs="仿宋"/>
          <w:spacing w:val="-3"/>
          <w:sz w:val="32"/>
          <w:szCs w:val="32"/>
        </w:rPr>
      </w:pPr>
      <w:r>
        <w:rPr>
          <w:rFonts w:hint="eastAsia" w:ascii="仿宋" w:hAnsi="仿宋" w:eastAsia="仿宋" w:cs="仿宋"/>
          <w:b/>
          <w:bCs/>
          <w:spacing w:val="-3"/>
          <w:sz w:val="32"/>
          <w:szCs w:val="32"/>
          <w:lang w:eastAsia="zh-CN"/>
        </w:rPr>
        <w:t>（四）</w:t>
      </w:r>
      <w:r>
        <w:rPr>
          <w:rFonts w:hint="eastAsia" w:ascii="仿宋" w:hAnsi="仿宋" w:eastAsia="仿宋" w:cs="仿宋"/>
          <w:spacing w:val="-3"/>
          <w:sz w:val="32"/>
          <w:szCs w:val="32"/>
        </w:rPr>
        <w:t>促进稳定和谐。做好农村扶贫开发、五保户供养、农村贫困人口救助工作。积极创造条件，配合上级政府建立并落实与当地经济发展水平相适应的农村社会救助和社会保障体系，推进农村养老保险、新型合作医疗、医疗救助、社会救助、失地农民保障等制度建设。加强农村政策法制宣传教育，协调社会利益关系，回应农民诉求，保护农民权益，维护社会公平、正义。做好农村信访工作，加强各类矛盾纠纷调处，强化社会治安综合治理，维护社会稳定。</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w:t>
      </w:r>
      <w:r>
        <w:rPr>
          <w:rFonts w:hint="eastAsia" w:ascii="黑体" w:hAnsi="黑体" w:eastAsia="黑体" w:cs="黑体"/>
          <w:spacing w:val="3"/>
          <w:sz w:val="32"/>
          <w:szCs w:val="32"/>
          <w:lang w:eastAsia="zh-CN"/>
        </w:rPr>
        <w:t>单位</w:t>
      </w:r>
      <w:r>
        <w:rPr>
          <w:rFonts w:hint="eastAsia" w:ascii="黑体" w:hAnsi="黑体" w:eastAsia="黑体" w:cs="黑体"/>
          <w:spacing w:val="3"/>
          <w:sz w:val="32"/>
          <w:szCs w:val="32"/>
        </w:rPr>
        <w:t>预算构成</w:t>
      </w:r>
    </w:p>
    <w:p>
      <w:pPr>
        <w:tabs>
          <w:tab w:val="left" w:pos="784"/>
        </w:tabs>
        <w:spacing w:before="191" w:line="333" w:lineRule="auto"/>
        <w:ind w:left="17" w:firstLine="607"/>
        <w:rPr>
          <w:rFonts w:ascii="仿宋" w:hAnsi="仿宋" w:eastAsia="仿宋" w:cs="仿宋"/>
          <w:sz w:val="31"/>
          <w:szCs w:val="31"/>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虞姬镇人民政府</w:t>
      </w:r>
      <w:r>
        <w:rPr>
          <w:rFonts w:hint="eastAsia" w:ascii="仿宋" w:hAnsi="仿宋" w:eastAsia="仿宋" w:cs="仿宋"/>
          <w:spacing w:val="-3"/>
          <w:sz w:val="32"/>
          <w:szCs w:val="32"/>
        </w:rPr>
        <w:t>2023年度单位预算包括单位本级预算及所属下级单位预算，纳入单位预算编制范围的预算单位共</w:t>
      </w:r>
      <w:r>
        <w:rPr>
          <w:rFonts w:hint="eastAsia" w:ascii="仿宋" w:hAnsi="仿宋" w:eastAsia="仿宋" w:cs="仿宋"/>
          <w:spacing w:val="1"/>
          <w:sz w:val="32"/>
          <w:szCs w:val="32"/>
          <w:lang w:val="en-US" w:eastAsia="zh-CN"/>
        </w:rPr>
        <w:t>7</w:t>
      </w:r>
      <w:r>
        <w:rPr>
          <w:rFonts w:hint="eastAsia" w:ascii="仿宋" w:hAnsi="仿宋" w:eastAsia="仿宋" w:cs="仿宋"/>
          <w:spacing w:val="1"/>
          <w:sz w:val="32"/>
          <w:szCs w:val="32"/>
        </w:rPr>
        <w:t>个</w:t>
      </w:r>
      <w:r>
        <w:rPr>
          <w:rFonts w:hint="eastAsia" w:ascii="仿宋" w:hAnsi="仿宋" w:eastAsia="仿宋" w:cs="仿宋"/>
          <w:sz w:val="32"/>
          <w:szCs w:val="32"/>
        </w:rPr>
        <w:t>，具体情况见下表。</w:t>
      </w:r>
    </w:p>
    <w:p>
      <w:pPr>
        <w:spacing w:line="138" w:lineRule="auto"/>
        <w:rPr>
          <w:sz w:val="2"/>
        </w:rPr>
      </w:pPr>
    </w:p>
    <w:tbl>
      <w:tblPr>
        <w:tblStyle w:val="8"/>
        <w:tblW w:w="85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3410"/>
        <w:gridCol w:w="4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862" w:type="dxa"/>
            <w:tcBorders>
              <w:top w:val="single" w:color="000000" w:sz="2" w:space="0"/>
              <w:bottom w:val="single" w:color="000000" w:sz="2" w:space="0"/>
            </w:tcBorders>
          </w:tcPr>
          <w:p>
            <w:pPr>
              <w:spacing w:before="268" w:line="225" w:lineRule="auto"/>
              <w:ind w:left="194"/>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3410" w:type="dxa"/>
            <w:tcBorders>
              <w:top w:val="single" w:color="000000" w:sz="2" w:space="0"/>
              <w:bottom w:val="single" w:color="000000" w:sz="2" w:space="0"/>
            </w:tcBorders>
          </w:tcPr>
          <w:p>
            <w:pPr>
              <w:spacing w:before="267" w:line="224" w:lineRule="auto"/>
              <w:ind w:left="1241"/>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c>
          <w:tcPr>
            <w:tcW w:w="4272" w:type="dxa"/>
            <w:tcBorders>
              <w:top w:val="single" w:color="000000" w:sz="2" w:space="0"/>
              <w:bottom w:val="single" w:color="000000" w:sz="2" w:space="0"/>
            </w:tcBorders>
          </w:tcPr>
          <w:p>
            <w:pPr>
              <w:spacing w:before="267" w:line="223" w:lineRule="auto"/>
              <w:ind w:left="1673"/>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62" w:type="dxa"/>
            <w:tcBorders>
              <w:top w:val="single" w:color="000000" w:sz="2" w:space="0"/>
              <w:bottom w:val="single" w:color="000000" w:sz="2" w:space="0"/>
            </w:tcBorders>
          </w:tcPr>
          <w:p>
            <w:pPr>
              <w:spacing w:before="284" w:line="195" w:lineRule="auto"/>
              <w:ind w:left="384"/>
              <w:jc w:val="both"/>
              <w:rPr>
                <w:rFonts w:hint="eastAsia" w:ascii="仿宋" w:hAnsi="仿宋" w:eastAsia="仿宋" w:cs="仿宋"/>
                <w:sz w:val="22"/>
                <w:szCs w:val="22"/>
              </w:rPr>
            </w:pPr>
            <w:r>
              <w:rPr>
                <w:rFonts w:hint="eastAsia" w:ascii="仿宋" w:hAnsi="仿宋" w:eastAsia="仿宋" w:cs="仿宋"/>
                <w:sz w:val="22"/>
                <w:szCs w:val="22"/>
              </w:rPr>
              <w:t>1</w:t>
            </w:r>
          </w:p>
        </w:tc>
        <w:tc>
          <w:tcPr>
            <w:tcW w:w="3410" w:type="dxa"/>
            <w:tcBorders>
              <w:top w:val="single" w:color="000000" w:sz="2" w:space="0"/>
              <w:bottom w:val="single" w:color="000000" w:sz="2" w:space="0"/>
            </w:tcBorders>
          </w:tcPr>
          <w:p>
            <w:pPr>
              <w:spacing w:before="257" w:line="225" w:lineRule="auto"/>
              <w:ind w:left="461"/>
              <w:rPr>
                <w:rFonts w:hint="eastAsia" w:ascii="仿宋" w:hAnsi="仿宋" w:eastAsia="仿宋" w:cs="仿宋"/>
                <w:sz w:val="23"/>
                <w:szCs w:val="23"/>
              </w:rPr>
            </w:pPr>
            <w:r>
              <w:rPr>
                <w:rFonts w:hint="eastAsia" w:ascii="仿宋" w:hAnsi="仿宋" w:eastAsia="仿宋" w:cs="仿宋"/>
                <w:spacing w:val="-4"/>
                <w:sz w:val="23"/>
                <w:szCs w:val="23"/>
              </w:rPr>
              <w:t>灵璧县</w:t>
            </w:r>
            <w:r>
              <w:rPr>
                <w:rFonts w:hint="eastAsia" w:ascii="仿宋" w:hAnsi="仿宋" w:eastAsia="仿宋" w:cs="仿宋"/>
                <w:spacing w:val="-2"/>
                <w:sz w:val="23"/>
                <w:szCs w:val="23"/>
                <w:lang w:eastAsia="zh-CN"/>
              </w:rPr>
              <w:t>虞姬镇人民政府</w:t>
            </w:r>
            <w:r>
              <w:rPr>
                <w:rFonts w:hint="eastAsia" w:ascii="仿宋" w:hAnsi="仿宋" w:eastAsia="仿宋" w:cs="仿宋"/>
                <w:spacing w:val="-2"/>
                <w:sz w:val="23"/>
                <w:szCs w:val="23"/>
              </w:rPr>
              <w:t>本级</w:t>
            </w:r>
          </w:p>
        </w:tc>
        <w:tc>
          <w:tcPr>
            <w:tcW w:w="4272" w:type="dxa"/>
            <w:tcBorders>
              <w:top w:val="single" w:color="000000" w:sz="2" w:space="0"/>
              <w:bottom w:val="single" w:color="000000" w:sz="2" w:space="0"/>
            </w:tcBorders>
          </w:tcPr>
          <w:p>
            <w:pPr>
              <w:spacing w:before="257" w:line="224" w:lineRule="auto"/>
              <w:ind w:left="1667"/>
              <w:rPr>
                <w:rFonts w:hint="eastAsia" w:ascii="仿宋" w:hAnsi="仿宋" w:eastAsia="仿宋" w:cs="仿宋"/>
                <w:sz w:val="23"/>
                <w:szCs w:val="23"/>
              </w:rPr>
            </w:pPr>
            <w:r>
              <w:rPr>
                <w:rFonts w:hint="eastAsia" w:ascii="仿宋" w:hAnsi="仿宋" w:eastAsia="仿宋" w:cs="仿宋"/>
                <w:spacing w:val="3"/>
                <w:sz w:val="23"/>
                <w:szCs w:val="23"/>
              </w:rPr>
              <w:t>行政单</w:t>
            </w:r>
            <w:r>
              <w:rPr>
                <w:rFonts w:hint="eastAsia" w:ascii="仿宋" w:hAnsi="仿宋" w:eastAsia="仿宋" w:cs="仿宋"/>
                <w:spacing w:val="2"/>
                <w:sz w:val="23"/>
                <w:szCs w:val="23"/>
              </w:rPr>
              <w:t>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2" w:type="dxa"/>
            <w:tcBorders>
              <w:top w:val="single" w:color="000000" w:sz="2" w:space="0"/>
              <w:bottom w:val="single" w:color="000000" w:sz="2" w:space="0"/>
            </w:tcBorders>
          </w:tcPr>
          <w:p>
            <w:pPr>
              <w:spacing w:before="284" w:line="197" w:lineRule="auto"/>
              <w:ind w:left="370"/>
              <w:jc w:val="both"/>
              <w:rPr>
                <w:rFonts w:hint="eastAsia" w:ascii="仿宋" w:hAnsi="仿宋" w:eastAsia="仿宋" w:cs="仿宋"/>
                <w:sz w:val="22"/>
                <w:szCs w:val="22"/>
              </w:rPr>
            </w:pPr>
            <w:r>
              <w:rPr>
                <w:rFonts w:hint="eastAsia" w:ascii="仿宋" w:hAnsi="仿宋" w:eastAsia="仿宋" w:cs="仿宋"/>
                <w:sz w:val="22"/>
                <w:szCs w:val="22"/>
              </w:rPr>
              <w:t>2</w:t>
            </w:r>
          </w:p>
        </w:tc>
        <w:tc>
          <w:tcPr>
            <w:tcW w:w="3410" w:type="dxa"/>
            <w:tcBorders>
              <w:top w:val="single" w:color="000000" w:sz="2" w:space="0"/>
              <w:bottom w:val="single" w:color="000000" w:sz="2" w:space="0"/>
            </w:tcBorders>
          </w:tcPr>
          <w:p>
            <w:pPr>
              <w:spacing w:before="99" w:line="133" w:lineRule="exact"/>
              <w:ind w:left="1522"/>
              <w:rPr>
                <w:rFonts w:hint="eastAsia" w:ascii="仿宋" w:hAnsi="仿宋" w:eastAsia="仿宋" w:cs="仿宋"/>
                <w:sz w:val="23"/>
                <w:szCs w:val="23"/>
                <w:lang w:eastAsia="zh-CN"/>
              </w:rPr>
            </w:pPr>
          </w:p>
          <w:p>
            <w:pPr>
              <w:pStyle w:val="2"/>
              <w:rPr>
                <w:rFonts w:hint="eastAsia" w:ascii="仿宋" w:hAnsi="仿宋" w:eastAsia="仿宋" w:cs="仿宋"/>
                <w:sz w:val="23"/>
                <w:szCs w:val="23"/>
                <w:lang w:eastAsia="zh-CN"/>
              </w:rPr>
            </w:pPr>
            <w:r>
              <w:rPr>
                <w:rFonts w:hint="eastAsia" w:ascii="仿宋" w:hAnsi="仿宋" w:eastAsia="仿宋" w:cs="仿宋"/>
                <w:sz w:val="23"/>
                <w:szCs w:val="23"/>
                <w:lang w:eastAsia="zh-CN"/>
              </w:rPr>
              <w:t>灵璧县虞姬镇计生服务所</w:t>
            </w:r>
          </w:p>
        </w:tc>
        <w:tc>
          <w:tcPr>
            <w:tcW w:w="4272" w:type="dxa"/>
            <w:tcBorders>
              <w:top w:val="single" w:color="000000" w:sz="2" w:space="0"/>
              <w:bottom w:val="single" w:color="000000" w:sz="2" w:space="0"/>
            </w:tcBorders>
          </w:tcPr>
          <w:p>
            <w:pPr>
              <w:spacing w:before="259" w:line="224" w:lineRule="auto"/>
              <w:jc w:val="center"/>
              <w:rPr>
                <w:rFonts w:hint="eastAsia" w:ascii="仿宋" w:hAnsi="仿宋" w:eastAsia="仿宋" w:cs="仿宋"/>
                <w:sz w:val="23"/>
                <w:szCs w:val="23"/>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62" w:type="dxa"/>
            <w:tcBorders>
              <w:top w:val="single" w:color="000000" w:sz="2" w:space="0"/>
              <w:bottom w:val="single" w:color="000000" w:sz="2" w:space="0"/>
            </w:tcBorders>
          </w:tcPr>
          <w:p>
            <w:pPr>
              <w:spacing w:before="282" w:line="197" w:lineRule="auto"/>
              <w:ind w:left="369"/>
              <w:jc w:val="both"/>
              <w:rPr>
                <w:rFonts w:hint="eastAsia" w:ascii="仿宋" w:hAnsi="仿宋" w:eastAsia="仿宋" w:cs="仿宋"/>
                <w:sz w:val="22"/>
                <w:szCs w:val="22"/>
              </w:rPr>
            </w:pPr>
            <w:r>
              <w:rPr>
                <w:rFonts w:hint="eastAsia" w:ascii="仿宋" w:hAnsi="仿宋" w:eastAsia="仿宋" w:cs="仿宋"/>
                <w:sz w:val="22"/>
                <w:szCs w:val="22"/>
              </w:rPr>
              <w:t>3</w:t>
            </w:r>
          </w:p>
        </w:tc>
        <w:tc>
          <w:tcPr>
            <w:tcW w:w="3410" w:type="dxa"/>
            <w:tcBorders>
              <w:top w:val="single" w:color="000000" w:sz="2" w:space="0"/>
              <w:bottom w:val="single" w:color="000000" w:sz="2" w:space="0"/>
            </w:tcBorders>
          </w:tcPr>
          <w:p>
            <w:pPr>
              <w:rPr>
                <w:rFonts w:hint="eastAsia" w:ascii="仿宋" w:hAnsi="仿宋" w:eastAsia="仿宋" w:cs="仿宋"/>
                <w:sz w:val="23"/>
                <w:szCs w:val="23"/>
              </w:rPr>
            </w:pPr>
          </w:p>
          <w:p>
            <w:pPr>
              <w:pStyle w:val="2"/>
              <w:rPr>
                <w:rFonts w:hint="eastAsia" w:ascii="仿宋" w:hAnsi="仿宋" w:eastAsia="仿宋" w:cs="仿宋"/>
                <w:sz w:val="23"/>
                <w:szCs w:val="23"/>
                <w:lang w:eastAsia="zh-CN"/>
              </w:rPr>
            </w:pPr>
            <w:r>
              <w:rPr>
                <w:rFonts w:hint="eastAsia" w:ascii="仿宋" w:hAnsi="仿宋" w:eastAsia="仿宋" w:cs="仿宋"/>
                <w:sz w:val="23"/>
                <w:szCs w:val="23"/>
                <w:lang w:eastAsia="zh-CN"/>
              </w:rPr>
              <w:t>灵璧县虞姬镇文广站</w:t>
            </w:r>
          </w:p>
        </w:tc>
        <w:tc>
          <w:tcPr>
            <w:tcW w:w="4272" w:type="dxa"/>
            <w:tcBorders>
              <w:top w:val="single" w:color="000000" w:sz="2" w:space="0"/>
              <w:bottom w:val="single" w:color="000000" w:sz="2" w:space="0"/>
            </w:tcBorders>
          </w:tcPr>
          <w:p>
            <w:pPr>
              <w:spacing w:before="261" w:line="229" w:lineRule="auto"/>
              <w:jc w:val="center"/>
              <w:rPr>
                <w:rFonts w:hint="eastAsia" w:ascii="仿宋" w:hAnsi="仿宋" w:eastAsia="仿宋" w:cs="仿宋"/>
                <w:sz w:val="23"/>
                <w:szCs w:val="23"/>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62" w:type="dxa"/>
            <w:tcBorders>
              <w:top w:val="single" w:color="000000" w:sz="2" w:space="0"/>
              <w:bottom w:val="single" w:color="000000" w:sz="2" w:space="0"/>
            </w:tcBorders>
          </w:tcPr>
          <w:p>
            <w:pPr>
              <w:spacing w:before="287" w:line="194" w:lineRule="auto"/>
              <w:ind w:left="362"/>
              <w:jc w:val="both"/>
              <w:rPr>
                <w:rFonts w:hint="eastAsia" w:ascii="仿宋" w:hAnsi="仿宋" w:eastAsia="仿宋" w:cs="仿宋"/>
                <w:sz w:val="22"/>
                <w:szCs w:val="22"/>
              </w:rPr>
            </w:pPr>
            <w:r>
              <w:rPr>
                <w:rFonts w:hint="eastAsia" w:ascii="仿宋" w:hAnsi="仿宋" w:eastAsia="仿宋" w:cs="仿宋"/>
                <w:sz w:val="22"/>
                <w:szCs w:val="22"/>
              </w:rPr>
              <w:t>4</w:t>
            </w:r>
          </w:p>
        </w:tc>
        <w:tc>
          <w:tcPr>
            <w:tcW w:w="3410" w:type="dxa"/>
            <w:tcBorders>
              <w:top w:val="single" w:color="000000" w:sz="2" w:space="0"/>
              <w:bottom w:val="single" w:color="000000" w:sz="2" w:space="0"/>
            </w:tcBorders>
          </w:tcPr>
          <w:p>
            <w:pPr>
              <w:rPr>
                <w:rFonts w:hint="eastAsia"/>
              </w:rPr>
            </w:pPr>
          </w:p>
          <w:p>
            <w:pPr>
              <w:pStyle w:val="2"/>
              <w:rPr>
                <w:rFonts w:hint="eastAsia" w:eastAsia="仿宋"/>
                <w:lang w:eastAsia="zh-CN"/>
              </w:rPr>
            </w:pPr>
            <w:r>
              <w:rPr>
                <w:rFonts w:hint="eastAsia" w:ascii="仿宋" w:hAnsi="仿宋" w:eastAsia="仿宋" w:cs="仿宋"/>
                <w:sz w:val="23"/>
                <w:szCs w:val="23"/>
                <w:lang w:eastAsia="zh-CN"/>
              </w:rPr>
              <w:t>灵璧县虞姬镇民政所</w:t>
            </w:r>
          </w:p>
        </w:tc>
        <w:tc>
          <w:tcPr>
            <w:tcW w:w="4272" w:type="dxa"/>
            <w:tcBorders>
              <w:top w:val="single" w:color="000000" w:sz="2" w:space="0"/>
              <w:bottom w:val="single" w:color="000000" w:sz="2" w:space="0"/>
            </w:tcBorders>
          </w:tcPr>
          <w:p>
            <w:pPr>
              <w:spacing w:before="258" w:line="224" w:lineRule="auto"/>
              <w:jc w:val="center"/>
              <w:rPr>
                <w:rFonts w:hint="eastAsia" w:ascii="仿宋" w:hAnsi="仿宋" w:eastAsia="仿宋" w:cs="仿宋"/>
                <w:sz w:val="23"/>
                <w:szCs w:val="23"/>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862" w:type="dxa"/>
            <w:tcBorders>
              <w:top w:val="single" w:color="000000" w:sz="2" w:space="0"/>
              <w:bottom w:val="single" w:color="000000" w:sz="2" w:space="0"/>
            </w:tcBorders>
          </w:tcPr>
          <w:p>
            <w:pPr>
              <w:spacing w:before="286" w:line="194" w:lineRule="auto"/>
              <w:ind w:left="372"/>
              <w:jc w:val="both"/>
              <w:rPr>
                <w:rFonts w:hint="eastAsia" w:ascii="仿宋" w:hAnsi="仿宋" w:eastAsia="仿宋" w:cs="仿宋"/>
                <w:sz w:val="22"/>
                <w:szCs w:val="22"/>
              </w:rPr>
            </w:pPr>
            <w:r>
              <w:rPr>
                <w:rFonts w:hint="eastAsia" w:ascii="仿宋" w:hAnsi="仿宋" w:eastAsia="仿宋" w:cs="仿宋"/>
                <w:sz w:val="22"/>
                <w:szCs w:val="22"/>
              </w:rPr>
              <w:t>5</w:t>
            </w:r>
          </w:p>
        </w:tc>
        <w:tc>
          <w:tcPr>
            <w:tcW w:w="3410" w:type="dxa"/>
            <w:tcBorders>
              <w:top w:val="single" w:color="000000" w:sz="2" w:space="0"/>
              <w:bottom w:val="single" w:color="000000" w:sz="2" w:space="0"/>
            </w:tcBorders>
          </w:tcPr>
          <w:p>
            <w:pPr>
              <w:rPr>
                <w:rFonts w:hint="eastAsia"/>
              </w:rPr>
            </w:pPr>
          </w:p>
          <w:p>
            <w:pPr>
              <w:pStyle w:val="2"/>
              <w:rPr>
                <w:rFonts w:hint="eastAsia" w:eastAsia="仿宋"/>
                <w:lang w:eastAsia="zh-CN"/>
              </w:rPr>
            </w:pPr>
            <w:r>
              <w:rPr>
                <w:rFonts w:hint="eastAsia" w:ascii="仿宋" w:hAnsi="仿宋" w:eastAsia="仿宋" w:cs="仿宋"/>
                <w:sz w:val="23"/>
                <w:szCs w:val="23"/>
                <w:lang w:eastAsia="zh-CN"/>
              </w:rPr>
              <w:t>灵璧县虞姬镇人社所</w:t>
            </w:r>
          </w:p>
        </w:tc>
        <w:tc>
          <w:tcPr>
            <w:tcW w:w="4272" w:type="dxa"/>
            <w:tcBorders>
              <w:top w:val="single" w:color="000000" w:sz="2" w:space="0"/>
              <w:bottom w:val="single" w:color="000000" w:sz="2" w:space="0"/>
            </w:tcBorders>
          </w:tcPr>
          <w:p>
            <w:pPr>
              <w:spacing w:before="260" w:line="224" w:lineRule="auto"/>
              <w:jc w:val="center"/>
              <w:rPr>
                <w:rFonts w:hint="eastAsia" w:ascii="仿宋" w:hAnsi="仿宋" w:eastAsia="仿宋" w:cs="仿宋"/>
                <w:sz w:val="23"/>
                <w:szCs w:val="23"/>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62" w:type="dxa"/>
            <w:tcBorders>
              <w:top w:val="single" w:color="000000" w:sz="2" w:space="0"/>
              <w:bottom w:val="single" w:color="000000" w:sz="2" w:space="0"/>
            </w:tcBorders>
          </w:tcPr>
          <w:p>
            <w:pPr>
              <w:jc w:val="both"/>
              <w:rPr>
                <w:rFonts w:hint="eastAsia" w:ascii="仿宋" w:hAnsi="仿宋" w:eastAsia="仿宋" w:cs="仿宋"/>
                <w:sz w:val="22"/>
                <w:szCs w:val="22"/>
              </w:rPr>
            </w:pPr>
          </w:p>
          <w:p>
            <w:pPr>
              <w:pStyle w:val="2"/>
              <w:ind w:left="0" w:leftChars="0" w:firstLine="0" w:firstLineChars="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3410" w:type="dxa"/>
            <w:tcBorders>
              <w:top w:val="single" w:color="000000" w:sz="2" w:space="0"/>
              <w:bottom w:val="single" w:color="000000" w:sz="2" w:space="0"/>
            </w:tcBorders>
          </w:tcPr>
          <w:p>
            <w:pPr>
              <w:rPr>
                <w:rFonts w:hint="eastAsia"/>
              </w:rPr>
            </w:pPr>
          </w:p>
          <w:p>
            <w:pPr>
              <w:pStyle w:val="2"/>
              <w:ind w:left="0" w:leftChars="0" w:firstLine="0" w:firstLineChars="0"/>
              <w:rPr>
                <w:rFonts w:hint="eastAsia" w:eastAsia="仿宋"/>
                <w:lang w:eastAsia="zh-CN"/>
              </w:rPr>
            </w:pPr>
            <w:r>
              <w:rPr>
                <w:rFonts w:hint="eastAsia" w:ascii="仿宋" w:hAnsi="仿宋" w:eastAsia="仿宋" w:cs="仿宋"/>
                <w:sz w:val="23"/>
                <w:szCs w:val="23"/>
                <w:lang w:eastAsia="zh-CN"/>
              </w:rPr>
              <w:t>灵璧县虞姬镇退役军人服务站</w:t>
            </w:r>
          </w:p>
        </w:tc>
        <w:tc>
          <w:tcPr>
            <w:tcW w:w="4272" w:type="dxa"/>
            <w:tcBorders>
              <w:top w:val="single" w:color="000000" w:sz="2" w:space="0"/>
              <w:bottom w:val="single" w:color="000000" w:sz="2" w:space="0"/>
            </w:tcBorders>
          </w:tcPr>
          <w:p>
            <w:pPr>
              <w:spacing w:line="337" w:lineRule="auto"/>
              <w:jc w:val="center"/>
              <w:rPr>
                <w:rFonts w:hint="eastAsia" w:ascii="仿宋" w:hAnsi="仿宋" w:eastAsia="仿宋" w:cs="仿宋"/>
                <w:sz w:val="23"/>
                <w:szCs w:val="23"/>
              </w:rPr>
            </w:pPr>
          </w:p>
          <w:p>
            <w:pPr>
              <w:spacing w:before="99" w:line="133" w:lineRule="exact"/>
              <w:jc w:val="center"/>
              <w:rPr>
                <w:rFonts w:hint="eastAsia" w:ascii="仿宋" w:hAnsi="仿宋" w:eastAsia="仿宋" w:cs="仿宋"/>
                <w:sz w:val="23"/>
                <w:szCs w:val="23"/>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62" w:type="dxa"/>
            <w:tcBorders>
              <w:top w:val="single" w:color="000000" w:sz="2" w:space="0"/>
              <w:bottom w:val="single" w:color="000000" w:sz="2" w:space="0"/>
            </w:tcBorders>
            <w:vAlign w:val="top"/>
          </w:tcPr>
          <w:p>
            <w:pPr>
              <w:spacing w:before="286" w:line="194" w:lineRule="auto"/>
              <w:ind w:left="372" w:leftChars="0"/>
              <w:jc w:val="both"/>
              <w:rPr>
                <w:rFonts w:hint="eastAsia" w:ascii="仿宋" w:hAnsi="仿宋" w:eastAsia="仿宋" w:cs="仿宋"/>
                <w:snapToGrid w:val="0"/>
                <w:color w:val="000000"/>
                <w:sz w:val="22"/>
                <w:szCs w:val="22"/>
                <w:lang w:val="en-US" w:eastAsia="zh-CN" w:bidi="ar-SA"/>
              </w:rPr>
            </w:pPr>
            <w:r>
              <w:rPr>
                <w:rFonts w:hint="eastAsia" w:ascii="仿宋" w:hAnsi="仿宋" w:eastAsia="仿宋" w:cs="仿宋"/>
                <w:sz w:val="22"/>
                <w:szCs w:val="22"/>
                <w:lang w:val="en-US" w:eastAsia="zh-CN"/>
              </w:rPr>
              <w:t>7</w:t>
            </w:r>
          </w:p>
        </w:tc>
        <w:tc>
          <w:tcPr>
            <w:tcW w:w="3410" w:type="dxa"/>
            <w:tcBorders>
              <w:top w:val="single" w:color="000000" w:sz="2" w:space="0"/>
              <w:bottom w:val="single" w:color="000000" w:sz="2" w:space="0"/>
            </w:tcBorders>
            <w:vAlign w:val="top"/>
          </w:tcPr>
          <w:p>
            <w:pPr>
              <w:rPr>
                <w:rFonts w:hint="eastAsia"/>
              </w:rPr>
            </w:pPr>
          </w:p>
          <w:p>
            <w:pPr>
              <w:pStyle w:val="2"/>
              <w:ind w:firstLine="623" w:firstLineChars="0"/>
              <w:rPr>
                <w:rFonts w:hint="eastAsia" w:ascii="Arial" w:hAnsi="Arial" w:eastAsia="仿宋" w:cs="Arial"/>
                <w:snapToGrid w:val="0"/>
                <w:color w:val="000000"/>
                <w:sz w:val="31"/>
                <w:szCs w:val="31"/>
                <w:lang w:val="en-US" w:eastAsia="zh-CN" w:bidi="ar-SA"/>
              </w:rPr>
            </w:pPr>
            <w:r>
              <w:rPr>
                <w:rFonts w:hint="eastAsia" w:ascii="仿宋" w:hAnsi="仿宋" w:eastAsia="仿宋" w:cs="仿宋"/>
                <w:sz w:val="23"/>
                <w:szCs w:val="23"/>
                <w:lang w:eastAsia="zh-CN"/>
              </w:rPr>
              <w:t>灵璧县虞姬镇环保站</w:t>
            </w:r>
          </w:p>
        </w:tc>
        <w:tc>
          <w:tcPr>
            <w:tcW w:w="4272" w:type="dxa"/>
            <w:tcBorders>
              <w:top w:val="single" w:color="000000" w:sz="2" w:space="0"/>
              <w:bottom w:val="single" w:color="000000" w:sz="2" w:space="0"/>
            </w:tcBorders>
            <w:vAlign w:val="top"/>
          </w:tcPr>
          <w:p>
            <w:pPr>
              <w:spacing w:before="260" w:line="224" w:lineRule="auto"/>
              <w:jc w:val="center"/>
              <w:rPr>
                <w:rFonts w:hint="eastAsia" w:ascii="仿宋" w:hAnsi="仿宋" w:eastAsia="仿宋" w:cs="仿宋"/>
                <w:snapToGrid w:val="0"/>
                <w:color w:val="000000"/>
                <w:sz w:val="23"/>
                <w:szCs w:val="23"/>
                <w:lang w:val="en-US" w:eastAsia="zh-CN" w:bidi="ar-SA"/>
              </w:rPr>
            </w:pPr>
            <w:r>
              <w:rPr>
                <w:rFonts w:hint="eastAsia" w:ascii="仿宋" w:hAnsi="仿宋" w:eastAsia="仿宋" w:cs="仿宋"/>
                <w:spacing w:val="4"/>
                <w:sz w:val="23"/>
                <w:szCs w:val="23"/>
              </w:rPr>
              <w:t>暂未</w:t>
            </w:r>
            <w:r>
              <w:rPr>
                <w:rFonts w:hint="eastAsia" w:ascii="仿宋" w:hAnsi="仿宋" w:eastAsia="仿宋" w:cs="仿宋"/>
                <w:spacing w:val="3"/>
                <w:sz w:val="23"/>
                <w:szCs w:val="23"/>
              </w:rPr>
              <w:t>划</w:t>
            </w:r>
            <w:r>
              <w:rPr>
                <w:rFonts w:hint="eastAsia" w:ascii="仿宋" w:hAnsi="仿宋" w:eastAsia="仿宋" w:cs="仿宋"/>
                <w:spacing w:val="2"/>
                <w:sz w:val="23"/>
                <w:szCs w:val="23"/>
              </w:rPr>
              <w:t>分类别事业单位</w:t>
            </w:r>
          </w:p>
        </w:tc>
      </w:tr>
    </w:tbl>
    <w:p>
      <w:pPr>
        <w:spacing w:before="189" w:line="226" w:lineRule="auto"/>
        <w:outlineLvl w:val="0"/>
        <w:rPr>
          <w:rFonts w:hint="eastAsia" w:ascii="黑体" w:hAnsi="黑体" w:eastAsia="黑体" w:cs="黑体"/>
          <w:spacing w:val="4"/>
          <w:sz w:val="32"/>
          <w:szCs w:val="32"/>
        </w:rPr>
      </w:pP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rPr>
        <w:t>(一)</w:t>
      </w:r>
      <w:r>
        <w:rPr>
          <w:rFonts w:hint="eastAsia" w:ascii="仿宋" w:hAnsi="仿宋" w:eastAsia="仿宋" w:cs="仿宋"/>
          <w:spacing w:val="-3"/>
          <w:sz w:val="32"/>
          <w:szCs w:val="32"/>
        </w:rPr>
        <w:t>优化营商环境促进实体经济发展。严格落实企业包保制度，定期开展走访解难活动，向企业宣传解读支持民营经济发展的各项政策并帮助解决企业存在困难，帮助企业解难纾困。大力开展精准招商，推进新型工业化，力争引进5000万以上工业项目1个，新培育规上企业1 家。加大工业用地指标协调力度，集约节约建设钢构厂房，加快推进工业园区配套设施建设，增强工业园区发展潜力。</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（二）</w:t>
      </w:r>
      <w:r>
        <w:rPr>
          <w:rFonts w:hint="eastAsia" w:ascii="仿宋" w:hAnsi="仿宋" w:eastAsia="仿宋" w:cs="仿宋"/>
          <w:spacing w:val="-3"/>
          <w:sz w:val="32"/>
          <w:szCs w:val="32"/>
        </w:rPr>
        <w:t>全面推进乡村振兴助力农村现代化。坚持农业农村优先发展，坚守耕地红线不动摇，强化农业支持保护制度，加强农业现代化基础建设，抓好高标准农田建设推进。积极发展规模养殖，新发展规模化养殖场3个。加快培育新型农业经营主体，新增农民专业合作社3家、家庭农场2家。优化农业生产结构，围绕果蔬、中草药等优势特色产业，加快发展“一村一品”经济。提高农业综合生产能力，倡导秸秆循环利用，继续抓好综禁工作。全面推开“一户一田”“小田并大田”工作，提高种植效率，节约成本。持续推进全域人居环境整治提升，扎实开展户厕改造。推进新时代农村精神文明建设，深入推进移风易俗。深入挖掘、继承优秀传统乡土文化。以产业促乡村振兴，以长三角绿色农产品生产加工供应基地建设为抓手，实施农产品品牌塑造行动。发展设施农业，落实菌种菌棒厂建设及运营一体化项目（二期）。加大土地流转力度。</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（三）</w:t>
      </w:r>
      <w:r>
        <w:rPr>
          <w:rFonts w:hint="eastAsia" w:ascii="仿宋" w:hAnsi="仿宋" w:eastAsia="仿宋" w:cs="仿宋"/>
          <w:spacing w:val="-3"/>
          <w:sz w:val="32"/>
          <w:szCs w:val="32"/>
        </w:rPr>
        <w:t>强化民生保障全面提升幸福指数。持续改善民生民本。开展农村危房改造，改善农村居民居住条件。全面落实低保、五保、新农合等惠民政策，认真抓好城乡低保、五保的清理和登记工作。完善镇敬老院硬件设施，提高孤寡老人生活质量。加强水利项目建设，在虞姬村、后桥村修建老唐河板桥两座；修建老唐河三孔涵闸一座。加快发展社会事业。深入推进学校精细化管理和教育教学改革，着力提高教学质量，统筹推进教育人才队伍建设；丰富群众文化生活，积极开展各类健康向上的文体活动；持续提升基本医疗均等化，提高群众的认同感。常态化做好疫情防控工作。全面落实疫情防控责任，突出人物同防、城乡同控，抓细中高风险地区和入境返乡人员管理，抓实疫情防控，全方位提升应急处置能力，有序推进疫苗全程接种等防护工作，确保疫情“可防可控、精准防控”。促进高质量充分就业，常态化开展技能培训，帮助申请就业贷款，使人人都有通过勤奋劳动实现自身发展的机会。</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（四）</w:t>
      </w:r>
      <w:r>
        <w:rPr>
          <w:rFonts w:hint="eastAsia" w:ascii="仿宋" w:hAnsi="仿宋" w:eastAsia="仿宋" w:cs="仿宋"/>
          <w:spacing w:val="-3"/>
          <w:sz w:val="32"/>
          <w:szCs w:val="32"/>
        </w:rPr>
        <w:t>践行绿色发展理念推动生态文明建设。牢固树立和践行绿水青山就是金山银山的理念，提高企业环保准入门槛，避免辖区内出现高污染、高耗能建设项目，全力支持原有企业实施技术改造，力争技改投资8000万元以上。持续深入打好蓝天、碧水、净土保卫战，抓好各养殖企业（户）和重点“散乱污”企业监管工作，全面推行“河长制”、“林长制”，实行“一河一策”，“一林一策”，常规开展巡查检查，进一步提升我镇生态环境。</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（五）</w:t>
      </w:r>
      <w:r>
        <w:rPr>
          <w:rFonts w:hint="eastAsia" w:ascii="仿宋" w:hAnsi="仿宋" w:eastAsia="仿宋" w:cs="仿宋"/>
          <w:spacing w:val="-3"/>
          <w:sz w:val="32"/>
          <w:szCs w:val="32"/>
        </w:rPr>
        <w:t>完善社会治理体系促进和谐稳定。坚持依法行政，深化信访源头防范和化解，加强不稳定因素的分析和研判，继续坚持领导干部接访和包案制度；全面推行重大决策事项稳定风险评估，高度重视群体性事件的预防和处置，着力加强重大敏感时期的维稳工作；深化平安建设，有效应对和处置突发公共事件，保障人民生命财产安全；推进扫黑除恶常态化，依法严惩群众反映强烈的各类违法犯罪活动。高度重视安全生产工作，认真落实好“一岗双责”，建立健全安全工作责任机制，严防重特大安全事故发生。</w:t>
      </w:r>
    </w:p>
    <w:p>
      <w:pPr>
        <w:tabs>
          <w:tab w:val="left" w:pos="607"/>
        </w:tabs>
        <w:spacing w:before="189" w:line="360" w:lineRule="auto"/>
        <w:ind w:left="448"/>
        <w:outlineLvl w:val="0"/>
        <w:rPr>
          <w:rFonts w:ascii="仿宋" w:hAnsi="仿宋" w:eastAsia="仿宋" w:cs="仿宋"/>
          <w:spacing w:val="-3"/>
          <w:sz w:val="32"/>
          <w:szCs w:val="32"/>
        </w:rPr>
      </w:pPr>
      <w:r>
        <w:rPr>
          <w:rFonts w:hint="eastAsia" w:ascii="仿宋" w:hAnsi="仿宋" w:eastAsia="仿宋" w:cs="仿宋"/>
          <w:b/>
          <w:bCs/>
          <w:spacing w:val="-3"/>
          <w:sz w:val="32"/>
          <w:szCs w:val="32"/>
          <w:lang w:eastAsia="zh-CN"/>
        </w:rPr>
        <w:t>（六）</w:t>
      </w:r>
      <w:r>
        <w:rPr>
          <w:rFonts w:hint="eastAsia" w:ascii="仿宋" w:hAnsi="仿宋" w:eastAsia="仿宋" w:cs="仿宋"/>
          <w:spacing w:val="-3"/>
          <w:sz w:val="32"/>
          <w:szCs w:val="32"/>
        </w:rPr>
        <w:t>加强政府自身建设开创政府工作新局面。持续加强政治建设。把政府系统全面从严治党不断推向深入，增强“四个意识”、坚定“四个自信”、做到“两个维护”，严格落实意识形态工作责任制，不折不扣把上级决策部署落实到位。持续加强作风和廉政建设。严格落实中央八项规定精神和省委市委有关规定，坚决杜绝形形色色的形式主义、官僚主义；强化政府系统高素质专业化干部队伍建设，树牢抢前抓早、即事即办、事不过夜理念；厉行节约、反对浪费，坚持过“紧日子”，用财政预算“减法”换高质量发展“加法”；严格落实党风廉政建设“一岗双责”，强化权力运行制约监督，严查严惩侵害群众利益的不正之风和腐败问题，努力树立清正廉洁高效的政府形象。</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w:t>
      </w:r>
      <w:r>
        <w:rPr>
          <w:rFonts w:hint="eastAsia" w:ascii="黑体" w:hAnsi="黑体" w:eastAsia="黑体" w:cs="黑体"/>
          <w:spacing w:val="-5"/>
          <w:sz w:val="35"/>
          <w:szCs w:val="35"/>
          <w:lang w:eastAsia="zh-CN"/>
        </w:rPr>
        <w:t>单位</w:t>
      </w:r>
      <w:r>
        <w:rPr>
          <w:rFonts w:ascii="黑体" w:hAnsi="黑体" w:eastAsia="黑体" w:cs="黑体"/>
          <w:spacing w:val="-5"/>
          <w:sz w:val="35"/>
          <w:szCs w:val="35"/>
        </w:rPr>
        <w:t>预算表</w:t>
      </w:r>
    </w:p>
    <w:p>
      <w:pPr>
        <w:spacing w:line="255" w:lineRule="auto"/>
      </w:pPr>
    </w:p>
    <w:p>
      <w:pPr>
        <w:spacing w:before="62" w:line="224" w:lineRule="auto"/>
        <w:ind w:left="6032" w:firstLine="960" w:firstLineChars="500"/>
        <w:rPr>
          <w:rFonts w:ascii="Tahoma" w:hAnsi="Tahoma" w:eastAsia="Tahoma" w:cs="Tahoma"/>
          <w:sz w:val="19"/>
          <w:szCs w:val="19"/>
        </w:rPr>
      </w:pPr>
      <w:r>
        <w:rPr>
          <w:rFonts w:hint="eastAsia" w:ascii="仿宋" w:hAnsi="仿宋" w:eastAsia="仿宋" w:cs="仿宋"/>
          <w:spacing w:val="1"/>
          <w:sz w:val="19"/>
          <w:szCs w:val="19"/>
          <w:lang w:eastAsia="zh-CN"/>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rPr>
          <w:rFonts w:hint="eastAsia" w:ascii="华文中宋" w:hAnsi="华文中宋" w:eastAsia="华文中宋" w:cs="华文中宋"/>
          <w:spacing w:val="5"/>
          <w:position w:val="5"/>
          <w:sz w:val="29"/>
          <w:szCs w:val="29"/>
        </w:rPr>
      </w:pPr>
      <w:r>
        <w:rPr>
          <w:rFonts w:hint="eastAsia" w:ascii="华文中宋" w:hAnsi="华文中宋" w:eastAsia="华文中宋" w:cs="华文中宋"/>
          <w:spacing w:val="5"/>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5"/>
          <w:position w:val="5"/>
          <w:sz w:val="29"/>
          <w:szCs w:val="29"/>
        </w:rPr>
        <w:t>2023</w:t>
      </w:r>
      <w:r>
        <w:rPr>
          <w:rFonts w:hint="eastAsia" w:ascii="华文中宋" w:hAnsi="华文中宋" w:eastAsia="华文中宋" w:cs="华文中宋"/>
          <w:spacing w:val="5"/>
          <w:position w:val="5"/>
          <w:sz w:val="29"/>
          <w:szCs w:val="29"/>
        </w:rPr>
        <w:t>年收支总表</w:t>
      </w:r>
    </w:p>
    <w:p>
      <w:pPr>
        <w:pStyle w:val="2"/>
        <w:rPr>
          <w:rFonts w:hint="eastAsia"/>
        </w:rPr>
      </w:pPr>
    </w:p>
    <w:p>
      <w:pPr>
        <w:spacing w:line="50" w:lineRule="exact"/>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8"/>
        <w:gridCol w:w="958"/>
        <w:gridCol w:w="3225"/>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2249"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三、财政专户管理资金</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其他财政专户管理资金</w:t>
            </w:r>
          </w:p>
        </w:tc>
        <w:tc>
          <w:tcPr>
            <w:tcW w:w="525"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经营收入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上级补助收入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附属单位上缴收入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五、上级转移支付（提前下达公共预算）</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六、上级转移支付（提前下达政府性基金）</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结转下年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846.80</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8" w:type="pct"/>
            <w:gridSpan w:val="3"/>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注：本表反映部门各项收入、支出预算安排情况。</w:t>
            </w:r>
          </w:p>
        </w:tc>
        <w:tc>
          <w:tcPr>
            <w:tcW w:w="4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5" w:type="default"/>
          <w:pgSz w:w="11906" w:h="16839"/>
          <w:pgMar w:top="1431" w:right="1529" w:bottom="1413" w:left="1475" w:header="0" w:footer="1034" w:gutter="0"/>
          <w:cols w:space="720" w:num="1"/>
        </w:sectPr>
      </w:pPr>
    </w:p>
    <w:p>
      <w:pPr>
        <w:spacing w:before="62" w:line="224" w:lineRule="auto"/>
        <w:ind w:right="151" w:firstLine="12120" w:firstLineChars="6000"/>
        <w:jc w:val="both"/>
        <w:rPr>
          <w:rFonts w:ascii="Tahoma" w:hAnsi="Tahoma" w:eastAsia="Tahoma" w:cs="Tahoma"/>
          <w:sz w:val="19"/>
          <w:szCs w:val="19"/>
        </w:rPr>
      </w:pPr>
      <w:r>
        <w:rPr>
          <w:rFonts w:hint="eastAsia" w:ascii="仿宋" w:hAnsi="仿宋" w:eastAsia="仿宋" w:cs="仿宋"/>
          <w:spacing w:val="6"/>
          <w:sz w:val="19"/>
          <w:szCs w:val="19"/>
          <w:lang w:eastAsia="zh-CN"/>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hint="eastAsia" w:ascii="华文中宋" w:hAnsi="华文中宋" w:eastAsia="华文中宋" w:cs="华文中宋"/>
          <w:sz w:val="29"/>
          <w:szCs w:val="29"/>
        </w:rPr>
      </w:pPr>
      <w:r>
        <w:rPr>
          <w:rFonts w:hint="eastAsia" w:ascii="华文中宋" w:hAnsi="华文中宋" w:eastAsia="华文中宋" w:cs="华文中宋"/>
          <w:spacing w:val="2"/>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2"/>
          <w:position w:val="5"/>
          <w:sz w:val="29"/>
          <w:szCs w:val="29"/>
        </w:rPr>
        <w:t>2023</w:t>
      </w:r>
      <w:r>
        <w:rPr>
          <w:rFonts w:hint="eastAsia" w:ascii="华文中宋" w:hAnsi="华文中宋" w:eastAsia="华文中宋" w:cs="华文中宋"/>
          <w:spacing w:val="2"/>
          <w:position w:val="5"/>
          <w:sz w:val="29"/>
          <w:szCs w:val="29"/>
        </w:rPr>
        <w:t>年收入总</w:t>
      </w:r>
      <w:r>
        <w:rPr>
          <w:rFonts w:hint="eastAsia" w:ascii="华文中宋" w:hAnsi="华文中宋" w:eastAsia="华文中宋" w:cs="华文中宋"/>
          <w:spacing w:val="1"/>
          <w:position w:val="5"/>
          <w:sz w:val="29"/>
          <w:szCs w:val="29"/>
        </w:rPr>
        <w:t>表</w:t>
      </w:r>
    </w:p>
    <w:p>
      <w:pPr>
        <w:spacing w:line="315" w:lineRule="auto"/>
      </w:pPr>
    </w:p>
    <w:p>
      <w:pPr>
        <w:spacing w:line="50" w:lineRule="exact"/>
      </w:pPr>
    </w:p>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3254"/>
        <w:gridCol w:w="1074"/>
        <w:gridCol w:w="937"/>
        <w:gridCol w:w="690"/>
        <w:gridCol w:w="675"/>
        <w:gridCol w:w="915"/>
        <w:gridCol w:w="780"/>
        <w:gridCol w:w="795"/>
        <w:gridCol w:w="739"/>
        <w:gridCol w:w="1100"/>
        <w:gridCol w:w="741"/>
        <w:gridCol w:w="741"/>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886" w:type="pct"/>
            <w:gridSpan w:val="3"/>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329"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42"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3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1"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73"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79"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9"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86"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60"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一般公共预算拨款收入</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政府性基金预算拨款收入</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上级转移支付（提前下达一般公共预算）</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上级转移支付（提前下达政府性基金预算）</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经营收入</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6"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rPr>
          <w:rFonts w:hint="eastAsia" w:ascii="华文中宋" w:hAnsi="华文中宋" w:eastAsia="华文中宋" w:cs="华文中宋"/>
          <w:sz w:val="29"/>
          <w:szCs w:val="29"/>
        </w:rPr>
      </w:pPr>
      <w:r>
        <w:rPr>
          <w:rFonts w:hint="eastAsia" w:ascii="华文中宋" w:hAnsi="华文中宋" w:eastAsia="华文中宋" w:cs="华文中宋"/>
          <w:spacing w:val="5"/>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5"/>
          <w:position w:val="5"/>
          <w:sz w:val="29"/>
          <w:szCs w:val="29"/>
        </w:rPr>
        <w:t>2023</w:t>
      </w:r>
      <w:r>
        <w:rPr>
          <w:rFonts w:hint="eastAsia" w:ascii="华文中宋" w:hAnsi="华文中宋" w:eastAsia="华文中宋" w:cs="华文中宋"/>
          <w:spacing w:val="5"/>
          <w:position w:val="5"/>
          <w:sz w:val="29"/>
          <w:szCs w:val="29"/>
        </w:rPr>
        <w:t>年支出总表</w:t>
      </w: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8"/>
        <w:gridCol w:w="3615"/>
        <w:gridCol w:w="1305"/>
        <w:gridCol w:w="1350"/>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3559"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73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0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798.80</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465.06</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7"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line="106" w:lineRule="auto"/>
        <w:rPr>
          <w:sz w:val="2"/>
        </w:rPr>
      </w:pP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8"/>
        <w:gridCol w:w="855"/>
        <w:gridCol w:w="3029"/>
        <w:gridCol w:w="780"/>
        <w:gridCol w:w="930"/>
        <w:gridCol w:w="590"/>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43"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Calibri" w:hAnsi="Calibri" w:eastAsia="宋体" w:cs="Calibri"/>
                <w:i w:val="0"/>
                <w:iCs w:val="0"/>
                <w:snapToGrid w:val="0"/>
                <w:color w:val="000000"/>
                <w:kern w:val="0"/>
                <w:sz w:val="22"/>
                <w:szCs w:val="22"/>
                <w:u w:val="none"/>
                <w:lang w:val="en-US" w:eastAsia="zh-CN" w:bidi="ar"/>
              </w:rPr>
              <w:t>部门（单位）名称:518001-灵璧县虞姬镇人民政府</w:t>
            </w:r>
          </w:p>
        </w:tc>
        <w:tc>
          <w:tcPr>
            <w:tcW w:w="42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28" w:type="pct"/>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收   入             </w:t>
            </w:r>
          </w:p>
        </w:tc>
        <w:tc>
          <w:tcPr>
            <w:tcW w:w="31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一般公共预算财政拨款</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政府性基金预算财政拨款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一、上年结转</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846.80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二、本年收入</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经常收入拨款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798.80</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国库管理非税收入</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一般公共预算清算收入</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一般公共预算基数供给</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结转下年</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收入总计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846.80</w:t>
            </w:r>
          </w:p>
        </w:tc>
        <w:tc>
          <w:tcPr>
            <w:tcW w:w="1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支出总计</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846.80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43" w:type="pct"/>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注：本表反映部门财政拨款收入、支出预算情况。</w:t>
            </w:r>
          </w:p>
        </w:tc>
        <w:tc>
          <w:tcPr>
            <w:tcW w:w="42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0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2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95"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8" w:type="default"/>
          <w:pgSz w:w="11906" w:h="16839"/>
          <w:pgMar w:top="1431" w:right="1529" w:bottom="1413" w:left="1475" w:header="0" w:footer="1034" w:gutter="0"/>
          <w:cols w:space="720" w:num="1"/>
        </w:sectPr>
      </w:pPr>
    </w:p>
    <w:p>
      <w:pPr>
        <w:spacing w:before="62" w:line="224" w:lineRule="auto"/>
        <w:ind w:firstLine="7144" w:firstLineChars="3800"/>
        <w:jc w:val="both"/>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15" w:lineRule="exact"/>
      </w:pPr>
    </w:p>
    <w:p/>
    <w:tbl>
      <w:tblPr>
        <w:tblStyle w:val="6"/>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2"/>
        <w:gridCol w:w="3721"/>
        <w:gridCol w:w="1279"/>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43"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1279"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9"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hint="eastAsia" w:ascii="仿宋" w:hAnsi="仿宋" w:eastAsia="仿宋" w:cs="仿宋"/>
          <w:spacing w:val="-2"/>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hint="eastAsia" w:ascii="华文中宋" w:hAnsi="华文中宋" w:eastAsia="华文中宋" w:cs="华文中宋"/>
          <w:spacing w:val="-3"/>
          <w:position w:val="5"/>
          <w:sz w:val="29"/>
          <w:szCs w:val="29"/>
        </w:rPr>
      </w:pPr>
      <w:r>
        <w:rPr>
          <w:rFonts w:hint="eastAsia" w:ascii="华文中宋" w:hAnsi="华文中宋" w:eastAsia="华文中宋" w:cs="华文中宋"/>
          <w:spacing w:val="-6"/>
          <w:position w:val="5"/>
          <w:sz w:val="29"/>
          <w:szCs w:val="29"/>
        </w:rPr>
        <w:t>灵璧县</w:t>
      </w:r>
      <w:r>
        <w:rPr>
          <w:rFonts w:hint="eastAsia" w:ascii="华文中宋" w:hAnsi="华文中宋" w:eastAsia="华文中宋" w:cs="华文中宋"/>
          <w:b/>
          <w:bCs/>
          <w:spacing w:val="-3"/>
          <w:position w:val="5"/>
          <w:sz w:val="29"/>
          <w:szCs w:val="29"/>
          <w:lang w:eastAsia="zh-CN"/>
        </w:rPr>
        <w:t>虞姬镇人民政府</w:t>
      </w:r>
      <w:r>
        <w:rPr>
          <w:rFonts w:hint="eastAsia" w:ascii="华文中宋" w:hAnsi="华文中宋" w:eastAsia="华文中宋" w:cs="华文中宋"/>
          <w:b/>
          <w:bCs/>
          <w:spacing w:val="-3"/>
          <w:position w:val="5"/>
          <w:sz w:val="29"/>
          <w:szCs w:val="29"/>
        </w:rPr>
        <w:t>2023</w:t>
      </w:r>
      <w:r>
        <w:rPr>
          <w:rFonts w:hint="eastAsia" w:ascii="华文中宋" w:hAnsi="华文中宋" w:eastAsia="华文中宋" w:cs="华文中宋"/>
          <w:spacing w:val="-3"/>
          <w:position w:val="5"/>
          <w:sz w:val="29"/>
          <w:szCs w:val="29"/>
        </w:rPr>
        <w:t>年一般公共预算基本支出表</w:t>
      </w:r>
    </w:p>
    <w:p>
      <w:pPr>
        <w:pStyle w:val="2"/>
        <w:rPr>
          <w:rFonts w:hint="eastAsia"/>
        </w:rPr>
      </w:pPr>
    </w:p>
    <w:p>
      <w:pPr>
        <w:spacing w:line="51" w:lineRule="exact"/>
      </w:pPr>
    </w:p>
    <w:tbl>
      <w:tblPr>
        <w:tblStyle w:val="6"/>
        <w:tblW w:w="8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3"/>
        <w:gridCol w:w="3862"/>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415" w:type="dxa"/>
            <w:gridSpan w:val="2"/>
            <w:tcBorders>
              <w:top w:val="nil"/>
              <w:left w:val="nil"/>
              <w:bottom w:val="nil"/>
              <w:right w:val="nil"/>
            </w:tcBorders>
            <w:shd w:val="clear" w:color="auto" w:fill="auto"/>
            <w:noWrap/>
            <w:vAlign w:val="center"/>
          </w:tcPr>
          <w:p>
            <w:pPr>
              <w:rPr>
                <w:rFonts w:hint="eastAsia"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部门（单位）名称:518001-灵璧县虞姬镇人民政府</w:t>
            </w:r>
          </w:p>
        </w:tc>
        <w:tc>
          <w:tcPr>
            <w:tcW w:w="26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4.50</w:t>
            </w:r>
          </w:p>
        </w:tc>
      </w:tr>
    </w:tbl>
    <w:p>
      <w:pPr>
        <w:sectPr>
          <w:footerReference r:id="rId10"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hint="eastAsia" w:ascii="仿宋" w:hAnsi="仿宋" w:eastAsia="仿宋" w:cs="仿宋"/>
          <w:spacing w:val="-2"/>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918" w:firstLineChars="300"/>
        <w:rPr>
          <w:rFonts w:hint="eastAsia"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4"/>
          <w:position w:val="5"/>
          <w:sz w:val="29"/>
          <w:szCs w:val="29"/>
        </w:rPr>
        <w:t>2023</w:t>
      </w:r>
      <w:r>
        <w:rPr>
          <w:rFonts w:hint="eastAsia" w:ascii="华文中宋" w:hAnsi="华文中宋" w:eastAsia="华文中宋" w:cs="华文中宋"/>
          <w:spacing w:val="4"/>
          <w:position w:val="5"/>
          <w:sz w:val="29"/>
          <w:szCs w:val="29"/>
        </w:rPr>
        <w:t>年政府性基金预算支出</w:t>
      </w: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color w:val="auto"/>
          <w:sz w:val="23"/>
          <w:szCs w:val="23"/>
        </w:rPr>
      </w:pPr>
      <w:r>
        <w:rPr>
          <w:rFonts w:ascii="仿宋" w:hAnsi="仿宋" w:eastAsia="仿宋" w:cs="仿宋"/>
          <w:color w:val="auto"/>
          <w:spacing w:val="6"/>
          <w:sz w:val="23"/>
          <w:szCs w:val="23"/>
        </w:rPr>
        <w:t>注：</w:t>
      </w:r>
      <w:r>
        <w:rPr>
          <w:rFonts w:ascii="仿宋" w:hAnsi="仿宋" w:eastAsia="仿宋" w:cs="仿宋"/>
          <w:color w:val="auto"/>
          <w:spacing w:val="3"/>
          <w:sz w:val="23"/>
          <w:szCs w:val="23"/>
        </w:rPr>
        <w:t>安徽省</w:t>
      </w:r>
      <w:r>
        <w:rPr>
          <w:rFonts w:hint="eastAsia" w:ascii="仿宋" w:hAnsi="仿宋" w:eastAsia="仿宋" w:cs="仿宋"/>
          <w:color w:val="auto"/>
          <w:sz w:val="23"/>
          <w:szCs w:val="23"/>
          <w:lang w:eastAsia="zh-CN"/>
        </w:rPr>
        <w:t>虞姬镇人民政府</w:t>
      </w:r>
      <w:r>
        <w:rPr>
          <w:rFonts w:ascii="仿宋" w:hAnsi="仿宋" w:eastAsia="仿宋" w:cs="仿宋"/>
          <w:color w:val="auto"/>
          <w:spacing w:val="5"/>
          <w:sz w:val="23"/>
          <w:szCs w:val="23"/>
        </w:rPr>
        <w:t>没有政府性基金预算拨款收入，也没有政府性基金预算拨款安</w:t>
      </w:r>
      <w:r>
        <w:rPr>
          <w:rFonts w:ascii="仿宋" w:hAnsi="仿宋" w:eastAsia="仿宋" w:cs="仿宋"/>
          <w:color w:val="auto"/>
          <w:spacing w:val="4"/>
          <w:sz w:val="23"/>
          <w:szCs w:val="23"/>
        </w:rPr>
        <w:t>排的支出，故本表无数据。</w:t>
      </w:r>
    </w:p>
    <w:p>
      <w:pPr>
        <w:rPr>
          <w:color w:val="auto"/>
        </w:rPr>
        <w:sectPr>
          <w:footerReference r:id="rId11"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firstLine="612" w:firstLineChars="2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b w:val="0"/>
          <w:bCs w:val="0"/>
          <w:position w:val="5"/>
          <w:sz w:val="29"/>
          <w:szCs w:val="29"/>
          <w:lang w:eastAsia="zh-CN"/>
        </w:rPr>
        <w:t>虞姬镇人民政府</w:t>
      </w:r>
      <w:r>
        <w:rPr>
          <w:rFonts w:hint="eastAsia" w:ascii="华文中宋" w:hAnsi="华文中宋" w:eastAsia="华文中宋" w:cs="华文中宋"/>
          <w:b w:val="0"/>
          <w:bCs w:val="0"/>
          <w:spacing w:val="4"/>
          <w:position w:val="5"/>
          <w:sz w:val="29"/>
          <w:szCs w:val="29"/>
        </w:rPr>
        <w:t>2023</w:t>
      </w:r>
      <w:r>
        <w:rPr>
          <w:rFonts w:hint="eastAsia"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line="324" w:lineRule="auto"/>
            </w:pPr>
          </w:p>
          <w:p>
            <w:pPr>
              <w:spacing w:before="99" w:line="133" w:lineRule="exact"/>
              <w:ind w:left="385"/>
              <w:rPr>
                <w:rFonts w:ascii="微软雅黑" w:hAnsi="微软雅黑" w:eastAsia="微软雅黑" w:cs="微软雅黑"/>
                <w:sz w:val="23"/>
                <w:szCs w:val="23"/>
              </w:rPr>
            </w:pPr>
          </w:p>
        </w:tc>
        <w:tc>
          <w:tcPr>
            <w:tcW w:w="3968" w:type="dxa"/>
          </w:tcPr>
          <w:p>
            <w:pPr>
              <w:spacing w:line="324" w:lineRule="auto"/>
            </w:pPr>
          </w:p>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hint="eastAsia" w:ascii="仿宋" w:hAnsi="仿宋" w:eastAsia="仿宋" w:cs="仿宋"/>
          <w:color w:val="auto"/>
          <w:sz w:val="23"/>
          <w:szCs w:val="23"/>
        </w:rPr>
      </w:pPr>
      <w:r>
        <w:rPr>
          <w:rFonts w:ascii="仿宋" w:hAnsi="仿宋" w:eastAsia="仿宋" w:cs="仿宋"/>
          <w:color w:val="auto"/>
          <w:spacing w:val="8"/>
          <w:sz w:val="23"/>
          <w:szCs w:val="23"/>
        </w:rPr>
        <w:t>注：</w:t>
      </w:r>
      <w:r>
        <w:rPr>
          <w:rFonts w:hint="eastAsia" w:ascii="仿宋" w:hAnsi="仿宋" w:eastAsia="仿宋" w:cs="仿宋"/>
          <w:color w:val="auto"/>
          <w:spacing w:val="4"/>
          <w:sz w:val="23"/>
          <w:szCs w:val="23"/>
        </w:rPr>
        <w:t>安徽</w:t>
      </w:r>
      <w:r>
        <w:rPr>
          <w:rFonts w:hint="eastAsia" w:ascii="仿宋" w:hAnsi="仿宋" w:eastAsia="仿宋" w:cs="仿宋"/>
          <w:color w:val="auto"/>
          <w:spacing w:val="8"/>
          <w:sz w:val="23"/>
          <w:szCs w:val="23"/>
        </w:rPr>
        <w:t>省</w:t>
      </w:r>
      <w:r>
        <w:rPr>
          <w:rFonts w:hint="eastAsia" w:ascii="仿宋" w:hAnsi="仿宋" w:eastAsia="仿宋" w:cs="仿宋"/>
          <w:color w:val="auto"/>
          <w:sz w:val="23"/>
          <w:szCs w:val="23"/>
          <w:lang w:eastAsia="zh-CN"/>
        </w:rPr>
        <w:t>虞姬镇人民政府</w:t>
      </w:r>
      <w:r>
        <w:rPr>
          <w:rFonts w:hint="eastAsia" w:ascii="仿宋" w:hAnsi="仿宋" w:eastAsia="仿宋" w:cs="仿宋"/>
          <w:color w:val="auto"/>
          <w:spacing w:val="4"/>
          <w:sz w:val="23"/>
          <w:szCs w:val="23"/>
        </w:rPr>
        <w:t>没有国有资本经营预算拨款收入，也没有国有资本经营预算</w:t>
      </w:r>
      <w:r>
        <w:rPr>
          <w:rFonts w:hint="eastAsia" w:ascii="仿宋" w:hAnsi="仿宋" w:eastAsia="仿宋" w:cs="仿宋"/>
          <w:color w:val="auto"/>
          <w:spacing w:val="6"/>
          <w:sz w:val="23"/>
          <w:szCs w:val="23"/>
        </w:rPr>
        <w:t>拨款</w:t>
      </w:r>
      <w:r>
        <w:rPr>
          <w:rFonts w:hint="eastAsia" w:ascii="仿宋" w:hAnsi="仿宋" w:eastAsia="仿宋" w:cs="仿宋"/>
          <w:color w:val="auto"/>
          <w:spacing w:val="5"/>
          <w:sz w:val="23"/>
          <w:szCs w:val="23"/>
        </w:rPr>
        <w:t>安</w:t>
      </w:r>
      <w:r>
        <w:rPr>
          <w:rFonts w:hint="eastAsia" w:ascii="仿宋" w:hAnsi="仿宋" w:eastAsia="仿宋" w:cs="仿宋"/>
          <w:color w:val="auto"/>
          <w:spacing w:val="3"/>
          <w:sz w:val="23"/>
          <w:szCs w:val="23"/>
        </w:rPr>
        <w:t>排的支出，故本表无数据。</w:t>
      </w:r>
    </w:p>
    <w:p>
      <w:pPr>
        <w:rPr>
          <w:rFonts w:hint="eastAsia" w:ascii="仿宋" w:hAnsi="仿宋" w:eastAsia="仿宋" w:cs="仿宋"/>
          <w:color w:val="auto"/>
          <w:sz w:val="23"/>
          <w:szCs w:val="23"/>
        </w:rPr>
        <w:sectPr>
          <w:footerReference r:id="rId12"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hint="eastAsia" w:ascii="仿宋" w:hAnsi="仿宋" w:eastAsia="仿宋" w:cs="仿宋"/>
          <w:spacing w:val="-4"/>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rPr>
          <w:rFonts w:hint="eastAsia" w:ascii="华文中宋" w:hAnsi="华文中宋" w:eastAsia="华文中宋" w:cs="华文中宋"/>
          <w:spacing w:val="20"/>
          <w:position w:val="5"/>
          <w:sz w:val="29"/>
          <w:szCs w:val="29"/>
        </w:rPr>
      </w:pPr>
    </w:p>
    <w:p>
      <w:pPr>
        <w:spacing w:before="196" w:line="460" w:lineRule="exact"/>
        <w:ind w:left="3679"/>
        <w:rPr>
          <w:rFonts w:hint="eastAsia" w:ascii="华文中宋" w:hAnsi="华文中宋" w:eastAsia="华文中宋" w:cs="华文中宋"/>
          <w:spacing w:val="10"/>
          <w:position w:val="5"/>
          <w:sz w:val="29"/>
          <w:szCs w:val="29"/>
        </w:rPr>
      </w:pPr>
      <w:r>
        <w:rPr>
          <w:rFonts w:hint="eastAsia" w:ascii="华文中宋" w:hAnsi="华文中宋" w:eastAsia="华文中宋" w:cs="华文中宋"/>
          <w:spacing w:val="20"/>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10"/>
          <w:position w:val="5"/>
          <w:sz w:val="29"/>
          <w:szCs w:val="29"/>
        </w:rPr>
        <w:t>2023</w:t>
      </w:r>
      <w:r>
        <w:rPr>
          <w:rFonts w:hint="eastAsia" w:ascii="华文中宋" w:hAnsi="华文中宋" w:eastAsia="华文中宋" w:cs="华文中宋"/>
          <w:spacing w:val="10"/>
          <w:position w:val="5"/>
          <w:sz w:val="29"/>
          <w:szCs w:val="29"/>
        </w:rPr>
        <w:t>年项目支出表</w:t>
      </w:r>
    </w:p>
    <w:p>
      <w:pPr>
        <w:pStyle w:val="2"/>
      </w:pPr>
    </w:p>
    <w:p>
      <w:pPr>
        <w:spacing w:line="50" w:lineRule="exact"/>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2"/>
        <w:gridCol w:w="1535"/>
        <w:gridCol w:w="959"/>
        <w:gridCol w:w="858"/>
        <w:gridCol w:w="881"/>
        <w:gridCol w:w="874"/>
        <w:gridCol w:w="945"/>
        <w:gridCol w:w="1019"/>
        <w:gridCol w:w="989"/>
        <w:gridCol w:w="945"/>
        <w:gridCol w:w="1049"/>
        <w:gridCol w:w="945"/>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23"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30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4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3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0"/>
                <w:szCs w:val="40"/>
                <w:u w:val="none"/>
              </w:rPr>
            </w:pPr>
          </w:p>
        </w:tc>
        <w:tc>
          <w:tcPr>
            <w:tcW w:w="1008"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项目单位</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本年财政拨款</w:t>
            </w:r>
          </w:p>
        </w:tc>
        <w:tc>
          <w:tcPr>
            <w:tcW w:w="10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财政拨款结转结余</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上级转移支付（提前下达一般公共预算）</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虞姬镇政府2023年非税收入安排的支出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灵璧县虞姬镇人民政府</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before="259" w:line="471" w:lineRule="auto"/>
        <w:ind w:left="125" w:right="102"/>
        <w:sectPr>
          <w:footerReference r:id="rId13" w:type="default"/>
          <w:pgSz w:w="16839" w:h="11906"/>
          <w:pgMar w:top="1012" w:right="1361" w:bottom="1270" w:left="1327" w:header="0" w:footer="892" w:gutter="0"/>
          <w:cols w:space="720" w:num="1"/>
        </w:sect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p>
    <w:p>
      <w:pPr>
        <w:spacing w:before="62" w:line="224" w:lineRule="auto"/>
        <w:ind w:right="97"/>
        <w:jc w:val="right"/>
        <w:rPr>
          <w:rFonts w:ascii="仿宋" w:hAnsi="仿宋" w:eastAsia="仿宋" w:cs="仿宋"/>
          <w:spacing w:val="-2"/>
          <w:sz w:val="19"/>
          <w:szCs w:val="19"/>
        </w:rPr>
      </w:pPr>
      <w:r>
        <w:rPr>
          <w:rFonts w:hint="eastAsia" w:ascii="仿宋" w:hAnsi="仿宋" w:eastAsia="仿宋" w:cs="仿宋"/>
          <w:spacing w:val="-2"/>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hint="eastAsia" w:ascii="华文中宋" w:hAnsi="华文中宋" w:eastAsia="华文中宋" w:cs="华文中宋"/>
          <w:spacing w:val="4"/>
          <w:position w:val="5"/>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4"/>
          <w:position w:val="5"/>
          <w:sz w:val="29"/>
          <w:szCs w:val="29"/>
        </w:rPr>
        <w:t>2023</w:t>
      </w:r>
      <w:r>
        <w:rPr>
          <w:rFonts w:hint="eastAsia" w:ascii="华文中宋" w:hAnsi="华文中宋" w:eastAsia="华文中宋" w:cs="华文中宋"/>
          <w:spacing w:val="4"/>
          <w:position w:val="5"/>
          <w:sz w:val="29"/>
          <w:szCs w:val="29"/>
        </w:rPr>
        <w:t>年政府采购支出表</w:t>
      </w:r>
    </w:p>
    <w:p>
      <w:pPr>
        <w:pStyle w:val="2"/>
      </w:pPr>
    </w:p>
    <w:p>
      <w:pPr>
        <w:spacing w:line="49" w:lineRule="exact"/>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616"/>
        <w:gridCol w:w="616"/>
        <w:gridCol w:w="453"/>
        <w:gridCol w:w="561"/>
        <w:gridCol w:w="561"/>
        <w:gridCol w:w="561"/>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部门（单位）名称:518001-灵璧县虞姬镇人民政府</w:t>
            </w:r>
          </w:p>
        </w:tc>
        <w:tc>
          <w:tcPr>
            <w:tcW w:w="504"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504"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单位名称/支出项目/政府采购品目</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社会保险基金预算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w:t>
            </w:r>
            <w:bookmarkStart w:id="0" w:name="_GoBack"/>
            <w:bookmarkEnd w:id="0"/>
            <w:r>
              <w:rPr>
                <w:rFonts w:hint="eastAsia" w:ascii="宋体" w:hAnsi="宋体" w:eastAsia="宋体" w:cs="宋体"/>
                <w:i w:val="0"/>
                <w:iCs w:val="0"/>
                <w:snapToGrid w:val="0"/>
                <w:color w:val="000000"/>
                <w:kern w:val="0"/>
                <w:sz w:val="20"/>
                <w:szCs w:val="20"/>
                <w:u w:val="none"/>
                <w:lang w:val="en-US" w:eastAsia="zh-CN" w:bidi="ar"/>
              </w:rPr>
              <w:t>虞姬镇人民政府_综合定额（行政）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虞姬镇政府2023年非税收入安排的支出</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before="262" w:line="471" w:lineRule="auto"/>
        <w:ind w:left="65" w:right="43"/>
        <w:rPr>
          <w:rFonts w:ascii="仿宋" w:hAnsi="仿宋" w:eastAsia="仿宋" w:cs="仿宋"/>
          <w:color w:val="FF0000"/>
          <w:spacing w:val="-4"/>
          <w:sz w:val="22"/>
          <w:szCs w:val="22"/>
        </w:rPr>
      </w:pPr>
    </w:p>
    <w:p>
      <w:pPr>
        <w:spacing w:before="262" w:line="471" w:lineRule="auto"/>
        <w:ind w:left="65" w:right="43"/>
        <w:rPr>
          <w:rFonts w:ascii="仿宋" w:hAnsi="仿宋" w:eastAsia="仿宋" w:cs="仿宋"/>
          <w:color w:val="FF0000"/>
          <w:spacing w:val="-4"/>
          <w:sz w:val="22"/>
          <w:szCs w:val="22"/>
        </w:rPr>
      </w:pPr>
    </w:p>
    <w:p>
      <w:pPr>
        <w:spacing w:before="262" w:line="471" w:lineRule="auto"/>
        <w:ind w:left="65" w:right="43"/>
        <w:rPr>
          <w:rFonts w:ascii="仿宋" w:hAnsi="仿宋" w:eastAsia="仿宋" w:cs="仿宋"/>
          <w:color w:val="FF0000"/>
          <w:sz w:val="22"/>
          <w:szCs w:val="22"/>
        </w:rPr>
      </w:pPr>
    </w:p>
    <w:p>
      <w:pPr>
        <w:rPr>
          <w:color w:val="FF0000"/>
        </w:rPr>
        <w:sectPr>
          <w:footerReference r:id="rId14"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hint="eastAsia" w:ascii="仿宋" w:hAnsi="仿宋" w:eastAsia="仿宋" w:cs="仿宋"/>
          <w:spacing w:val="-2"/>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hint="eastAsia" w:ascii="华文中宋" w:hAnsi="华文中宋" w:eastAsia="华文中宋" w:cs="华文中宋"/>
          <w:sz w:val="29"/>
          <w:szCs w:val="29"/>
        </w:rPr>
      </w:pPr>
      <w:r>
        <w:rPr>
          <w:rFonts w:hint="eastAsia" w:ascii="华文中宋" w:hAnsi="华文中宋" w:eastAsia="华文中宋" w:cs="华文中宋"/>
          <w:spacing w:val="6"/>
          <w:position w:val="5"/>
          <w:sz w:val="29"/>
          <w:szCs w:val="29"/>
        </w:rPr>
        <w:t>灵璧县</w:t>
      </w:r>
      <w:r>
        <w:rPr>
          <w:rFonts w:hint="eastAsia" w:ascii="华文中宋" w:hAnsi="华文中宋" w:eastAsia="华文中宋" w:cs="华文中宋"/>
          <w:b/>
          <w:bCs/>
          <w:position w:val="5"/>
          <w:sz w:val="29"/>
          <w:szCs w:val="29"/>
          <w:lang w:eastAsia="zh-CN"/>
        </w:rPr>
        <w:t>虞姬镇人民政府</w:t>
      </w:r>
      <w:r>
        <w:rPr>
          <w:rFonts w:hint="eastAsia" w:ascii="华文中宋" w:hAnsi="华文中宋" w:eastAsia="华文中宋" w:cs="华文中宋"/>
          <w:b/>
          <w:bCs/>
          <w:spacing w:val="3"/>
          <w:position w:val="5"/>
          <w:sz w:val="29"/>
          <w:szCs w:val="29"/>
        </w:rPr>
        <w:t>2023</w:t>
      </w:r>
      <w:r>
        <w:rPr>
          <w:rFonts w:hint="eastAsia" w:ascii="华文中宋" w:hAnsi="华文中宋" w:eastAsia="华文中宋" w:cs="华文中宋"/>
          <w:spacing w:val="3"/>
          <w:position w:val="5"/>
          <w:sz w:val="29"/>
          <w:szCs w:val="29"/>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hint="eastAsia" w:ascii="华文仿宋" w:hAnsi="华文仿宋" w:eastAsia="华文仿宋" w:cs="华文仿宋"/>
          <w:color w:val="auto"/>
          <w:sz w:val="23"/>
          <w:szCs w:val="23"/>
        </w:rPr>
      </w:pPr>
      <w:r>
        <w:rPr>
          <w:rFonts w:hint="eastAsia" w:ascii="华文仿宋" w:hAnsi="华文仿宋" w:eastAsia="华文仿宋" w:cs="华文仿宋"/>
          <w:color w:val="auto"/>
          <w:spacing w:val="-2"/>
          <w:sz w:val="23"/>
          <w:szCs w:val="23"/>
        </w:rPr>
        <w:t>注：</w:t>
      </w:r>
      <w:r>
        <w:rPr>
          <w:rFonts w:hint="eastAsia" w:ascii="华文仿宋" w:hAnsi="华文仿宋" w:eastAsia="华文仿宋" w:cs="华文仿宋"/>
          <w:color w:val="auto"/>
          <w:spacing w:val="-1"/>
          <w:sz w:val="23"/>
          <w:szCs w:val="23"/>
        </w:rPr>
        <w:t>安徽省</w:t>
      </w:r>
      <w:r>
        <w:rPr>
          <w:rFonts w:hint="eastAsia" w:ascii="华文仿宋" w:hAnsi="华文仿宋" w:eastAsia="华文仿宋" w:cs="华文仿宋"/>
          <w:color w:val="auto"/>
          <w:spacing w:val="-1"/>
          <w:sz w:val="23"/>
          <w:szCs w:val="23"/>
          <w:lang w:eastAsia="zh-CN"/>
        </w:rPr>
        <w:t>虞姬镇人民政府</w:t>
      </w:r>
      <w:r>
        <w:rPr>
          <w:rFonts w:hint="eastAsia" w:ascii="华文仿宋" w:hAnsi="华文仿宋" w:eastAsia="华文仿宋" w:cs="华文仿宋"/>
          <w:color w:val="auto"/>
          <w:spacing w:val="-1"/>
          <w:sz w:val="23"/>
          <w:szCs w:val="23"/>
        </w:rPr>
        <w:t>没有安排政府购买服务支出，故本</w:t>
      </w:r>
      <w:r>
        <w:rPr>
          <w:rFonts w:hint="eastAsia" w:ascii="华文仿宋" w:hAnsi="华文仿宋" w:eastAsia="华文仿宋" w:cs="华文仿宋"/>
          <w:color w:val="auto"/>
          <w:sz w:val="23"/>
          <w:szCs w:val="23"/>
        </w:rPr>
        <w:t>表无数据。</w:t>
      </w:r>
    </w:p>
    <w:p>
      <w:pPr>
        <w:pStyle w:val="2"/>
        <w:rPr>
          <w:rFonts w:hint="eastAsia"/>
        </w:rPr>
      </w:pPr>
    </w:p>
    <w:p>
      <w:pPr>
        <w:spacing w:line="370" w:lineRule="auto"/>
      </w:pPr>
    </w:p>
    <w:p>
      <w:pPr>
        <w:tabs>
          <w:tab w:val="left" w:pos="160"/>
        </w:tabs>
        <w:spacing w:before="2" w:line="360" w:lineRule="auto"/>
        <w:ind w:right="90" w:firstLine="632" w:firstLineChars="200"/>
        <w:jc w:val="both"/>
        <w:rPr>
          <w:rFonts w:ascii="楷体" w:hAnsi="楷体" w:eastAsia="楷体" w:cs="楷体"/>
          <w:color w:val="FF0000"/>
          <w:spacing w:val="3"/>
          <w:sz w:val="31"/>
          <w:szCs w:val="31"/>
        </w:rPr>
        <w:sectPr>
          <w:footerReference r:id="rId15" w:type="default"/>
          <w:pgSz w:w="16839" w:h="11906"/>
          <w:pgMar w:top="1012" w:right="1825" w:bottom="1412" w:left="1260" w:header="0" w:footer="1034" w:gutter="0"/>
          <w:cols w:space="720" w:num="1"/>
        </w:sectPr>
      </w:pPr>
    </w:p>
    <w:p>
      <w:pPr>
        <w:spacing w:before="113" w:line="226" w:lineRule="auto"/>
        <w:rPr>
          <w:rFonts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虞姬镇人民政府</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虞姬镇人民政府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846.8</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一般公共预算拨款收入，支出包括：一般公共服务支出、社会保障和就业支出、卫生健康支出、住房保障支出。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虞姬镇人民政府</w:t>
      </w:r>
      <w:r>
        <w:rPr>
          <w:rFonts w:hint="eastAsia" w:ascii="仿宋" w:hAnsi="仿宋" w:eastAsia="仿宋" w:cs="仿宋"/>
          <w:spacing w:val="3"/>
          <w:sz w:val="31"/>
          <w:szCs w:val="31"/>
        </w:rPr>
        <w:t>2023年收入预算</w:t>
      </w:r>
      <w:r>
        <w:rPr>
          <w:rFonts w:hint="eastAsia" w:ascii="仿宋" w:hAnsi="仿宋" w:eastAsia="仿宋" w:cs="仿宋"/>
          <w:spacing w:val="3"/>
          <w:sz w:val="31"/>
          <w:szCs w:val="31"/>
          <w:lang w:val="en-US" w:eastAsia="zh-CN"/>
        </w:rPr>
        <w:t>846.8</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收入全部为当年</w:t>
      </w:r>
      <w:r>
        <w:rPr>
          <w:rFonts w:hint="eastAsia" w:ascii="仿宋" w:hAnsi="仿宋" w:eastAsia="仿宋" w:cs="仿宋"/>
          <w:spacing w:val="3"/>
          <w:sz w:val="31"/>
          <w:szCs w:val="31"/>
        </w:rPr>
        <w:t>收入。</w:t>
      </w:r>
    </w:p>
    <w:p>
      <w:pPr>
        <w:spacing w:before="185" w:line="360" w:lineRule="auto"/>
        <w:ind w:left="11" w:firstLine="612"/>
        <w:jc w:val="both"/>
        <w:rPr>
          <w:rFonts w:hint="eastAsia" w:ascii="仿宋" w:hAnsi="仿宋" w:eastAsia="仿宋" w:cs="仿宋"/>
          <w:spacing w:val="-4"/>
          <w:sz w:val="32"/>
          <w:szCs w:val="32"/>
          <w:lang w:eastAsia="zh-CN"/>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846.8</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收入全部为</w:t>
      </w:r>
      <w:r>
        <w:rPr>
          <w:rFonts w:hint="eastAsia" w:ascii="仿宋" w:hAnsi="仿宋" w:eastAsia="仿宋" w:cs="仿宋"/>
          <w:spacing w:val="3"/>
          <w:sz w:val="31"/>
          <w:szCs w:val="31"/>
        </w:rPr>
        <w:t>一般公共预算拨款收入 ，比 2022 年预算增加</w:t>
      </w:r>
      <w:r>
        <w:rPr>
          <w:rFonts w:hint="eastAsia" w:ascii="仿宋" w:hAnsi="仿宋" w:eastAsia="仿宋" w:cs="仿宋"/>
          <w:spacing w:val="3"/>
          <w:sz w:val="31"/>
          <w:szCs w:val="31"/>
          <w:lang w:val="en-US" w:eastAsia="zh-CN"/>
        </w:rPr>
        <w:t>240.58</w:t>
      </w:r>
      <w:r>
        <w:rPr>
          <w:rFonts w:hint="eastAsia" w:ascii="仿宋" w:hAnsi="仿宋" w:eastAsia="仿宋" w:cs="仿宋"/>
          <w:spacing w:val="3"/>
          <w:sz w:val="31"/>
          <w:szCs w:val="31"/>
        </w:rPr>
        <w:t xml:space="preserve">万元，增长 </w:t>
      </w:r>
      <w:r>
        <w:rPr>
          <w:rFonts w:hint="eastAsia" w:ascii="仿宋" w:hAnsi="仿宋" w:eastAsia="仿宋" w:cs="仿宋"/>
          <w:spacing w:val="3"/>
          <w:sz w:val="31"/>
          <w:szCs w:val="31"/>
          <w:lang w:val="en-US" w:eastAsia="zh-CN"/>
        </w:rPr>
        <w:t>39.69</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新调入人员及人员工资调增</w:t>
      </w: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eastAsia="zh-CN"/>
        </w:rPr>
        <w:t>。</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hint="eastAsia" w:ascii="仿宋" w:hAnsi="仿宋" w:eastAsia="仿宋" w:cs="仿宋"/>
          <w:sz w:val="32"/>
          <w:szCs w:val="32"/>
          <w:lang w:eastAsia="zh-CN"/>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rPr>
        <w:t>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846.8</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240.58</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39.69</w:t>
      </w:r>
      <w:r>
        <w:rPr>
          <w:rFonts w:hint="eastAsia" w:ascii="仿宋" w:hAnsi="仿宋" w:eastAsia="仿宋" w:cs="仿宋"/>
          <w:spacing w:val="-5"/>
          <w:sz w:val="32"/>
          <w:szCs w:val="32"/>
        </w:rPr>
        <w:t>%，增长</w:t>
      </w:r>
      <w:r>
        <w:rPr>
          <w:rFonts w:hint="eastAsia" w:ascii="仿宋" w:hAnsi="仿宋" w:eastAsia="仿宋" w:cs="仿宋"/>
          <w:spacing w:val="-10"/>
          <w:sz w:val="32"/>
          <w:szCs w:val="32"/>
        </w:rPr>
        <w:t xml:space="preserve"> </w:t>
      </w:r>
      <w:r>
        <w:rPr>
          <w:rFonts w:hint="eastAsia" w:ascii="仿宋" w:hAnsi="仿宋" w:eastAsia="仿宋" w:cs="仿宋"/>
          <w:spacing w:val="-6"/>
          <w:sz w:val="32"/>
          <w:szCs w:val="32"/>
        </w:rPr>
        <w:t>原因主要是</w:t>
      </w:r>
      <w:r>
        <w:rPr>
          <w:rFonts w:hint="eastAsia" w:ascii="仿宋" w:hAnsi="仿宋" w:eastAsia="仿宋" w:cs="仿宋"/>
          <w:spacing w:val="3"/>
          <w:sz w:val="31"/>
          <w:szCs w:val="31"/>
          <w:lang w:eastAsia="zh-CN"/>
        </w:rPr>
        <w:t>新调入人员及人员工资调增</w:t>
      </w: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798.8</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94.33</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48</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5.67</w:t>
      </w:r>
      <w:r>
        <w:rPr>
          <w:rFonts w:hint="eastAsia" w:ascii="仿宋" w:hAnsi="仿宋" w:eastAsia="仿宋" w:cs="仿宋"/>
          <w:spacing w:val="-5"/>
          <w:sz w:val="32"/>
          <w:szCs w:val="32"/>
        </w:rPr>
        <w:t>%，主要用于</w:t>
      </w:r>
      <w:r>
        <w:rPr>
          <w:rFonts w:hint="eastAsia" w:ascii="仿宋" w:hAnsi="仿宋" w:eastAsia="仿宋" w:cs="仿宋"/>
          <w:spacing w:val="-9"/>
          <w:sz w:val="32"/>
          <w:szCs w:val="32"/>
        </w:rPr>
        <w:t>保障机构日常运转、完成日常工作任务</w:t>
      </w:r>
      <w:r>
        <w:rPr>
          <w:rFonts w:hint="eastAsia" w:ascii="仿宋" w:hAnsi="仿宋" w:eastAsia="仿宋" w:cs="仿宋"/>
          <w:spacing w:val="-9"/>
          <w:sz w:val="32"/>
          <w:szCs w:val="32"/>
          <w:lang w:eastAsia="zh-CN"/>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年财政拨款收支预算</w:t>
      </w:r>
      <w:r>
        <w:rPr>
          <w:rFonts w:hint="eastAsia" w:ascii="仿宋" w:hAnsi="仿宋" w:eastAsia="仿宋" w:cs="仿宋"/>
          <w:spacing w:val="1"/>
          <w:sz w:val="32"/>
          <w:szCs w:val="32"/>
          <w:lang w:val="en-US" w:eastAsia="zh-CN"/>
        </w:rPr>
        <w:t>846.8</w:t>
      </w:r>
      <w:r>
        <w:rPr>
          <w:rFonts w:hint="eastAsia" w:ascii="仿宋" w:hAnsi="仿宋" w:eastAsia="仿宋" w:cs="仿宋"/>
          <w:spacing w:val="1"/>
          <w:sz w:val="32"/>
          <w:szCs w:val="32"/>
        </w:rPr>
        <w:t>万元。收入按资金来源分</w:t>
      </w:r>
      <w:r>
        <w:rPr>
          <w:rFonts w:hint="eastAsia" w:ascii="仿宋" w:hAnsi="仿宋" w:eastAsia="仿宋" w:cs="仿宋"/>
          <w:spacing w:val="1"/>
          <w:sz w:val="32"/>
          <w:szCs w:val="32"/>
          <w:lang w:eastAsia="zh-CN"/>
        </w:rPr>
        <w:t>全部为</w:t>
      </w:r>
      <w:r>
        <w:rPr>
          <w:rFonts w:hint="eastAsia" w:ascii="仿宋" w:hAnsi="仿宋" w:eastAsia="仿宋" w:cs="仿宋"/>
          <w:spacing w:val="1"/>
          <w:sz w:val="32"/>
          <w:szCs w:val="32"/>
        </w:rPr>
        <w:t>一般公共预算拨款；按资金年度分</w:t>
      </w:r>
      <w:r>
        <w:rPr>
          <w:rFonts w:hint="eastAsia" w:ascii="仿宋" w:hAnsi="仿宋" w:eastAsia="仿宋" w:cs="仿宋"/>
          <w:spacing w:val="1"/>
          <w:sz w:val="32"/>
          <w:szCs w:val="32"/>
          <w:lang w:eastAsia="zh-CN"/>
        </w:rPr>
        <w:t>全部为当年</w:t>
      </w:r>
      <w:r>
        <w:rPr>
          <w:rFonts w:hint="eastAsia" w:ascii="仿宋" w:hAnsi="仿宋" w:eastAsia="仿宋" w:cs="仿宋"/>
          <w:spacing w:val="1"/>
          <w:sz w:val="32"/>
          <w:szCs w:val="32"/>
        </w:rPr>
        <w:t>财政拨款收入</w:t>
      </w:r>
      <w:r>
        <w:rPr>
          <w:rFonts w:hint="eastAsia" w:ascii="仿宋" w:hAnsi="仿宋" w:eastAsia="仿宋" w:cs="仿宋"/>
          <w:spacing w:val="1"/>
          <w:sz w:val="32"/>
          <w:szCs w:val="32"/>
          <w:lang w:eastAsia="zh-CN"/>
        </w:rPr>
        <w:t>（含上年结转）</w:t>
      </w:r>
      <w:r>
        <w:rPr>
          <w:rFonts w:hint="eastAsia" w:ascii="仿宋" w:hAnsi="仿宋" w:eastAsia="仿宋" w:cs="仿宋"/>
          <w:spacing w:val="1"/>
          <w:sz w:val="32"/>
          <w:szCs w:val="32"/>
        </w:rPr>
        <w:t>。支出按功能分类分为：一般公共服务支出</w:t>
      </w:r>
      <w:r>
        <w:rPr>
          <w:rFonts w:hint="eastAsia" w:ascii="仿宋" w:hAnsi="仿宋" w:eastAsia="仿宋" w:cs="仿宋"/>
          <w:spacing w:val="1"/>
          <w:sz w:val="32"/>
          <w:szCs w:val="32"/>
          <w:lang w:val="en-US" w:eastAsia="zh-CN"/>
        </w:rPr>
        <w:t>668.29</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78.92</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87.81</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10.37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24.92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2.94</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65.77</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7.77</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846.8</w:t>
      </w:r>
      <w:r>
        <w:rPr>
          <w:rFonts w:hint="eastAsia" w:ascii="仿宋" w:hAnsi="仿宋" w:eastAsia="仿宋" w:cs="仿宋"/>
          <w:sz w:val="32"/>
          <w:szCs w:val="32"/>
        </w:rPr>
        <w:t xml:space="preserve"> </w:t>
      </w:r>
      <w:r>
        <w:rPr>
          <w:rFonts w:hint="eastAsia" w:ascii="仿宋" w:hAnsi="仿宋" w:eastAsia="仿宋" w:cs="仿宋"/>
          <w:spacing w:val="-8"/>
          <w:sz w:val="32"/>
          <w:szCs w:val="32"/>
        </w:rPr>
        <w:t xml:space="preserve">万元，比 2022 年预算增加 </w:t>
      </w:r>
      <w:r>
        <w:rPr>
          <w:rFonts w:hint="eastAsia" w:ascii="仿宋" w:hAnsi="仿宋" w:eastAsia="仿宋" w:cs="仿宋"/>
          <w:spacing w:val="-8"/>
          <w:sz w:val="32"/>
          <w:szCs w:val="32"/>
          <w:lang w:val="en-US" w:eastAsia="zh-CN"/>
        </w:rPr>
        <w:t>240.58</w:t>
      </w:r>
      <w:r>
        <w:rPr>
          <w:rFonts w:hint="eastAsia" w:ascii="仿宋" w:hAnsi="仿宋" w:eastAsia="仿宋" w:cs="仿宋"/>
          <w:spacing w:val="-8"/>
          <w:sz w:val="32"/>
          <w:szCs w:val="32"/>
        </w:rPr>
        <w:t>万元，增长</w:t>
      </w:r>
      <w:r>
        <w:rPr>
          <w:rFonts w:hint="eastAsia" w:ascii="仿宋" w:hAnsi="仿宋" w:eastAsia="仿宋" w:cs="仿宋"/>
          <w:spacing w:val="-8"/>
          <w:sz w:val="32"/>
          <w:szCs w:val="32"/>
          <w:lang w:val="en-US" w:eastAsia="zh-CN"/>
        </w:rPr>
        <w:t>39.69</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原因：一是</w:t>
      </w:r>
      <w:r>
        <w:rPr>
          <w:rFonts w:hint="eastAsia" w:ascii="仿宋" w:hAnsi="仿宋" w:eastAsia="仿宋" w:cs="仿宋"/>
          <w:spacing w:val="-10"/>
          <w:sz w:val="32"/>
          <w:szCs w:val="32"/>
          <w:lang w:eastAsia="zh-CN"/>
        </w:rPr>
        <w:t>新调入人员</w:t>
      </w:r>
      <w:r>
        <w:rPr>
          <w:rFonts w:hint="eastAsia" w:ascii="仿宋" w:hAnsi="仿宋" w:eastAsia="仿宋" w:cs="仿宋"/>
          <w:spacing w:val="-10"/>
          <w:sz w:val="32"/>
          <w:szCs w:val="32"/>
        </w:rPr>
        <w:t>；二是</w:t>
      </w:r>
      <w:r>
        <w:rPr>
          <w:rFonts w:hint="eastAsia" w:ascii="仿宋" w:hAnsi="仿宋" w:eastAsia="仿宋" w:cs="仿宋"/>
          <w:spacing w:val="-10"/>
          <w:sz w:val="32"/>
          <w:szCs w:val="32"/>
          <w:lang w:eastAsia="zh-CN"/>
        </w:rPr>
        <w:t>人员工资调增</w:t>
      </w:r>
      <w:r>
        <w:rPr>
          <w:rFonts w:hint="eastAsia" w:ascii="仿宋" w:hAnsi="仿宋" w:eastAsia="仿宋" w:cs="仿宋"/>
          <w:spacing w:val="-10"/>
          <w:sz w:val="32"/>
          <w:szCs w:val="32"/>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36" w:line="360" w:lineRule="auto"/>
        <w:ind w:left="25" w:right="152" w:firstLine="616"/>
        <w:jc w:val="both"/>
        <w:rPr>
          <w:rFonts w:ascii="仿宋" w:hAnsi="仿宋" w:eastAsia="仿宋" w:cs="仿宋"/>
          <w:sz w:val="32"/>
          <w:szCs w:val="32"/>
        </w:rPr>
      </w:pPr>
      <w:r>
        <w:rPr>
          <w:rFonts w:hint="eastAsia" w:ascii="仿宋" w:hAnsi="仿宋" w:eastAsia="仿宋" w:cs="仿宋"/>
          <w:spacing w:val="-5"/>
          <w:sz w:val="32"/>
          <w:szCs w:val="32"/>
        </w:rPr>
        <w:t>一</w:t>
      </w:r>
      <w:r>
        <w:rPr>
          <w:rFonts w:hint="eastAsia" w:ascii="仿宋" w:hAnsi="仿宋" w:eastAsia="仿宋" w:cs="仿宋"/>
          <w:spacing w:val="-3"/>
          <w:sz w:val="32"/>
          <w:szCs w:val="32"/>
        </w:rPr>
        <w:t>般公共服务支出</w:t>
      </w:r>
      <w:r>
        <w:rPr>
          <w:rFonts w:hint="eastAsia" w:ascii="仿宋" w:hAnsi="仿宋" w:eastAsia="仿宋" w:cs="仿宋"/>
          <w:spacing w:val="-3"/>
          <w:sz w:val="32"/>
          <w:szCs w:val="32"/>
          <w:lang w:val="en-US" w:eastAsia="zh-CN"/>
        </w:rPr>
        <w:t>668.29</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78.92</w:t>
      </w:r>
      <w:r>
        <w:rPr>
          <w:rFonts w:hint="eastAsia" w:ascii="仿宋" w:hAnsi="仿宋" w:eastAsia="仿宋" w:cs="仿宋"/>
          <w:spacing w:val="-3"/>
          <w:sz w:val="32"/>
          <w:szCs w:val="32"/>
        </w:rPr>
        <w:t>%；社会保障和就业支出</w:t>
      </w:r>
      <w:r>
        <w:rPr>
          <w:rFonts w:hint="eastAsia" w:ascii="仿宋" w:hAnsi="仿宋" w:eastAsia="仿宋" w:cs="仿宋"/>
          <w:spacing w:val="-3"/>
          <w:sz w:val="32"/>
          <w:szCs w:val="32"/>
          <w:lang w:val="en-US" w:eastAsia="zh-CN"/>
        </w:rPr>
        <w:t>87.81</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10.37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24.92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2.94</w:t>
      </w:r>
      <w:r>
        <w:rPr>
          <w:rFonts w:hint="eastAsia" w:ascii="仿宋" w:hAnsi="仿宋" w:eastAsia="仿宋" w:cs="仿宋"/>
          <w:spacing w:val="-3"/>
          <w:sz w:val="32"/>
          <w:szCs w:val="32"/>
        </w:rPr>
        <w:t>%；住房保障支出</w:t>
      </w:r>
      <w:r>
        <w:rPr>
          <w:rFonts w:hint="eastAsia" w:ascii="仿宋" w:hAnsi="仿宋" w:eastAsia="仿宋" w:cs="仿宋"/>
          <w:spacing w:val="-3"/>
          <w:sz w:val="32"/>
          <w:szCs w:val="32"/>
          <w:lang w:val="en-US" w:eastAsia="zh-CN"/>
        </w:rPr>
        <w:t>65.77</w:t>
      </w:r>
      <w:r>
        <w:rPr>
          <w:rFonts w:hint="eastAsia" w:ascii="仿宋" w:hAnsi="仿宋" w:eastAsia="仿宋" w:cs="仿宋"/>
          <w:spacing w:val="-26"/>
          <w:sz w:val="32"/>
          <w:szCs w:val="32"/>
        </w:rPr>
        <w:t>万</w:t>
      </w:r>
      <w:r>
        <w:rPr>
          <w:rFonts w:hint="eastAsia" w:ascii="仿宋" w:hAnsi="仿宋" w:eastAsia="仿宋" w:cs="仿宋"/>
          <w:spacing w:val="-25"/>
          <w:sz w:val="32"/>
          <w:szCs w:val="32"/>
        </w:rPr>
        <w:t>元， 占</w:t>
      </w:r>
      <w:r>
        <w:rPr>
          <w:rFonts w:hint="eastAsia" w:ascii="仿宋" w:hAnsi="仿宋" w:eastAsia="仿宋" w:cs="仿宋"/>
          <w:spacing w:val="-25"/>
          <w:sz w:val="32"/>
          <w:szCs w:val="32"/>
          <w:lang w:val="en-US" w:eastAsia="zh-CN"/>
        </w:rPr>
        <w:t>7.77</w:t>
      </w:r>
      <w:r>
        <w:rPr>
          <w:rFonts w:hint="eastAsia" w:ascii="仿宋" w:hAnsi="仿宋" w:eastAsia="仿宋" w:cs="仿宋"/>
          <w:spacing w:val="-25"/>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w:t>
      </w:r>
      <w:r>
        <w:rPr>
          <w:rFonts w:hint="eastAsia" w:ascii="仿宋" w:hAnsi="仿宋" w:eastAsia="仿宋" w:cs="仿宋"/>
          <w:b/>
          <w:bCs/>
          <w:spacing w:val="5"/>
          <w:sz w:val="32"/>
          <w:szCs w:val="32"/>
          <w:lang w:eastAsia="zh-CN"/>
        </w:rPr>
        <w:t>政府办公厅（室）及相关机构事务</w:t>
      </w:r>
      <w:r>
        <w:rPr>
          <w:rFonts w:hint="eastAsia" w:ascii="仿宋" w:hAnsi="仿宋" w:eastAsia="仿宋" w:cs="仿宋"/>
          <w:b/>
          <w:bCs/>
          <w:spacing w:val="5"/>
          <w:sz w:val="32"/>
          <w:szCs w:val="32"/>
        </w:rPr>
        <w:t>(款)行政运行(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513.06</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97.38</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23.43</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人员工资调增</w:t>
      </w:r>
      <w:r>
        <w:rPr>
          <w:rFonts w:hint="eastAsia" w:ascii="仿宋" w:hAnsi="仿宋" w:eastAsia="仿宋" w:cs="仿宋"/>
          <w:sz w:val="32"/>
          <w:szCs w:val="32"/>
        </w:rPr>
        <w:t>。</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2.一般公共服务支出(类)</w:t>
      </w:r>
      <w:r>
        <w:rPr>
          <w:rFonts w:hint="eastAsia" w:ascii="仿宋" w:hAnsi="仿宋" w:eastAsia="仿宋" w:cs="仿宋"/>
          <w:b/>
          <w:bCs/>
          <w:spacing w:val="5"/>
          <w:sz w:val="32"/>
          <w:szCs w:val="32"/>
          <w:lang w:eastAsia="zh-CN"/>
        </w:rPr>
        <w:t>政府办公厅（室）及相关机构事务</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w:t>
      </w:r>
      <w:r>
        <w:rPr>
          <w:rFonts w:hint="eastAsia" w:ascii="仿宋" w:hAnsi="仿宋" w:eastAsia="仿宋" w:cs="仿宋"/>
          <w:b/>
          <w:bCs/>
          <w:spacing w:val="5"/>
          <w:sz w:val="32"/>
          <w:szCs w:val="32"/>
        </w:rPr>
        <w:t>运行(</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155.23</w:t>
      </w:r>
      <w:r>
        <w:rPr>
          <w:rFonts w:hint="eastAsia" w:ascii="仿宋" w:hAnsi="仿宋" w:eastAsia="仿宋" w:cs="仿宋"/>
          <w:spacing w:val="-5"/>
          <w:sz w:val="32"/>
          <w:szCs w:val="32"/>
        </w:rPr>
        <w:t>万元，比 2022 年预算增加</w:t>
      </w:r>
      <w:r>
        <w:rPr>
          <w:rFonts w:hint="eastAsia" w:ascii="仿宋" w:hAnsi="仿宋" w:eastAsia="仿宋" w:cs="仿宋"/>
          <w:spacing w:val="-5"/>
          <w:sz w:val="32"/>
          <w:szCs w:val="32"/>
          <w:lang w:val="en-US" w:eastAsia="zh-CN"/>
        </w:rPr>
        <w:t>81.67</w:t>
      </w:r>
      <w:r>
        <w:rPr>
          <w:rFonts w:hint="eastAsia" w:ascii="仿宋" w:hAnsi="仿宋" w:eastAsia="仿宋" w:cs="仿宋"/>
          <w:spacing w:val="-4"/>
          <w:position w:val="2"/>
          <w:sz w:val="32"/>
          <w:szCs w:val="32"/>
        </w:rPr>
        <w:t>万元，增长</w:t>
      </w:r>
      <w:r>
        <w:rPr>
          <w:rFonts w:hint="eastAsia" w:ascii="仿宋" w:hAnsi="仿宋" w:eastAsia="仿宋" w:cs="仿宋"/>
          <w:spacing w:val="-4"/>
          <w:position w:val="2"/>
          <w:sz w:val="32"/>
          <w:szCs w:val="32"/>
          <w:lang w:val="en-US" w:eastAsia="zh-CN"/>
        </w:rPr>
        <w:t>111.03</w:t>
      </w:r>
      <w:r>
        <w:rPr>
          <w:rFonts w:hint="eastAsia" w:ascii="仿宋" w:hAnsi="仿宋" w:eastAsia="仿宋" w:cs="仿宋"/>
          <w:spacing w:val="-2"/>
          <w:position w:val="2"/>
          <w:sz w:val="32"/>
          <w:szCs w:val="32"/>
        </w:rPr>
        <w:t>% ，增长原因主要是</w:t>
      </w:r>
      <w:r>
        <w:rPr>
          <w:rFonts w:hint="eastAsia" w:ascii="仿宋" w:hAnsi="仿宋" w:eastAsia="仿宋" w:cs="仿宋"/>
          <w:spacing w:val="-2"/>
          <w:position w:val="2"/>
          <w:sz w:val="32"/>
          <w:szCs w:val="32"/>
          <w:lang w:eastAsia="zh-CN"/>
        </w:rPr>
        <w:t>新增人员及人员工资调增。</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rPr>
        <w:t>3.社会保障和就业支出(类)行政事业单位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机关事业单位基本养老保险缴费支出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58.54</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20.14</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52.45</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新增人员调入及人员工资调增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4</w:t>
      </w:r>
      <w:r>
        <w:rPr>
          <w:rFonts w:hint="eastAsia" w:ascii="仿宋" w:hAnsi="仿宋" w:eastAsia="仿宋" w:cs="仿宋"/>
          <w:b/>
          <w:bCs/>
          <w:spacing w:val="5"/>
          <w:sz w:val="32"/>
          <w:szCs w:val="32"/>
        </w:rPr>
        <w:t>.社会保障和就业支出(类)行政事业单位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机关事业单位职业年金缴费支出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29.27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10.07</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52.45</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新增人员及人员工资调增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行政单位医疗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12.47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1.21</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10.75</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lang w:val="en-US" w:eastAsia="zh-CN"/>
        </w:rPr>
      </w:pP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5.1</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1</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24.39</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新增人员及人员工资调增</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 xml:space="preserve">  </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7</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公务员医疗补助</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3.9</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0.38</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10.80</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pPr>
      <w:r>
        <w:rPr>
          <w:rFonts w:hint="eastAsia" w:ascii="仿宋" w:hAnsi="仿宋" w:eastAsia="仿宋" w:cs="仿宋"/>
          <w:b/>
          <w:bCs/>
          <w:spacing w:val="5"/>
          <w:sz w:val="32"/>
          <w:szCs w:val="32"/>
          <w:lang w:val="en-US" w:eastAsia="zh-CN"/>
        </w:rPr>
        <w:t>8</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其他行政事业单位医疗支出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3.46</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2.95</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578.43</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新增人员及人员工资调增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9</w:t>
      </w:r>
      <w:r>
        <w:rPr>
          <w:rFonts w:hint="eastAsia" w:ascii="仿宋" w:hAnsi="仿宋" w:eastAsia="仿宋" w:cs="仿宋"/>
          <w:b/>
          <w:bCs/>
          <w:spacing w:val="5"/>
          <w:sz w:val="32"/>
          <w:szCs w:val="32"/>
        </w:rPr>
        <w:t>.住房保障支出(类)住房改革支出(款)住房公积金(项)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47.33</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18.53</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64.34</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新增人员及人员工资调增</w:t>
      </w:r>
      <w:r>
        <w:rPr>
          <w:rFonts w:hint="eastAsia" w:ascii="仿宋" w:hAnsi="仿宋" w:eastAsia="仿宋" w:cs="仿宋"/>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10</w:t>
      </w:r>
      <w:r>
        <w:rPr>
          <w:rFonts w:hint="eastAsia" w:ascii="仿宋" w:hAnsi="仿宋" w:eastAsia="仿宋" w:cs="仿宋"/>
          <w:b/>
          <w:bCs/>
          <w:spacing w:val="5"/>
          <w:sz w:val="32"/>
          <w:szCs w:val="32"/>
        </w:rPr>
        <w:t>.住房保障支出(类)住房改革支出(款)</w:t>
      </w:r>
      <w:r>
        <w:rPr>
          <w:rFonts w:hint="eastAsia" w:ascii="仿宋" w:hAnsi="仿宋" w:eastAsia="仿宋" w:cs="仿宋"/>
          <w:b/>
          <w:bCs/>
          <w:spacing w:val="5"/>
          <w:sz w:val="32"/>
          <w:szCs w:val="32"/>
          <w:lang w:eastAsia="zh-CN"/>
        </w:rPr>
        <w:t>提租补贴</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18.45</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7.28</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65.17</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新增人员及人员工资调增</w:t>
      </w:r>
      <w:r>
        <w:rPr>
          <w:rFonts w:hint="eastAsia" w:ascii="仿宋" w:hAnsi="仿宋" w:eastAsia="仿宋" w:cs="仿宋"/>
          <w:sz w:val="32"/>
          <w:szCs w:val="32"/>
        </w:rPr>
        <w:t>。</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798.8</w:t>
      </w:r>
      <w:r>
        <w:rPr>
          <w:rFonts w:hint="eastAsia" w:ascii="仿宋" w:hAnsi="仿宋" w:eastAsia="仿宋" w:cs="仿宋"/>
          <w:spacing w:val="-3"/>
          <w:sz w:val="32"/>
          <w:szCs w:val="32"/>
        </w:rPr>
        <w:t xml:space="preserve">万元，其中，人员经费 </w:t>
      </w:r>
      <w:r>
        <w:rPr>
          <w:rFonts w:hint="eastAsia" w:ascii="仿宋" w:hAnsi="仿宋" w:eastAsia="仿宋" w:cs="仿宋"/>
          <w:spacing w:val="-3"/>
          <w:sz w:val="32"/>
          <w:szCs w:val="32"/>
          <w:lang w:val="en-US" w:eastAsia="zh-CN"/>
        </w:rPr>
        <w:t>703.98</w:t>
      </w:r>
      <w:r>
        <w:rPr>
          <w:rFonts w:hint="eastAsia" w:ascii="仿宋" w:hAnsi="仿宋" w:eastAsia="仿宋" w:cs="仿宋"/>
          <w:spacing w:val="-3"/>
          <w:sz w:val="32"/>
          <w:szCs w:val="32"/>
        </w:rPr>
        <w:t xml:space="preserve"> 万元，公用经费</w:t>
      </w:r>
      <w:r>
        <w:rPr>
          <w:rFonts w:hint="eastAsia" w:ascii="仿宋" w:hAnsi="仿宋" w:eastAsia="仿宋" w:cs="仿宋"/>
          <w:spacing w:val="-3"/>
          <w:sz w:val="32"/>
          <w:szCs w:val="32"/>
          <w:lang w:val="en-US" w:eastAsia="zh-CN"/>
        </w:rPr>
        <w:t>94.81</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 </w:t>
      </w:r>
      <w:r>
        <w:rPr>
          <w:rFonts w:hint="eastAsia" w:ascii="仿宋" w:hAnsi="仿宋" w:eastAsia="仿宋" w:cs="仿宋"/>
          <w:spacing w:val="-6"/>
          <w:sz w:val="32"/>
          <w:szCs w:val="32"/>
          <w:lang w:val="en-US" w:eastAsia="zh-CN"/>
        </w:rPr>
        <w:t>703.98</w:t>
      </w:r>
      <w:r>
        <w:rPr>
          <w:rFonts w:hint="eastAsia" w:ascii="仿宋" w:hAnsi="仿宋" w:eastAsia="仿宋" w:cs="仿宋"/>
          <w:spacing w:val="-6"/>
          <w:sz w:val="32"/>
          <w:szCs w:val="32"/>
        </w:rPr>
        <w:t xml:space="preserve"> 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伙食补助费、绩效工资、机关事业单位基本养老保险费、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会保障缴费、住房公积金、其他工资福利支出、退休费、生活补助、</w:t>
      </w:r>
      <w:r>
        <w:rPr>
          <w:rFonts w:hint="eastAsia" w:ascii="仿宋" w:hAnsi="仿宋" w:eastAsia="仿宋" w:cs="仿宋"/>
          <w:spacing w:val="6"/>
          <w:sz w:val="32"/>
          <w:szCs w:val="32"/>
        </w:rPr>
        <w:t>医疗费补助</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 xml:space="preserve">经费 </w:t>
      </w:r>
      <w:r>
        <w:rPr>
          <w:rFonts w:hint="eastAsia" w:ascii="仿宋" w:hAnsi="仿宋" w:eastAsia="仿宋" w:cs="仿宋"/>
          <w:spacing w:val="-3"/>
          <w:sz w:val="32"/>
          <w:szCs w:val="32"/>
          <w:lang w:val="en-US" w:eastAsia="zh-CN"/>
        </w:rPr>
        <w:t>94.81</w:t>
      </w:r>
      <w:r>
        <w:rPr>
          <w:rFonts w:hint="eastAsia" w:ascii="仿宋" w:hAnsi="仿宋" w:eastAsia="仿宋" w:cs="仿宋"/>
          <w:spacing w:val="-3"/>
          <w:sz w:val="32"/>
          <w:szCs w:val="32"/>
        </w:rPr>
        <w:t>万元，主要包括：办公费、印刷费、</w:t>
      </w:r>
      <w:r>
        <w:rPr>
          <w:rFonts w:hint="eastAsia" w:ascii="仿宋" w:hAnsi="仿宋" w:eastAsia="仿宋" w:cs="仿宋"/>
          <w:spacing w:val="3"/>
          <w:sz w:val="32"/>
          <w:szCs w:val="32"/>
        </w:rPr>
        <w:t>水费、电费、邮电费、差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维修 (护) 费、会议费、</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费、工会经费、福利费、公务用车运行维护费、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其他商品服务支出、</w:t>
      </w:r>
      <w:r>
        <w:rPr>
          <w:rFonts w:hint="eastAsia" w:ascii="仿宋" w:hAnsi="仿宋" w:eastAsia="仿宋" w:cs="仿宋"/>
          <w:spacing w:val="-4"/>
          <w:sz w:val="32"/>
          <w:szCs w:val="32"/>
        </w:rPr>
        <w:t>办公设备购置</w:t>
      </w:r>
      <w:r>
        <w:rPr>
          <w:rFonts w:hint="eastAsia" w:ascii="仿宋" w:hAnsi="仿宋" w:eastAsia="仿宋" w:cs="仿宋"/>
          <w:spacing w:val="3"/>
          <w:sz w:val="32"/>
          <w:szCs w:val="32"/>
        </w:rPr>
        <w:t>。</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6"/>
          <w:sz w:val="32"/>
          <w:szCs w:val="32"/>
        </w:rPr>
        <w:t xml:space="preserve"> </w:t>
      </w:r>
      <w:r>
        <w:rPr>
          <w:rFonts w:hint="eastAsia" w:ascii="仿宋" w:hAnsi="仿宋" w:eastAsia="仿宋" w:cs="仿宋"/>
          <w:sz w:val="32"/>
          <w:szCs w:val="32"/>
          <w:lang w:eastAsia="zh-CN"/>
        </w:rPr>
        <w:t>虞姬镇人民政府</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虞姬镇人民政府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val="en-US" w:eastAsia="zh-CN"/>
        </w:rPr>
        <w:t xml:space="preserve"> </w:t>
      </w:r>
      <w:r>
        <w:rPr>
          <w:rFonts w:hint="eastAsia" w:ascii="仿宋" w:hAnsi="仿宋" w:eastAsia="仿宋" w:cs="仿宋"/>
          <w:spacing w:val="-3"/>
          <w:sz w:val="32"/>
          <w:szCs w:val="32"/>
          <w:lang w:eastAsia="zh-CN"/>
        </w:rPr>
        <w:t>虞姬镇人民政府</w:t>
      </w:r>
      <w:r>
        <w:rPr>
          <w:rFonts w:hint="eastAsia" w:ascii="仿宋" w:hAnsi="仿宋" w:eastAsia="仿宋" w:cs="仿宋"/>
          <w:spacing w:val="-3"/>
          <w:sz w:val="32"/>
          <w:szCs w:val="32"/>
        </w:rPr>
        <w:t xml:space="preserve"> 2023 年预算共安排项目支出 </w:t>
      </w:r>
      <w:r>
        <w:rPr>
          <w:rFonts w:hint="eastAsia" w:ascii="仿宋" w:hAnsi="仿宋" w:eastAsia="仿宋" w:cs="仿宋"/>
          <w:spacing w:val="-3"/>
          <w:sz w:val="32"/>
          <w:szCs w:val="32"/>
          <w:lang w:val="en-US" w:eastAsia="zh-CN"/>
        </w:rPr>
        <w:t>48</w:t>
      </w:r>
      <w:r>
        <w:rPr>
          <w:rFonts w:hint="eastAsia" w:ascii="仿宋" w:hAnsi="仿宋" w:eastAsia="仿宋" w:cs="仿宋"/>
          <w:spacing w:val="-3"/>
          <w:sz w:val="32"/>
          <w:szCs w:val="32"/>
        </w:rPr>
        <w:t>万元，比 2022 年预算</w:t>
      </w:r>
      <w:r>
        <w:rPr>
          <w:rFonts w:hint="eastAsia" w:ascii="仿宋" w:hAnsi="仿宋" w:eastAsia="仿宋" w:cs="仿宋"/>
          <w:spacing w:val="-3"/>
          <w:sz w:val="32"/>
          <w:szCs w:val="32"/>
          <w:lang w:eastAsia="zh-CN"/>
        </w:rPr>
        <w:t>减少</w:t>
      </w:r>
      <w:r>
        <w:rPr>
          <w:rFonts w:hint="eastAsia" w:ascii="仿宋" w:hAnsi="仿宋" w:eastAsia="仿宋" w:cs="仿宋"/>
          <w:spacing w:val="-3"/>
          <w:sz w:val="32"/>
          <w:szCs w:val="32"/>
          <w:lang w:val="en-US" w:eastAsia="zh-CN"/>
        </w:rPr>
        <w:t>16</w:t>
      </w:r>
      <w:r>
        <w:rPr>
          <w:rFonts w:hint="eastAsia" w:ascii="仿宋" w:hAnsi="仿宋" w:eastAsia="仿宋" w:cs="仿宋"/>
          <w:spacing w:val="-3"/>
          <w:sz w:val="32"/>
          <w:szCs w:val="32"/>
        </w:rPr>
        <w:t>万元，下降</w:t>
      </w:r>
      <w:r>
        <w:rPr>
          <w:rFonts w:hint="eastAsia" w:ascii="仿宋" w:hAnsi="仿宋" w:eastAsia="仿宋" w:cs="仿宋"/>
          <w:spacing w:val="-3"/>
          <w:sz w:val="32"/>
          <w:szCs w:val="32"/>
          <w:lang w:val="en-US" w:eastAsia="zh-CN"/>
        </w:rPr>
        <w:t>25</w:t>
      </w:r>
      <w:r>
        <w:rPr>
          <w:rFonts w:hint="eastAsia" w:ascii="仿宋" w:hAnsi="仿宋" w:eastAsia="仿宋" w:cs="仿宋"/>
          <w:spacing w:val="-3"/>
          <w:sz w:val="32"/>
          <w:szCs w:val="32"/>
        </w:rPr>
        <w:t>%，下降原因主要是</w:t>
      </w:r>
      <w:r>
        <w:rPr>
          <w:rFonts w:hint="eastAsia" w:ascii="仿宋" w:hAnsi="仿宋" w:eastAsia="仿宋" w:cs="仿宋"/>
          <w:spacing w:val="-3"/>
          <w:sz w:val="32"/>
          <w:szCs w:val="32"/>
          <w:lang w:eastAsia="zh-CN"/>
        </w:rPr>
        <w:t>非税收入征收减少</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全部为当</w:t>
      </w:r>
      <w:r>
        <w:rPr>
          <w:rFonts w:hint="eastAsia" w:ascii="仿宋" w:hAnsi="仿宋" w:eastAsia="仿宋" w:cs="仿宋"/>
          <w:spacing w:val="-3"/>
          <w:sz w:val="32"/>
          <w:szCs w:val="32"/>
        </w:rPr>
        <w:t>年财政拨款安排(</w:t>
      </w:r>
      <w:r>
        <w:rPr>
          <w:rFonts w:hint="eastAsia" w:ascii="仿宋" w:hAnsi="仿宋" w:eastAsia="仿宋" w:cs="仿宋"/>
          <w:spacing w:val="-3"/>
          <w:sz w:val="32"/>
          <w:szCs w:val="32"/>
          <w:lang w:eastAsia="zh-CN"/>
        </w:rPr>
        <w:t>全部为</w:t>
      </w:r>
      <w:r>
        <w:rPr>
          <w:rFonts w:hint="eastAsia" w:ascii="仿宋" w:hAnsi="仿宋" w:eastAsia="仿宋" w:cs="仿宋"/>
          <w:spacing w:val="-3"/>
          <w:sz w:val="32"/>
          <w:szCs w:val="32"/>
        </w:rPr>
        <w:t>一般公共预算拨款安排)。</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28" w:firstLineChars="200"/>
        <w:jc w:val="both"/>
        <w:outlineLvl w:val="0"/>
        <w:rPr>
          <w:rFonts w:ascii="仿宋" w:hAnsi="仿宋" w:eastAsia="仿宋" w:cs="仿宋"/>
          <w:spacing w:val="-3"/>
          <w:sz w:val="32"/>
          <w:szCs w:val="32"/>
        </w:rPr>
      </w:pPr>
    </w:p>
    <w:p>
      <w:pPr>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4.5</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 xml:space="preserve"> 比 2022 年预算增加</w:t>
      </w:r>
      <w:r>
        <w:rPr>
          <w:rFonts w:hint="eastAsia" w:ascii="仿宋" w:hAnsi="仿宋" w:eastAsia="仿宋" w:cs="仿宋"/>
          <w:spacing w:val="-4"/>
          <w:sz w:val="32"/>
          <w:szCs w:val="32"/>
          <w:lang w:val="en-US" w:eastAsia="zh-CN"/>
        </w:rPr>
        <w:t>4.5</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%，增长</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val="en-US" w:eastAsia="zh-CN"/>
        </w:rPr>
        <w:t>2022年政府采购支出没有做预算</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全部为</w:t>
      </w:r>
      <w:r>
        <w:rPr>
          <w:rFonts w:hint="eastAsia" w:ascii="仿宋" w:hAnsi="仿宋" w:eastAsia="仿宋" w:cs="仿宋"/>
          <w:spacing w:val="-2"/>
          <w:sz w:val="32"/>
          <w:szCs w:val="32"/>
        </w:rPr>
        <w:t>一般公共预算安排</w:t>
      </w:r>
      <w:r>
        <w:rPr>
          <w:rFonts w:hint="eastAsia" w:ascii="仿宋" w:hAnsi="仿宋" w:eastAsia="仿宋" w:cs="仿宋"/>
          <w:spacing w:val="-8"/>
          <w:sz w:val="32"/>
          <w:szCs w:val="32"/>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虞姬镇人民政府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before="2" w:line="360" w:lineRule="auto"/>
        <w:ind w:firstLine="620" w:firstLineChars="200"/>
        <w:jc w:val="both"/>
        <w:rPr>
          <w:rFonts w:ascii="仿宋" w:hAnsi="仿宋" w:eastAsia="仿宋" w:cs="仿宋"/>
          <w:sz w:val="31"/>
          <w:szCs w:val="31"/>
        </w:rPr>
      </w:pP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eastAsia="zh-CN"/>
        </w:rPr>
        <w:t>一</w:t>
      </w:r>
      <w:r>
        <w:rPr>
          <w:rFonts w:hint="eastAsia" w:ascii="仿宋" w:hAnsi="仿宋" w:eastAsia="仿宋" w:cs="仿宋"/>
          <w:b/>
          <w:bCs/>
          <w:spacing w:val="-10"/>
          <w:sz w:val="32"/>
          <w:szCs w:val="32"/>
        </w:rPr>
        <w:t xml:space="preserve">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lang w:eastAsia="zh-CN"/>
        </w:rPr>
        <w:t>虞姬镇人民政府</w:t>
      </w:r>
      <w:r>
        <w:rPr>
          <w:rFonts w:ascii="仿宋" w:hAnsi="仿宋" w:eastAsia="仿宋" w:cs="仿宋"/>
          <w:spacing w:val="1"/>
          <w:sz w:val="32"/>
          <w:szCs w:val="32"/>
        </w:rPr>
        <w:t xml:space="preserve"> 2023 年机关运行经费财政拨款预算</w:t>
      </w:r>
      <w:r>
        <w:rPr>
          <w:rFonts w:hint="eastAsia" w:ascii="仿宋" w:hAnsi="仿宋" w:eastAsia="仿宋" w:cs="仿宋"/>
          <w:spacing w:val="1"/>
          <w:sz w:val="32"/>
          <w:szCs w:val="32"/>
          <w:lang w:val="en-US" w:eastAsia="zh-CN"/>
        </w:rPr>
        <w:t>94.81</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比 2022 年预算减少</w:t>
      </w:r>
      <w:r>
        <w:rPr>
          <w:rFonts w:hint="eastAsia" w:ascii="仿宋" w:hAnsi="仿宋" w:eastAsia="仿宋" w:cs="仿宋"/>
          <w:spacing w:val="1"/>
          <w:sz w:val="32"/>
          <w:szCs w:val="32"/>
          <w:lang w:val="en-US" w:eastAsia="zh-CN"/>
        </w:rPr>
        <w:t>58.09</w:t>
      </w:r>
      <w:r>
        <w:rPr>
          <w:rFonts w:ascii="仿宋" w:hAnsi="仿宋" w:eastAsia="仿宋" w:cs="仿宋"/>
          <w:spacing w:val="1"/>
          <w:sz w:val="32"/>
          <w:szCs w:val="32"/>
        </w:rPr>
        <w:t xml:space="preserve">万元，下降 </w:t>
      </w:r>
      <w:r>
        <w:rPr>
          <w:rFonts w:hint="eastAsia" w:ascii="仿宋" w:hAnsi="仿宋" w:eastAsia="仿宋" w:cs="仿宋"/>
          <w:spacing w:val="1"/>
          <w:sz w:val="32"/>
          <w:szCs w:val="32"/>
          <w:lang w:val="en-US" w:eastAsia="zh-CN"/>
        </w:rPr>
        <w:t>38.00</w:t>
      </w:r>
      <w:r>
        <w:rPr>
          <w:rFonts w:ascii="仿宋" w:hAnsi="仿宋" w:eastAsia="仿宋" w:cs="仿宋"/>
          <w:spacing w:val="1"/>
          <w:sz w:val="32"/>
          <w:szCs w:val="32"/>
        </w:rPr>
        <w:t>%，下降主要原因是</w:t>
      </w:r>
      <w:r>
        <w:rPr>
          <w:rFonts w:hint="eastAsia" w:ascii="仿宋" w:hAnsi="仿宋" w:eastAsia="仿宋" w:cs="仿宋"/>
          <w:spacing w:val="1"/>
          <w:sz w:val="32"/>
          <w:szCs w:val="32"/>
          <w:lang w:eastAsia="zh-CN"/>
        </w:rPr>
        <w:t>非税收入安排支出减少</w:t>
      </w:r>
      <w:r>
        <w:rPr>
          <w:rFonts w:ascii="仿宋" w:hAnsi="仿宋" w:eastAsia="仿宋" w:cs="仿宋"/>
          <w:spacing w:val="1"/>
          <w:sz w:val="32"/>
          <w:szCs w:val="32"/>
        </w:rPr>
        <w:t>。</w:t>
      </w:r>
    </w:p>
    <w:p>
      <w:pPr>
        <w:spacing w:before="101" w:line="360" w:lineRule="auto"/>
        <w:ind w:firstLine="644" w:firstLineChars="200"/>
        <w:jc w:val="both"/>
        <w:outlineLvl w:val="0"/>
        <w:rPr>
          <w:rFonts w:ascii="仿宋" w:hAnsi="仿宋" w:eastAsia="仿宋" w:cs="仿宋"/>
          <w:spacing w:val="1"/>
          <w:sz w:val="32"/>
          <w:szCs w:val="32"/>
        </w:rPr>
      </w:pPr>
      <w:r>
        <w:rPr>
          <w:rFonts w:ascii="仿宋" w:hAnsi="仿宋" w:eastAsia="仿宋" w:cs="仿宋"/>
          <w:spacing w:val="1"/>
          <w:sz w:val="32"/>
          <w:szCs w:val="32"/>
        </w:rPr>
        <w:t>。</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虞姬镇人民政府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4.5</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hint="eastAsia" w:ascii="仿宋" w:hAnsi="仿宋" w:eastAsia="仿宋" w:cs="仿宋"/>
          <w:spacing w:val="1"/>
          <w:sz w:val="32"/>
          <w:szCs w:val="32"/>
          <w:lang w:eastAsia="zh-CN"/>
        </w:rPr>
        <w:t>全部为</w:t>
      </w:r>
      <w:r>
        <w:rPr>
          <w:rFonts w:ascii="仿宋" w:hAnsi="仿宋" w:eastAsia="仿宋" w:cs="仿宋"/>
          <w:spacing w:val="1"/>
          <w:sz w:val="32"/>
          <w:szCs w:val="32"/>
        </w:rPr>
        <w:t>政府采购货物预算。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ascii="仿宋" w:hAnsi="仿宋" w:eastAsia="仿宋" w:cs="仿宋"/>
          <w:spacing w:val="-2"/>
          <w:sz w:val="32"/>
          <w:szCs w:val="32"/>
        </w:rPr>
        <w:t xml:space="preserve"> </w:t>
      </w:r>
      <w:r>
        <w:rPr>
          <w:rFonts w:hint="eastAsia" w:ascii="仿宋" w:hAnsi="仿宋" w:eastAsia="仿宋" w:cs="仿宋"/>
          <w:spacing w:val="-2"/>
          <w:sz w:val="32"/>
          <w:szCs w:val="32"/>
          <w:lang w:eastAsia="zh-CN"/>
        </w:rPr>
        <w:t>虞姬镇人民政府</w:t>
      </w:r>
      <w:r>
        <w:rPr>
          <w:rFonts w:ascii="仿宋" w:hAnsi="仿宋" w:eastAsia="仿宋" w:cs="仿宋"/>
          <w:spacing w:val="-2"/>
          <w:sz w:val="32"/>
          <w:szCs w:val="32"/>
        </w:rPr>
        <w:t xml:space="preserve"> 共有车辆</w:t>
      </w:r>
      <w:r>
        <w:rPr>
          <w:rFonts w:hint="eastAsia" w:ascii="仿宋" w:hAnsi="仿宋" w:eastAsia="仿宋" w:cs="仿宋"/>
          <w:spacing w:val="-2"/>
          <w:sz w:val="32"/>
          <w:szCs w:val="32"/>
          <w:lang w:val="en-US" w:eastAsia="zh-CN"/>
        </w:rPr>
        <w:t>3</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辆、其他用车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 xml:space="preserve"> 辆</w:t>
      </w:r>
      <w:r>
        <w:rPr>
          <w:rFonts w:ascii="仿宋" w:hAnsi="仿宋" w:eastAsia="仿宋" w:cs="仿宋"/>
          <w:spacing w:val="-2"/>
          <w:sz w:val="31"/>
          <w:szCs w:val="31"/>
        </w:rPr>
        <w:t xml:space="preserve"> </w:t>
      </w:r>
      <w:r>
        <w:rPr>
          <w:rFonts w:ascii="仿宋" w:hAnsi="仿宋" w:eastAsia="仿宋" w:cs="仿宋"/>
          <w:spacing w:val="2"/>
          <w:sz w:val="32"/>
          <w:szCs w:val="32"/>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 年部门 (单位) 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100 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 年，</w:t>
      </w:r>
      <w:r>
        <w:rPr>
          <w:rFonts w:hint="eastAsia" w:ascii="仿宋" w:hAnsi="仿宋" w:eastAsia="仿宋" w:cs="仿宋"/>
          <w:spacing w:val="-2"/>
          <w:sz w:val="32"/>
          <w:szCs w:val="32"/>
        </w:rPr>
        <w:t>灵璧县</w:t>
      </w:r>
      <w:r>
        <w:rPr>
          <w:rFonts w:ascii="仿宋" w:hAnsi="仿宋" w:eastAsia="仿宋" w:cs="仿宋"/>
          <w:spacing w:val="-2"/>
          <w:sz w:val="32"/>
          <w:szCs w:val="32"/>
        </w:rPr>
        <w:t xml:space="preserve"> </w:t>
      </w:r>
      <w:r>
        <w:rPr>
          <w:rFonts w:hint="eastAsia" w:ascii="仿宋" w:hAnsi="仿宋" w:eastAsia="仿宋" w:cs="仿宋"/>
          <w:spacing w:val="-2"/>
          <w:sz w:val="32"/>
          <w:szCs w:val="32"/>
          <w:lang w:eastAsia="zh-CN"/>
        </w:rPr>
        <w:t>虞姬镇人民政府</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line="360" w:lineRule="auto"/>
        <w:ind w:firstLine="644" w:firstLineChars="200"/>
        <w:jc w:val="both"/>
        <w:rPr>
          <w:rFonts w:ascii="仿宋" w:hAnsi="仿宋" w:eastAsia="仿宋" w:cs="仿宋"/>
          <w:color w:val="FF0000"/>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spacing w:before="186" w:line="360" w:lineRule="auto"/>
        <w:ind w:left="618"/>
        <w:jc w:val="both"/>
        <w:rPr>
          <w:rFonts w:ascii="楷体" w:hAnsi="楷体" w:eastAsia="楷体" w:cs="楷体"/>
          <w:color w:val="FF0000"/>
          <w:spacing w:val="9"/>
          <w:sz w:val="31"/>
          <w:szCs w:val="31"/>
        </w:rPr>
      </w:pPr>
    </w:p>
    <w:p>
      <w:pPr>
        <w:pStyle w:val="2"/>
        <w:ind w:firstLine="0"/>
      </w:pP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603"/>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FlMjhjZmM0N2JmNWFhMmQzYzY1MmY5NTMzY2U3OTI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56E61FC"/>
    <w:rsid w:val="06CB05FE"/>
    <w:rsid w:val="07B95F66"/>
    <w:rsid w:val="084030D7"/>
    <w:rsid w:val="09FD4363"/>
    <w:rsid w:val="0A291023"/>
    <w:rsid w:val="0E625C06"/>
    <w:rsid w:val="102749FC"/>
    <w:rsid w:val="10740C48"/>
    <w:rsid w:val="10B93AD7"/>
    <w:rsid w:val="12197345"/>
    <w:rsid w:val="136E0C1D"/>
    <w:rsid w:val="176A79A3"/>
    <w:rsid w:val="1C3A1F70"/>
    <w:rsid w:val="1E024EDB"/>
    <w:rsid w:val="1E190FAE"/>
    <w:rsid w:val="21F84964"/>
    <w:rsid w:val="242131F6"/>
    <w:rsid w:val="25220D43"/>
    <w:rsid w:val="2AFF388E"/>
    <w:rsid w:val="2D4B1641"/>
    <w:rsid w:val="33872960"/>
    <w:rsid w:val="33BB52A0"/>
    <w:rsid w:val="35F85440"/>
    <w:rsid w:val="36577C75"/>
    <w:rsid w:val="36BE5950"/>
    <w:rsid w:val="379C259E"/>
    <w:rsid w:val="384A2A06"/>
    <w:rsid w:val="3A1C30A0"/>
    <w:rsid w:val="3C2B59AE"/>
    <w:rsid w:val="3E024EAF"/>
    <w:rsid w:val="3FF85426"/>
    <w:rsid w:val="40571D24"/>
    <w:rsid w:val="40603B42"/>
    <w:rsid w:val="4153072B"/>
    <w:rsid w:val="48BE2200"/>
    <w:rsid w:val="4FEE5126"/>
    <w:rsid w:val="50153434"/>
    <w:rsid w:val="53075C2D"/>
    <w:rsid w:val="542974CB"/>
    <w:rsid w:val="549D3597"/>
    <w:rsid w:val="54C571E6"/>
    <w:rsid w:val="57F11ABE"/>
    <w:rsid w:val="595306F2"/>
    <w:rsid w:val="59766D0E"/>
    <w:rsid w:val="5D543CF7"/>
    <w:rsid w:val="5E484094"/>
    <w:rsid w:val="652A3C42"/>
    <w:rsid w:val="6FB2724A"/>
    <w:rsid w:val="750C2A32"/>
    <w:rsid w:val="779D1EFD"/>
    <w:rsid w:val="7D01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33</Pages>
  <Words>9269</Words>
  <Characters>11211</Characters>
  <Lines>29</Lines>
  <Paragraphs>27</Paragraphs>
  <TotalTime>8</TotalTime>
  <ScaleCrop>false</ScaleCrop>
  <LinksUpToDate>false</LinksUpToDate>
  <CharactersWithSpaces>11476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听蝉</cp:lastModifiedBy>
  <dcterms:modified xsi:type="dcterms:W3CDTF">2023-03-04T01:44:38Z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728A3D45AF6A4356BA489ABDE69D64FE</vt:lpwstr>
  </property>
</Properties>
</file>