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4080" cy="930910"/>
            <wp:effectExtent l="0" t="0" r="508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72"/>
          <w:szCs w:val="72"/>
        </w:rPr>
        <w:t>灵璧县政务服务中心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LING BI XIAN ZHENG WU FUWU ZHONG XIN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告</w:t>
      </w: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知</w:t>
      </w: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单</w:t>
      </w:r>
    </w:p>
    <w:p>
      <w:pPr>
        <w:jc w:val="center"/>
        <w:rPr>
          <w:rFonts w:ascii="黑体" w:hAnsi="黑体" w:eastAsia="黑体"/>
          <w:b/>
          <w:sz w:val="84"/>
          <w:szCs w:val="8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服务事项</w:t>
      </w:r>
      <w:r>
        <w:rPr>
          <w:rFonts w:ascii="黑体" w:hAnsi="黑体" w:eastAsia="黑体"/>
          <w:sz w:val="30"/>
          <w:szCs w:val="30"/>
        </w:rPr>
        <w:t>:</w:t>
      </w:r>
      <w:r>
        <w:t xml:space="preserve"> 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保障性住房或者住房租赁补贴发放</w:t>
      </w:r>
      <w:bookmarkEnd w:id="0"/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服务窗口：北厅二楼</w:t>
      </w:r>
      <w:r>
        <w:rPr>
          <w:rFonts w:ascii="黑体" w:hAnsi="黑体" w:eastAsia="黑体"/>
          <w:sz w:val="30"/>
          <w:szCs w:val="30"/>
        </w:rPr>
        <w:t>80</w:t>
      </w:r>
      <w:r>
        <w:rPr>
          <w:rFonts w:hint="eastAsia" w:ascii="黑体" w:hAnsi="黑体" w:eastAsia="黑体"/>
          <w:sz w:val="30"/>
          <w:szCs w:val="30"/>
        </w:rPr>
        <w:t>号住建局窗口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  <w:r>
        <w:rPr>
          <w:rFonts w:ascii="黑体" w:hAnsi="黑体" w:eastAsia="黑体"/>
          <w:sz w:val="30"/>
          <w:szCs w:val="30"/>
        </w:rPr>
        <w:t>0557-2379037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设定依据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《安徽省保障性住房建设和管理办法（试行）》第五条：街道办事处</w:t>
      </w:r>
      <w:r>
        <w:rPr>
          <w:rFonts w:ascii="黑体" w:hAnsi="黑体" w:eastAsia="黑体"/>
          <w:sz w:val="24"/>
          <w:szCs w:val="24"/>
        </w:rPr>
        <w:t>(</w:t>
      </w:r>
      <w:r>
        <w:rPr>
          <w:rFonts w:hint="eastAsia" w:ascii="黑体" w:hAnsi="黑体" w:eastAsia="黑体"/>
          <w:sz w:val="24"/>
          <w:szCs w:val="24"/>
        </w:rPr>
        <w:t>社区</w:t>
      </w:r>
      <w:r>
        <w:rPr>
          <w:rFonts w:ascii="黑体" w:hAnsi="黑体" w:eastAsia="黑体"/>
          <w:sz w:val="24"/>
          <w:szCs w:val="24"/>
        </w:rPr>
        <w:t>)</w:t>
      </w:r>
      <w:r>
        <w:rPr>
          <w:rFonts w:hint="eastAsia" w:ascii="黑体" w:hAnsi="黑体" w:eastAsia="黑体"/>
          <w:sz w:val="24"/>
          <w:szCs w:val="24"/>
        </w:rPr>
        <w:t>或者镇人民政府负责辖区内保障性住房的申请受理、资格初审工作。第十九条：城镇家庭，个人和外来务工人员申请保障性住房或者住房租赁补贴的，应当向街道办事处（社区）或者镇人民政府提交申请。鼓励外来务工人员由用人单位统一向街道办事处（社区）或者镇人民政府申请。申请人应当如实申报住房、人口、收入和财产状况，不得隐瞒、虚报或者伪造，并书面同意审核机关核实其申请信息。审核机关核实申请人住房、人口、收入和财产状况等，有关单位和个人应当提供便利，并按规定出具相关证明材料，并对所出具材料的真实性负责。第二十条：申请保障性住房或者住房租赁补贴，按照下列程序审核：</w:t>
      </w:r>
      <w:r>
        <w:rPr>
          <w:rFonts w:ascii="黑体" w:hAnsi="黑体" w:eastAsia="黑体"/>
          <w:sz w:val="24"/>
          <w:szCs w:val="24"/>
        </w:rPr>
        <w:t>(</w:t>
      </w:r>
      <w:r>
        <w:rPr>
          <w:rFonts w:hint="eastAsia" w:ascii="黑体" w:hAnsi="黑体" w:eastAsia="黑体"/>
          <w:sz w:val="24"/>
          <w:szCs w:val="24"/>
        </w:rPr>
        <w:t>一</w:t>
      </w:r>
      <w:r>
        <w:rPr>
          <w:rFonts w:ascii="黑体" w:hAnsi="黑体" w:eastAsia="黑体"/>
          <w:sz w:val="24"/>
          <w:szCs w:val="24"/>
        </w:rPr>
        <w:t>)</w:t>
      </w:r>
      <w:r>
        <w:rPr>
          <w:rFonts w:hint="eastAsia" w:ascii="黑体" w:hAnsi="黑体" w:eastAsia="黑体"/>
          <w:sz w:val="24"/>
          <w:szCs w:val="24"/>
        </w:rPr>
        <w:t>初审。街道办事处（社区）或者镇人民政府应当自受理申请之日起</w:t>
      </w:r>
      <w:r>
        <w:rPr>
          <w:rFonts w:ascii="黑体" w:hAnsi="黑体" w:eastAsia="黑体"/>
          <w:sz w:val="24"/>
          <w:szCs w:val="24"/>
        </w:rPr>
        <w:t>10</w:t>
      </w:r>
      <w:r>
        <w:rPr>
          <w:rFonts w:hint="eastAsia" w:ascii="黑体" w:hAnsi="黑体" w:eastAsia="黑体"/>
          <w:sz w:val="24"/>
          <w:szCs w:val="24"/>
        </w:rPr>
        <w:t>个工作日内，对申请人住房、人口、收入和财产状况提出初审意见。符合条件的，街道办事处（社区）或者镇人民政府自提出初审意见之日起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个工作日内在申请人所在社区、家庭成员所在单位公示，公示时间不少于</w:t>
      </w:r>
      <w:r>
        <w:rPr>
          <w:rFonts w:ascii="黑体" w:hAnsi="黑体" w:eastAsia="黑体"/>
          <w:sz w:val="24"/>
          <w:szCs w:val="24"/>
        </w:rPr>
        <w:t>7</w:t>
      </w:r>
      <w:r>
        <w:rPr>
          <w:rFonts w:hint="eastAsia" w:ascii="黑体" w:hAnsi="黑体" w:eastAsia="黑体"/>
          <w:sz w:val="24"/>
          <w:szCs w:val="24"/>
        </w:rPr>
        <w:t>个工作日；公示期满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个工作日内，对公示无异议或者经查证异议不成立的，将初审意见和申请材料分别报县（市、区）人民政府住房保障行政主管部门和民政部门。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办理流程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申请人在社区申请</w:t>
      </w:r>
      <w:r>
        <w:rPr>
          <w:rFonts w:ascii="黑体" w:hAnsi="黑体" w:eastAsia="黑体"/>
          <w:sz w:val="24"/>
          <w:szCs w:val="24"/>
        </w:rPr>
        <w:t>----</w:t>
      </w:r>
      <w:r>
        <w:rPr>
          <w:rFonts w:hint="eastAsia" w:ascii="黑体" w:hAnsi="黑体" w:eastAsia="黑体"/>
          <w:sz w:val="24"/>
          <w:szCs w:val="24"/>
        </w:rPr>
        <w:t>上报灵城镇初审</w:t>
      </w:r>
      <w:r>
        <w:rPr>
          <w:rFonts w:ascii="黑体" w:hAnsi="黑体" w:eastAsia="黑体"/>
          <w:sz w:val="24"/>
          <w:szCs w:val="24"/>
        </w:rPr>
        <w:t>----</w:t>
      </w:r>
      <w:r>
        <w:rPr>
          <w:rFonts w:hint="eastAsia" w:ascii="黑体" w:hAnsi="黑体" w:eastAsia="黑体"/>
          <w:sz w:val="24"/>
          <w:szCs w:val="24"/>
        </w:rPr>
        <w:t>保障房管理中心审核申请人住房情况</w:t>
      </w:r>
      <w:r>
        <w:rPr>
          <w:rFonts w:ascii="黑体" w:hAnsi="黑体" w:eastAsia="黑体"/>
          <w:sz w:val="24"/>
          <w:szCs w:val="24"/>
        </w:rPr>
        <w:t>----</w:t>
      </w:r>
      <w:r>
        <w:rPr>
          <w:rFonts w:hint="eastAsia" w:ascii="黑体" w:hAnsi="黑体" w:eastAsia="黑体"/>
          <w:sz w:val="24"/>
          <w:szCs w:val="24"/>
        </w:rPr>
        <w:t>民政部门审核申请人收入、车辆、养老、低保、财政共享情况</w:t>
      </w:r>
      <w:r>
        <w:rPr>
          <w:rFonts w:ascii="黑体" w:hAnsi="黑体" w:eastAsia="黑体"/>
          <w:sz w:val="24"/>
          <w:szCs w:val="24"/>
        </w:rPr>
        <w:t>----</w:t>
      </w:r>
      <w:r>
        <w:rPr>
          <w:rFonts w:hint="eastAsia" w:ascii="黑体" w:hAnsi="黑体" w:eastAsia="黑体"/>
          <w:sz w:val="24"/>
          <w:szCs w:val="24"/>
        </w:rPr>
        <w:t>保障房对完整信息进行汇总、审核申请人申请资格</w:t>
      </w:r>
      <w:r>
        <w:rPr>
          <w:rFonts w:ascii="黑体" w:hAnsi="黑体" w:eastAsia="黑体"/>
          <w:sz w:val="24"/>
          <w:szCs w:val="24"/>
        </w:rPr>
        <w:t>---</w:t>
      </w:r>
      <w:r>
        <w:rPr>
          <w:rFonts w:hint="eastAsia" w:ascii="黑体" w:hAnsi="黑体" w:eastAsia="黑体"/>
          <w:sz w:val="24"/>
          <w:szCs w:val="24"/>
        </w:rPr>
        <w:t>保障房管理中心进行核准登记、公示</w:t>
      </w:r>
      <w:r>
        <w:rPr>
          <w:rFonts w:ascii="黑体" w:hAnsi="黑体" w:eastAsia="黑体"/>
          <w:sz w:val="24"/>
          <w:szCs w:val="24"/>
        </w:rPr>
        <w:t>----</w:t>
      </w:r>
      <w:r>
        <w:rPr>
          <w:rFonts w:hint="eastAsia" w:ascii="黑体" w:hAnsi="黑体" w:eastAsia="黑体"/>
          <w:sz w:val="24"/>
          <w:szCs w:val="24"/>
        </w:rPr>
        <w:t>签订租房租赁补贴协议、发放补贴</w:t>
      </w:r>
      <w:r>
        <w:rPr>
          <w:rFonts w:ascii="黑体" w:hAnsi="黑体" w:eastAsia="黑体"/>
          <w:sz w:val="24"/>
          <w:szCs w:val="24"/>
        </w:rPr>
        <w:tab/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受理条件</w:t>
      </w:r>
    </w:p>
    <w:p>
      <w:pPr>
        <w:pStyle w:val="10"/>
        <w:ind w:left="720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城镇住房保障的对象，为住房困难和收入、财产等符合保障条件的城镇家庭、个人和在城镇稳定就业的外来务工人员。具体标准及条件，由市、县（市）人民政府根据本地实际确定，并向社会公布。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申请材料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申请人家庭享受城镇最低生活保障的证明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申请人为孤寡老人的证明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3.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婚姻状况证明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4.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军官证、士兵证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5.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公共租赁住房申请报告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6.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申请人及共有人身份证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7.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申请人居住证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8.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抚恤定补优抚证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9.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重大疾病救助证明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10.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当地保障性住房资格申请表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11.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申请人和共有人户口本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12.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申请人及共有人收入证明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13.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残疾证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14.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关系证明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办理时间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24"/>
          <w:szCs w:val="24"/>
        </w:rPr>
        <w:t>工作日上午</w:t>
      </w:r>
      <w:r>
        <w:rPr>
          <w:rFonts w:ascii="黑体" w:hAnsi="黑体" w:eastAsia="黑体"/>
          <w:sz w:val="24"/>
          <w:szCs w:val="24"/>
        </w:rPr>
        <w:t>8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00-11;30,</w:t>
      </w:r>
      <w:r>
        <w:rPr>
          <w:rFonts w:hint="eastAsia" w:ascii="黑体" w:hAnsi="黑体" w:eastAsia="黑体"/>
          <w:sz w:val="24"/>
          <w:szCs w:val="24"/>
        </w:rPr>
        <w:t>下午</w:t>
      </w:r>
      <w:r>
        <w:rPr>
          <w:rFonts w:ascii="黑体" w:hAnsi="黑体" w:eastAsia="黑体"/>
          <w:sz w:val="24"/>
          <w:szCs w:val="24"/>
        </w:rPr>
        <w:t>14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30-17;30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承诺办结时间：</w:t>
      </w:r>
    </w:p>
    <w:p>
      <w:pPr>
        <w:pStyle w:val="10"/>
        <w:ind w:firstLine="720" w:firstLineChars="3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15</w:t>
      </w:r>
      <w:r>
        <w:rPr>
          <w:rFonts w:hint="eastAsia" w:ascii="黑体" w:hAnsi="黑体" w:eastAsia="黑体"/>
          <w:sz w:val="24"/>
          <w:szCs w:val="24"/>
        </w:rPr>
        <w:t>个工作日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业务环节及办理时限</w:t>
      </w:r>
    </w:p>
    <w:tbl>
      <w:tblPr>
        <w:tblStyle w:val="5"/>
        <w:tblW w:w="78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受理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审查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办结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</w:tbl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收费标准及依据</w:t>
      </w:r>
    </w:p>
    <w:p>
      <w:pPr>
        <w:pStyle w:val="10"/>
        <w:ind w:left="720"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收费标准及依据：此项目不收费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窗口电话：</w:t>
      </w:r>
      <w:r>
        <w:rPr>
          <w:rFonts w:ascii="黑体" w:hAnsi="黑体" w:eastAsia="黑体"/>
          <w:sz w:val="30"/>
          <w:szCs w:val="30"/>
        </w:rPr>
        <w:t>0557-2379037</w:t>
      </w:r>
      <w:r>
        <w:rPr>
          <w:rFonts w:ascii="黑体" w:hAnsi="黑体" w:eastAsia="黑体"/>
          <w:sz w:val="30"/>
          <w:szCs w:val="30"/>
        </w:rPr>
        <w:tab/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监督电话：</w:t>
      </w:r>
      <w:r>
        <w:rPr>
          <w:rFonts w:ascii="黑体" w:hAnsi="黑体" w:eastAsia="黑体"/>
          <w:sz w:val="30"/>
          <w:szCs w:val="30"/>
        </w:rPr>
        <w:t>0557-2379110</w:t>
      </w:r>
      <w:r>
        <w:rPr>
          <w:rFonts w:ascii="黑体" w:hAnsi="黑体" w:eastAsia="黑体"/>
          <w:sz w:val="30"/>
          <w:szCs w:val="30"/>
        </w:rPr>
        <w:tab/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drawing>
          <wp:inline distT="0" distB="0" distL="114300" distR="114300">
            <wp:extent cx="1371600" cy="140017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一门进</w:t>
      </w:r>
      <w:r>
        <w:rPr>
          <w:rFonts w:ascii="黑体" w:hAnsi="黑体" w:eastAsia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FF0000"/>
          <w:sz w:val="24"/>
          <w:szCs w:val="24"/>
        </w:rPr>
        <w:t>一费清</w:t>
      </w:r>
      <w:r>
        <w:rPr>
          <w:rFonts w:ascii="黑体" w:hAnsi="黑体" w:eastAsia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FF0000"/>
          <w:sz w:val="24"/>
          <w:szCs w:val="24"/>
        </w:rPr>
        <w:t>一章结</w:t>
      </w:r>
      <w:r>
        <w:rPr>
          <w:rFonts w:ascii="黑体" w:hAnsi="黑体" w:eastAsia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FF0000"/>
          <w:sz w:val="24"/>
          <w:szCs w:val="24"/>
        </w:rPr>
        <w:t>一人包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</w:p>
    <w:p>
      <w:pPr>
        <w:jc w:val="center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一窗口受理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</w:rPr>
        <w:t>一站式审批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</w:rPr>
        <w:t>一次性告知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spacing w:line="4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灵璧县政务服务中心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地址：灵璧县虞姬大道与汴河路交汇处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中心服务热线：</w:t>
      </w:r>
      <w:r>
        <w:rPr>
          <w:rFonts w:ascii="黑体" w:hAnsi="黑体" w:eastAsia="黑体"/>
          <w:sz w:val="28"/>
          <w:szCs w:val="28"/>
        </w:rPr>
        <w:t>0557-2379004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监督投诉电话：</w:t>
      </w:r>
      <w:r>
        <w:rPr>
          <w:rFonts w:ascii="黑体" w:hAnsi="黑体" w:eastAsia="黑体"/>
          <w:sz w:val="28"/>
          <w:szCs w:val="28"/>
        </w:rPr>
        <w:t>0557-2379110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E38C9"/>
    <w:multiLevelType w:val="multilevel"/>
    <w:tmpl w:val="51BE38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2"/>
    <w:rsid w:val="00027C86"/>
    <w:rsid w:val="0003524C"/>
    <w:rsid w:val="000679CA"/>
    <w:rsid w:val="0015458E"/>
    <w:rsid w:val="002844CF"/>
    <w:rsid w:val="003145F0"/>
    <w:rsid w:val="00317CD5"/>
    <w:rsid w:val="003E7148"/>
    <w:rsid w:val="004A4355"/>
    <w:rsid w:val="004D1387"/>
    <w:rsid w:val="00502030"/>
    <w:rsid w:val="00543952"/>
    <w:rsid w:val="00594909"/>
    <w:rsid w:val="005C65C0"/>
    <w:rsid w:val="006E5BD5"/>
    <w:rsid w:val="006F2FFA"/>
    <w:rsid w:val="00741E69"/>
    <w:rsid w:val="00742401"/>
    <w:rsid w:val="00745B07"/>
    <w:rsid w:val="007B6EB9"/>
    <w:rsid w:val="008915A2"/>
    <w:rsid w:val="008921FB"/>
    <w:rsid w:val="00903AA5"/>
    <w:rsid w:val="009A7210"/>
    <w:rsid w:val="00A04F92"/>
    <w:rsid w:val="00AF7A03"/>
    <w:rsid w:val="00B962E1"/>
    <w:rsid w:val="00BE10C2"/>
    <w:rsid w:val="00C93FB5"/>
    <w:rsid w:val="00D55F95"/>
    <w:rsid w:val="00D77BE8"/>
    <w:rsid w:val="00DE3EC1"/>
    <w:rsid w:val="00E31BB9"/>
    <w:rsid w:val="00E63C14"/>
    <w:rsid w:val="00E673B5"/>
    <w:rsid w:val="00EC43AD"/>
    <w:rsid w:val="00EC6C5C"/>
    <w:rsid w:val="00F021CE"/>
    <w:rsid w:val="00F03F4D"/>
    <w:rsid w:val="00F460C8"/>
    <w:rsid w:val="36A44659"/>
    <w:rsid w:val="5ABD3991"/>
    <w:rsid w:val="74E90E31"/>
    <w:rsid w:val="79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1079</Words>
  <Characters>1210</Characters>
  <Lines>0</Lines>
  <Paragraphs>0</Paragraphs>
  <TotalTime>62</TotalTime>
  <ScaleCrop>false</ScaleCrop>
  <LinksUpToDate>false</LinksUpToDate>
  <CharactersWithSpaces>1249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2018-08-23T09:26:00Z</dcterms:created>
  <dc:creator>gcc</dc:creator>
  <cp:lastModifiedBy>走击羊</cp:lastModifiedBy>
  <dcterms:modified xsi:type="dcterms:W3CDTF">2022-12-12T07:47:04Z</dcterms:modified>
  <dc:title>灵璧县政务服务中心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2F5B9BA666D44E4EA283329BF4012558</vt:lpwstr>
  </property>
</Properties>
</file>