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both"/>
        <w:rPr>
          <w:rFonts w:hint="eastAsia" w:ascii="宋体" w:hAnsi="宋体" w:eastAsia="宋体" w:cs="宋体"/>
          <w:b/>
          <w:sz w:val="44"/>
          <w:szCs w:val="44"/>
        </w:rPr>
      </w:pPr>
    </w:p>
    <w:p>
      <w:pPr>
        <w:spacing w:beforeLines="0" w:afterLines="0" w:line="580" w:lineRule="exact"/>
        <w:jc w:val="both"/>
        <w:rPr>
          <w:rFonts w:hint="eastAsia" w:ascii="宋体" w:hAnsi="宋体" w:eastAsia="宋体" w:cs="宋体"/>
          <w:b/>
          <w:sz w:val="44"/>
          <w:szCs w:val="44"/>
        </w:rPr>
      </w:pPr>
    </w:p>
    <w:p>
      <w:pPr>
        <w:spacing w:beforeLines="0" w:afterLines="0" w:line="580" w:lineRule="exact"/>
        <w:jc w:val="both"/>
        <w:rPr>
          <w:rFonts w:hint="eastAsia" w:ascii="宋体" w:hAnsi="宋体" w:eastAsia="宋体" w:cs="宋体"/>
          <w:b/>
          <w:sz w:val="44"/>
          <w:szCs w:val="44"/>
        </w:rPr>
      </w:pPr>
    </w:p>
    <w:p>
      <w:pPr>
        <w:spacing w:beforeLines="0" w:afterLines="0" w:line="580" w:lineRule="exact"/>
        <w:jc w:val="center"/>
        <w:rPr>
          <w:rFonts w:hint="eastAsia" w:ascii="宋体" w:hAnsi="宋体" w:eastAsia="宋体" w:cs="宋体"/>
          <w:b/>
          <w:bCs/>
          <w:sz w:val="44"/>
          <w:szCs w:val="44"/>
        </w:rPr>
      </w:pPr>
      <w:r>
        <w:rPr>
          <w:rFonts w:hint="eastAsia" w:ascii="宋体" w:hAnsi="宋体" w:eastAsia="宋体" w:cs="宋体"/>
          <w:b/>
          <w:sz w:val="44"/>
          <w:szCs w:val="44"/>
        </w:rPr>
        <w:t>关于印发《</w:t>
      </w:r>
      <w:r>
        <w:rPr>
          <w:rFonts w:hint="eastAsia" w:ascii="宋体" w:hAnsi="宋体" w:eastAsia="宋体" w:cs="宋体"/>
          <w:b/>
          <w:bCs/>
          <w:sz w:val="44"/>
          <w:szCs w:val="44"/>
        </w:rPr>
        <w:t>灵璧县特困人员救助供养</w:t>
      </w:r>
    </w:p>
    <w:p>
      <w:pPr>
        <w:spacing w:beforeLines="0" w:afterLines="0" w:line="580" w:lineRule="exact"/>
        <w:jc w:val="center"/>
        <w:rPr>
          <w:rFonts w:hint="eastAsia" w:ascii="宋体" w:hAnsi="宋体" w:eastAsia="宋体" w:cs="宋体"/>
          <w:b/>
          <w:sz w:val="44"/>
          <w:szCs w:val="44"/>
          <w:lang w:val="zh-CN"/>
        </w:rPr>
      </w:pPr>
      <w:r>
        <w:rPr>
          <w:rFonts w:hint="eastAsia" w:ascii="宋体" w:hAnsi="宋体" w:eastAsia="宋体" w:cs="宋体"/>
          <w:b/>
          <w:bCs/>
          <w:sz w:val="44"/>
          <w:szCs w:val="44"/>
        </w:rPr>
        <w:t>实施办法</w:t>
      </w:r>
      <w:r>
        <w:rPr>
          <w:rFonts w:hint="eastAsia" w:ascii="宋体" w:hAnsi="宋体" w:eastAsia="宋体" w:cs="宋体"/>
          <w:b/>
          <w:sz w:val="44"/>
          <w:szCs w:val="44"/>
          <w:lang w:val="zh-CN"/>
        </w:rPr>
        <w:t>》的通知</w:t>
      </w:r>
    </w:p>
    <w:p>
      <w:pPr>
        <w:spacing w:beforeLines="0" w:afterLines="0" w:line="580" w:lineRule="exact"/>
        <w:jc w:val="center"/>
        <w:rPr>
          <w:rFonts w:hint="eastAsia" w:ascii="宋体" w:hAnsi="宋体" w:eastAsia="宋体" w:cs="宋体"/>
          <w:sz w:val="44"/>
          <w:szCs w:val="44"/>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r>
        <w:rPr>
          <w:rFonts w:hint="eastAsia" w:ascii="仿宋" w:hAnsi="仿宋" w:eastAsia="仿宋"/>
          <w:sz w:val="32"/>
          <w:lang w:val="zh-CN"/>
        </w:rPr>
        <w:t>各乡镇（开发区）民政所、财政所：</w:t>
      </w:r>
    </w:p>
    <w:p>
      <w:pPr>
        <w:spacing w:beforeLines="0" w:afterLines="0" w:line="580" w:lineRule="exact"/>
        <w:ind w:firstLine="640"/>
        <w:jc w:val="left"/>
        <w:rPr>
          <w:rFonts w:hint="eastAsia" w:ascii="仿宋" w:hAnsi="仿宋" w:eastAsia="仿宋"/>
          <w:sz w:val="32"/>
          <w:lang w:val="zh-CN"/>
        </w:rPr>
      </w:pPr>
      <w:r>
        <w:rPr>
          <w:rFonts w:hint="eastAsia" w:ascii="仿宋" w:hAnsi="仿宋" w:eastAsia="仿宋"/>
          <w:sz w:val="32"/>
          <w:lang w:val="zh-CN"/>
        </w:rPr>
        <w:t>现将《灵璧县特困人员救助供养实施办法》印发给你们，请结合实际认真抓好贯彻落实。</w:t>
      </w: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tabs>
          <w:tab w:val="left" w:pos="6003"/>
        </w:tabs>
        <w:spacing w:beforeLines="0" w:afterLines="0" w:line="580" w:lineRule="exact"/>
        <w:jc w:val="left"/>
        <w:rPr>
          <w:rFonts w:hint="eastAsia" w:ascii="仿宋" w:hAnsi="仿宋" w:eastAsia="仿宋"/>
          <w:sz w:val="32"/>
          <w:lang w:val="zh-CN"/>
        </w:rPr>
      </w:pPr>
      <w:r>
        <w:rPr>
          <w:rFonts w:hint="eastAsia" w:ascii="仿宋" w:hAnsi="仿宋" w:eastAsia="仿宋"/>
          <w:sz w:val="32"/>
          <w:lang w:val="zh-CN"/>
        </w:rPr>
        <w:t>灵璧县民政局</w:t>
      </w:r>
      <w:r>
        <w:rPr>
          <w:rFonts w:hint="eastAsia" w:ascii="仿宋" w:hAnsi="仿宋" w:eastAsia="仿宋"/>
          <w:sz w:val="32"/>
          <w:lang w:val="en-US"/>
        </w:rPr>
        <w:t xml:space="preserve">                  </w:t>
      </w:r>
      <w:r>
        <w:rPr>
          <w:rFonts w:hint="eastAsia" w:ascii="仿宋" w:hAnsi="仿宋" w:eastAsia="仿宋"/>
          <w:sz w:val="32"/>
          <w:lang w:val="en-US" w:eastAsia="zh-CN"/>
        </w:rPr>
        <w:t xml:space="preserve">      </w:t>
      </w:r>
      <w:r>
        <w:rPr>
          <w:rFonts w:hint="eastAsia" w:ascii="仿宋" w:hAnsi="仿宋" w:eastAsia="仿宋"/>
          <w:sz w:val="32"/>
          <w:lang w:val="zh-CN"/>
        </w:rPr>
        <w:t>灵璧县财政局</w:t>
      </w:r>
    </w:p>
    <w:p>
      <w:pPr>
        <w:tabs>
          <w:tab w:val="left" w:pos="5823"/>
        </w:tabs>
        <w:spacing w:beforeLines="0" w:afterLines="0" w:line="580" w:lineRule="exact"/>
        <w:ind w:firstLine="640"/>
        <w:jc w:val="left"/>
        <w:rPr>
          <w:rFonts w:hint="eastAsia" w:ascii="仿宋" w:hAnsi="仿宋" w:eastAsia="仿宋"/>
          <w:sz w:val="32"/>
          <w:lang w:val="en-US" w:eastAsia="zh-CN"/>
        </w:rPr>
      </w:pPr>
      <w:r>
        <w:rPr>
          <w:rFonts w:hint="eastAsia" w:ascii="仿宋" w:hAnsi="仿宋" w:eastAsia="仿宋"/>
          <w:sz w:val="32"/>
          <w:lang w:val="en-US"/>
        </w:rPr>
        <w:t xml:space="preserve">          </w:t>
      </w:r>
      <w:r>
        <w:rPr>
          <w:rFonts w:hint="eastAsia" w:ascii="仿宋" w:hAnsi="仿宋" w:eastAsia="仿宋"/>
          <w:sz w:val="32"/>
          <w:lang w:val="en-US" w:eastAsia="zh-CN"/>
        </w:rPr>
        <w:t xml:space="preserve">    </w:t>
      </w:r>
      <w:r>
        <w:rPr>
          <w:rFonts w:hint="eastAsia" w:ascii="仿宋" w:hAnsi="仿宋" w:eastAsia="仿宋"/>
          <w:sz w:val="32"/>
          <w:lang w:val="en-US"/>
        </w:rPr>
        <w:t xml:space="preserve">  </w:t>
      </w:r>
      <w:r>
        <w:rPr>
          <w:rFonts w:hint="eastAsia" w:ascii="仿宋" w:hAnsi="仿宋" w:eastAsia="仿宋"/>
          <w:sz w:val="32"/>
          <w:lang w:val="en-US" w:eastAsia="zh-CN"/>
        </w:rPr>
        <w:t xml:space="preserve">   </w:t>
      </w:r>
      <w:r>
        <w:rPr>
          <w:rFonts w:hint="eastAsia" w:ascii="仿宋" w:hAnsi="仿宋" w:eastAsia="仿宋"/>
          <w:sz w:val="32"/>
          <w:lang w:val="en-US"/>
        </w:rPr>
        <w:t xml:space="preserve">   </w:t>
      </w:r>
      <w:r>
        <w:rPr>
          <w:rFonts w:hint="eastAsia" w:ascii="仿宋" w:hAnsi="仿宋" w:eastAsia="仿宋"/>
          <w:sz w:val="32"/>
          <w:lang w:val="en-US" w:eastAsia="zh-CN"/>
        </w:rPr>
        <w:t xml:space="preserve">                            </w:t>
      </w:r>
    </w:p>
    <w:p>
      <w:pPr>
        <w:tabs>
          <w:tab w:val="left" w:pos="5823"/>
        </w:tabs>
        <w:spacing w:beforeLines="0" w:afterLines="0" w:line="580" w:lineRule="exact"/>
        <w:ind w:firstLine="5440" w:firstLineChars="1700"/>
        <w:jc w:val="left"/>
        <w:rPr>
          <w:rFonts w:hint="eastAsia" w:ascii="仿宋" w:hAnsi="仿宋" w:eastAsia="仿宋"/>
          <w:sz w:val="32"/>
          <w:lang w:val="en-US"/>
        </w:rPr>
      </w:pPr>
      <w:r>
        <w:rPr>
          <w:rFonts w:hint="eastAsia" w:ascii="仿宋" w:hAnsi="仿宋" w:eastAsia="仿宋"/>
          <w:sz w:val="32"/>
          <w:lang w:val="en-US"/>
        </w:rPr>
        <w:t>2021年5月</w:t>
      </w:r>
      <w:r>
        <w:rPr>
          <w:rFonts w:hint="eastAsia" w:ascii="仿宋" w:hAnsi="仿宋" w:eastAsia="仿宋"/>
          <w:sz w:val="32"/>
          <w:lang w:val="en-US" w:eastAsia="zh-CN"/>
        </w:rPr>
        <w:t>25</w:t>
      </w:r>
      <w:bookmarkStart w:id="0" w:name="_GoBack"/>
      <w:bookmarkEnd w:id="0"/>
      <w:r>
        <w:rPr>
          <w:rFonts w:hint="eastAsia" w:ascii="仿宋" w:hAnsi="仿宋" w:eastAsia="仿宋"/>
          <w:sz w:val="32"/>
          <w:lang w:val="en-US"/>
        </w:rPr>
        <w:t>日</w:t>
      </w:r>
    </w:p>
    <w:p>
      <w:pPr>
        <w:spacing w:beforeLines="0" w:afterLines="0" w:line="580" w:lineRule="exact"/>
        <w:jc w:val="left"/>
        <w:rPr>
          <w:rFonts w:hint="eastAsia" w:ascii="仿宋" w:hAnsi="仿宋" w:eastAsia="仿宋"/>
          <w:sz w:val="32"/>
          <w:lang w:val="zh-CN"/>
        </w:rPr>
      </w:pPr>
    </w:p>
    <w:p>
      <w:pPr>
        <w:spacing w:beforeLines="0" w:afterLines="0" w:line="580" w:lineRule="exact"/>
        <w:jc w:val="left"/>
        <w:rPr>
          <w:rFonts w:hint="eastAsia" w:ascii="仿宋" w:hAnsi="仿宋" w:eastAsia="仿宋"/>
          <w:sz w:val="32"/>
          <w:lang w:val="zh-CN"/>
        </w:rPr>
      </w:pPr>
    </w:p>
    <w:p>
      <w:pPr>
        <w:spacing w:beforeLines="0" w:afterLines="0" w:line="580" w:lineRule="exact"/>
        <w:jc w:val="both"/>
        <w:rPr>
          <w:rFonts w:hint="eastAsia" w:ascii="宋体" w:hAnsi="宋体"/>
          <w:b/>
          <w:sz w:val="44"/>
          <w:lang w:val="zh-CN"/>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灵璧县特困人员救助供养实施办法</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省委办公厅、省政府办公厅《关于改革完善社会救助制度的实施意见》(皖办发〔2020〕25号)和市委办公室、市政府办公室《关于改革完善社会救助制度的重点举措》(宿办发〔2021〕15号),不断完善特困人员救助供养制度,提升特困人员救助供养工作水平,根据国务院《社会救助暂行办法》(国务院令第649号)、《农村五保供养工作条例》(国务院令第456号)、《安徽省人民政府关于进一步健全特困人员救助供养制度的实施意见》(皖政〔2016〕102号)、《安徽省特困人员认定办法》(皖民社救字〔2021〕74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宿州市特困人员救助供养实施办法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宿民发</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17号</w:t>
      </w:r>
      <w:r>
        <w:rPr>
          <w:rFonts w:hint="eastAsia" w:ascii="仿宋" w:hAnsi="仿宋" w:eastAsia="仿宋" w:cs="仿宋"/>
          <w:sz w:val="32"/>
          <w:szCs w:val="32"/>
          <w:lang w:eastAsia="zh-CN"/>
        </w:rPr>
        <w:t>）</w:t>
      </w:r>
      <w:r>
        <w:rPr>
          <w:rFonts w:hint="eastAsia" w:ascii="仿宋" w:hAnsi="仿宋" w:eastAsia="仿宋" w:cs="仿宋"/>
          <w:sz w:val="32"/>
          <w:szCs w:val="32"/>
        </w:rPr>
        <w:t>和市民生工程有关要求,结合本县实际,制定本实施办法。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以习近平新时代中国特色社会主义思想为指导,贯彻党的十九大和十九届历次全会精神,落实习近平总书记关于民政工作和考察安徽重要讲话指示精神,尽力而为、量力而行,不断完善与我</w:t>
      </w:r>
      <w:r>
        <w:rPr>
          <w:rFonts w:hint="eastAsia" w:ascii="仿宋" w:hAnsi="仿宋" w:eastAsia="仿宋" w:cs="仿宋"/>
          <w:sz w:val="32"/>
          <w:szCs w:val="32"/>
          <w:lang w:val="en-US" w:eastAsia="zh-CN"/>
        </w:rPr>
        <w:t>县</w:t>
      </w:r>
      <w:r>
        <w:rPr>
          <w:rFonts w:hint="eastAsia" w:ascii="仿宋" w:hAnsi="仿宋" w:eastAsia="仿宋" w:cs="仿宋"/>
          <w:sz w:val="32"/>
          <w:szCs w:val="32"/>
        </w:rPr>
        <w:t>经济社会发展水平相适应的特困人员救助供养制度,织密特困供养对象安全网,守住不发生规模性返贫的底线。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二、保障对象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具有我县户籍的城乡老年人、残疾人和未成年人,同时具备无劳动能力,无生活来源,无法定赡养、抚养、扶养义务人或其法定义务人无履行义务能力三个条件的,应纳入特困人员救助供养范围。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三、保障标准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(一)基本生活标准。</w:t>
      </w:r>
      <w:r>
        <w:rPr>
          <w:rFonts w:hint="eastAsia" w:ascii="仿宋" w:hAnsi="仿宋" w:eastAsia="仿宋" w:cs="仿宋"/>
          <w:sz w:val="32"/>
          <w:szCs w:val="32"/>
        </w:rPr>
        <w:t>按照不低于上年度当地城乡居民人均消费性支出的60%、且不低于当地最低生活保障标准的1.3倍,就高不就低。基本生活标准包括各级财政补助资金、救助供养对象领取的养老服务补贴、高龄津贴、承包土地收益、房屋租金等个人财产性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(二)照料护理标准。</w:t>
      </w:r>
      <w:r>
        <w:rPr>
          <w:rFonts w:hint="eastAsia" w:ascii="仿宋" w:hAnsi="仿宋" w:eastAsia="仿宋" w:cs="仿宋"/>
          <w:sz w:val="32"/>
          <w:szCs w:val="32"/>
        </w:rPr>
        <w:t>对经评估为有生活自理能力、部分丧失生活自理能力和完全丧失生活自理能力的特困人员,分别按照全自理、半护理、全护理三个档次,其护理标准不得低于基本生活标准的10%,体现差异性。到2022年底,全县城市和农村失能、半失能特困人员集中供养率均达到60%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四、实施程序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(一)申请程序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申请特困人员救助供养,应当由本人向户籍所在地乡镇(</w:t>
      </w:r>
      <w:r>
        <w:rPr>
          <w:rFonts w:hint="eastAsia" w:ascii="仿宋" w:hAnsi="仿宋" w:eastAsia="仿宋" w:cs="仿宋"/>
          <w:sz w:val="32"/>
          <w:szCs w:val="32"/>
          <w:lang w:eastAsia="zh-CN"/>
        </w:rPr>
        <w:t>开发区</w:t>
      </w:r>
      <w:r>
        <w:rPr>
          <w:rFonts w:hint="eastAsia" w:ascii="仿宋" w:hAnsi="仿宋" w:eastAsia="仿宋" w:cs="仿宋"/>
          <w:sz w:val="32"/>
          <w:szCs w:val="32"/>
        </w:rPr>
        <w:t>)民政所(办)提出书面申请。本人申请有困难的,可以委托村(居)民委员会或者他人代为提出申请。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材料主要包括本人有效身份证明,劳动能力、生活来源、财产状况以及赡养、抚养、扶养情况的书面声明,承诺所提供信息真实、完整的承诺书,残疾人还应当提供第二代《中华人民共和国残疾证》。申请人应当履行授权核查家庭经济状况的相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(二)审核确认程序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我县特困审核确认权限下放至乡镇(</w:t>
      </w:r>
      <w:r>
        <w:rPr>
          <w:rFonts w:hint="eastAsia" w:ascii="仿宋" w:hAnsi="仿宋" w:eastAsia="仿宋" w:cs="仿宋"/>
          <w:sz w:val="32"/>
          <w:szCs w:val="32"/>
          <w:lang w:eastAsia="zh-CN"/>
        </w:rPr>
        <w:t>开发区</w:t>
      </w:r>
      <w:r>
        <w:rPr>
          <w:rFonts w:hint="eastAsia" w:ascii="仿宋" w:hAnsi="仿宋" w:eastAsia="仿宋" w:cs="仿宋"/>
          <w:sz w:val="32"/>
          <w:szCs w:val="32"/>
        </w:rPr>
        <w:t>),在乡镇(</w:t>
      </w:r>
      <w:r>
        <w:rPr>
          <w:rFonts w:hint="eastAsia" w:ascii="仿宋" w:hAnsi="仿宋" w:eastAsia="仿宋" w:cs="仿宋"/>
          <w:sz w:val="32"/>
          <w:szCs w:val="32"/>
          <w:lang w:eastAsia="zh-CN"/>
        </w:rPr>
        <w:t>开发区</w:t>
      </w:r>
      <w:r>
        <w:rPr>
          <w:rFonts w:hint="eastAsia" w:ascii="仿宋" w:hAnsi="仿宋" w:eastAsia="仿宋" w:cs="仿宋"/>
          <w:sz w:val="32"/>
          <w:szCs w:val="32"/>
        </w:rPr>
        <w:t>)建立党(工)委领导、政府(</w:t>
      </w:r>
      <w:r>
        <w:rPr>
          <w:rFonts w:hint="eastAsia" w:ascii="仿宋" w:hAnsi="仿宋" w:eastAsia="仿宋" w:cs="仿宋"/>
          <w:sz w:val="32"/>
          <w:szCs w:val="32"/>
          <w:lang w:eastAsia="zh-CN"/>
        </w:rPr>
        <w:t>管委会</w:t>
      </w:r>
      <w:r>
        <w:rPr>
          <w:rFonts w:hint="eastAsia" w:ascii="仿宋" w:hAnsi="仿宋" w:eastAsia="仿宋" w:cs="仿宋"/>
          <w:sz w:val="32"/>
          <w:szCs w:val="32"/>
        </w:rPr>
        <w:t>)负责、部门参与的特困供养人员救助联审确认制度,县民政部门加强监督指导。特困办理时限压缩到20个工作日内。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w:t>
      </w:r>
      <w:r>
        <w:rPr>
          <w:rFonts w:hint="eastAsia" w:ascii="仿宋" w:hAnsi="仿宋" w:eastAsia="仿宋" w:cs="仿宋"/>
          <w:sz w:val="32"/>
          <w:szCs w:val="32"/>
          <w:lang w:eastAsia="zh-CN"/>
        </w:rPr>
        <w:t>开发区</w:t>
      </w:r>
      <w:r>
        <w:rPr>
          <w:rFonts w:hint="eastAsia" w:ascii="仿宋" w:hAnsi="仿宋" w:eastAsia="仿宋" w:cs="仿宋"/>
          <w:sz w:val="32"/>
          <w:szCs w:val="32"/>
        </w:rPr>
        <w:t>)民政所(办)应当自受理申请之日起7个工作日内,通过入户调查、邻里访问、信函索证、民主评议、信息核对等方式,对申请人的经济状况、实际生活状况以及赡养、抚养、扶养状况等进行调查核实(对经济状况核对和入户调查无异议的救助申请家庭,可不进行民主评议),并提出审核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申请人以及有关单位、组织或者个人应当配合调查,如实提供有关情况。村居民委员会应当协助乡镇(</w:t>
      </w:r>
      <w:r>
        <w:rPr>
          <w:rFonts w:hint="eastAsia" w:ascii="仿宋" w:hAnsi="仿宋" w:eastAsia="仿宋" w:cs="仿宋"/>
          <w:sz w:val="32"/>
          <w:szCs w:val="32"/>
          <w:lang w:eastAsia="zh-CN"/>
        </w:rPr>
        <w:t>开发区</w:t>
      </w:r>
      <w:r>
        <w:rPr>
          <w:rFonts w:hint="eastAsia" w:ascii="仿宋" w:hAnsi="仿宋" w:eastAsia="仿宋" w:cs="仿宋"/>
          <w:sz w:val="32"/>
          <w:szCs w:val="32"/>
        </w:rPr>
        <w:t>)民政所(办)开展调查核实。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调查核实过程中,有异议或了解不清楚的乡镇(</w:t>
      </w:r>
      <w:r>
        <w:rPr>
          <w:rFonts w:hint="eastAsia" w:ascii="仿宋" w:hAnsi="仿宋" w:eastAsia="仿宋" w:cs="仿宋"/>
          <w:sz w:val="32"/>
          <w:szCs w:val="32"/>
          <w:lang w:eastAsia="zh-CN"/>
        </w:rPr>
        <w:t>开发区</w:t>
      </w:r>
      <w:r>
        <w:rPr>
          <w:rFonts w:hint="eastAsia" w:ascii="仿宋" w:hAnsi="仿宋" w:eastAsia="仿宋" w:cs="仿宋"/>
          <w:sz w:val="32"/>
          <w:szCs w:val="32"/>
        </w:rPr>
        <w:t>)民政所(办)可视情组织民主评议,在村(居)民委员会协助下,对申请人书面声明内容的真实性、完整性及调查核实结果的客观性进行评议。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w:t>
      </w:r>
      <w:r>
        <w:rPr>
          <w:rFonts w:hint="eastAsia" w:ascii="仿宋" w:hAnsi="仿宋" w:eastAsia="仿宋" w:cs="仿宋"/>
          <w:sz w:val="32"/>
          <w:szCs w:val="32"/>
          <w:lang w:eastAsia="zh-CN"/>
        </w:rPr>
        <w:t>开发区</w:t>
      </w:r>
      <w:r>
        <w:rPr>
          <w:rFonts w:hint="eastAsia" w:ascii="仿宋" w:hAnsi="仿宋" w:eastAsia="仿宋" w:cs="仿宋"/>
          <w:sz w:val="32"/>
          <w:szCs w:val="32"/>
        </w:rPr>
        <w:t>)民政所(办)应当将审核意见及时在申请人所在村(社区)公示。公示期为7天。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公示期满无异议的,由乡镇(</w:t>
      </w:r>
      <w:r>
        <w:rPr>
          <w:rFonts w:hint="eastAsia" w:ascii="仿宋" w:hAnsi="仿宋" w:eastAsia="仿宋" w:cs="仿宋"/>
          <w:sz w:val="32"/>
          <w:szCs w:val="32"/>
          <w:lang w:eastAsia="zh-CN"/>
        </w:rPr>
        <w:t>开发区</w:t>
      </w:r>
      <w:r>
        <w:rPr>
          <w:rFonts w:hint="eastAsia" w:ascii="仿宋" w:hAnsi="仿宋" w:eastAsia="仿宋" w:cs="仿宋"/>
          <w:sz w:val="32"/>
          <w:szCs w:val="32"/>
        </w:rPr>
        <w:t>)联审确认领导小组(党委会)审核确认后,发给《特困人员救助供养证》,建立救助供养档案,从批准之日下月起给予救助供养待遇,并通过乡镇(</w:t>
      </w:r>
      <w:r>
        <w:rPr>
          <w:rFonts w:hint="eastAsia" w:ascii="仿宋" w:hAnsi="仿宋" w:eastAsia="仿宋" w:cs="仿宋"/>
          <w:sz w:val="32"/>
          <w:szCs w:val="32"/>
          <w:lang w:eastAsia="zh-CN"/>
        </w:rPr>
        <w:t>开发区</w:t>
      </w:r>
      <w:r>
        <w:rPr>
          <w:rFonts w:hint="eastAsia" w:ascii="仿宋" w:hAnsi="仿宋" w:eastAsia="仿宋" w:cs="仿宋"/>
          <w:sz w:val="32"/>
          <w:szCs w:val="32"/>
        </w:rPr>
        <w:t>)人民政府在申请人所在村(居)公布,并报县级人民政府民政部门备案。对公示有异议的,乡镇(</w:t>
      </w:r>
      <w:r>
        <w:rPr>
          <w:rFonts w:hint="eastAsia" w:ascii="仿宋" w:hAnsi="仿宋" w:eastAsia="仿宋" w:cs="仿宋"/>
          <w:sz w:val="32"/>
          <w:szCs w:val="32"/>
          <w:lang w:eastAsia="zh-CN"/>
        </w:rPr>
        <w:t>开发区</w:t>
      </w:r>
      <w:r>
        <w:rPr>
          <w:rFonts w:hint="eastAsia" w:ascii="仿宋" w:hAnsi="仿宋" w:eastAsia="仿宋" w:cs="仿宋"/>
          <w:sz w:val="32"/>
          <w:szCs w:val="32"/>
        </w:rPr>
        <w:t>)应当重新组织调查核实,在10个工作日内提出审核意见,并重新公示。对不符合救助供养条件的申请,审核确认机关不予批准,并书面告知申请人。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五、动态管理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w:t>
      </w:r>
      <w:r>
        <w:rPr>
          <w:rFonts w:hint="eastAsia" w:ascii="仿宋" w:hAnsi="仿宋" w:eastAsia="仿宋" w:cs="仿宋"/>
          <w:sz w:val="32"/>
          <w:szCs w:val="32"/>
          <w:lang w:eastAsia="zh-CN"/>
        </w:rPr>
        <w:t>开发区</w:t>
      </w:r>
      <w:r>
        <w:rPr>
          <w:rFonts w:hint="eastAsia" w:ascii="仿宋" w:hAnsi="仿宋" w:eastAsia="仿宋" w:cs="仿宋"/>
          <w:sz w:val="32"/>
          <w:szCs w:val="32"/>
        </w:rPr>
        <w:t>)、村(居)民委员会应当及时了解掌握辖区内居民的生活情况,发现可能符合特困供养条件的人员,应当告知其救助供养政策,对因无民事行为能力或者限制民事行为能力等无法自主申请的,应当主动帮助其申请。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特困人员不再符合救助供养条件的,本人、照料服务人、村(居)民委员会或者供养服务机构应当及时告知乡镇(</w:t>
      </w:r>
      <w:r>
        <w:rPr>
          <w:rFonts w:hint="eastAsia" w:ascii="仿宋" w:hAnsi="仿宋" w:eastAsia="仿宋" w:cs="仿宋"/>
          <w:sz w:val="32"/>
          <w:szCs w:val="32"/>
          <w:lang w:eastAsia="zh-CN"/>
        </w:rPr>
        <w:t>开发区</w:t>
      </w:r>
      <w:r>
        <w:rPr>
          <w:rFonts w:hint="eastAsia" w:ascii="仿宋" w:hAnsi="仿宋" w:eastAsia="仿宋" w:cs="仿宋"/>
          <w:sz w:val="32"/>
          <w:szCs w:val="32"/>
        </w:rPr>
        <w:t>),由乡镇(</w:t>
      </w:r>
      <w:r>
        <w:rPr>
          <w:rFonts w:hint="eastAsia" w:ascii="仿宋" w:hAnsi="仿宋" w:eastAsia="仿宋" w:cs="仿宋"/>
          <w:sz w:val="32"/>
          <w:szCs w:val="32"/>
          <w:lang w:eastAsia="zh-CN"/>
        </w:rPr>
        <w:t>开发区</w:t>
      </w:r>
      <w:r>
        <w:rPr>
          <w:rFonts w:hint="eastAsia" w:ascii="仿宋" w:hAnsi="仿宋" w:eastAsia="仿宋" w:cs="仿宋"/>
          <w:sz w:val="32"/>
          <w:szCs w:val="32"/>
        </w:rPr>
        <w:t>)调查核实后及时办理终止救助供养手续,并报县级人民政府民政部门备案。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县级人民政府民政部门、乡镇(</w:t>
      </w:r>
      <w:r>
        <w:rPr>
          <w:rFonts w:hint="eastAsia" w:ascii="仿宋" w:hAnsi="仿宋" w:eastAsia="仿宋" w:cs="仿宋"/>
          <w:sz w:val="32"/>
          <w:szCs w:val="32"/>
          <w:lang w:eastAsia="zh-CN"/>
        </w:rPr>
        <w:t>开发区</w:t>
      </w:r>
      <w:r>
        <w:rPr>
          <w:rFonts w:hint="eastAsia" w:ascii="仿宋" w:hAnsi="仿宋" w:eastAsia="仿宋" w:cs="仿宋"/>
          <w:sz w:val="32"/>
          <w:szCs w:val="32"/>
        </w:rPr>
        <w:t>)人民政府在工作中发现特困人员不再符合救助供养条件的,应当及时办理终止救助供养手续。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对拟终止救助供养的特困人员,乡镇(</w:t>
      </w:r>
      <w:r>
        <w:rPr>
          <w:rFonts w:hint="eastAsia" w:ascii="仿宋" w:hAnsi="仿宋" w:eastAsia="仿宋" w:cs="仿宋"/>
          <w:sz w:val="32"/>
          <w:szCs w:val="32"/>
          <w:lang w:eastAsia="zh-CN"/>
        </w:rPr>
        <w:t>开发区</w:t>
      </w:r>
      <w:r>
        <w:rPr>
          <w:rFonts w:hint="eastAsia" w:ascii="仿宋" w:hAnsi="仿宋" w:eastAsia="仿宋" w:cs="仿宋"/>
          <w:sz w:val="32"/>
          <w:szCs w:val="32"/>
        </w:rPr>
        <w:t>)人民政府,应在其所在村(居)或者供养服务机构公示。公示期为7天。</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公示期满无异议的,县级人民政府民政部门或乡镇(</w:t>
      </w:r>
      <w:r>
        <w:rPr>
          <w:rFonts w:hint="eastAsia" w:ascii="仿宋" w:hAnsi="仿宋" w:eastAsia="仿宋" w:cs="仿宋"/>
          <w:sz w:val="32"/>
          <w:szCs w:val="32"/>
          <w:lang w:eastAsia="zh-CN"/>
        </w:rPr>
        <w:t>开发区</w:t>
      </w:r>
      <w:r>
        <w:rPr>
          <w:rFonts w:hint="eastAsia" w:ascii="仿宋" w:hAnsi="仿宋" w:eastAsia="仿宋" w:cs="仿宋"/>
          <w:sz w:val="32"/>
          <w:szCs w:val="32"/>
        </w:rPr>
        <w:t>)人民政府应当作出终止决定并从下月起终止救助供养。对公示有异议的,县级人民政府民政部门应当组织调查核实,在15个工作日内作出是否终止救助供养决定,并重新公示。对决定终止救助供养的,应当通过乡镇(</w:t>
      </w:r>
      <w:r>
        <w:rPr>
          <w:rFonts w:hint="eastAsia" w:ascii="仿宋" w:hAnsi="仿宋" w:eastAsia="仿宋" w:cs="仿宋"/>
          <w:sz w:val="32"/>
          <w:szCs w:val="32"/>
          <w:lang w:eastAsia="zh-CN"/>
        </w:rPr>
        <w:t>开发区</w:t>
      </w:r>
      <w:r>
        <w:rPr>
          <w:rFonts w:hint="eastAsia" w:ascii="仿宋" w:hAnsi="仿宋" w:eastAsia="仿宋" w:cs="仿宋"/>
          <w:sz w:val="32"/>
          <w:szCs w:val="32"/>
        </w:rPr>
        <w:t>)人民政府将终止理由书面告知当事人、村(居)民委员会。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对终止救助供养的原特困人员,符合最低生活保障、临时救助等其他社会救助条件的,应当按规定及时纳入相应救助范围。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养对象每年都应进行抽查核实。按照“谁审批、谁存档、谁管理”的要求，乡镇人民政府（开发区管委会）要妥善保管各类审批档案、台账和报表。特困供养人员档案按要求统一规范管理，做到一户一档。县民政部门建立特困供养对象基础信息数据库,县级民政部门负责基础信息数据库的日常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六、资金筹措及管理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(一)资金来源。</w:t>
      </w:r>
      <w:r>
        <w:rPr>
          <w:rFonts w:hint="eastAsia" w:ascii="仿宋" w:hAnsi="仿宋" w:eastAsia="仿宋" w:cs="仿宋"/>
          <w:sz w:val="32"/>
          <w:szCs w:val="32"/>
        </w:rPr>
        <w:t>市、县财政一般预算安排的资金,各级福利彩票公益金安排的资金;其他资金。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(二)资金筹措。</w:t>
      </w:r>
      <w:r>
        <w:rPr>
          <w:rFonts w:hint="eastAsia" w:ascii="仿宋" w:hAnsi="仿宋" w:eastAsia="仿宋" w:cs="仿宋"/>
          <w:sz w:val="32"/>
          <w:szCs w:val="32"/>
        </w:rPr>
        <w:t>市、县结合本地实际统筹中央和省级补助资金,用于特困供养人员基本生活、照料护理、医疗救治、丧葬等支出。有集体经营等收入的地方,可从中安排资金用于特困人员救助供养工作。特困供养人员救助供养所需资金统筹列入当地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(三)资金管理。</w:t>
      </w:r>
      <w:r>
        <w:rPr>
          <w:rFonts w:hint="eastAsia" w:ascii="仿宋" w:hAnsi="仿宋" w:eastAsia="仿宋" w:cs="仿宋"/>
          <w:sz w:val="32"/>
          <w:szCs w:val="32"/>
        </w:rPr>
        <w:t>特困供养资金实行专账核算,专款专用。分散供养人员的特困生活补助资金通过涉农资金"一卡通"发放。集中供养人员生活补助资金由财政部门直接拨付到特困供养机构账户。集中供养特困对象个人领取的基础养老金等,应发给个人用于其零星生活用品购置;特困供养服务机构的经营收入等,可统筹用于机构管理、改善特困老人生活条件;集中供养特困对象的原土地、山(林)地等的收入及涉农补助资金,应当在尊重其合法使用、处置个人财产自由的前提下,用于提高集中供养特困对象生活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(一)明确职责分工。</w:t>
      </w:r>
      <w:r>
        <w:rPr>
          <w:rFonts w:hint="eastAsia" w:ascii="仿宋" w:hAnsi="仿宋" w:eastAsia="仿宋" w:cs="仿宋"/>
          <w:sz w:val="32"/>
          <w:szCs w:val="32"/>
          <w:lang w:val="en-US" w:eastAsia="zh-CN"/>
        </w:rPr>
        <w:t>县</w:t>
      </w:r>
      <w:r>
        <w:rPr>
          <w:rFonts w:hint="eastAsia" w:ascii="仿宋" w:hAnsi="仿宋" w:eastAsia="仿宋" w:cs="仿宋"/>
          <w:sz w:val="32"/>
          <w:szCs w:val="32"/>
        </w:rPr>
        <w:t>民政局、</w:t>
      </w:r>
      <w:r>
        <w:rPr>
          <w:rFonts w:hint="eastAsia" w:ascii="仿宋" w:hAnsi="仿宋" w:eastAsia="仿宋" w:cs="仿宋"/>
          <w:sz w:val="32"/>
          <w:szCs w:val="32"/>
          <w:lang w:val="en-US" w:eastAsia="zh-CN"/>
        </w:rPr>
        <w:t>县</w:t>
      </w:r>
      <w:r>
        <w:rPr>
          <w:rFonts w:hint="eastAsia" w:ascii="仿宋" w:hAnsi="仿宋" w:eastAsia="仿宋" w:cs="仿宋"/>
          <w:sz w:val="32"/>
          <w:szCs w:val="32"/>
        </w:rPr>
        <w:t>财政局按照职能分工各负其责。</w:t>
      </w:r>
      <w:r>
        <w:rPr>
          <w:rFonts w:hint="eastAsia" w:ascii="仿宋" w:hAnsi="仿宋" w:eastAsia="仿宋" w:cs="仿宋"/>
          <w:sz w:val="32"/>
          <w:szCs w:val="32"/>
          <w:lang w:val="en-US" w:eastAsia="zh-CN"/>
        </w:rPr>
        <w:t>县</w:t>
      </w:r>
      <w:r>
        <w:rPr>
          <w:rFonts w:hint="eastAsia" w:ascii="仿宋" w:hAnsi="仿宋" w:eastAsia="仿宋" w:cs="仿宋"/>
          <w:sz w:val="32"/>
          <w:szCs w:val="32"/>
        </w:rPr>
        <w:t>民政局负责编制实施内容、制订管理制度和对实施情况进行督查考核。</w:t>
      </w:r>
      <w:r>
        <w:rPr>
          <w:rFonts w:hint="eastAsia" w:ascii="仿宋" w:hAnsi="仿宋" w:eastAsia="仿宋" w:cs="仿宋"/>
          <w:sz w:val="32"/>
          <w:szCs w:val="32"/>
          <w:lang w:val="en-US" w:eastAsia="zh-CN"/>
        </w:rPr>
        <w:t>县</w:t>
      </w:r>
      <w:r>
        <w:rPr>
          <w:rFonts w:hint="eastAsia" w:ascii="仿宋" w:hAnsi="仿宋" w:eastAsia="仿宋" w:cs="仿宋"/>
          <w:sz w:val="32"/>
          <w:szCs w:val="32"/>
        </w:rPr>
        <w:t>财政局负责安排落实市级财政资金,并对补助资金的管理使用进行监督检查。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(二)健全落实机制。</w:t>
      </w:r>
      <w:r>
        <w:rPr>
          <w:rFonts w:hint="eastAsia" w:ascii="仿宋" w:hAnsi="仿宋" w:eastAsia="仿宋" w:cs="仿宋"/>
          <w:sz w:val="32"/>
          <w:szCs w:val="32"/>
        </w:rPr>
        <w:t>县级人民政府是特困人员救助供养工作的责任主体,负责本地特困人员救助供养工作的组织领导、制度制定、资金落实、监督执行等事项,各相关部门根据各自职能分工履行职责。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(三)强化监督考核。</w:t>
      </w:r>
      <w:r>
        <w:rPr>
          <w:rFonts w:hint="eastAsia" w:ascii="仿宋" w:hAnsi="仿宋" w:eastAsia="仿宋" w:cs="仿宋"/>
          <w:sz w:val="32"/>
          <w:szCs w:val="32"/>
        </w:rPr>
        <w:t>建立健全绩效考评机制,加强特困人员救助供养保障范围、供养标准、动态管理等的监督考核,切实保障特困对象基本生活权益。自觉接受各级人大、政协、纪检、监察、审计、新闻媒体和群众监督,对挤占、挪用、套取资金等违规违纪违法行为的,按规定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本办法自2022年6月1日起执行,由</w:t>
      </w:r>
      <w:r>
        <w:rPr>
          <w:rFonts w:hint="eastAsia" w:ascii="仿宋" w:hAnsi="仿宋" w:eastAsia="仿宋" w:cs="仿宋"/>
          <w:sz w:val="32"/>
          <w:szCs w:val="32"/>
          <w:lang w:val="en-US" w:eastAsia="zh-CN"/>
        </w:rPr>
        <w:t>县</w:t>
      </w:r>
      <w:r>
        <w:rPr>
          <w:rFonts w:hint="eastAsia" w:ascii="仿宋" w:hAnsi="仿宋" w:eastAsia="仿宋" w:cs="仿宋"/>
          <w:sz w:val="32"/>
          <w:szCs w:val="32"/>
        </w:rPr>
        <w:t>民政局负责解释。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oto Sans Mono CJK JP Regular">
    <w:altName w:val="Courier New"/>
    <w:panose1 w:val="000000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TQ4MTE2N2VhYjI1NDAzYTMyOTBjMzExYjUzNzAifQ=="/>
  </w:docVars>
  <w:rsids>
    <w:rsidRoot w:val="4EEB2704"/>
    <w:rsid w:val="1C424A2B"/>
    <w:rsid w:val="22461E92"/>
    <w:rsid w:val="34C32841"/>
    <w:rsid w:val="45380249"/>
    <w:rsid w:val="4EEB2704"/>
    <w:rsid w:val="69B4596C"/>
    <w:rsid w:val="7D62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3015</Words>
  <Characters>3062</Characters>
  <Lines>0</Lines>
  <Paragraphs>0</Paragraphs>
  <TotalTime>7</TotalTime>
  <ScaleCrop>false</ScaleCrop>
  <LinksUpToDate>false</LinksUpToDate>
  <CharactersWithSpaces>3066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2022-05-06T02:24:00Z</dcterms:created>
  <dc:creator>WPS_1632214656</dc:creator>
  <cp:lastModifiedBy>WPS_1632214656</cp:lastModifiedBy>
  <cp:lastPrinted>2022-05-25T01:12:37Z</cp:lastPrinted>
  <dcterms:modified xsi:type="dcterms:W3CDTF">2022-05-25T01:12:48Z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BF9EC743E3954BA28E193276AB0259E4</vt:lpwstr>
  </property>
</Properties>
</file>