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48"/>
          <w:szCs w:val="48"/>
          <w:bdr w:val="none" w:color="auto" w:sz="0" w:space="0"/>
          <w:shd w:val="clear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48"/>
          <w:szCs w:val="48"/>
          <w:bdr w:val="none" w:color="auto" w:sz="0" w:space="0"/>
          <w:shd w:val="clear" w:fill="FFFFFF"/>
        </w:rPr>
        <w:t>灵璧县1-3月经济运行情况</w:t>
      </w:r>
    </w:p>
    <w:p/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6" w:afterAutospacing="0"/>
        <w:ind w:left="0" w:right="0" w:firstLine="420"/>
        <w:jc w:val="both"/>
        <w:rPr>
          <w:b w:val="0"/>
          <w:bCs w:val="0"/>
          <w:i w:val="0"/>
          <w:iCs w:val="0"/>
        </w:rPr>
      </w:pPr>
      <w:r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一季度，全县实现地区生产总值75.0亿元，按可比价计算，同比增长7.0%。一季度，全县规模以上工业增加值同比增长17.1%，农林牧渔业增加值同比增长8.4%，固定资产投资同比增长18.3%，房地产开发投资增长10.5%，民间投资增长24.0%，工业投资下降14.3%，技改投资增长32.4%。一季度，限上消费品零售总额4.9亿元，增长7.5%；按经营单位所在地分，城镇消费品零售额4.4亿元、增长6.4%，乡村消费品零售额0.5亿元、增长18.9%。截至3月底，全县一般公共预算收入11.0亿元，增长101.8%。其中，地方收入5.9亿元，增长71.2%；中央收入5.1亿元、增长218.9%。一般公共预算支出14.0亿元，增长22.0%。3月末，全县金融机构人民币各项存款余额449.1亿元，同比增长15.7%；人民币贷款余额343.6亿元，同比增长31.5%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5MzQwOTViODRjZGJiMjFlZjJhNzgyMDlkMGM0M2IifQ=="/>
  </w:docVars>
  <w:rsids>
    <w:rsidRoot w:val="37403768"/>
    <w:rsid w:val="37403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2022-05-27T07:33:00Z</dcterms:created>
  <dc:creator>你是我的UFO</dc:creator>
  <cp:lastModifiedBy>你是我的UFO</cp:lastModifiedBy>
  <dcterms:modified xsi:type="dcterms:W3CDTF">2022-05-27T07:35:56Z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F927EEBCD8A54C56912E3B16645016B3</vt:lpwstr>
  </property>
</Properties>
</file>