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bookmarkStart w:id="0" w:name="_GoBack"/>
      <w:bookmarkEnd w:id="0"/>
      <w: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94080" cy="930910"/>
            <wp:effectExtent l="0" t="0" r="127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94080" cy="930910"/>
                    </a:xfrm>
                    <a:prstGeom prst="rect">
                      <a:avLst/>
                    </a:prstGeom>
                    <a:noFill/>
                    <a:ln>
                      <a:noFill/>
                    </a:ln>
                  </pic:spPr>
                </pic:pic>
              </a:graphicData>
            </a:graphic>
          </wp:anchor>
        </w:drawing>
      </w:r>
      <w:r>
        <w:rPr>
          <w:rFonts w:hint="eastAsia" w:ascii="黑体" w:hAnsi="黑体" w:eastAsia="黑体"/>
          <w:b/>
          <w:sz w:val="72"/>
          <w:szCs w:val="72"/>
        </w:rPr>
        <w:t>灵璧县政务服务中心</w:t>
      </w:r>
    </w:p>
    <w:p>
      <w:pPr>
        <w:jc w:val="center"/>
        <w:rPr>
          <w:rFonts w:ascii="黑体" w:hAnsi="黑体" w:eastAsia="黑体"/>
          <w:b/>
          <w:sz w:val="32"/>
          <w:szCs w:val="32"/>
        </w:rPr>
      </w:pPr>
      <w:r>
        <w:rPr>
          <w:rFonts w:ascii="黑体" w:hAnsi="黑体" w:eastAsia="黑体"/>
          <w:b/>
          <w:sz w:val="32"/>
          <w:szCs w:val="32"/>
        </w:rPr>
        <w:t>LING BI XIAN ZHENG WU FUWU ZHONG XIN</w:t>
      </w: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b/>
          <w:sz w:val="144"/>
          <w:szCs w:val="84"/>
        </w:rPr>
      </w:pPr>
      <w:r>
        <w:rPr>
          <w:rFonts w:hint="eastAsia" w:ascii="黑体" w:hAnsi="黑体" w:eastAsia="黑体"/>
          <w:b/>
          <w:sz w:val="144"/>
          <w:szCs w:val="84"/>
        </w:rPr>
        <w:t>告</w:t>
      </w:r>
    </w:p>
    <w:p>
      <w:pPr>
        <w:jc w:val="center"/>
        <w:rPr>
          <w:rFonts w:ascii="黑体" w:hAnsi="黑体" w:eastAsia="黑体"/>
          <w:b/>
          <w:sz w:val="144"/>
          <w:szCs w:val="84"/>
        </w:rPr>
      </w:pPr>
      <w:r>
        <w:rPr>
          <w:rFonts w:hint="eastAsia" w:ascii="黑体" w:hAnsi="黑体" w:eastAsia="黑体"/>
          <w:b/>
          <w:sz w:val="144"/>
          <w:szCs w:val="84"/>
        </w:rPr>
        <w:t>知</w:t>
      </w:r>
    </w:p>
    <w:p>
      <w:pPr>
        <w:jc w:val="center"/>
        <w:rPr>
          <w:rFonts w:ascii="黑体" w:hAnsi="黑体" w:eastAsia="黑体"/>
          <w:b/>
          <w:sz w:val="144"/>
          <w:szCs w:val="84"/>
        </w:rPr>
      </w:pPr>
      <w:r>
        <w:rPr>
          <w:rFonts w:hint="eastAsia" w:ascii="黑体" w:hAnsi="黑体" w:eastAsia="黑体"/>
          <w:b/>
          <w:sz w:val="144"/>
          <w:szCs w:val="84"/>
        </w:rPr>
        <w:t>单</w:t>
      </w:r>
    </w:p>
    <w:p>
      <w:pPr>
        <w:jc w:val="center"/>
        <w:rPr>
          <w:rFonts w:ascii="黑体" w:hAnsi="黑体" w:eastAsia="黑体"/>
          <w:b/>
          <w:sz w:val="84"/>
          <w:szCs w:val="84"/>
        </w:rPr>
      </w:pPr>
    </w:p>
    <w:p>
      <w:pPr>
        <w:jc w:val="center"/>
        <w:rPr>
          <w:rFonts w:ascii="黑体" w:hAnsi="黑体" w:eastAsia="黑体"/>
          <w:b/>
          <w:sz w:val="30"/>
          <w:szCs w:val="30"/>
        </w:rPr>
      </w:pPr>
    </w:p>
    <w:p>
      <w:pPr>
        <w:jc w:val="center"/>
        <w:rPr>
          <w:rFonts w:ascii="黑体" w:hAnsi="黑体" w:eastAsia="黑体"/>
          <w:b/>
          <w:sz w:val="30"/>
          <w:szCs w:val="30"/>
        </w:rPr>
      </w:pPr>
    </w:p>
    <w:p>
      <w:pPr>
        <w:rPr>
          <w:rFonts w:ascii="黑体" w:hAnsi="黑体" w:eastAsia="黑体"/>
          <w:sz w:val="30"/>
          <w:szCs w:val="30"/>
        </w:rPr>
      </w:pPr>
      <w:r>
        <w:rPr>
          <w:rFonts w:hint="eastAsia" w:ascii="黑体" w:hAnsi="黑体" w:eastAsia="黑体"/>
          <w:sz w:val="30"/>
          <w:szCs w:val="30"/>
        </w:rPr>
        <w:t>服务事项</w:t>
      </w:r>
      <w:r>
        <w:rPr>
          <w:rFonts w:ascii="黑体" w:hAnsi="黑体" w:eastAsia="黑体"/>
          <w:sz w:val="30"/>
          <w:szCs w:val="30"/>
        </w:rPr>
        <w:t>:</w:t>
      </w:r>
      <w:r>
        <w:t xml:space="preserve"> </w:t>
      </w:r>
      <w:r>
        <w:rPr>
          <w:rFonts w:hint="eastAsia" w:ascii="黑体" w:hAnsi="黑体" w:eastAsia="黑体"/>
          <w:sz w:val="30"/>
          <w:szCs w:val="30"/>
        </w:rPr>
        <w:t>保障性住房退出管理核准</w:t>
      </w:r>
    </w:p>
    <w:p>
      <w:pPr>
        <w:rPr>
          <w:rFonts w:ascii="黑体" w:hAnsi="黑体" w:eastAsia="黑体"/>
          <w:sz w:val="30"/>
          <w:szCs w:val="30"/>
        </w:rPr>
      </w:pPr>
      <w:r>
        <w:rPr>
          <w:rFonts w:hint="eastAsia" w:ascii="黑体" w:hAnsi="黑体" w:eastAsia="黑体"/>
          <w:sz w:val="30"/>
          <w:szCs w:val="30"/>
        </w:rPr>
        <w:t>服务窗口：北厅二楼</w:t>
      </w:r>
      <w:r>
        <w:rPr>
          <w:rFonts w:ascii="黑体" w:hAnsi="黑体" w:eastAsia="黑体"/>
          <w:sz w:val="30"/>
          <w:szCs w:val="30"/>
        </w:rPr>
        <w:t>80</w:t>
      </w:r>
      <w:r>
        <w:rPr>
          <w:rFonts w:hint="eastAsia" w:ascii="黑体" w:hAnsi="黑体" w:eastAsia="黑体"/>
          <w:sz w:val="30"/>
          <w:szCs w:val="30"/>
        </w:rPr>
        <w:t>号住建局窗口</w:t>
      </w:r>
    </w:p>
    <w:p>
      <w:pPr>
        <w:rPr>
          <w:rFonts w:ascii="黑体" w:hAnsi="黑体" w:eastAsia="黑体"/>
          <w:sz w:val="30"/>
          <w:szCs w:val="30"/>
        </w:rPr>
      </w:pPr>
      <w:r>
        <w:rPr>
          <w:rFonts w:hint="eastAsia" w:ascii="黑体" w:hAnsi="黑体" w:eastAsia="黑体"/>
          <w:sz w:val="30"/>
          <w:szCs w:val="30"/>
        </w:rPr>
        <w:t>联系电话：</w:t>
      </w:r>
      <w:r>
        <w:rPr>
          <w:rFonts w:ascii="黑体" w:hAnsi="黑体" w:eastAsia="黑体"/>
          <w:sz w:val="30"/>
          <w:szCs w:val="30"/>
        </w:rPr>
        <w:t>0557-2379037</w:t>
      </w:r>
    </w:p>
    <w:p>
      <w:pPr>
        <w:rPr>
          <w:rFonts w:ascii="黑体" w:hAnsi="黑体" w:eastAsia="黑体"/>
          <w:sz w:val="30"/>
          <w:szCs w:val="30"/>
        </w:rPr>
      </w:pP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设定依据</w:t>
      </w:r>
    </w:p>
    <w:p>
      <w:pPr>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《公共租赁住房管理办法》（</w:t>
      </w:r>
      <w:r>
        <w:rPr>
          <w:rFonts w:ascii="黑体" w:hAnsi="黑体" w:eastAsia="黑体"/>
          <w:sz w:val="24"/>
          <w:szCs w:val="24"/>
        </w:rPr>
        <w:t>2012</w:t>
      </w:r>
      <w:r>
        <w:rPr>
          <w:rFonts w:hint="eastAsia" w:ascii="黑体" w:hAnsi="黑体" w:eastAsia="黑体"/>
          <w:sz w:val="24"/>
          <w:szCs w:val="24"/>
        </w:rPr>
        <w:t>年</w:t>
      </w:r>
      <w:r>
        <w:rPr>
          <w:rFonts w:ascii="黑体" w:hAnsi="黑体" w:eastAsia="黑体"/>
          <w:sz w:val="24"/>
          <w:szCs w:val="24"/>
        </w:rPr>
        <w:t>5</w:t>
      </w:r>
      <w:r>
        <w:rPr>
          <w:rFonts w:hint="eastAsia" w:ascii="黑体" w:hAnsi="黑体" w:eastAsia="黑体"/>
          <w:sz w:val="24"/>
          <w:szCs w:val="24"/>
        </w:rPr>
        <w:t>月</w:t>
      </w:r>
      <w:r>
        <w:rPr>
          <w:rFonts w:ascii="黑体" w:hAnsi="黑体" w:eastAsia="黑体"/>
          <w:sz w:val="24"/>
          <w:szCs w:val="24"/>
        </w:rPr>
        <w:t>28</w:t>
      </w:r>
      <w:r>
        <w:rPr>
          <w:rFonts w:hint="eastAsia" w:ascii="黑体" w:hAnsi="黑体" w:eastAsia="黑体"/>
          <w:sz w:val="24"/>
          <w:szCs w:val="24"/>
        </w:rPr>
        <w:t>日住房和城乡建设部令第</w:t>
      </w:r>
      <w:r>
        <w:rPr>
          <w:rFonts w:ascii="黑体" w:hAnsi="黑体" w:eastAsia="黑体"/>
          <w:sz w:val="24"/>
          <w:szCs w:val="24"/>
        </w:rPr>
        <w:t>11</w:t>
      </w:r>
      <w:r>
        <w:rPr>
          <w:rFonts w:hint="eastAsia" w:ascii="黑体" w:hAnsi="黑体" w:eastAsia="黑体"/>
          <w:sz w:val="24"/>
          <w:szCs w:val="24"/>
        </w:rPr>
        <w:t>号）第九条：市、县级人民政府住房保障主管部门应当会同有关部门，对申请人提交的申请材料进行审核。第二十八条：市、县级人民政府住房保障主管部门应当加强对公共租赁住房使用的监督检查。公共租赁住房的所有权人及其委托的运营单位应当对承租人使用公共租赁住房的情况进行巡查，发现有违反本办法规定行为的，应当及时依法处理或者向有关部门报告。</w:t>
      </w:r>
      <w:r>
        <w:rPr>
          <w:rFonts w:ascii="黑体" w:hAnsi="黑体" w:eastAsia="黑体"/>
          <w:sz w:val="24"/>
          <w:szCs w:val="24"/>
        </w:rPr>
        <w:t>2.</w:t>
      </w:r>
      <w:r>
        <w:rPr>
          <w:rFonts w:hint="eastAsia" w:ascii="黑体" w:hAnsi="黑体" w:eastAsia="黑体"/>
          <w:sz w:val="24"/>
          <w:szCs w:val="24"/>
        </w:rPr>
        <w:t>《安徽省保障性住房建设和管理办法（试行）》（</w:t>
      </w:r>
      <w:r>
        <w:rPr>
          <w:rFonts w:ascii="黑体" w:hAnsi="黑体" w:eastAsia="黑体"/>
          <w:sz w:val="24"/>
          <w:szCs w:val="24"/>
        </w:rPr>
        <w:t>2013</w:t>
      </w:r>
      <w:r>
        <w:rPr>
          <w:rFonts w:hint="eastAsia" w:ascii="黑体" w:hAnsi="黑体" w:eastAsia="黑体"/>
          <w:sz w:val="24"/>
          <w:szCs w:val="24"/>
        </w:rPr>
        <w:t>安徽省政府令</w:t>
      </w:r>
      <w:r>
        <w:rPr>
          <w:rFonts w:ascii="黑体" w:hAnsi="黑体" w:eastAsia="黑体"/>
          <w:sz w:val="24"/>
          <w:szCs w:val="24"/>
        </w:rPr>
        <w:t>248</w:t>
      </w:r>
      <w:r>
        <w:rPr>
          <w:rFonts w:hint="eastAsia" w:ascii="黑体" w:hAnsi="黑体" w:eastAsia="黑体"/>
          <w:sz w:val="24"/>
          <w:szCs w:val="24"/>
        </w:rPr>
        <w:t>号）第二十一条　经审核不符合条件的，审核单位应当退回申请，书面告知申请人，并说明理由。申请人有异议的，可以自收到书面告知之日起</w:t>
      </w:r>
      <w:r>
        <w:rPr>
          <w:rFonts w:ascii="黑体" w:hAnsi="黑体" w:eastAsia="黑体"/>
          <w:sz w:val="24"/>
          <w:szCs w:val="24"/>
        </w:rPr>
        <w:t>15</w:t>
      </w:r>
      <w:r>
        <w:rPr>
          <w:rFonts w:hint="eastAsia" w:ascii="黑体" w:hAnsi="黑体" w:eastAsia="黑体"/>
          <w:sz w:val="24"/>
          <w:szCs w:val="24"/>
        </w:rPr>
        <w:t>个工作日内，向审核单位申请复核。审核单位应当自收到复核申请之日起</w:t>
      </w:r>
      <w:r>
        <w:rPr>
          <w:rFonts w:ascii="黑体" w:hAnsi="黑体" w:eastAsia="黑体"/>
          <w:sz w:val="24"/>
          <w:szCs w:val="24"/>
        </w:rPr>
        <w:t>7</w:t>
      </w:r>
      <w:r>
        <w:rPr>
          <w:rFonts w:hint="eastAsia" w:ascii="黑体" w:hAnsi="黑体" w:eastAsia="黑体"/>
          <w:sz w:val="24"/>
          <w:szCs w:val="24"/>
        </w:rPr>
        <w:t>个工作日内进行复核并提出复核意见。经复核原审核意见错误的，应当改正，并书面告知申请人；经复核原审核意见正确的，应当将复核结果书面告知申请人。第二十二条　市、县（市、区）人民政府住房保障行政主管部门应当根据保障对象的住房困难、家庭人口、收入和财产状况，以及在本地居住或者稳定就业的年限、申请保障性住房的时间等因素综合评分，或者采取随机摇号等方式确定保障对象的分配顺序。分配结果在住房保障行政主管部门网站公开。第二十九条：承租人通过购买、继承、受赠等方式取得其他住房，不再符合保障条件的，应当在发生变化后的</w:t>
      </w:r>
      <w:r>
        <w:rPr>
          <w:rFonts w:ascii="黑体" w:hAnsi="黑体" w:eastAsia="黑体"/>
          <w:sz w:val="24"/>
          <w:szCs w:val="24"/>
        </w:rPr>
        <w:t>3</w:t>
      </w:r>
      <w:r>
        <w:rPr>
          <w:rFonts w:hint="eastAsia" w:ascii="黑体" w:hAnsi="黑体" w:eastAsia="黑体"/>
          <w:sz w:val="24"/>
          <w:szCs w:val="24"/>
        </w:rPr>
        <w:t>个月内，向运营机构提出解除合同，并按照合同约定腾退保障性住房；运营机构发现承租人不再符合条件的，应当与其解除合同，要求其按照合同约定腾退保障性住房。领取住房租赁补贴的保障对象经济状况改善，或者通过购买、继承、受赠等方式取得住房，不再符合保障条件的，应当终止发放住房租赁补贴。第三十三条：腾退、收回保障性住房的，应当为承租人或者承购人提供合理的搬迁期限。搬迁期满，承租人或者承购人无正当理由不搬迁的，运营机构可以依法向人民法院提起诉讼。</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办理流程</w:t>
      </w:r>
    </w:p>
    <w:p>
      <w:pPr>
        <w:pStyle w:val="10"/>
        <w:ind w:firstLine="3168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、受理：个人提出申请，灵璧县保障房管理服务中心受理。</w:t>
      </w:r>
    </w:p>
    <w:p>
      <w:pPr>
        <w:pStyle w:val="10"/>
        <w:ind w:firstLine="31680"/>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、审查：灵璧县保障房管理服务中心审查房屋合同及清算相关费用。</w:t>
      </w:r>
    </w:p>
    <w:p>
      <w:pPr>
        <w:pStyle w:val="10"/>
        <w:ind w:firstLine="31680"/>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、办结：房屋收回</w:t>
      </w:r>
      <w:r>
        <w:rPr>
          <w:rFonts w:ascii="黑体" w:hAnsi="黑体" w:eastAsia="黑体"/>
          <w:sz w:val="24"/>
          <w:szCs w:val="24"/>
        </w:rPr>
        <w:tab/>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受理条件</w:t>
      </w:r>
    </w:p>
    <w:p>
      <w:pPr>
        <w:pStyle w:val="10"/>
        <w:ind w:left="720" w:firstLine="0" w:firstLineChars="0"/>
        <w:rPr>
          <w:rFonts w:ascii="黑体" w:hAnsi="黑体" w:eastAsia="黑体"/>
          <w:sz w:val="24"/>
          <w:szCs w:val="24"/>
        </w:rPr>
      </w:pPr>
      <w:r>
        <w:rPr>
          <w:rFonts w:hint="eastAsia" w:ascii="黑体" w:hAnsi="黑体" w:eastAsia="黑体"/>
          <w:sz w:val="24"/>
          <w:szCs w:val="24"/>
        </w:rPr>
        <w:t>承租人不再符合保障条件的或承租人有下列行为之一的：（一）隐瞒、虚报或者伪造住房、人口、收入、财产状况，不符合承租条件的；（二）转租、出借保障性住房的；（三）无正当理由连续</w:t>
      </w:r>
      <w:r>
        <w:rPr>
          <w:rFonts w:ascii="黑体" w:hAnsi="黑体" w:eastAsia="黑体"/>
          <w:sz w:val="24"/>
          <w:szCs w:val="24"/>
        </w:rPr>
        <w:t>6</w:t>
      </w:r>
      <w:r>
        <w:rPr>
          <w:rFonts w:hint="eastAsia" w:ascii="黑体" w:hAnsi="黑体" w:eastAsia="黑体"/>
          <w:sz w:val="24"/>
          <w:szCs w:val="24"/>
        </w:rPr>
        <w:t>个月以上未在保障性住房居住的；（四）无正当理由累计</w:t>
      </w:r>
      <w:r>
        <w:rPr>
          <w:rFonts w:ascii="黑体" w:hAnsi="黑体" w:eastAsia="黑体"/>
          <w:sz w:val="24"/>
          <w:szCs w:val="24"/>
        </w:rPr>
        <w:t>6</w:t>
      </w:r>
      <w:r>
        <w:rPr>
          <w:rFonts w:hint="eastAsia" w:ascii="黑体" w:hAnsi="黑体" w:eastAsia="黑体"/>
          <w:sz w:val="24"/>
          <w:szCs w:val="24"/>
        </w:rPr>
        <w:t>个月以上未缴纳租金的；（五）损毁、破坏保障性住房拒不恢复原状，或者擅自改变房屋用途和结构的；（六）保障性住房租赁合同约定的其他情形。</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申请材料</w:t>
      </w:r>
    </w:p>
    <w:p>
      <w:pPr>
        <w:pStyle w:val="10"/>
        <w:ind w:firstLine="31680"/>
        <w:rPr>
          <w:rFonts w:ascii="黑体" w:hAnsi="黑体" w:eastAsia="黑体"/>
          <w:sz w:val="24"/>
          <w:szCs w:val="24"/>
        </w:rPr>
      </w:pPr>
      <w:r>
        <w:rPr>
          <w:rFonts w:hint="eastAsia" w:ascii="黑体" w:hAnsi="黑体" w:eastAsia="黑体"/>
          <w:sz w:val="24"/>
          <w:szCs w:val="24"/>
        </w:rPr>
        <w:t>保障性住房腾退申请报告</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办理时间</w:t>
      </w:r>
    </w:p>
    <w:p>
      <w:pPr>
        <w:pStyle w:val="10"/>
        <w:ind w:firstLine="31680"/>
        <w:rPr>
          <w:rFonts w:ascii="黑体" w:hAnsi="黑体" w:eastAsia="黑体"/>
          <w:sz w:val="24"/>
          <w:szCs w:val="24"/>
        </w:rPr>
      </w:pPr>
      <w:r>
        <w:rPr>
          <w:rFonts w:ascii="黑体" w:hAnsi="黑体" w:eastAsia="黑体"/>
          <w:sz w:val="30"/>
          <w:szCs w:val="30"/>
        </w:rPr>
        <w:tab/>
      </w:r>
      <w:r>
        <w:rPr>
          <w:rFonts w:hint="eastAsia" w:ascii="黑体" w:hAnsi="黑体" w:eastAsia="黑体"/>
          <w:sz w:val="24"/>
          <w:szCs w:val="24"/>
        </w:rPr>
        <w:t>工作日上午</w:t>
      </w:r>
      <w:r>
        <w:rPr>
          <w:rFonts w:ascii="黑体" w:hAnsi="黑体" w:eastAsia="黑体"/>
          <w:sz w:val="24"/>
          <w:szCs w:val="24"/>
        </w:rPr>
        <w:t>8</w:t>
      </w:r>
      <w:r>
        <w:rPr>
          <w:rFonts w:hint="eastAsia" w:ascii="黑体" w:hAnsi="黑体" w:eastAsia="黑体"/>
          <w:sz w:val="24"/>
          <w:szCs w:val="24"/>
        </w:rPr>
        <w:t>：</w:t>
      </w:r>
      <w:r>
        <w:rPr>
          <w:rFonts w:ascii="黑体" w:hAnsi="黑体" w:eastAsia="黑体"/>
          <w:sz w:val="24"/>
          <w:szCs w:val="24"/>
        </w:rPr>
        <w:t>00-11;30,</w:t>
      </w:r>
      <w:r>
        <w:rPr>
          <w:rFonts w:hint="eastAsia" w:ascii="黑体" w:hAnsi="黑体" w:eastAsia="黑体"/>
          <w:sz w:val="24"/>
          <w:szCs w:val="24"/>
        </w:rPr>
        <w:t>下午</w:t>
      </w:r>
      <w:r>
        <w:rPr>
          <w:rFonts w:ascii="黑体" w:hAnsi="黑体" w:eastAsia="黑体"/>
          <w:sz w:val="24"/>
          <w:szCs w:val="24"/>
        </w:rPr>
        <w:t>14</w:t>
      </w:r>
      <w:r>
        <w:rPr>
          <w:rFonts w:hint="eastAsia" w:ascii="黑体" w:hAnsi="黑体" w:eastAsia="黑体"/>
          <w:sz w:val="24"/>
          <w:szCs w:val="24"/>
        </w:rPr>
        <w:t>：</w:t>
      </w:r>
      <w:r>
        <w:rPr>
          <w:rFonts w:ascii="黑体" w:hAnsi="黑体" w:eastAsia="黑体"/>
          <w:sz w:val="24"/>
          <w:szCs w:val="24"/>
        </w:rPr>
        <w:t>30-17;30</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承诺办结时间：</w:t>
      </w:r>
    </w:p>
    <w:p>
      <w:pPr>
        <w:pStyle w:val="10"/>
        <w:ind w:firstLine="720" w:firstLineChars="30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个工作日</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业务环节及办理时限</w:t>
      </w:r>
    </w:p>
    <w:tbl>
      <w:tblPr>
        <w:tblStyle w:val="5"/>
        <w:tblW w:w="7898" w:type="dxa"/>
        <w:tblInd w:w="93" w:type="dxa"/>
        <w:tblLayout w:type="fixed"/>
        <w:tblCellMar>
          <w:top w:w="0" w:type="dxa"/>
          <w:left w:w="108" w:type="dxa"/>
          <w:bottom w:w="0" w:type="dxa"/>
          <w:right w:w="108" w:type="dxa"/>
        </w:tblCellMar>
      </w:tblPr>
      <w:tblGrid>
        <w:gridCol w:w="4723"/>
        <w:gridCol w:w="3175"/>
      </w:tblGrid>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受理</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0.5</w:t>
            </w:r>
            <w:r>
              <w:rPr>
                <w:rFonts w:hint="eastAsia" w:ascii="黑体" w:hAnsi="黑体" w:eastAsia="黑体"/>
                <w:sz w:val="24"/>
                <w:szCs w:val="24"/>
              </w:rPr>
              <w:t>天</w:t>
            </w:r>
          </w:p>
        </w:tc>
      </w:tr>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办结</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0.5</w:t>
            </w:r>
            <w:r>
              <w:rPr>
                <w:rFonts w:hint="eastAsia" w:ascii="黑体" w:hAnsi="黑体" w:eastAsia="黑体"/>
                <w:sz w:val="24"/>
                <w:szCs w:val="24"/>
              </w:rPr>
              <w:t>天</w:t>
            </w:r>
          </w:p>
        </w:tc>
      </w:tr>
    </w:tbl>
    <w:p>
      <w:pPr>
        <w:pStyle w:val="10"/>
        <w:numPr>
          <w:ilvl w:val="0"/>
          <w:numId w:val="1"/>
        </w:numPr>
        <w:ind w:firstLineChars="0"/>
        <w:rPr>
          <w:rFonts w:ascii="黑体" w:hAnsi="黑体" w:eastAsia="黑体"/>
          <w:sz w:val="30"/>
          <w:szCs w:val="30"/>
        </w:rPr>
      </w:pPr>
      <w:r>
        <w:rPr>
          <w:rFonts w:hint="eastAsia" w:ascii="黑体" w:hAnsi="黑体" w:eastAsia="黑体"/>
          <w:sz w:val="30"/>
          <w:szCs w:val="30"/>
        </w:rPr>
        <w:t>收费标准及依据</w:t>
      </w:r>
    </w:p>
    <w:p>
      <w:pPr>
        <w:pStyle w:val="10"/>
        <w:ind w:left="720" w:firstLine="0" w:firstLineChars="0"/>
        <w:rPr>
          <w:rFonts w:ascii="黑体" w:hAnsi="黑体" w:eastAsia="黑体"/>
          <w:sz w:val="30"/>
          <w:szCs w:val="30"/>
        </w:rPr>
      </w:pPr>
      <w:r>
        <w:rPr>
          <w:rFonts w:hint="eastAsia" w:ascii="黑体" w:hAnsi="黑体" w:eastAsia="黑体"/>
          <w:sz w:val="30"/>
          <w:szCs w:val="30"/>
        </w:rPr>
        <w:t>收费标准及依据：此项目不收费</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窗口电话：</w:t>
      </w:r>
      <w:r>
        <w:rPr>
          <w:rFonts w:ascii="黑体" w:hAnsi="黑体" w:eastAsia="黑体"/>
          <w:sz w:val="30"/>
          <w:szCs w:val="30"/>
        </w:rPr>
        <w:t>0557-2379037</w:t>
      </w:r>
      <w:r>
        <w:rPr>
          <w:rFonts w:ascii="黑体" w:hAnsi="黑体" w:eastAsia="黑体"/>
          <w:sz w:val="30"/>
          <w:szCs w:val="30"/>
        </w:rPr>
        <w:tab/>
      </w:r>
      <w:r>
        <w:rPr>
          <w:rFonts w:ascii="黑体" w:hAnsi="黑体" w:eastAsia="黑体"/>
          <w:sz w:val="30"/>
          <w:szCs w:val="30"/>
        </w:rPr>
        <w:t xml:space="preserve">  </w:t>
      </w:r>
      <w:r>
        <w:rPr>
          <w:rFonts w:hint="eastAsia" w:ascii="黑体" w:hAnsi="黑体" w:eastAsia="黑体"/>
          <w:sz w:val="30"/>
          <w:szCs w:val="30"/>
        </w:rPr>
        <w:t>监督电话：</w:t>
      </w:r>
      <w:r>
        <w:rPr>
          <w:rFonts w:ascii="黑体" w:hAnsi="黑体" w:eastAsia="黑体"/>
          <w:sz w:val="30"/>
          <w:szCs w:val="30"/>
        </w:rPr>
        <w:t>0557-2379110</w:t>
      </w:r>
      <w:r>
        <w:rPr>
          <w:rFonts w:ascii="黑体" w:hAnsi="黑体" w:eastAsia="黑体"/>
          <w:sz w:val="30"/>
          <w:szCs w:val="30"/>
        </w:rPr>
        <w:tab/>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jc w:val="center"/>
        <w:rPr>
          <w:rFonts w:ascii="黑体" w:hAnsi="黑体" w:eastAsia="黑体"/>
          <w:sz w:val="30"/>
          <w:szCs w:val="30"/>
        </w:rPr>
      </w:pPr>
      <w:r>
        <w:rPr>
          <w:rFonts w:ascii="黑体" w:hAnsi="黑体" w:eastAsia="黑体"/>
          <w:sz w:val="30"/>
          <w:szCs w:val="30"/>
        </w:rPr>
        <w:drawing>
          <wp:inline distT="0" distB="0" distL="114300" distR="114300">
            <wp:extent cx="1371600" cy="1400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71600" cy="1400175"/>
                    </a:xfrm>
                    <a:prstGeom prst="rect">
                      <a:avLst/>
                    </a:prstGeom>
                    <a:noFill/>
                    <a:ln>
                      <a:noFill/>
                    </a:ln>
                  </pic:spPr>
                </pic:pic>
              </a:graphicData>
            </a:graphic>
          </wp:inline>
        </w:drawing>
      </w:r>
    </w:p>
    <w:p>
      <w:pPr>
        <w:jc w:val="center"/>
        <w:rPr>
          <w:rFonts w:ascii="黑体" w:hAnsi="黑体" w:eastAsia="黑体"/>
          <w:color w:val="FF0000"/>
          <w:sz w:val="24"/>
          <w:szCs w:val="24"/>
        </w:rPr>
      </w:pPr>
      <w:r>
        <w:rPr>
          <w:rFonts w:hint="eastAsia" w:ascii="黑体" w:hAnsi="黑体" w:eastAsia="黑体"/>
          <w:color w:val="FF0000"/>
          <w:sz w:val="24"/>
          <w:szCs w:val="24"/>
        </w:rPr>
        <w:t>一门进</w:t>
      </w:r>
      <w:r>
        <w:rPr>
          <w:rFonts w:ascii="黑体" w:hAnsi="黑体" w:eastAsia="黑体"/>
          <w:color w:val="FF0000"/>
          <w:sz w:val="24"/>
          <w:szCs w:val="24"/>
        </w:rPr>
        <w:t xml:space="preserve">   </w:t>
      </w:r>
      <w:r>
        <w:rPr>
          <w:rFonts w:hint="eastAsia" w:ascii="黑体" w:hAnsi="黑体" w:eastAsia="黑体"/>
          <w:color w:val="FF0000"/>
          <w:sz w:val="24"/>
          <w:szCs w:val="24"/>
        </w:rPr>
        <w:t>一费清</w:t>
      </w:r>
      <w:r>
        <w:rPr>
          <w:rFonts w:ascii="黑体" w:hAnsi="黑体" w:eastAsia="黑体"/>
          <w:color w:val="FF0000"/>
          <w:sz w:val="24"/>
          <w:szCs w:val="24"/>
        </w:rPr>
        <w:t xml:space="preserve">  </w:t>
      </w:r>
      <w:r>
        <w:rPr>
          <w:rFonts w:hint="eastAsia" w:ascii="黑体" w:hAnsi="黑体" w:eastAsia="黑体"/>
          <w:color w:val="FF0000"/>
          <w:sz w:val="24"/>
          <w:szCs w:val="24"/>
        </w:rPr>
        <w:t>一章结</w:t>
      </w:r>
      <w:r>
        <w:rPr>
          <w:rFonts w:ascii="黑体" w:hAnsi="黑体" w:eastAsia="黑体"/>
          <w:color w:val="FF0000"/>
          <w:sz w:val="24"/>
          <w:szCs w:val="24"/>
        </w:rPr>
        <w:t xml:space="preserve">   </w:t>
      </w:r>
      <w:r>
        <w:rPr>
          <w:rFonts w:hint="eastAsia" w:ascii="黑体" w:hAnsi="黑体" w:eastAsia="黑体"/>
          <w:color w:val="FF0000"/>
          <w:sz w:val="24"/>
          <w:szCs w:val="24"/>
        </w:rPr>
        <w:t>一人包</w:t>
      </w:r>
      <w:r>
        <w:rPr>
          <w:rFonts w:ascii="黑体" w:hAnsi="黑体" w:eastAsia="黑体"/>
          <w:color w:val="FF0000"/>
          <w:sz w:val="24"/>
          <w:szCs w:val="24"/>
        </w:rPr>
        <w:t xml:space="preserve"> </w:t>
      </w:r>
    </w:p>
    <w:p>
      <w:pPr>
        <w:jc w:val="center"/>
        <w:rPr>
          <w:rFonts w:ascii="黑体" w:hAnsi="黑体" w:eastAsia="黑体"/>
          <w:color w:val="FF0000"/>
          <w:sz w:val="24"/>
          <w:szCs w:val="24"/>
        </w:rPr>
      </w:pPr>
      <w:r>
        <w:rPr>
          <w:rFonts w:hint="eastAsia" w:ascii="黑体" w:hAnsi="黑体" w:eastAsia="黑体"/>
          <w:color w:val="FF0000"/>
          <w:sz w:val="24"/>
          <w:szCs w:val="24"/>
        </w:rPr>
        <w:t>一窗口受理</w:t>
      </w:r>
      <w:r>
        <w:rPr>
          <w:rFonts w:ascii="黑体" w:hAnsi="黑体" w:eastAsia="黑体"/>
          <w:color w:val="FF0000"/>
          <w:sz w:val="24"/>
          <w:szCs w:val="24"/>
        </w:rPr>
        <w:t xml:space="preserve"> </w:t>
      </w:r>
      <w:r>
        <w:rPr>
          <w:rFonts w:hint="eastAsia" w:ascii="黑体" w:hAnsi="黑体" w:eastAsia="黑体"/>
          <w:color w:val="FF0000"/>
          <w:sz w:val="24"/>
          <w:szCs w:val="24"/>
        </w:rPr>
        <w:t>一站式审批</w:t>
      </w:r>
      <w:r>
        <w:rPr>
          <w:rFonts w:ascii="黑体" w:hAnsi="黑体" w:eastAsia="黑体"/>
          <w:color w:val="FF0000"/>
          <w:sz w:val="24"/>
          <w:szCs w:val="24"/>
        </w:rPr>
        <w:t xml:space="preserve"> </w:t>
      </w:r>
      <w:r>
        <w:rPr>
          <w:rFonts w:hint="eastAsia" w:ascii="黑体" w:hAnsi="黑体" w:eastAsia="黑体"/>
          <w:color w:val="FF0000"/>
          <w:sz w:val="24"/>
          <w:szCs w:val="24"/>
        </w:rPr>
        <w:t>一次性告知</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spacing w:line="400" w:lineRule="exact"/>
        <w:jc w:val="left"/>
        <w:rPr>
          <w:rFonts w:ascii="黑体" w:hAnsi="黑体" w:eastAsia="黑体"/>
          <w:sz w:val="36"/>
          <w:szCs w:val="36"/>
        </w:rPr>
      </w:pPr>
      <w:r>
        <w:rPr>
          <w:rFonts w:hint="eastAsia" w:ascii="黑体" w:hAnsi="黑体" w:eastAsia="黑体"/>
          <w:sz w:val="36"/>
          <w:szCs w:val="36"/>
        </w:rPr>
        <w:t>灵璧县政务服务中心</w:t>
      </w:r>
    </w:p>
    <w:p>
      <w:pPr>
        <w:spacing w:line="400" w:lineRule="exact"/>
        <w:jc w:val="left"/>
        <w:rPr>
          <w:rFonts w:ascii="黑体" w:hAnsi="黑体" w:eastAsia="黑体"/>
          <w:sz w:val="28"/>
          <w:szCs w:val="28"/>
        </w:rPr>
      </w:pPr>
      <w:r>
        <w:rPr>
          <w:rFonts w:hint="eastAsia" w:ascii="黑体" w:hAnsi="黑体" w:eastAsia="黑体"/>
          <w:sz w:val="28"/>
          <w:szCs w:val="28"/>
        </w:rPr>
        <w:t>地址：灵璧县虞姬大道与汴河路交汇处</w:t>
      </w:r>
    </w:p>
    <w:p>
      <w:pPr>
        <w:spacing w:line="400" w:lineRule="exact"/>
        <w:jc w:val="left"/>
        <w:rPr>
          <w:rFonts w:ascii="黑体" w:hAnsi="黑体" w:eastAsia="黑体"/>
          <w:sz w:val="28"/>
          <w:szCs w:val="28"/>
        </w:rPr>
      </w:pPr>
      <w:r>
        <w:rPr>
          <w:rFonts w:hint="eastAsia" w:ascii="黑体" w:hAnsi="黑体" w:eastAsia="黑体"/>
          <w:sz w:val="28"/>
          <w:szCs w:val="28"/>
        </w:rPr>
        <w:t>中心服务热线：</w:t>
      </w:r>
      <w:r>
        <w:rPr>
          <w:rFonts w:ascii="黑体" w:hAnsi="黑体" w:eastAsia="黑体"/>
          <w:sz w:val="28"/>
          <w:szCs w:val="28"/>
        </w:rPr>
        <w:t>0557-2379004</w:t>
      </w:r>
    </w:p>
    <w:p>
      <w:pPr>
        <w:spacing w:line="400" w:lineRule="exact"/>
        <w:jc w:val="left"/>
        <w:rPr>
          <w:rFonts w:ascii="黑体" w:hAnsi="黑体" w:eastAsia="黑体"/>
          <w:sz w:val="28"/>
          <w:szCs w:val="28"/>
        </w:rPr>
      </w:pPr>
      <w:r>
        <w:rPr>
          <w:rFonts w:hint="eastAsia" w:ascii="黑体" w:hAnsi="黑体" w:eastAsia="黑体"/>
          <w:sz w:val="28"/>
          <w:szCs w:val="28"/>
        </w:rPr>
        <w:t>监督投诉电话：</w:t>
      </w:r>
      <w:r>
        <w:rPr>
          <w:rFonts w:ascii="黑体" w:hAnsi="黑体" w:eastAsia="黑体"/>
          <w:sz w:val="28"/>
          <w:szCs w:val="28"/>
        </w:rPr>
        <w:t>0557-2379110</w:t>
      </w:r>
    </w:p>
    <w:p>
      <w:pPr>
        <w:spacing w:line="400" w:lineRule="exact"/>
        <w:jc w:val="left"/>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E38C9"/>
    <w:multiLevelType w:val="multilevel"/>
    <w:tmpl w:val="51BE38C9"/>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C2"/>
    <w:rsid w:val="000317E2"/>
    <w:rsid w:val="00080115"/>
    <w:rsid w:val="0015458E"/>
    <w:rsid w:val="00156A9B"/>
    <w:rsid w:val="00287B35"/>
    <w:rsid w:val="003145F0"/>
    <w:rsid w:val="00317CD5"/>
    <w:rsid w:val="003B4C33"/>
    <w:rsid w:val="003E7148"/>
    <w:rsid w:val="004B236B"/>
    <w:rsid w:val="00502030"/>
    <w:rsid w:val="00521374"/>
    <w:rsid w:val="00543952"/>
    <w:rsid w:val="005C65C0"/>
    <w:rsid w:val="006E5BD5"/>
    <w:rsid w:val="006F2FFA"/>
    <w:rsid w:val="00741E69"/>
    <w:rsid w:val="00742401"/>
    <w:rsid w:val="00745B07"/>
    <w:rsid w:val="00776B65"/>
    <w:rsid w:val="008921FB"/>
    <w:rsid w:val="00A04F92"/>
    <w:rsid w:val="00B66287"/>
    <w:rsid w:val="00BC3261"/>
    <w:rsid w:val="00BE10C2"/>
    <w:rsid w:val="00DE3EC1"/>
    <w:rsid w:val="00E673B5"/>
    <w:rsid w:val="00EC43AD"/>
    <w:rsid w:val="00F03F4D"/>
    <w:rsid w:val="00FE7E8F"/>
    <w:rsid w:val="36A44659"/>
    <w:rsid w:val="5ABD3991"/>
    <w:rsid w:val="64A56D7C"/>
    <w:rsid w:val="74E90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Header Char"/>
    <w:basedOn w:val="6"/>
    <w:link w:val="4"/>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221</Words>
  <Characters>1261</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2018-08-24T01:03:00Z</dcterms:created>
  <dc:creator>gcc</dc:creator>
  <cp:lastModifiedBy>@医生</cp:lastModifiedBy>
  <dcterms:modified xsi:type="dcterms:W3CDTF">2022-02-09T08:14:43Z</dcterms:modified>
  <dc:title>灵璧县政务服务中心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376BAA512B78447DBDB5F6F890E89C48</vt:lpwstr>
  </property>
</Properties>
</file>