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outlineLvl w:val="9"/>
        <w:rPr>
          <w:rFonts w:hint="eastAsia" w:ascii="宋体" w:hAnsi="宋体" w:eastAsia="宋体" w:cs="宋体"/>
          <w:b/>
          <w:bCs/>
          <w:i w:val="0"/>
          <w:caps w:val="0"/>
          <w:color w:val="auto"/>
          <w:spacing w:val="0"/>
          <w:sz w:val="44"/>
          <w:szCs w:val="44"/>
        </w:rPr>
      </w:pPr>
      <w:bookmarkStart w:id="0" w:name="_GoBack"/>
      <w:r>
        <w:rPr>
          <w:rFonts w:hint="eastAsia" w:ascii="宋体" w:hAnsi="宋体" w:eastAsia="宋体" w:cs="宋体"/>
          <w:b/>
          <w:bCs/>
          <w:i w:val="0"/>
          <w:caps w:val="0"/>
          <w:color w:val="auto"/>
          <w:spacing w:val="0"/>
          <w:sz w:val="44"/>
          <w:szCs w:val="44"/>
          <w:u w:val="none"/>
          <w:lang w:val="en-US" w:eastAsia="zh-CN"/>
        </w:rPr>
        <w:t>灵璧县</w:t>
      </w:r>
      <w:r>
        <w:rPr>
          <w:rFonts w:hint="eastAsia" w:ascii="宋体" w:hAnsi="宋体" w:eastAsia="宋体" w:cs="宋体"/>
          <w:b/>
          <w:bCs/>
          <w:i w:val="0"/>
          <w:caps w:val="0"/>
          <w:color w:val="auto"/>
          <w:spacing w:val="0"/>
          <w:sz w:val="44"/>
          <w:szCs w:val="44"/>
        </w:rPr>
        <w:t>打击非法医疗美容服务专项整治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宋体" w:hAnsi="宋体" w:eastAsia="宋体" w:cs="宋体"/>
          <w:b/>
          <w:bCs/>
          <w:i w:val="0"/>
          <w:caps w:val="0"/>
          <w:color w:val="auto"/>
          <w:spacing w:val="0"/>
          <w:sz w:val="44"/>
          <w:szCs w:val="44"/>
        </w:rPr>
        <w:t>工作方案</w:t>
      </w:r>
      <w:r>
        <w:rPr>
          <w:rFonts w:hint="eastAsia" w:ascii="方正小标宋简体" w:hAnsi="方正小标宋简体" w:eastAsia="方正小标宋简体" w:cs="方正小标宋简体"/>
          <w:i w:val="0"/>
          <w:caps w:val="0"/>
          <w:color w:val="auto"/>
          <w:spacing w:val="0"/>
          <w:sz w:val="44"/>
          <w:szCs w:val="44"/>
          <w:lang w:eastAsia="zh-CN"/>
        </w:rPr>
        <w:t>（</w:t>
      </w:r>
      <w:r>
        <w:rPr>
          <w:rFonts w:hint="eastAsia" w:ascii="方正小标宋简体" w:hAnsi="方正小标宋简体" w:eastAsia="方正小标宋简体" w:cs="方正小标宋简体"/>
          <w:i w:val="0"/>
          <w:caps w:val="0"/>
          <w:color w:val="auto"/>
          <w:spacing w:val="0"/>
          <w:sz w:val="44"/>
          <w:szCs w:val="44"/>
          <w:lang w:val="en-US" w:eastAsia="zh-CN"/>
        </w:rPr>
        <w:t>征求意见稿</w:t>
      </w:r>
      <w:r>
        <w:rPr>
          <w:rFonts w:hint="eastAsia" w:ascii="方正小标宋简体" w:hAnsi="方正小标宋简体" w:eastAsia="方正小标宋简体" w:cs="方正小标宋简体"/>
          <w:i w:val="0"/>
          <w:caps w:val="0"/>
          <w:color w:val="auto"/>
          <w:spacing w:val="0"/>
          <w:sz w:val="44"/>
          <w:szCs w:val="44"/>
          <w:lang w:eastAsia="zh-CN"/>
        </w:rPr>
        <w:t>）</w:t>
      </w:r>
    </w:p>
    <w:bookmarkEnd w:id="0"/>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仿宋_GB2312" w:cs="黑体"/>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为进一步维护消费者合法权益，保障群众身体健康和生命安全，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i w:val="0"/>
          <w:caps w:val="0"/>
          <w:color w:val="auto"/>
          <w:spacing w:val="0"/>
          <w:sz w:val="32"/>
          <w:szCs w:val="32"/>
          <w:u w:val="none"/>
          <w:lang w:val="en-US" w:eastAsia="zh-CN"/>
        </w:rPr>
        <w:t>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网信办、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邮政局定于2021年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范围内开展打击非法医疗美容服务专项整治工作</w:t>
      </w:r>
      <w:r>
        <w:rPr>
          <w:rFonts w:hint="eastAsia" w:ascii="仿宋_GB2312" w:hAnsi="仿宋_GB2312" w:eastAsia="仿宋_GB2312" w:cs="仿宋_GB2312"/>
          <w:sz w:val="32"/>
          <w:szCs w:val="32"/>
          <w:lang w:eastAsia="zh-CN"/>
        </w:rPr>
        <w:t>，特制定本方案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黑体" w:eastAsia="黑体" w:cs="黑体"/>
          <w:sz w:val="32"/>
          <w:szCs w:val="32"/>
        </w:rPr>
      </w:pPr>
      <w:r>
        <w:rPr>
          <w:rFonts w:hint="eastAsia" w:ascii="黑体" w:eastAsia="黑体" w:cs="黑体"/>
          <w:sz w:val="32"/>
          <w:szCs w:val="32"/>
        </w:rPr>
        <w:t>一、工作目标</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通过开展多部门联合专项整治，进一步提高</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机构（含中医</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下同）依法执业意识，强化医疗服务质量和安全管理，防范医疗纠纷和安全风险，严厉打击非法医疗美容活动。严格规范医疗美容服务相关药品和医疗器械流通和使用监管，严厉打击经营和使用不符合国家规定的药品、器械等行为。依法规范医疗美容服务信息和医疗广告行为，严厉打击虚假医疗美容类广告、信息以及不正当竞争行为。以查办案件为抓手，查处并曝光一批违法机构，惩戒和震慑一批不法分子。完善系统治理、依法治理、综合治理、源头治理的工作机制，切实维护消费者合法权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黑体" w:eastAsia="黑体" w:cs="黑体"/>
          <w:sz w:val="32"/>
          <w:szCs w:val="32"/>
        </w:rPr>
      </w:pPr>
      <w:r>
        <w:rPr>
          <w:rFonts w:hint="eastAsia" w:ascii="黑体" w:eastAsia="黑体" w:cs="黑体"/>
          <w:sz w:val="32"/>
          <w:szCs w:val="32"/>
        </w:rPr>
        <w:t>二、工作任务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（一）严厉打击非法开展医疗美容相关活动的行为。</w:t>
      </w:r>
      <w:r>
        <w:rPr>
          <w:rFonts w:hint="eastAsia" w:ascii="仿宋_GB2312" w:hAnsi="仿宋_GB2312" w:eastAsia="仿宋_GB2312" w:cs="仿宋_GB2312"/>
          <w:sz w:val="32"/>
          <w:szCs w:val="32"/>
        </w:rPr>
        <w:t>医疗美容活动涉及人民群众身体健康和生命安全，必须依法取得医疗机构执业许可证才能开展执业活动。任何单位和个人，不具备法定条件，不得开展医疗美容服务，不得违法采购、使用医疗美容类药品和医疗器械，不得</w:t>
      </w:r>
      <w:r>
        <w:rPr>
          <w:rFonts w:hint="eastAsia" w:ascii="仿宋_GB2312" w:hAnsi="仿宋_GB2312" w:eastAsia="仿宋_GB2312" w:cs="仿宋_GB2312"/>
          <w:sz w:val="32"/>
          <w:szCs w:val="32"/>
          <w:lang w:val="en-US" w:eastAsia="zh-CN"/>
        </w:rPr>
        <w:t>未经审查擅自</w:t>
      </w:r>
      <w:r>
        <w:rPr>
          <w:rFonts w:hint="eastAsia" w:ascii="仿宋_GB2312" w:hAnsi="仿宋_GB2312" w:eastAsia="仿宋_GB2312" w:cs="仿宋_GB2312"/>
          <w:sz w:val="32"/>
          <w:szCs w:val="32"/>
        </w:rPr>
        <w:t>发布医疗广告或变相发布广告。重点加强生活美容服务机构监管，查处生活美容服务机构及其他机构和个人未取得相应资质开展医疗美容服务，以及医师到非医疗机构开展医疗美容服务的行为。重视投诉举报线索，鼓励有奖举报，严肃查处利用宾馆酒店、会所、居民楼违法开展医疗美容行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（二）严格规范医疗美容服务行为。</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对本机构依法执业承担主体责任，其法定代表人或主要负责人是第一责任人。医疗机构应当建立并落实依法执业自查工作制度，加强投诉管理，排查执业风险，消除安全隐患。机构要加强医疗美容项目管理，认真落实医疗质量核心制度，规范医疗技术临床应用管理。严禁机构聘用非卫生人员、超范围开展诊疗活动，严禁“以次充好”，使用不符合国家规定的药品、医疗器械和消毒器械；严禁发布虚假医疗广告以及服务资讯类信息；严禁违规分解手术项目；严禁</w:t>
      </w:r>
      <w:r>
        <w:rPr>
          <w:rFonts w:hint="eastAsia" w:ascii="仿宋_GB2312" w:hAnsi="仿宋_GB2312" w:eastAsia="仿宋_GB2312" w:cs="仿宋_GB2312"/>
          <w:color w:val="auto"/>
          <w:sz w:val="32"/>
          <w:szCs w:val="32"/>
        </w:rPr>
        <w:t>价格欺诈</w:t>
      </w:r>
      <w:r>
        <w:rPr>
          <w:rFonts w:hint="eastAsia" w:ascii="仿宋_GB2312" w:hAnsi="仿宋_GB2312" w:eastAsia="仿宋_GB2312" w:cs="仿宋_GB2312"/>
          <w:sz w:val="32"/>
          <w:szCs w:val="32"/>
        </w:rPr>
        <w:t>，以及不按规定项目名称和标准收费。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 w:hAnsi="仿宋" w:eastAsia="仿宋" w:cs="仿宋"/>
          <w:color w:val="auto"/>
          <w:sz w:val="32"/>
          <w:szCs w:val="32"/>
        </w:rPr>
      </w:pPr>
      <w:r>
        <w:rPr>
          <w:rFonts w:hint="eastAsia" w:ascii="楷体_GB2312" w:eastAsia="楷体_GB2312" w:cs="黑体"/>
          <w:b/>
          <w:bCs/>
          <w:sz w:val="32"/>
          <w:szCs w:val="32"/>
        </w:rPr>
        <w:t>（三）严厉打击非法制售药品医疗器械行为</w:t>
      </w:r>
      <w:r>
        <w:rPr>
          <w:rFonts w:hint="eastAsia" w:ascii="仿宋_GB2312" w:hAnsi="仿宋_GB2312" w:eastAsia="仿宋_GB2312" w:cs="仿宋_GB2312"/>
          <w:b/>
          <w:bCs/>
          <w:sz w:val="32"/>
          <w:szCs w:val="32"/>
        </w:rPr>
        <w:t>。</w:t>
      </w:r>
      <w:r>
        <w:rPr>
          <w:rFonts w:hint="eastAsia" w:ascii="仿宋" w:hAnsi="仿宋" w:eastAsia="仿宋" w:cs="仿宋"/>
          <w:color w:val="auto"/>
          <w:sz w:val="32"/>
          <w:szCs w:val="32"/>
        </w:rPr>
        <w:t>加强药品、医疗器械经营</w:t>
      </w:r>
      <w:r>
        <w:rPr>
          <w:rFonts w:hint="eastAsia" w:ascii="仿宋" w:hAnsi="仿宋" w:eastAsia="仿宋" w:cs="仿宋"/>
          <w:color w:val="auto"/>
          <w:sz w:val="32"/>
          <w:szCs w:val="32"/>
          <w:lang w:eastAsia="zh-CN"/>
        </w:rPr>
        <w:t>企业的监督检查，</w:t>
      </w:r>
      <w:r>
        <w:rPr>
          <w:rFonts w:hint="eastAsia" w:ascii="仿宋" w:hAnsi="仿宋" w:eastAsia="仿宋" w:cs="仿宋"/>
          <w:color w:val="auto"/>
          <w:kern w:val="0"/>
          <w:sz w:val="32"/>
          <w:szCs w:val="32"/>
          <w:lang w:val="en-US" w:eastAsia="zh-CN" w:bidi="ar"/>
        </w:rPr>
        <w:t>严厉查处“无证”经营、经营“无证产品”、向无合法资质的医疗美容机构销售药械等违法违规行为。</w:t>
      </w:r>
      <w:r>
        <w:rPr>
          <w:rFonts w:hint="eastAsia" w:ascii="仿宋" w:hAnsi="仿宋" w:eastAsia="仿宋" w:cs="仿宋"/>
          <w:color w:val="auto"/>
          <w:sz w:val="32"/>
          <w:szCs w:val="32"/>
        </w:rPr>
        <w:t>美容医疗机构应当向有生产经营资质的企业购买药品、医疗器械，落实进货查验制度，按照适应证依法合理使用医疗器械，严格医疗用毒性药品和麻醉用药品使用</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（四）严肃查处违法广告和互联网信息。</w:t>
      </w:r>
      <w:r>
        <w:rPr>
          <w:rFonts w:hint="eastAsia" w:ascii="仿宋_GB2312" w:hAnsi="仿宋_GB2312" w:eastAsia="仿宋_GB2312" w:cs="仿宋_GB2312"/>
          <w:sz w:val="32"/>
          <w:szCs w:val="32"/>
        </w:rPr>
        <w:t>医疗美容广告属于医疗广告，非医疗机构不得发布医疗广告。</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发布医疗广告，严格按照《广告法》和《医疗广告管理办法》规定，依法取得《医疗广告审查证明》并按规定发布医疗广告；未经依法审查取得批准，严禁发布医疗广告，或以新闻形式、医疗资讯服务专题（栏）、健康科普等形式变相发布医疗广告、虚假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黑体" w:eastAsia="黑体" w:cs="黑体"/>
          <w:sz w:val="32"/>
          <w:szCs w:val="32"/>
        </w:rPr>
      </w:pPr>
      <w:r>
        <w:rPr>
          <w:rFonts w:hint="eastAsia" w:ascii="黑体" w:eastAsia="黑体" w:cs="黑体"/>
          <w:sz w:val="32"/>
          <w:szCs w:val="32"/>
        </w:rPr>
        <w:t>三、职责分工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（一）</w:t>
      </w:r>
      <w:r>
        <w:rPr>
          <w:rFonts w:hint="eastAsia" w:ascii="楷体_GB2312" w:eastAsia="楷体_GB2312" w:cs="黑体"/>
          <w:b/>
          <w:bCs/>
          <w:sz w:val="32"/>
          <w:szCs w:val="32"/>
          <w:lang w:val="en-US" w:eastAsia="zh-CN"/>
        </w:rPr>
        <w:t>县卫健委</w:t>
      </w:r>
      <w:r>
        <w:rPr>
          <w:rFonts w:hint="eastAsia" w:ascii="楷体_GB2312" w:eastAsia="楷体_GB2312" w:cs="黑体"/>
          <w:b/>
          <w:bCs/>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卫生健康委负责牵头开展专项整治工作，组织协调专项整治各成员单位相关工作。</w:t>
      </w:r>
      <w:r>
        <w:rPr>
          <w:rFonts w:hint="eastAsia" w:ascii="仿宋_GB2312" w:hAnsi="仿宋_GB2312" w:eastAsia="仿宋_GB2312" w:cs="仿宋_GB2312"/>
          <w:sz w:val="32"/>
          <w:szCs w:val="32"/>
          <w:lang w:val="en-US" w:eastAsia="zh-CN"/>
        </w:rPr>
        <w:t>县卫健委</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县卫生监督所</w:t>
      </w:r>
      <w:r>
        <w:rPr>
          <w:rFonts w:hint="eastAsia" w:ascii="仿宋_GB2312" w:hAnsi="仿宋_GB2312" w:eastAsia="仿宋_GB2312" w:cs="仿宋_GB2312"/>
          <w:sz w:val="32"/>
          <w:szCs w:val="32"/>
        </w:rPr>
        <w:t>要结合《关于印发医疗机构依法执业自查管理办法的通知》（国卫监督发〔2020〕18号）《关于进一步加强医疗美容综合监管执法工作的通知》（</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卫监督</w:t>
      </w:r>
      <w:r>
        <w:rPr>
          <w:rFonts w:hint="eastAsia" w:ascii="仿宋_GB2312" w:hAnsi="仿宋_GB2312" w:eastAsia="仿宋_GB2312" w:cs="仿宋_GB2312"/>
          <w:sz w:val="32"/>
          <w:szCs w:val="32"/>
          <w:lang w:eastAsia="zh-CN"/>
        </w:rPr>
        <w:t>秘</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关于印发宿州市打击非法医疗美容服务专项整治工作方案的通知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宿卫监督[2021]5号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开展医疗机构依法执业监督检查，加强</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机构和医务人员综合监管，规范医疗美容服务，防范医疗纠纷和安全风险，严厉打击无证行医行为。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cs="黑体"/>
          <w:sz w:val="32"/>
          <w:szCs w:val="32"/>
        </w:rPr>
      </w:pPr>
      <w:r>
        <w:rPr>
          <w:rFonts w:hint="eastAsia" w:ascii="楷体_GB2312" w:eastAsia="楷体_GB2312" w:cs="黑体"/>
          <w:b/>
          <w:bCs/>
          <w:sz w:val="32"/>
          <w:szCs w:val="32"/>
        </w:rPr>
        <w:t>（</w:t>
      </w:r>
      <w:r>
        <w:rPr>
          <w:rFonts w:ascii="楷体_GB2312" w:eastAsia="楷体_GB2312" w:cs="黑体"/>
          <w:b/>
          <w:bCs/>
          <w:sz w:val="32"/>
          <w:szCs w:val="32"/>
        </w:rPr>
        <w:t>二</w:t>
      </w:r>
      <w:r>
        <w:rPr>
          <w:rFonts w:hint="eastAsia" w:ascii="楷体_GB2312" w:eastAsia="楷体_GB2312" w:cs="黑体"/>
          <w:b/>
          <w:bCs/>
          <w:sz w:val="32"/>
          <w:szCs w:val="32"/>
        </w:rPr>
        <w:t>）</w:t>
      </w:r>
      <w:r>
        <w:rPr>
          <w:rFonts w:hint="eastAsia" w:ascii="楷体_GB2312" w:eastAsia="楷体_GB2312" w:cs="黑体"/>
          <w:b/>
          <w:bCs/>
          <w:sz w:val="32"/>
          <w:szCs w:val="32"/>
          <w:lang w:val="en-US" w:eastAsia="zh-CN"/>
        </w:rPr>
        <w:t>县</w:t>
      </w:r>
      <w:r>
        <w:rPr>
          <w:rFonts w:hint="eastAsia" w:ascii="楷体_GB2312" w:eastAsia="楷体_GB2312" w:cs="黑体"/>
          <w:b/>
          <w:bCs/>
          <w:sz w:val="32"/>
          <w:szCs w:val="32"/>
        </w:rPr>
        <w:t>网信</w:t>
      </w:r>
      <w:r>
        <w:rPr>
          <w:rFonts w:hint="eastAsia" w:ascii="楷体_GB2312" w:eastAsia="楷体_GB2312" w:cs="黑体"/>
          <w:b/>
          <w:bCs/>
          <w:sz w:val="32"/>
          <w:szCs w:val="32"/>
          <w:lang w:val="en-US" w:eastAsia="zh-CN"/>
        </w:rPr>
        <w:t>办</w:t>
      </w:r>
      <w:r>
        <w:rPr>
          <w:rFonts w:hint="eastAsia" w:ascii="楷体_GB2312" w:eastAsia="楷体_GB2312" w:cs="黑体"/>
          <w:b/>
          <w:bCs/>
          <w:sz w:val="32"/>
          <w:szCs w:val="32"/>
        </w:rPr>
        <w:t>。</w:t>
      </w:r>
      <w:r>
        <w:rPr>
          <w:rFonts w:hint="eastAsia" w:ascii="仿宋_GB2312" w:hAnsi="仿宋_GB2312" w:eastAsia="仿宋_GB2312" w:cs="仿宋_GB2312"/>
          <w:sz w:val="32"/>
          <w:szCs w:val="32"/>
        </w:rPr>
        <w:t>依法处置相关部门认定的互联网医疗美容相关不良信息，查处违法违规网站。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color w:val="auto"/>
          <w:sz w:val="32"/>
          <w:szCs w:val="32"/>
        </w:rPr>
      </w:pPr>
      <w:r>
        <w:rPr>
          <w:rFonts w:hint="eastAsia" w:ascii="楷体_GB2312" w:eastAsia="楷体_GB2312" w:cs="黑体"/>
          <w:b/>
          <w:bCs/>
          <w:sz w:val="32"/>
          <w:szCs w:val="32"/>
        </w:rPr>
        <w:t>（</w:t>
      </w:r>
      <w:r>
        <w:rPr>
          <w:rFonts w:ascii="楷体_GB2312" w:eastAsia="楷体_GB2312" w:cs="黑体"/>
          <w:b/>
          <w:bCs/>
          <w:sz w:val="32"/>
          <w:szCs w:val="32"/>
        </w:rPr>
        <w:t>三</w:t>
      </w:r>
      <w:r>
        <w:rPr>
          <w:rFonts w:hint="eastAsia" w:ascii="楷体_GB2312" w:eastAsia="楷体_GB2312" w:cs="黑体"/>
          <w:b/>
          <w:bCs/>
          <w:sz w:val="32"/>
          <w:szCs w:val="32"/>
        </w:rPr>
        <w:t>）</w:t>
      </w:r>
      <w:r>
        <w:rPr>
          <w:rFonts w:hint="eastAsia" w:ascii="楷体_GB2312" w:eastAsia="楷体_GB2312" w:cs="黑体"/>
          <w:b/>
          <w:bCs/>
          <w:sz w:val="32"/>
          <w:szCs w:val="32"/>
          <w:lang w:val="en-US" w:eastAsia="zh-CN"/>
        </w:rPr>
        <w:t>县</w:t>
      </w:r>
      <w:r>
        <w:rPr>
          <w:rFonts w:hint="eastAsia" w:ascii="楷体_GB2312" w:eastAsia="楷体_GB2312" w:cs="黑体"/>
          <w:b/>
          <w:bCs/>
          <w:sz w:val="32"/>
          <w:szCs w:val="32"/>
        </w:rPr>
        <w:t>公安</w:t>
      </w:r>
      <w:r>
        <w:rPr>
          <w:rFonts w:hint="eastAsia" w:ascii="楷体_GB2312" w:eastAsia="楷体_GB2312" w:cs="黑体"/>
          <w:b/>
          <w:bCs/>
          <w:sz w:val="32"/>
          <w:szCs w:val="32"/>
          <w:lang w:val="en-US" w:eastAsia="zh-CN"/>
        </w:rPr>
        <w:t>局</w:t>
      </w:r>
      <w:r>
        <w:rPr>
          <w:rFonts w:hint="eastAsia" w:ascii="楷体_GB2312" w:eastAsia="楷体_GB2312" w:cs="黑体"/>
          <w:b/>
          <w:bCs/>
          <w:sz w:val="32"/>
          <w:szCs w:val="32"/>
        </w:rPr>
        <w:t>。</w:t>
      </w:r>
      <w:r>
        <w:rPr>
          <w:rFonts w:hint="eastAsia" w:ascii="仿宋_GB2312" w:hAnsi="仿宋_GB2312" w:eastAsia="仿宋_GB2312" w:cs="仿宋_GB2312"/>
          <w:color w:val="auto"/>
          <w:sz w:val="32"/>
          <w:szCs w:val="32"/>
        </w:rPr>
        <w:t>与相关部门密切配合，依法严厉打击医疗美容领域制假售假、非法经营、非法行医等犯罪行为。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方正仿宋_GBK" w:hAnsi="方正仿宋_GBK" w:eastAsia="方正仿宋_GBK" w:cs="方正仿宋_GBK"/>
          <w:sz w:val="32"/>
          <w:szCs w:val="32"/>
        </w:rPr>
      </w:pPr>
      <w:r>
        <w:rPr>
          <w:rFonts w:hint="eastAsia" w:ascii="楷体_GB2312" w:eastAsia="楷体_GB2312" w:cs="黑体"/>
          <w:b/>
          <w:bCs/>
          <w:sz w:val="32"/>
          <w:szCs w:val="32"/>
        </w:rPr>
        <w:t>（</w:t>
      </w:r>
      <w:r>
        <w:rPr>
          <w:rFonts w:ascii="楷体_GB2312" w:eastAsia="楷体_GB2312" w:cs="黑体"/>
          <w:b/>
          <w:bCs/>
          <w:sz w:val="32"/>
          <w:szCs w:val="32"/>
        </w:rPr>
        <w:t>四</w:t>
      </w:r>
      <w:r>
        <w:rPr>
          <w:rFonts w:hint="eastAsia" w:ascii="楷体_GB2312" w:eastAsia="楷体_GB2312" w:cs="黑体"/>
          <w:b/>
          <w:bCs/>
          <w:sz w:val="32"/>
          <w:szCs w:val="32"/>
        </w:rPr>
        <w:t>）</w:t>
      </w:r>
      <w:r>
        <w:rPr>
          <w:rFonts w:hint="eastAsia" w:ascii="楷体_GB2312" w:eastAsia="楷体_GB2312" w:cs="黑体"/>
          <w:b/>
          <w:bCs/>
          <w:sz w:val="32"/>
          <w:szCs w:val="32"/>
          <w:lang w:val="en-US" w:eastAsia="zh-CN"/>
        </w:rPr>
        <w:t>县</w:t>
      </w:r>
      <w:r>
        <w:rPr>
          <w:rFonts w:ascii="楷体_GB2312" w:eastAsia="楷体_GB2312" w:cs="黑体"/>
          <w:b/>
          <w:bCs/>
          <w:sz w:val="32"/>
          <w:szCs w:val="32"/>
        </w:rPr>
        <w:t>市场监督</w:t>
      </w:r>
      <w:r>
        <w:rPr>
          <w:rFonts w:hint="eastAsia" w:ascii="楷体_GB2312" w:eastAsia="楷体_GB2312" w:cs="黑体"/>
          <w:b/>
          <w:bCs/>
          <w:sz w:val="32"/>
          <w:szCs w:val="32"/>
        </w:rPr>
        <w:t>管理</w:t>
      </w:r>
      <w:r>
        <w:rPr>
          <w:rFonts w:hint="eastAsia" w:ascii="楷体_GB2312" w:eastAsia="楷体_GB2312" w:cs="黑体"/>
          <w:b/>
          <w:bCs/>
          <w:sz w:val="32"/>
          <w:szCs w:val="32"/>
          <w:lang w:val="en-US" w:eastAsia="zh-CN"/>
        </w:rPr>
        <w:t>局</w:t>
      </w:r>
      <w:r>
        <w:rPr>
          <w:rFonts w:hint="eastAsia" w:ascii="楷体_GB2312" w:eastAsia="楷体_GB2312" w:cs="黑体"/>
          <w:b/>
          <w:bCs/>
          <w:sz w:val="32"/>
          <w:szCs w:val="32"/>
        </w:rPr>
        <w:t>。</w:t>
      </w:r>
      <w:r>
        <w:rPr>
          <w:rFonts w:hint="eastAsia" w:ascii="仿宋" w:hAnsi="仿宋" w:eastAsia="仿宋" w:cs="仿宋"/>
          <w:sz w:val="32"/>
          <w:szCs w:val="32"/>
        </w:rPr>
        <w:t>对在日常监管中发现生活美容机构涉嫌未取得合法资质开展医疗美容服务的，及时通报</w:t>
      </w:r>
      <w:r>
        <w:rPr>
          <w:rFonts w:hint="eastAsia" w:ascii="仿宋" w:hAnsi="仿宋" w:eastAsia="仿宋" w:cs="仿宋"/>
          <w:sz w:val="32"/>
          <w:szCs w:val="32"/>
          <w:lang w:val="en-US" w:eastAsia="zh-CN"/>
        </w:rPr>
        <w:t>县</w:t>
      </w:r>
      <w:r>
        <w:rPr>
          <w:rFonts w:hint="eastAsia" w:ascii="仿宋" w:hAnsi="仿宋" w:eastAsia="仿宋" w:cs="仿宋"/>
          <w:sz w:val="32"/>
          <w:szCs w:val="32"/>
        </w:rPr>
        <w:t>卫健</w:t>
      </w:r>
      <w:r>
        <w:rPr>
          <w:rFonts w:hint="eastAsia" w:ascii="仿宋" w:hAnsi="仿宋" w:eastAsia="仿宋" w:cs="仿宋"/>
          <w:sz w:val="32"/>
          <w:szCs w:val="32"/>
          <w:lang w:val="en-US" w:eastAsia="zh-CN"/>
        </w:rPr>
        <w:t>委</w:t>
      </w:r>
      <w:r>
        <w:rPr>
          <w:rFonts w:hint="eastAsia" w:ascii="仿宋" w:hAnsi="仿宋" w:eastAsia="仿宋" w:cs="仿宋"/>
          <w:sz w:val="32"/>
          <w:szCs w:val="32"/>
        </w:rPr>
        <w:t>。加强对医疗美容行业价格违法行为和不正当竞争行为的监管。加强医疗美容广告监管，依法查处违法发布虚假医疗美容广告。依职责加强药品、医疗器械经营</w:t>
      </w:r>
      <w:r>
        <w:rPr>
          <w:rFonts w:hint="eastAsia" w:ascii="仿宋" w:hAnsi="仿宋" w:eastAsia="仿宋" w:cs="仿宋"/>
          <w:sz w:val="32"/>
          <w:szCs w:val="32"/>
          <w:lang w:eastAsia="zh-CN"/>
        </w:rPr>
        <w:t>使用单位</w:t>
      </w:r>
      <w:r>
        <w:rPr>
          <w:rFonts w:hint="eastAsia" w:ascii="仿宋" w:hAnsi="仿宋" w:eastAsia="仿宋" w:cs="仿宋"/>
          <w:sz w:val="32"/>
          <w:szCs w:val="32"/>
        </w:rPr>
        <w:t>的监督检查，依法查处不符合法定要求的药品、医疗器械。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ascii="楷体_GB2312" w:eastAsia="楷体_GB2312" w:cs="黑体"/>
          <w:b/>
          <w:bCs/>
          <w:sz w:val="32"/>
          <w:szCs w:val="32"/>
        </w:rPr>
        <w:t>（</w:t>
      </w:r>
      <w:r>
        <w:rPr>
          <w:rFonts w:hint="eastAsia" w:ascii="楷体_GB2312" w:eastAsia="楷体_GB2312" w:cs="黑体"/>
          <w:b/>
          <w:bCs/>
          <w:sz w:val="32"/>
          <w:szCs w:val="32"/>
          <w:lang w:val="en-US" w:eastAsia="zh-CN"/>
        </w:rPr>
        <w:t>五</w:t>
      </w:r>
      <w:r>
        <w:rPr>
          <w:rFonts w:ascii="楷体_GB2312" w:eastAsia="楷体_GB2312" w:cs="黑体"/>
          <w:b/>
          <w:bCs/>
          <w:sz w:val="32"/>
          <w:szCs w:val="32"/>
        </w:rPr>
        <w:t>）</w:t>
      </w:r>
      <w:r>
        <w:rPr>
          <w:rFonts w:hint="eastAsia" w:ascii="楷体_GB2312" w:eastAsia="楷体_GB2312" w:cs="黑体"/>
          <w:b/>
          <w:bCs/>
          <w:sz w:val="32"/>
          <w:szCs w:val="32"/>
          <w:lang w:val="en-US" w:eastAsia="zh-CN"/>
        </w:rPr>
        <w:t>县</w:t>
      </w:r>
      <w:r>
        <w:rPr>
          <w:rFonts w:ascii="楷体_GB2312" w:eastAsia="楷体_GB2312" w:cs="黑体"/>
          <w:b/>
          <w:bCs/>
          <w:color w:val="auto"/>
          <w:sz w:val="32"/>
          <w:szCs w:val="32"/>
        </w:rPr>
        <w:t>邮政</w:t>
      </w:r>
      <w:r>
        <w:rPr>
          <w:rFonts w:hint="eastAsia" w:ascii="楷体_GB2312" w:eastAsia="楷体_GB2312" w:cs="黑体"/>
          <w:b/>
          <w:bCs/>
          <w:color w:val="auto"/>
          <w:sz w:val="32"/>
          <w:szCs w:val="32"/>
          <w:lang w:val="en-US" w:eastAsia="zh-CN"/>
        </w:rPr>
        <w:t>局</w:t>
      </w:r>
      <w:r>
        <w:rPr>
          <w:rFonts w:hint="eastAsia" w:ascii="楷体_GB2312" w:eastAsia="楷体_GB2312" w:cs="黑体"/>
          <w:b/>
          <w:bCs/>
          <w:color w:val="auto"/>
          <w:sz w:val="32"/>
          <w:szCs w:val="32"/>
        </w:rPr>
        <w:t>。</w:t>
      </w:r>
      <w:r>
        <w:rPr>
          <w:rFonts w:hint="eastAsia" w:ascii="仿宋_GB2312" w:hAnsi="仿宋_GB2312" w:eastAsia="仿宋_GB2312" w:cs="仿宋_GB2312"/>
          <w:color w:val="auto"/>
          <w:sz w:val="32"/>
          <w:szCs w:val="32"/>
        </w:rPr>
        <w:t>督促寄递企业严格落实实名收寄、收寄验视、过机安检“三项制度”，配合相关部门加大对药品、医疗器械类物品查验力度，严防相关禁寄物品流入寄递渠道</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黑体" w:eastAsia="黑体" w:cs="黑体"/>
          <w:sz w:val="32"/>
          <w:szCs w:val="32"/>
        </w:rPr>
      </w:pPr>
      <w:r>
        <w:rPr>
          <w:rFonts w:hint="eastAsia" w:ascii="黑体" w:eastAsia="黑体" w:cs="黑体"/>
          <w:sz w:val="32"/>
          <w:szCs w:val="32"/>
        </w:rPr>
        <w:t>四、时间安排</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（一）集中行动阶段（20</w:t>
      </w:r>
      <w:r>
        <w:rPr>
          <w:rFonts w:ascii="楷体_GB2312" w:eastAsia="楷体_GB2312" w:cs="黑体"/>
          <w:b/>
          <w:bCs/>
          <w:sz w:val="32"/>
          <w:szCs w:val="32"/>
        </w:rPr>
        <w:t>21</w:t>
      </w:r>
      <w:r>
        <w:rPr>
          <w:rFonts w:hint="eastAsia" w:ascii="楷体_GB2312" w:eastAsia="楷体_GB2312" w:cs="黑体"/>
          <w:b/>
          <w:bCs/>
          <w:sz w:val="32"/>
          <w:szCs w:val="32"/>
        </w:rPr>
        <w:t>年</w:t>
      </w:r>
      <w:r>
        <w:rPr>
          <w:rFonts w:hint="eastAsia" w:ascii="楷体_GB2312" w:eastAsia="楷体_GB2312" w:cs="黑体"/>
          <w:b/>
          <w:bCs/>
          <w:sz w:val="32"/>
          <w:szCs w:val="32"/>
          <w:lang w:val="en-US" w:eastAsia="zh-CN"/>
        </w:rPr>
        <w:t>7</w:t>
      </w:r>
      <w:r>
        <w:rPr>
          <w:rFonts w:hint="eastAsia" w:ascii="楷体_GB2312" w:eastAsia="楷体_GB2312" w:cs="黑体"/>
          <w:b/>
          <w:bCs/>
          <w:sz w:val="32"/>
          <w:szCs w:val="32"/>
        </w:rPr>
        <w:t>月-</w:t>
      </w:r>
      <w:r>
        <w:rPr>
          <w:rFonts w:ascii="楷体_GB2312" w:eastAsia="楷体_GB2312" w:cs="黑体"/>
          <w:b/>
          <w:bCs/>
          <w:sz w:val="32"/>
          <w:szCs w:val="32"/>
        </w:rPr>
        <w:t>1</w:t>
      </w:r>
      <w:r>
        <w:rPr>
          <w:rFonts w:hint="eastAsia" w:ascii="楷体_GB2312" w:eastAsia="楷体_GB2312" w:cs="黑体"/>
          <w:b/>
          <w:bCs/>
          <w:sz w:val="32"/>
          <w:szCs w:val="32"/>
          <w:lang w:val="en-US" w:eastAsia="zh-CN"/>
        </w:rPr>
        <w:t>0</w:t>
      </w:r>
      <w:r>
        <w:rPr>
          <w:rFonts w:hint="eastAsia" w:ascii="楷体_GB2312" w:eastAsia="楷体_GB2312" w:cs="黑体"/>
          <w:b/>
          <w:bCs/>
          <w:sz w:val="32"/>
          <w:szCs w:val="32"/>
        </w:rPr>
        <w:t>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按照本方案内容</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专项行动</w:t>
      </w:r>
      <w:r>
        <w:rPr>
          <w:rFonts w:hint="eastAsia" w:ascii="仿宋_GB2312" w:hAnsi="仿宋_GB2312" w:eastAsia="仿宋_GB2312" w:cs="仿宋_GB2312"/>
          <w:sz w:val="32"/>
          <w:szCs w:val="32"/>
        </w:rPr>
        <w:t>，建立工作机制，集中开展</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工作。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w:t>
      </w:r>
      <w:r>
        <w:rPr>
          <w:rFonts w:ascii="楷体_GB2312" w:eastAsia="楷体_GB2312" w:cs="黑体"/>
          <w:b/>
          <w:bCs/>
          <w:sz w:val="32"/>
          <w:szCs w:val="32"/>
        </w:rPr>
        <w:t>二</w:t>
      </w:r>
      <w:r>
        <w:rPr>
          <w:rFonts w:hint="eastAsia" w:ascii="楷体_GB2312" w:eastAsia="楷体_GB2312" w:cs="黑体"/>
          <w:b/>
          <w:bCs/>
          <w:sz w:val="32"/>
          <w:szCs w:val="32"/>
        </w:rPr>
        <w:t>）总结巩固阶段（20</w:t>
      </w:r>
      <w:r>
        <w:rPr>
          <w:rFonts w:ascii="楷体_GB2312" w:eastAsia="楷体_GB2312" w:cs="黑体"/>
          <w:b/>
          <w:bCs/>
          <w:sz w:val="32"/>
          <w:szCs w:val="32"/>
        </w:rPr>
        <w:t>21</w:t>
      </w:r>
      <w:r>
        <w:rPr>
          <w:rFonts w:hint="eastAsia" w:ascii="楷体_GB2312" w:eastAsia="楷体_GB2312" w:cs="黑体"/>
          <w:b/>
          <w:bCs/>
          <w:sz w:val="32"/>
          <w:szCs w:val="32"/>
        </w:rPr>
        <w:t>年1</w:t>
      </w:r>
      <w:r>
        <w:rPr>
          <w:rFonts w:hint="eastAsia" w:ascii="楷体_GB2312" w:eastAsia="楷体_GB2312" w:cs="黑体"/>
          <w:b/>
          <w:bCs/>
          <w:sz w:val="32"/>
          <w:szCs w:val="32"/>
          <w:lang w:val="en-US" w:eastAsia="zh-CN"/>
        </w:rPr>
        <w:t>1</w:t>
      </w:r>
      <w:r>
        <w:rPr>
          <w:rFonts w:hint="eastAsia" w:ascii="楷体_GB2312" w:eastAsia="楷体_GB2312" w:cs="黑体"/>
          <w:b/>
          <w:bCs/>
          <w:sz w:val="32"/>
          <w:szCs w:val="32"/>
        </w:rPr>
        <w:t>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全面总结专项整治工作情况，</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卫生健康委负责汇总</w:t>
      </w:r>
      <w:r>
        <w:rPr>
          <w:rFonts w:hint="eastAsia" w:ascii="仿宋_GB2312" w:hAnsi="仿宋_GB2312" w:eastAsia="仿宋_GB2312" w:cs="仿宋_GB2312"/>
          <w:sz w:val="32"/>
          <w:szCs w:val="32"/>
        </w:rPr>
        <w:t>专项整治工作总结（包括专项整治工作开展情况、取得的成效、存在的问题和困难、下一步工作安排、长效机制建立运转情况以及汇总表）和典型案例。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黑体" w:eastAsia="黑体" w:cs="黑体"/>
          <w:sz w:val="32"/>
          <w:szCs w:val="32"/>
        </w:rPr>
      </w:pPr>
      <w:r>
        <w:rPr>
          <w:rFonts w:hint="eastAsia" w:ascii="黑体" w:eastAsia="黑体" w:cs="黑体"/>
          <w:sz w:val="32"/>
          <w:szCs w:val="32"/>
        </w:rPr>
        <w:t>五、工作要求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（一）高度重视，加强组织领导。</w:t>
      </w:r>
      <w:r>
        <w:rPr>
          <w:rFonts w:hint="eastAsia" w:ascii="仿宋_GB2312" w:hAnsi="仿宋_GB2312" w:eastAsia="仿宋_GB2312" w:cs="仿宋_GB2312"/>
          <w:sz w:val="32"/>
          <w:szCs w:val="32"/>
        </w:rPr>
        <w:t>医疗美容消费者众多，社会关注度高，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要高度重视，站在服务和保障民生的高度，以对人民群众健康高度负责的态度，准确把握专项整治重要意义，充分认识开展专项整治的重要性和紧迫性。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lang w:val="en-US" w:eastAsia="zh-CN"/>
        </w:rPr>
        <w:t>灵璧县</w:t>
      </w:r>
      <w:r>
        <w:rPr>
          <w:rFonts w:hint="eastAsia" w:ascii="仿宋_GB2312" w:hAnsi="仿宋_GB2312" w:eastAsia="仿宋_GB2312" w:cs="仿宋_GB2312"/>
          <w:sz w:val="32"/>
          <w:szCs w:val="32"/>
          <w:lang w:eastAsia="zh-CN"/>
        </w:rPr>
        <w:t>医疗卫生行业综合监管联席会议制度</w:t>
      </w:r>
      <w:r>
        <w:rPr>
          <w:rFonts w:hint="eastAsia" w:ascii="仿宋_GB2312" w:hAnsi="仿宋_GB2312" w:eastAsia="仿宋_GB2312" w:cs="仿宋_GB2312"/>
          <w:sz w:val="32"/>
          <w:szCs w:val="32"/>
        </w:rPr>
        <w:t>，定期召开</w:t>
      </w:r>
      <w:r>
        <w:rPr>
          <w:rFonts w:hint="eastAsia" w:ascii="仿宋_GB2312" w:hAnsi="仿宋_GB2312" w:eastAsia="仿宋_GB2312" w:cs="仿宋_GB2312"/>
          <w:sz w:val="32"/>
          <w:szCs w:val="32"/>
          <w:lang w:eastAsia="zh-CN"/>
        </w:rPr>
        <w:t>医疗美容专项整治</w:t>
      </w:r>
      <w:r>
        <w:rPr>
          <w:rFonts w:hint="eastAsia" w:ascii="仿宋_GB2312" w:hAnsi="仿宋_GB2312" w:eastAsia="仿宋_GB2312" w:cs="仿宋_GB2312"/>
          <w:sz w:val="32"/>
          <w:szCs w:val="32"/>
        </w:rPr>
        <w:t>联络员会议，沟通信息、通报进展、研究工作。切实加强组织领导，抓紧组织实施，扎实开展专项整治，确保各项工作任务落到实处。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楷体_GB2312" w:eastAsia="楷体_GB2312" w:cs="黑体"/>
          <w:b/>
          <w:bCs/>
          <w:sz w:val="32"/>
          <w:szCs w:val="32"/>
        </w:rPr>
        <w:t>（二）密切配合，形成监管合力。</w:t>
      </w:r>
      <w:r>
        <w:rPr>
          <w:rFonts w:hint="eastAsia" w:ascii="仿宋_GB2312" w:hAnsi="仿宋_GB2312" w:eastAsia="仿宋_GB2312" w:cs="仿宋_GB2312"/>
          <w:sz w:val="32"/>
          <w:szCs w:val="32"/>
        </w:rPr>
        <w:t>专项整治四项工作任务环环相扣，各有侧重，缺一不可，各有关部门要按照分工依法履职，相互协作，密切配合，形成工作合力。对于工作中发现涉及其他部门职责的案件线索，要及时通报相应部门。要严格落实行政执法与刑事司法衔接有关规定，对涉嫌犯罪的案件，各行政执法部门要及时移送公安机关，公安机关要及时受理，依法追究刑事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ascii="仿宋_GB2312" w:cs="黑体"/>
          <w:sz w:val="32"/>
          <w:szCs w:val="32"/>
        </w:rPr>
      </w:pPr>
      <w:r>
        <w:rPr>
          <w:rFonts w:hint="eastAsia" w:ascii="楷体_GB2312" w:eastAsia="楷体_GB2312" w:cs="仿宋_GB2312"/>
          <w:b/>
          <w:bCs/>
          <w:sz w:val="32"/>
          <w:szCs w:val="32"/>
        </w:rPr>
        <w:t>（三）强化宣传，正面舆论引导。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加强宣传，制作多种形式的宣传材料，利用传统媒体、新媒体等多渠道进行宣传，协调手机运营商推送公益广告，广泛开展科普宣传，发布警示信息，宣传专项整治进展，按月曝光辖区医疗美容执法案件或典型案例，揭示违法违规行为的危害和后果，提升消费者辨识能力，引导公众理性认知，倡导消费者自觉选择正规</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机构接受医疗美容服务。各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要通过设立举报电话等方式，畅通投诉举报渠道，对有关投诉举报及时核查，对核查属实的依法严肃处理，营造社会共治氛围。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eastAsia="楷体_GB2312" w:cs="仿宋_GB2312"/>
          <w:b/>
          <w:bCs/>
          <w:sz w:val="32"/>
          <w:szCs w:val="32"/>
        </w:rPr>
        <w:t>（</w:t>
      </w:r>
      <w:r>
        <w:rPr>
          <w:rFonts w:ascii="楷体_GB2312" w:eastAsia="楷体_GB2312" w:cs="仿宋_GB2312"/>
          <w:b/>
          <w:bCs/>
          <w:sz w:val="32"/>
          <w:szCs w:val="32"/>
        </w:rPr>
        <w:t>四</w:t>
      </w:r>
      <w:r>
        <w:rPr>
          <w:rFonts w:hint="eastAsia" w:ascii="楷体_GB2312" w:eastAsia="楷体_GB2312" w:cs="仿宋_GB2312"/>
          <w:b/>
          <w:bCs/>
          <w:sz w:val="32"/>
          <w:szCs w:val="32"/>
        </w:rPr>
        <w:t>）标本兼治，健全长效机制。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要进一步完善长效机制和管理制度，加强监管。通过专项整治，不断健全部门联合、区域协作、社会共治、打建并举的工作机制。各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对严重违法犯罪的机构或个人</w:t>
      </w:r>
      <w:r>
        <w:rPr>
          <w:rFonts w:hint="eastAsia" w:ascii="仿宋_GB2312" w:hAnsi="仿宋_GB2312" w:eastAsia="仿宋_GB2312" w:cs="仿宋_GB2312"/>
          <w:color w:val="auto"/>
          <w:sz w:val="32"/>
          <w:szCs w:val="32"/>
        </w:rPr>
        <w:t>依法依规</w:t>
      </w:r>
      <w:r>
        <w:rPr>
          <w:rFonts w:hint="eastAsia" w:ascii="仿宋_GB2312" w:hAnsi="仿宋_GB2312" w:eastAsia="仿宋_GB2312" w:cs="仿宋_GB2312"/>
          <w:sz w:val="32"/>
          <w:szCs w:val="32"/>
        </w:rPr>
        <w:t>建立“黑名单”，并纳入社会信用体系，实施联合惩戒。</w:t>
      </w:r>
      <w:r>
        <w:rPr>
          <w:rFonts w:hint="eastAsia" w:ascii="仿宋_GB2312" w:hAnsi="仿宋_GB2312" w:eastAsia="仿宋_GB2312" w:cs="仿宋_GB2312"/>
          <w:sz w:val="32"/>
          <w:szCs w:val="32"/>
          <w:lang w:eastAsia="zh-CN"/>
        </w:rPr>
        <w:t>医疗美容</w:t>
      </w:r>
      <w:r>
        <w:rPr>
          <w:rFonts w:hint="eastAsia" w:ascii="仿宋_GB2312" w:hAnsi="仿宋_GB2312" w:eastAsia="仿宋_GB2312" w:cs="仿宋_GB2312"/>
          <w:sz w:val="32"/>
          <w:szCs w:val="32"/>
        </w:rPr>
        <w:t>机构要认真落实主体责任，按照《医疗机构依法执业自查管理办法》对本机构及医务人员的依法执业情况定期开展自查，发现问题及时整改，并将自查和整改情况报告</w:t>
      </w:r>
      <w:r>
        <w:rPr>
          <w:rFonts w:hint="eastAsia" w:ascii="仿宋_GB2312" w:hAnsi="仿宋_GB2312" w:eastAsia="仿宋_GB2312" w:cs="仿宋_GB2312"/>
          <w:sz w:val="32"/>
          <w:szCs w:val="32"/>
          <w:lang w:val="en-US" w:eastAsia="zh-CN"/>
        </w:rPr>
        <w:t>县卫生监督所</w:t>
      </w:r>
      <w:r>
        <w:rPr>
          <w:rFonts w:hint="eastAsia" w:ascii="仿宋_GB2312" w:hAnsi="仿宋_GB2312" w:eastAsia="仿宋_GB2312" w:cs="仿宋_GB2312"/>
          <w:sz w:val="32"/>
          <w:szCs w:val="32"/>
        </w:rPr>
        <w:t xml:space="preserve">。要充分发挥行业协会的作用，加强行业自律，宣传相关知识，维护行业信誉，促进医疗美容服务行业规范健康发展。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县卫生健康委</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谢琳、周晨曦</w:t>
      </w:r>
      <w:r>
        <w:rPr>
          <w:rFonts w:hint="eastAsia" w:ascii="仿宋_GB2312" w:hAnsi="仿宋_GB2312" w:eastAsia="仿宋_GB2312" w:cs="仿宋_GB2312"/>
          <w:sz w:val="32"/>
          <w:szCs w:val="32"/>
          <w:lang w:eastAsia="zh-CN"/>
        </w:rPr>
        <w:t>，电话：0557-</w:t>
      </w:r>
      <w:r>
        <w:rPr>
          <w:rFonts w:hint="eastAsia" w:ascii="仿宋_GB2312" w:hAnsi="仿宋_GB2312" w:eastAsia="仿宋_GB2312" w:cs="仿宋_GB2312"/>
          <w:sz w:val="32"/>
          <w:szCs w:val="32"/>
          <w:lang w:val="en-US" w:eastAsia="zh-CN"/>
        </w:rPr>
        <w:t>6031779</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val="en-US" w:eastAsia="zh-CN"/>
        </w:rPr>
        <w:t>wjw2678</w:t>
      </w:r>
      <w:r>
        <w:rPr>
          <w:rFonts w:hint="eastAsia" w:ascii="仿宋_GB2312" w:hAnsi="仿宋_GB2312" w:eastAsia="仿宋_GB2312" w:cs="仿宋_GB2312"/>
          <w:sz w:val="32"/>
          <w:szCs w:val="32"/>
          <w:lang w:eastAsia="zh-CN"/>
        </w:rPr>
        <w:t>@163.com</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附件：1.医疗美容专项整治工作汇总表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1593" w:firstLineChars="4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2.典型案例报送模板</w:t>
      </w:r>
    </w:p>
    <w:p/>
    <w:p>
      <w:pPr>
        <w:spacing w:line="540" w:lineRule="exact"/>
        <w:rPr>
          <w:rFonts w:hint="eastAsia" w:ascii="黑体" w:hAnsi="宋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59" w:header="283" w:footer="283" w:gutter="0"/>
          <w:cols w:space="720" w:num="1"/>
          <w:rtlGutter w:val="0"/>
          <w:docGrid w:type="lines" w:linePitch="435" w:charSpace="0"/>
        </w:sectPr>
      </w:pPr>
    </w:p>
    <w:p>
      <w:pPr>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jc w:val="center"/>
        <w:rPr>
          <w:rFonts w:hint="eastAsia" w:ascii="宋体" w:hAnsi="宋体" w:eastAsia="宋体" w:cs="宋体"/>
          <w:b/>
          <w:sz w:val="44"/>
          <w:szCs w:val="44"/>
        </w:rPr>
      </w:pPr>
      <w:r>
        <w:rPr>
          <w:rFonts w:hint="eastAsia" w:ascii="宋体" w:hAnsi="宋体" w:eastAsia="宋体" w:cs="宋体"/>
          <w:b/>
          <w:sz w:val="44"/>
          <w:szCs w:val="44"/>
        </w:rPr>
        <w:t>医疗美容专项整治工作汇总表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 xml:space="preserve">   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810"/>
        <w:gridCol w:w="891"/>
        <w:gridCol w:w="750"/>
        <w:gridCol w:w="716"/>
        <w:gridCol w:w="783"/>
        <w:gridCol w:w="727"/>
        <w:gridCol w:w="770"/>
        <w:gridCol w:w="790"/>
        <w:gridCol w:w="1709"/>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726" w:type="dxa"/>
            <w:vMerge w:val="restart"/>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处理情况</w:t>
            </w:r>
          </w:p>
        </w:tc>
        <w:tc>
          <w:tcPr>
            <w:tcW w:w="3167" w:type="dxa"/>
            <w:gridSpan w:val="4"/>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非法医疗美容</w:t>
            </w:r>
          </w:p>
        </w:tc>
        <w:tc>
          <w:tcPr>
            <w:tcW w:w="3070" w:type="dxa"/>
            <w:gridSpan w:val="4"/>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非法制售使用</w:t>
            </w:r>
          </w:p>
          <w:p>
            <w:pPr>
              <w:snapToGrid w:val="0"/>
              <w:spacing w:line="320" w:lineRule="exact"/>
              <w:jc w:val="center"/>
              <w:rPr>
                <w:rFonts w:ascii="黑体" w:hAnsi="宋体" w:eastAsia="黑体"/>
                <w:sz w:val="24"/>
              </w:rPr>
            </w:pPr>
            <w:r>
              <w:rPr>
                <w:rFonts w:hint="eastAsia" w:ascii="黑体" w:hAnsi="宋体" w:eastAsia="黑体"/>
                <w:sz w:val="24"/>
              </w:rPr>
              <w:t>药品、医疗器械</w:t>
            </w:r>
          </w:p>
        </w:tc>
        <w:tc>
          <w:tcPr>
            <w:tcW w:w="1709" w:type="dxa"/>
            <w:vMerge w:val="restart"/>
            <w:noWrap w:val="0"/>
            <w:vAlign w:val="center"/>
          </w:tcPr>
          <w:p>
            <w:pPr>
              <w:snapToGrid w:val="0"/>
              <w:spacing w:line="320" w:lineRule="exact"/>
              <w:jc w:val="center"/>
              <w:rPr>
                <w:rFonts w:ascii="黑体" w:hAnsi="宋体" w:eastAsia="黑体"/>
                <w:color w:val="000000"/>
                <w:sz w:val="24"/>
              </w:rPr>
            </w:pPr>
            <w:r>
              <w:rPr>
                <w:rFonts w:hint="eastAsia" w:ascii="黑体" w:hAnsi="宋体" w:eastAsia="黑体"/>
                <w:color w:val="000000"/>
                <w:sz w:val="24"/>
              </w:rPr>
              <w:t>违法发布</w:t>
            </w:r>
          </w:p>
          <w:p>
            <w:pPr>
              <w:snapToGrid w:val="0"/>
              <w:spacing w:line="320" w:lineRule="exact"/>
              <w:jc w:val="center"/>
              <w:rPr>
                <w:rFonts w:ascii="黑体" w:hAnsi="宋体" w:eastAsia="黑体"/>
                <w:color w:val="000000"/>
                <w:sz w:val="24"/>
              </w:rPr>
            </w:pPr>
            <w:r>
              <w:rPr>
                <w:rFonts w:hint="eastAsia" w:ascii="黑体" w:hAnsi="宋体" w:eastAsia="黑体"/>
                <w:color w:val="000000"/>
                <w:sz w:val="24"/>
              </w:rPr>
              <w:t>医疗美容广告</w:t>
            </w:r>
          </w:p>
        </w:tc>
        <w:tc>
          <w:tcPr>
            <w:tcW w:w="1234" w:type="dxa"/>
            <w:vMerge w:val="restart"/>
            <w:noWrap w:val="0"/>
            <w:vAlign w:val="center"/>
          </w:tcPr>
          <w:p>
            <w:pPr>
              <w:snapToGrid w:val="0"/>
              <w:spacing w:line="320" w:lineRule="exact"/>
              <w:jc w:val="center"/>
              <w:rPr>
                <w:rFonts w:ascii="黑体" w:hAnsi="宋体" w:eastAsia="黑体"/>
                <w:color w:val="000000"/>
                <w:sz w:val="24"/>
              </w:rPr>
            </w:pPr>
            <w:r>
              <w:rPr>
                <w:rFonts w:hint="eastAsia" w:ascii="黑体" w:hAnsi="宋体" w:eastAsia="黑体"/>
                <w:color w:val="000000"/>
                <w:sz w:val="24"/>
              </w:rPr>
              <w:t>违规发布</w:t>
            </w:r>
          </w:p>
          <w:p>
            <w:pPr>
              <w:snapToGrid w:val="0"/>
              <w:spacing w:line="320" w:lineRule="exact"/>
              <w:jc w:val="center"/>
              <w:rPr>
                <w:rFonts w:ascii="黑体" w:hAnsi="宋体" w:eastAsia="黑体"/>
                <w:color w:val="000000"/>
                <w:sz w:val="24"/>
              </w:rPr>
            </w:pPr>
            <w:r>
              <w:rPr>
                <w:rFonts w:hint="eastAsia" w:ascii="黑体" w:hAnsi="宋体" w:eastAsia="黑体"/>
                <w:color w:val="000000"/>
                <w:sz w:val="24"/>
              </w:rPr>
              <w:t>互联网信息</w:t>
            </w:r>
          </w:p>
        </w:tc>
        <w:tc>
          <w:tcPr>
            <w:tcW w:w="1234" w:type="dxa"/>
            <w:vMerge w:val="restart"/>
            <w:noWrap w:val="0"/>
            <w:vAlign w:val="center"/>
          </w:tcPr>
          <w:p>
            <w:pPr>
              <w:snapToGrid w:val="0"/>
              <w:spacing w:line="320" w:lineRule="exact"/>
              <w:jc w:val="center"/>
              <w:rPr>
                <w:rFonts w:hint="eastAsia" w:ascii="黑体" w:hAnsi="宋体" w:eastAsia="黑体"/>
                <w:color w:val="000000"/>
                <w:sz w:val="24"/>
              </w:rPr>
            </w:pPr>
            <w:r>
              <w:rPr>
                <w:rFonts w:ascii="黑体" w:hAnsi="宋体" w:eastAsia="黑体"/>
                <w:color w:val="000000"/>
                <w:sz w:val="24"/>
              </w:rPr>
              <w:t>违规开展寄递业务信息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26" w:type="dxa"/>
            <w:vMerge w:val="continue"/>
            <w:noWrap w:val="0"/>
            <w:vAlign w:val="center"/>
          </w:tcPr>
          <w:p>
            <w:pPr>
              <w:snapToGrid w:val="0"/>
              <w:spacing w:line="320" w:lineRule="exact"/>
              <w:jc w:val="center"/>
              <w:rPr>
                <w:rFonts w:ascii="黑体" w:hAnsi="宋体" w:eastAsia="黑体"/>
                <w:sz w:val="24"/>
              </w:rPr>
            </w:pPr>
          </w:p>
        </w:tc>
        <w:tc>
          <w:tcPr>
            <w:tcW w:w="1701" w:type="dxa"/>
            <w:gridSpan w:val="2"/>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无证行医</w:t>
            </w:r>
          </w:p>
        </w:tc>
        <w:tc>
          <w:tcPr>
            <w:tcW w:w="1466" w:type="dxa"/>
            <w:gridSpan w:val="2"/>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医疗机构</w:t>
            </w:r>
          </w:p>
        </w:tc>
        <w:tc>
          <w:tcPr>
            <w:tcW w:w="1510" w:type="dxa"/>
            <w:gridSpan w:val="2"/>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药品</w:t>
            </w:r>
          </w:p>
        </w:tc>
        <w:tc>
          <w:tcPr>
            <w:tcW w:w="1560" w:type="dxa"/>
            <w:gridSpan w:val="2"/>
            <w:noWrap w:val="0"/>
            <w:vAlign w:val="center"/>
          </w:tcPr>
          <w:p>
            <w:pPr>
              <w:snapToGrid w:val="0"/>
              <w:spacing w:line="320" w:lineRule="exact"/>
              <w:jc w:val="center"/>
              <w:rPr>
                <w:rFonts w:ascii="黑体" w:hAnsi="宋体" w:eastAsia="黑体"/>
                <w:sz w:val="24"/>
              </w:rPr>
            </w:pPr>
            <w:r>
              <w:rPr>
                <w:rFonts w:hint="eastAsia" w:ascii="黑体" w:hAnsi="宋体" w:eastAsia="黑体"/>
                <w:sz w:val="24"/>
              </w:rPr>
              <w:t>医疗器械</w:t>
            </w:r>
          </w:p>
        </w:tc>
        <w:tc>
          <w:tcPr>
            <w:tcW w:w="1709" w:type="dxa"/>
            <w:vMerge w:val="continue"/>
            <w:noWrap w:val="0"/>
            <w:vAlign w:val="center"/>
          </w:tcPr>
          <w:p>
            <w:pPr>
              <w:snapToGrid w:val="0"/>
              <w:spacing w:line="320" w:lineRule="exact"/>
              <w:jc w:val="center"/>
              <w:rPr>
                <w:rFonts w:ascii="黑体" w:hAnsi="宋体" w:eastAsia="黑体"/>
                <w:sz w:val="24"/>
              </w:rPr>
            </w:pPr>
          </w:p>
        </w:tc>
        <w:tc>
          <w:tcPr>
            <w:tcW w:w="1234" w:type="dxa"/>
            <w:vMerge w:val="continue"/>
            <w:noWrap w:val="0"/>
            <w:vAlign w:val="center"/>
          </w:tcPr>
          <w:p>
            <w:pPr>
              <w:snapToGrid w:val="0"/>
              <w:spacing w:line="320" w:lineRule="exact"/>
              <w:jc w:val="center"/>
              <w:rPr>
                <w:rFonts w:ascii="黑体" w:hAnsi="宋体" w:eastAsia="黑体"/>
                <w:sz w:val="24"/>
              </w:rPr>
            </w:pPr>
          </w:p>
        </w:tc>
        <w:tc>
          <w:tcPr>
            <w:tcW w:w="1234" w:type="dxa"/>
            <w:vMerge w:val="continue"/>
            <w:noWrap w:val="0"/>
            <w:vAlign w:val="center"/>
          </w:tcPr>
          <w:p>
            <w:pPr>
              <w:snapToGrid w:val="0"/>
              <w:spacing w:line="320" w:lineRule="exact"/>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检查对象数</w:t>
            </w:r>
          </w:p>
        </w:tc>
        <w:tc>
          <w:tcPr>
            <w:tcW w:w="1701" w:type="dxa"/>
            <w:gridSpan w:val="2"/>
            <w:noWrap w:val="0"/>
            <w:vAlign w:val="center"/>
          </w:tcPr>
          <w:p>
            <w:pPr>
              <w:snapToGrid w:val="0"/>
              <w:spacing w:line="380" w:lineRule="exact"/>
              <w:jc w:val="center"/>
              <w:rPr>
                <w:rFonts w:hint="eastAsia" w:ascii="仿宋_GB2312" w:hAnsi="仿宋_GB2312" w:eastAsia="仿宋_GB2312" w:cs="仿宋_GB2312"/>
                <w:sz w:val="24"/>
              </w:rPr>
            </w:pPr>
          </w:p>
        </w:tc>
        <w:tc>
          <w:tcPr>
            <w:tcW w:w="1466" w:type="dxa"/>
            <w:gridSpan w:val="2"/>
            <w:noWrap w:val="0"/>
            <w:vAlign w:val="center"/>
          </w:tcPr>
          <w:p>
            <w:pPr>
              <w:snapToGrid w:val="0"/>
              <w:spacing w:line="380" w:lineRule="exact"/>
              <w:jc w:val="center"/>
              <w:rPr>
                <w:rFonts w:hint="eastAsia" w:ascii="仿宋_GB2312" w:hAnsi="仿宋_GB2312" w:eastAsia="仿宋_GB2312" w:cs="仿宋_GB2312"/>
                <w:sz w:val="24"/>
              </w:rPr>
            </w:pPr>
          </w:p>
        </w:tc>
        <w:tc>
          <w:tcPr>
            <w:tcW w:w="1510" w:type="dxa"/>
            <w:gridSpan w:val="2"/>
            <w:noWrap w:val="0"/>
            <w:vAlign w:val="center"/>
          </w:tcPr>
          <w:p>
            <w:pPr>
              <w:snapToGrid w:val="0"/>
              <w:spacing w:line="380" w:lineRule="exact"/>
              <w:jc w:val="center"/>
              <w:rPr>
                <w:rFonts w:hint="eastAsia" w:ascii="仿宋_GB2312" w:hAnsi="仿宋_GB2312" w:eastAsia="仿宋_GB2312" w:cs="仿宋_GB2312"/>
                <w:sz w:val="24"/>
              </w:rPr>
            </w:pPr>
          </w:p>
        </w:tc>
        <w:tc>
          <w:tcPr>
            <w:tcW w:w="1560" w:type="dxa"/>
            <w:gridSpan w:val="2"/>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vMerge w:val="restart"/>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案件数</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w:t>
            </w: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w:t>
            </w: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w:t>
            </w: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w:t>
            </w: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726" w:type="dxa"/>
            <w:vMerge w:val="continue"/>
            <w:noWrap w:val="0"/>
            <w:vAlign w:val="center"/>
          </w:tcPr>
          <w:p>
            <w:pPr>
              <w:snapToGrid w:val="0"/>
              <w:spacing w:line="380" w:lineRule="exact"/>
              <w:ind w:firstLine="240" w:firstLineChars="100"/>
              <w:rPr>
                <w:rFonts w:hint="eastAsia" w:ascii="仿宋_GB2312" w:hAnsi="仿宋_GB2312" w:eastAsia="仿宋_GB2312" w:cs="仿宋_GB2312"/>
                <w:sz w:val="24"/>
              </w:rPr>
            </w:pP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责令改正数</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警告数</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责令停业整顿户数</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罚款户（人）次</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罚款金额（万元）</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没收违法所得（万元）</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吊销行政许可资质</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26" w:type="dxa"/>
            <w:noWrap w:val="0"/>
            <w:vAlign w:val="center"/>
          </w:tcPr>
          <w:p>
            <w:pPr>
              <w:snapToGrid w:val="0"/>
              <w:spacing w:line="3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移送司法机关</w:t>
            </w:r>
          </w:p>
        </w:tc>
        <w:tc>
          <w:tcPr>
            <w:tcW w:w="810" w:type="dxa"/>
            <w:noWrap w:val="0"/>
            <w:vAlign w:val="center"/>
          </w:tcPr>
          <w:p>
            <w:pPr>
              <w:snapToGrid w:val="0"/>
              <w:spacing w:line="380" w:lineRule="exact"/>
              <w:jc w:val="center"/>
              <w:rPr>
                <w:rFonts w:hint="eastAsia" w:ascii="仿宋_GB2312" w:hAnsi="仿宋_GB2312" w:eastAsia="仿宋_GB2312" w:cs="仿宋_GB2312"/>
                <w:sz w:val="24"/>
              </w:rPr>
            </w:pPr>
          </w:p>
        </w:tc>
        <w:tc>
          <w:tcPr>
            <w:tcW w:w="891" w:type="dxa"/>
            <w:noWrap w:val="0"/>
            <w:vAlign w:val="center"/>
          </w:tcPr>
          <w:p>
            <w:pPr>
              <w:snapToGrid w:val="0"/>
              <w:spacing w:line="380" w:lineRule="exact"/>
              <w:jc w:val="center"/>
              <w:rPr>
                <w:rFonts w:hint="eastAsia" w:ascii="仿宋_GB2312" w:hAnsi="仿宋_GB2312" w:eastAsia="仿宋_GB2312" w:cs="仿宋_GB2312"/>
                <w:sz w:val="24"/>
              </w:rPr>
            </w:pPr>
          </w:p>
        </w:tc>
        <w:tc>
          <w:tcPr>
            <w:tcW w:w="750" w:type="dxa"/>
            <w:noWrap w:val="0"/>
            <w:vAlign w:val="center"/>
          </w:tcPr>
          <w:p>
            <w:pPr>
              <w:snapToGrid w:val="0"/>
              <w:spacing w:line="380" w:lineRule="exact"/>
              <w:jc w:val="center"/>
              <w:rPr>
                <w:rFonts w:hint="eastAsia" w:ascii="仿宋_GB2312" w:hAnsi="仿宋_GB2312" w:eastAsia="仿宋_GB2312" w:cs="仿宋_GB2312"/>
                <w:sz w:val="24"/>
              </w:rPr>
            </w:pPr>
          </w:p>
        </w:tc>
        <w:tc>
          <w:tcPr>
            <w:tcW w:w="716" w:type="dxa"/>
            <w:noWrap w:val="0"/>
            <w:vAlign w:val="center"/>
          </w:tcPr>
          <w:p>
            <w:pPr>
              <w:snapToGrid w:val="0"/>
              <w:spacing w:line="380" w:lineRule="exact"/>
              <w:jc w:val="center"/>
              <w:rPr>
                <w:rFonts w:hint="eastAsia" w:ascii="仿宋_GB2312" w:hAnsi="仿宋_GB2312" w:eastAsia="仿宋_GB2312" w:cs="仿宋_GB2312"/>
                <w:sz w:val="24"/>
              </w:rPr>
            </w:pPr>
          </w:p>
        </w:tc>
        <w:tc>
          <w:tcPr>
            <w:tcW w:w="783" w:type="dxa"/>
            <w:noWrap w:val="0"/>
            <w:vAlign w:val="center"/>
          </w:tcPr>
          <w:p>
            <w:pPr>
              <w:snapToGrid w:val="0"/>
              <w:spacing w:line="380" w:lineRule="exact"/>
              <w:jc w:val="center"/>
              <w:rPr>
                <w:rFonts w:hint="eastAsia" w:ascii="仿宋_GB2312" w:hAnsi="仿宋_GB2312" w:eastAsia="仿宋_GB2312" w:cs="仿宋_GB2312"/>
                <w:sz w:val="24"/>
              </w:rPr>
            </w:pPr>
          </w:p>
        </w:tc>
        <w:tc>
          <w:tcPr>
            <w:tcW w:w="727" w:type="dxa"/>
            <w:noWrap w:val="0"/>
            <w:vAlign w:val="center"/>
          </w:tcPr>
          <w:p>
            <w:pPr>
              <w:snapToGrid w:val="0"/>
              <w:spacing w:line="380" w:lineRule="exact"/>
              <w:jc w:val="center"/>
              <w:rPr>
                <w:rFonts w:hint="eastAsia" w:ascii="仿宋_GB2312" w:hAnsi="仿宋_GB2312" w:eastAsia="仿宋_GB2312" w:cs="仿宋_GB2312"/>
                <w:sz w:val="24"/>
              </w:rPr>
            </w:pPr>
          </w:p>
        </w:tc>
        <w:tc>
          <w:tcPr>
            <w:tcW w:w="770" w:type="dxa"/>
            <w:noWrap w:val="0"/>
            <w:vAlign w:val="center"/>
          </w:tcPr>
          <w:p>
            <w:pPr>
              <w:snapToGrid w:val="0"/>
              <w:spacing w:line="380" w:lineRule="exact"/>
              <w:jc w:val="center"/>
              <w:rPr>
                <w:rFonts w:hint="eastAsia" w:ascii="仿宋_GB2312" w:hAnsi="仿宋_GB2312" w:eastAsia="仿宋_GB2312" w:cs="仿宋_GB2312"/>
                <w:sz w:val="24"/>
              </w:rPr>
            </w:pPr>
          </w:p>
        </w:tc>
        <w:tc>
          <w:tcPr>
            <w:tcW w:w="790" w:type="dxa"/>
            <w:noWrap w:val="0"/>
            <w:vAlign w:val="center"/>
          </w:tcPr>
          <w:p>
            <w:pPr>
              <w:snapToGrid w:val="0"/>
              <w:spacing w:line="380" w:lineRule="exact"/>
              <w:jc w:val="center"/>
              <w:rPr>
                <w:rFonts w:hint="eastAsia" w:ascii="仿宋_GB2312" w:hAnsi="仿宋_GB2312" w:eastAsia="仿宋_GB2312" w:cs="仿宋_GB2312"/>
                <w:sz w:val="24"/>
              </w:rPr>
            </w:pPr>
          </w:p>
        </w:tc>
        <w:tc>
          <w:tcPr>
            <w:tcW w:w="1709"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c>
          <w:tcPr>
            <w:tcW w:w="1234" w:type="dxa"/>
            <w:noWrap w:val="0"/>
            <w:vAlign w:val="center"/>
          </w:tcPr>
          <w:p>
            <w:pPr>
              <w:snapToGrid w:val="0"/>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140" w:type="dxa"/>
            <w:gridSpan w:val="12"/>
            <w:noWrap w:val="0"/>
            <w:vAlign w:val="top"/>
          </w:tcPr>
          <w:p>
            <w:pPr>
              <w:snapToGrid w:val="0"/>
              <w:spacing w:line="3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投诉举报情况：投诉举报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件；办结</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件；实施行政处罚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件；反馈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件；举报人满意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tc>
      </w:tr>
    </w:tbl>
    <w:p>
      <w:pPr>
        <w:jc w:val="left"/>
        <w:rPr>
          <w:rFonts w:hint="eastAsia" w:ascii="仿宋_GB2312" w:hAnsi="宋体" w:eastAsia="仿宋_GB2312" w:cs="Times New Roman"/>
          <w:sz w:val="24"/>
          <w:szCs w:val="24"/>
        </w:rPr>
        <w:sectPr>
          <w:headerReference r:id="rId9" w:type="default"/>
          <w:footerReference r:id="rId10" w:type="default"/>
          <w:pgSz w:w="16838" w:h="11906" w:orient="landscape"/>
          <w:pgMar w:top="1560" w:right="1440" w:bottom="1558" w:left="1440" w:header="283" w:footer="283" w:gutter="0"/>
          <w:cols w:space="720" w:num="1"/>
          <w:docGrid w:type="lines" w:linePitch="435" w:charSpace="0"/>
        </w:sectPr>
      </w:pPr>
      <w:r>
        <w:rPr>
          <w:rFonts w:hint="eastAsia" w:ascii="仿宋_GB2312" w:hAnsi="仿宋_GB2312" w:eastAsia="仿宋_GB2312" w:cs="仿宋_GB2312"/>
          <w:szCs w:val="32"/>
        </w:rPr>
        <w:t xml:space="preserve">  </w:t>
      </w:r>
      <w:r>
        <w:rPr>
          <w:rFonts w:hint="eastAsia" w:ascii="仿宋_GB2312" w:hAnsi="仿宋_GB2312" w:eastAsia="仿宋_GB2312" w:cs="仿宋_GB2312"/>
          <w:sz w:val="24"/>
          <w:szCs w:val="24"/>
        </w:rPr>
        <w:t>备注：</w:t>
      </w:r>
      <w:r>
        <w:rPr>
          <w:rFonts w:hint="eastAsia" w:ascii="仿宋_GB2312" w:hAnsi="仿宋_GB2312" w:eastAsia="仿宋_GB2312" w:cs="仿宋_GB2312"/>
          <w:sz w:val="24"/>
        </w:rPr>
        <w:t>机构和人员处罚数据部分可合理缺项。</w:t>
      </w:r>
    </w:p>
    <w:p>
      <w:pPr>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宋体" w:hAnsi="宋体" w:eastAsia="宋体" w:cs="宋体"/>
          <w:b/>
          <w:bCs/>
          <w:sz w:val="44"/>
          <w:szCs w:val="44"/>
        </w:rPr>
      </w:pPr>
      <w:r>
        <w:rPr>
          <w:rFonts w:hint="eastAsia" w:ascii="宋体" w:hAnsi="宋体" w:eastAsia="宋体" w:cs="宋体"/>
          <w:b/>
          <w:bCs/>
          <w:sz w:val="44"/>
          <w:szCs w:val="44"/>
        </w:rPr>
        <w:t>典型案例报送模板</w:t>
      </w:r>
    </w:p>
    <w:p>
      <w:pPr>
        <w:jc w:val="left"/>
        <w:rPr>
          <w:rFonts w:hint="eastAsia" w:ascii="黑体" w:hAnsi="黑体" w:eastAsia="黑体" w:cs="黑体"/>
          <w:szCs w:val="32"/>
        </w:rPr>
      </w:pPr>
    </w:p>
    <w:p>
      <w:pPr>
        <w:jc w:val="left"/>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一、XXX案件材料报送</w:t>
      </w:r>
      <w:r>
        <w:rPr>
          <w:rFonts w:ascii="黑体" w:hAnsi="黑体" w:eastAsia="黑体" w:cs="黑体"/>
          <w:sz w:val="32"/>
          <w:szCs w:val="32"/>
        </w:rPr>
        <w:t>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25"/>
        <w:gridCol w:w="888"/>
        <w:gridCol w:w="1550"/>
        <w:gridCol w:w="266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125" w:type="dxa"/>
            <w:noWrap w:val="0"/>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机构</w:t>
            </w:r>
          </w:p>
          <w:p>
            <w:pPr>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888" w:type="dxa"/>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处罚时间</w:t>
            </w:r>
          </w:p>
        </w:tc>
        <w:tc>
          <w:tcPr>
            <w:tcW w:w="1550" w:type="dxa"/>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违法事实</w:t>
            </w:r>
          </w:p>
        </w:tc>
        <w:tc>
          <w:tcPr>
            <w:tcW w:w="2662" w:type="dxa"/>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违反法律及处罚依据</w:t>
            </w:r>
          </w:p>
        </w:tc>
        <w:tc>
          <w:tcPr>
            <w:tcW w:w="1536" w:type="dxa"/>
            <w:noWrap w:val="0"/>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行政处罚</w:t>
            </w:r>
          </w:p>
          <w:p>
            <w:pPr>
              <w:jc w:val="center"/>
              <w:rPr>
                <w:rFonts w:ascii="黑体" w:hAnsi="黑体" w:eastAsia="黑体" w:cs="宋体"/>
                <w:color w:val="000000"/>
                <w:kern w:val="0"/>
                <w:sz w:val="24"/>
              </w:rPr>
            </w:pPr>
            <w:r>
              <w:rPr>
                <w:rFonts w:hint="eastAsia" w:ascii="黑体" w:hAnsi="黑体" w:eastAsia="黑体" w:cs="宋体"/>
                <w:color w:val="000000"/>
                <w:kern w:val="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pPr>
              <w:jc w:val="center"/>
              <w:rPr>
                <w:rFonts w:ascii="仿宋_GB2312"/>
                <w:sz w:val="24"/>
              </w:rPr>
            </w:pPr>
            <w:r>
              <w:rPr>
                <w:rFonts w:hint="eastAsia" w:ascii="仿宋_GB2312"/>
                <w:sz w:val="24"/>
              </w:rPr>
              <w:t>1</w:t>
            </w:r>
          </w:p>
        </w:tc>
        <w:tc>
          <w:tcPr>
            <w:tcW w:w="1125" w:type="dxa"/>
            <w:noWrap w:val="0"/>
            <w:vAlign w:val="top"/>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××美容门诊部有限公司</w:t>
            </w:r>
          </w:p>
        </w:tc>
        <w:tc>
          <w:tcPr>
            <w:tcW w:w="888" w:type="dxa"/>
            <w:noWrap w:val="0"/>
            <w:vAlign w:val="top"/>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XX年XX月XX日</w:t>
            </w:r>
          </w:p>
        </w:tc>
        <w:tc>
          <w:tcPr>
            <w:tcW w:w="1550" w:type="dxa"/>
            <w:noWrap w:val="0"/>
            <w:vAlign w:val="top"/>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超范围开展二级手术项目（隆胸术等）</w:t>
            </w:r>
          </w:p>
        </w:tc>
        <w:tc>
          <w:tcPr>
            <w:tcW w:w="2662" w:type="dxa"/>
            <w:noWrap w:val="0"/>
            <w:vAlign w:val="top"/>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违反了《医疗美容管理办法》第XX条；</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按照《医疗机构管理条例实施细则》第XX条进行处罚</w:t>
            </w:r>
          </w:p>
        </w:tc>
        <w:tc>
          <w:tcPr>
            <w:tcW w:w="1536" w:type="dxa"/>
            <w:noWrap w:val="0"/>
            <w:vAlign w:val="top"/>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警告,（罚款</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元）；行政强制及其他措施：责令改正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pPr>
              <w:jc w:val="center"/>
              <w:rPr>
                <w:rFonts w:hint="eastAsia" w:ascii="仿宋_GB2312"/>
                <w:sz w:val="24"/>
              </w:rPr>
            </w:pPr>
            <w:r>
              <w:rPr>
                <w:rFonts w:ascii="仿宋_GB2312"/>
                <w:sz w:val="24"/>
              </w:rPr>
              <w:t>2</w:t>
            </w:r>
          </w:p>
        </w:tc>
        <w:tc>
          <w:tcPr>
            <w:tcW w:w="1125" w:type="dxa"/>
            <w:noWrap w:val="0"/>
            <w:vAlign w:val="top"/>
          </w:tcPr>
          <w:p>
            <w:pPr>
              <w:jc w:val="left"/>
              <w:rPr>
                <w:rFonts w:ascii="Arial" w:hAnsi="Arial" w:cs="Arial"/>
                <w:color w:val="000000"/>
                <w:kern w:val="0"/>
                <w:sz w:val="24"/>
              </w:rPr>
            </w:pPr>
          </w:p>
        </w:tc>
        <w:tc>
          <w:tcPr>
            <w:tcW w:w="888" w:type="dxa"/>
            <w:noWrap w:val="0"/>
            <w:vAlign w:val="top"/>
          </w:tcPr>
          <w:p>
            <w:pPr>
              <w:jc w:val="left"/>
              <w:rPr>
                <w:rFonts w:hint="eastAsia" w:ascii="仿宋_GB2312" w:hAnsi="宋体" w:cs="宋体"/>
                <w:color w:val="000000"/>
                <w:kern w:val="0"/>
                <w:sz w:val="24"/>
              </w:rPr>
            </w:pPr>
          </w:p>
        </w:tc>
        <w:tc>
          <w:tcPr>
            <w:tcW w:w="1550" w:type="dxa"/>
            <w:noWrap w:val="0"/>
            <w:vAlign w:val="top"/>
          </w:tcPr>
          <w:p>
            <w:pPr>
              <w:jc w:val="left"/>
              <w:rPr>
                <w:rFonts w:hint="eastAsia" w:ascii="仿宋_GB2312" w:hAnsi="宋体" w:cs="宋体"/>
                <w:color w:val="000000"/>
                <w:kern w:val="0"/>
                <w:sz w:val="24"/>
              </w:rPr>
            </w:pPr>
          </w:p>
        </w:tc>
        <w:tc>
          <w:tcPr>
            <w:tcW w:w="2662" w:type="dxa"/>
            <w:noWrap w:val="0"/>
            <w:vAlign w:val="top"/>
          </w:tcPr>
          <w:p>
            <w:pPr>
              <w:jc w:val="left"/>
              <w:rPr>
                <w:rFonts w:hint="eastAsia" w:ascii="仿宋_GB2312" w:hAnsi="宋体" w:cs="宋体"/>
                <w:color w:val="000000"/>
                <w:kern w:val="0"/>
                <w:sz w:val="24"/>
              </w:rPr>
            </w:pPr>
          </w:p>
        </w:tc>
        <w:tc>
          <w:tcPr>
            <w:tcW w:w="1536" w:type="dxa"/>
            <w:noWrap w:val="0"/>
            <w:vAlign w:val="top"/>
          </w:tcPr>
          <w:p>
            <w:pPr>
              <w:jc w:val="left"/>
              <w:rPr>
                <w:rFonts w:hint="eastAsia" w:ascii="仿宋_GB2312" w:hAnsi="宋体" w:cs="宋体"/>
                <w:color w:val="000000"/>
                <w:kern w:val="0"/>
                <w:sz w:val="24"/>
              </w:rPr>
            </w:pPr>
          </w:p>
        </w:tc>
      </w:tr>
    </w:tbl>
    <w:p>
      <w:pPr>
        <w:jc w:val="left"/>
        <w:rPr>
          <w:rFonts w:ascii="仿宋_GB2312"/>
          <w:szCs w:val="32"/>
        </w:rPr>
      </w:pPr>
    </w:p>
    <w:p>
      <w:pPr>
        <w:spacing w:line="600" w:lineRule="exact"/>
        <w:jc w:val="left"/>
        <w:rPr>
          <w:rFonts w:ascii="黑体" w:hAnsi="黑体" w:eastAsia="黑体" w:cs="黑体"/>
          <w:sz w:val="32"/>
          <w:szCs w:val="32"/>
        </w:rPr>
      </w:pPr>
      <w:r>
        <w:rPr>
          <w:rFonts w:ascii="黑体" w:hAnsi="黑体" w:eastAsia="黑体" w:cs="黑体"/>
          <w:sz w:val="32"/>
          <w:szCs w:val="32"/>
        </w:rPr>
        <w:t xml:space="preserve">    二、案情概述</w:t>
      </w:r>
    </w:p>
    <w:p>
      <w:pPr>
        <w:spacing w:line="600" w:lineRule="exact"/>
        <w:jc w:val="left"/>
        <w:rPr>
          <w:rFonts w:hint="eastAsia" w:ascii="黑体" w:hAnsi="黑体" w:eastAsia="黑体" w:cs="黑体"/>
          <w:sz w:val="32"/>
          <w:szCs w:val="32"/>
        </w:rPr>
      </w:pPr>
      <w:r>
        <w:rPr>
          <w:rFonts w:ascii="黑体" w:hAnsi="黑体" w:eastAsia="黑体" w:cs="黑体"/>
          <w:sz w:val="32"/>
          <w:szCs w:val="32"/>
        </w:rPr>
        <w:t xml:space="preserve">    1.</w:t>
      </w:r>
      <w:r>
        <w:rPr>
          <w:rFonts w:hint="eastAsia" w:ascii="黑体" w:hAnsi="黑体" w:eastAsia="黑体" w:cs="黑体"/>
          <w:sz w:val="32"/>
          <w:szCs w:val="32"/>
        </w:rPr>
        <w:t>XXX医疗美容门诊部超范围开展二级手术项目案（样例）</w:t>
      </w:r>
    </w:p>
    <w:p>
      <w:pPr>
        <w:spacing w:line="60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事人在机构大厅内设置隆胸宣传栏，内见韩式整形等字样，并在诊室提供隆胸相关手术咨询和设计，展示区可见隆胸假体。当事人不具备条件开展隆胸，违反了《医疗美容管理办法》第XX条、《医疗机构管理条例实施细则》第XX条，按照《医疗机构管理条例实施细则》第XX条进行处罚。XX年XX月XX日，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作出行政处罚决定，责令改正并处罚款XXXX元。</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56A38"/>
    <w:rsid w:val="33C5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2021-09-02T02:32:00Z</dcterms:created>
  <dc:creator>崔爱民</dc:creator>
  <cp:lastModifiedBy>崔爱民</cp:lastModifiedBy>
  <dcterms:modified xsi:type="dcterms:W3CDTF">2021-09-02T02:33:30Z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E417861BFC6B4363856C6162940E5FA2</vt:lpwstr>
  </property>
</Properties>
</file>