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宋体" w:eastAsia="黑体" w:cs="宋体"/>
          <w:kern w:val="0"/>
          <w:sz w:val="28"/>
          <w:szCs w:val="28"/>
        </w:rPr>
      </w:pPr>
      <w:r>
        <w:rPr>
          <w:rFonts w:hint="eastAsia" w:ascii="黑体" w:hAnsi="宋体" w:eastAsia="黑体" w:cs="宋体"/>
          <w:kern w:val="0"/>
          <w:sz w:val="28"/>
          <w:szCs w:val="28"/>
        </w:rPr>
        <w:t>附件</w:t>
      </w:r>
      <w:r>
        <w:rPr>
          <w:rFonts w:ascii="黑体" w:hAnsi="宋体" w:eastAsia="黑体" w:cs="宋体"/>
          <w:kern w:val="0"/>
          <w:sz w:val="28"/>
          <w:szCs w:val="28"/>
        </w:rPr>
        <w:t xml:space="preserve">4-1         </w:t>
      </w:r>
    </w:p>
    <w:p>
      <w:pPr>
        <w:widowControl/>
        <w:jc w:val="center"/>
        <w:rPr>
          <w:rFonts w:ascii="黑体" w:hAnsi="宋体" w:eastAsia="黑体" w:cs="宋体"/>
          <w:kern w:val="0"/>
          <w:sz w:val="28"/>
          <w:szCs w:val="28"/>
        </w:rPr>
      </w:pPr>
      <w:r>
        <w:rPr>
          <w:rFonts w:hint="eastAsia" w:ascii="黑体" w:hAnsi="宋体" w:eastAsia="黑体" w:cs="宋体"/>
          <w:kern w:val="0"/>
          <w:sz w:val="28"/>
          <w:szCs w:val="28"/>
        </w:rPr>
        <w:t>安徽省医疗服务信息社会公开内容</w:t>
      </w:r>
    </w:p>
    <w:tbl>
      <w:tblPr>
        <w:tblStyle w:val="5"/>
        <w:tblW w:w="866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3545"/>
        <w:gridCol w:w="415"/>
        <w:gridCol w:w="1080"/>
        <w:gridCol w:w="106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医疗机构名称</w:t>
            </w:r>
          </w:p>
        </w:tc>
        <w:tc>
          <w:tcPr>
            <w:tcW w:w="71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灵璧县中医医院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信息分类</w:t>
            </w:r>
          </w:p>
        </w:tc>
        <w:tc>
          <w:tcPr>
            <w:tcW w:w="5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指标项目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本期数值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上期数值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4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1.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基本情况</w:t>
            </w:r>
          </w:p>
        </w:tc>
        <w:tc>
          <w:tcPr>
            <w:tcW w:w="5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eastAsia="仿宋_GB2312" w:cs="宋体"/>
                <w:kern w:val="0"/>
                <w:sz w:val="18"/>
                <w:szCs w:val="18"/>
              </w:rPr>
              <w:t>1.1</w:t>
            </w: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医疗机构等级与综合</w:t>
            </w:r>
            <w:r>
              <w:rPr>
                <w:rFonts w:ascii="仿宋_GB2312" w:hAnsi="仿宋" w:eastAsia="仿宋_GB2312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专科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二级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4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60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eastAsia="仿宋_GB2312" w:cs="宋体"/>
                <w:kern w:val="0"/>
                <w:sz w:val="18"/>
                <w:szCs w:val="18"/>
              </w:rPr>
              <w:t xml:space="preserve">1.2 </w:t>
            </w: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重点（特色）专科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国家级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国家级重点骨伤专科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国家级重点骨伤专科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4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60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省</w:t>
            </w:r>
            <w:r>
              <w:rPr>
                <w:rFonts w:ascii="仿宋_GB2312" w:hAnsi="仿宋" w:eastAsia="仿宋_GB2312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级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省级重点针灸推拿特色专科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省级重点针灸推拿特色专科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4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60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市</w:t>
            </w:r>
            <w:r>
              <w:rPr>
                <w:rFonts w:ascii="仿宋_GB2312" w:hAnsi="仿宋" w:eastAsia="仿宋_GB2312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级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4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6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院</w:t>
            </w:r>
            <w:r>
              <w:rPr>
                <w:rFonts w:ascii="仿宋_GB2312" w:hAnsi="仿宋" w:eastAsia="仿宋_GB2312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级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eastAsia="仿宋_GB2312" w:cs="宋体"/>
                <w:kern w:val="0"/>
                <w:sz w:val="18"/>
                <w:szCs w:val="18"/>
              </w:rPr>
              <w:t>2.</w:t>
            </w: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医疗费用</w:t>
            </w:r>
          </w:p>
        </w:tc>
        <w:tc>
          <w:tcPr>
            <w:tcW w:w="5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eastAsia="仿宋_GB2312" w:cs="宋体"/>
                <w:kern w:val="0"/>
                <w:sz w:val="18"/>
                <w:szCs w:val="18"/>
              </w:rPr>
              <w:t xml:space="preserve">2.1 </w:t>
            </w: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门诊患者人均医疗费用（元）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  <w:lang w:val="en-US" w:eastAsia="zh-CN"/>
              </w:rPr>
              <w:t>199.45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  <w:lang w:val="en-US" w:eastAsia="zh-CN"/>
              </w:rPr>
              <w:t>232.32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eastAsia="仿宋_GB2312" w:cs="宋体"/>
                <w:kern w:val="0"/>
                <w:sz w:val="18"/>
                <w:szCs w:val="18"/>
              </w:rPr>
              <w:t xml:space="preserve">2.2 </w:t>
            </w: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住院患者人均医疗费用（元）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  <w:lang w:val="en-US" w:eastAsia="zh-CN"/>
              </w:rPr>
              <w:t>4099.42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  <w:lang w:val="en-US" w:eastAsia="zh-CN"/>
              </w:rPr>
              <w:t>3055.01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eastAsia="仿宋_GB2312" w:cs="宋体"/>
                <w:kern w:val="0"/>
                <w:sz w:val="18"/>
                <w:szCs w:val="18"/>
              </w:rPr>
              <w:t xml:space="preserve">2.3 </w:t>
            </w: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药品占比（</w:t>
            </w:r>
            <w:r>
              <w:rPr>
                <w:rFonts w:ascii="仿宋_GB2312" w:hAnsi="仿宋" w:eastAsia="仿宋_GB2312" w:cs="宋体"/>
                <w:kern w:val="0"/>
                <w:sz w:val="18"/>
                <w:szCs w:val="18"/>
              </w:rPr>
              <w:t>%</w:t>
            </w: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  <w:lang w:val="en-US" w:eastAsia="zh-CN"/>
              </w:rPr>
              <w:t>21.2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  <w:lang w:val="en-US" w:eastAsia="zh-CN"/>
              </w:rPr>
              <w:t>30.36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eastAsia="仿宋_GB2312" w:cs="宋体"/>
                <w:kern w:val="0"/>
                <w:sz w:val="18"/>
                <w:szCs w:val="18"/>
              </w:rPr>
              <w:t>2.3.1</w:t>
            </w: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中药饮片占比（</w:t>
            </w:r>
            <w:r>
              <w:rPr>
                <w:rFonts w:ascii="仿宋_GB2312" w:hAnsi="仿宋" w:eastAsia="仿宋_GB2312" w:cs="宋体"/>
                <w:kern w:val="0"/>
                <w:sz w:val="18"/>
                <w:szCs w:val="18"/>
              </w:rPr>
              <w:t>%</w:t>
            </w: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  <w:lang w:val="en-US" w:eastAsia="zh-CN"/>
              </w:rPr>
              <w:t>38.67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  <w:lang w:val="en-US" w:eastAsia="zh-CN"/>
              </w:rPr>
              <w:t>49.79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eastAsia="仿宋_GB2312" w:cs="宋体"/>
                <w:kern w:val="0"/>
                <w:sz w:val="18"/>
                <w:szCs w:val="18"/>
              </w:rPr>
              <w:t xml:space="preserve">2.4 </w:t>
            </w: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耗材占比（</w:t>
            </w:r>
            <w:r>
              <w:rPr>
                <w:rFonts w:ascii="仿宋_GB2312" w:hAnsi="仿宋" w:eastAsia="仿宋_GB2312" w:cs="宋体"/>
                <w:kern w:val="0"/>
                <w:sz w:val="18"/>
                <w:szCs w:val="18"/>
              </w:rPr>
              <w:t>%</w:t>
            </w: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  <w:lang w:val="en-US" w:eastAsia="zh-CN"/>
              </w:rPr>
              <w:t>16.3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  <w:lang w:val="en-US" w:eastAsia="zh-CN"/>
              </w:rPr>
              <w:t>11.77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1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eastAsia="仿宋_GB2312" w:cs="宋体"/>
                <w:kern w:val="0"/>
                <w:sz w:val="18"/>
                <w:szCs w:val="18"/>
              </w:rPr>
              <w:t>2.5</w:t>
            </w: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医疗机构住院患者单病种平均费用（见附件</w:t>
            </w:r>
            <w:r>
              <w:rPr>
                <w:rFonts w:ascii="仿宋_GB2312" w:hAnsi="仿宋" w:eastAsia="仿宋_GB2312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5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eastAsia="仿宋_GB2312" w:cs="宋体"/>
                <w:kern w:val="0"/>
                <w:sz w:val="18"/>
                <w:szCs w:val="18"/>
              </w:rPr>
              <w:t xml:space="preserve">2.6 </w:t>
            </w: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医保及新农合实际报销比例（</w:t>
            </w:r>
            <w:r>
              <w:rPr>
                <w:rFonts w:ascii="仿宋_GB2312" w:hAnsi="仿宋" w:eastAsia="仿宋_GB2312" w:cs="宋体"/>
                <w:kern w:val="0"/>
                <w:sz w:val="18"/>
                <w:szCs w:val="18"/>
              </w:rPr>
              <w:t>%</w:t>
            </w: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城镇职工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  <w:lang w:val="en-US" w:eastAsia="zh-CN"/>
              </w:rPr>
              <w:t>69.51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  <w:lang w:val="en-US" w:eastAsia="zh-CN"/>
              </w:rPr>
              <w:t>68.71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新</w:t>
            </w:r>
            <w:r>
              <w:rPr>
                <w:rFonts w:ascii="仿宋_GB2312" w:hAnsi="仿宋" w:eastAsia="仿宋_GB2312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农</w:t>
            </w:r>
            <w:r>
              <w:rPr>
                <w:rFonts w:ascii="仿宋_GB2312" w:hAnsi="仿宋" w:eastAsia="仿宋_GB2312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合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  <w:lang w:val="en-US" w:eastAsia="zh-CN"/>
              </w:rPr>
              <w:t>68.32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  <w:lang w:val="en-US" w:eastAsia="zh-CN"/>
              </w:rPr>
              <w:t>69.83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城镇居民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3.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医疗质量</w:t>
            </w:r>
          </w:p>
        </w:tc>
        <w:tc>
          <w:tcPr>
            <w:tcW w:w="5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eastAsia="仿宋_GB2312" w:cs="宋体"/>
                <w:kern w:val="0"/>
                <w:sz w:val="18"/>
                <w:szCs w:val="18"/>
              </w:rPr>
              <w:t>3.1</w:t>
            </w: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治愈好转率（</w:t>
            </w:r>
            <w:r>
              <w:rPr>
                <w:rFonts w:ascii="仿宋_GB2312" w:hAnsi="仿宋" w:eastAsia="仿宋_GB2312" w:cs="宋体"/>
                <w:kern w:val="0"/>
                <w:sz w:val="18"/>
                <w:szCs w:val="18"/>
              </w:rPr>
              <w:t>%</w:t>
            </w: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  <w:lang w:val="en-US" w:eastAsia="zh-CN"/>
              </w:rPr>
              <w:t>97.16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  <w:lang w:val="en-US" w:eastAsia="zh-CN"/>
              </w:rPr>
              <w:t>96.82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eastAsia="仿宋_GB2312" w:cs="宋体"/>
                <w:kern w:val="0"/>
                <w:sz w:val="18"/>
                <w:szCs w:val="18"/>
              </w:rPr>
              <w:t xml:space="preserve">3.2 </w:t>
            </w: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入出院诊断符合率（</w:t>
            </w:r>
            <w:r>
              <w:rPr>
                <w:rFonts w:ascii="仿宋_GB2312" w:hAnsi="仿宋" w:eastAsia="仿宋_GB2312" w:cs="宋体"/>
                <w:kern w:val="0"/>
                <w:sz w:val="18"/>
                <w:szCs w:val="18"/>
              </w:rPr>
              <w:t>%</w:t>
            </w: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  <w:lang w:val="en-US" w:eastAsia="zh-CN"/>
              </w:rPr>
              <w:t>98.24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  <w:lang w:val="en-US" w:eastAsia="zh-CN"/>
              </w:rPr>
              <w:t>98.76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eastAsia="仿宋_GB2312" w:cs="宋体"/>
                <w:kern w:val="0"/>
                <w:sz w:val="18"/>
                <w:szCs w:val="18"/>
              </w:rPr>
              <w:t xml:space="preserve">3.3 </w:t>
            </w: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手术前后诊断符合率（</w:t>
            </w:r>
            <w:r>
              <w:rPr>
                <w:rFonts w:ascii="仿宋_GB2312" w:hAnsi="仿宋" w:eastAsia="仿宋_GB2312" w:cs="宋体"/>
                <w:kern w:val="0"/>
                <w:sz w:val="18"/>
                <w:szCs w:val="18"/>
              </w:rPr>
              <w:t>%</w:t>
            </w: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eastAsia="仿宋_GB2312" w:cs="宋体"/>
                <w:kern w:val="0"/>
                <w:sz w:val="18"/>
                <w:szCs w:val="18"/>
              </w:rPr>
              <w:t xml:space="preserve">3.4 </w:t>
            </w: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急诊抢救成功率（</w:t>
            </w:r>
            <w:r>
              <w:rPr>
                <w:rFonts w:ascii="仿宋_GB2312" w:hAnsi="仿宋" w:eastAsia="仿宋_GB2312" w:cs="宋体"/>
                <w:kern w:val="0"/>
                <w:sz w:val="18"/>
                <w:szCs w:val="18"/>
              </w:rPr>
              <w:t>%</w:t>
            </w: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eastAsia="仿宋_GB2312" w:cs="宋体"/>
                <w:kern w:val="0"/>
                <w:sz w:val="18"/>
                <w:szCs w:val="18"/>
              </w:rPr>
              <w:t>3.5</w:t>
            </w: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大型设备检查阳性率（</w:t>
            </w:r>
            <w:r>
              <w:rPr>
                <w:rFonts w:ascii="仿宋_GB2312" w:hAnsi="仿宋" w:eastAsia="仿宋_GB2312" w:cs="宋体"/>
                <w:kern w:val="0"/>
                <w:sz w:val="18"/>
                <w:szCs w:val="18"/>
              </w:rPr>
              <w:t>%</w:t>
            </w: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彩超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  <w:lang w:val="en-US" w:eastAsia="zh-CN"/>
              </w:rPr>
              <w:t>83.79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  <w:lang w:val="en-US" w:eastAsia="zh-CN"/>
              </w:rPr>
              <w:t>85.31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eastAsia="仿宋_GB2312" w:cs="宋体"/>
                <w:kern w:val="0"/>
                <w:sz w:val="18"/>
                <w:szCs w:val="18"/>
              </w:rPr>
              <w:t>CT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eastAsia="仿宋_GB2312" w:cs="宋体"/>
                <w:kern w:val="0"/>
                <w:sz w:val="18"/>
                <w:szCs w:val="18"/>
              </w:rPr>
              <w:t>MRI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eastAsia="仿宋_GB2312" w:cs="宋体"/>
                <w:kern w:val="0"/>
                <w:sz w:val="18"/>
                <w:szCs w:val="18"/>
              </w:rPr>
              <w:t>3.6</w:t>
            </w: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抗菌药物使用强度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  <w:lang w:eastAsia="zh-CN"/>
              </w:rPr>
              <w:t>一般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  <w:lang w:eastAsia="zh-CN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eastAsia="仿宋_GB2312" w:cs="宋体"/>
                <w:kern w:val="0"/>
                <w:sz w:val="18"/>
                <w:szCs w:val="18"/>
              </w:rPr>
              <w:t>3.7</w:t>
            </w: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门诊输液率（</w:t>
            </w:r>
            <w:r>
              <w:rPr>
                <w:rFonts w:ascii="仿宋_GB2312" w:hAnsi="仿宋" w:eastAsia="仿宋_GB2312" w:cs="宋体"/>
                <w:kern w:val="0"/>
                <w:sz w:val="18"/>
                <w:szCs w:val="18"/>
              </w:rPr>
              <w:t>%</w:t>
            </w: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eastAsia="仿宋_GB2312" w:cs="宋体"/>
                <w:kern w:val="0"/>
                <w:sz w:val="18"/>
                <w:szCs w:val="18"/>
              </w:rPr>
              <w:t>3.8</w:t>
            </w: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无菌手术切口感染率（</w:t>
            </w:r>
            <w:r>
              <w:rPr>
                <w:rFonts w:ascii="仿宋_GB2312" w:hAnsi="仿宋" w:eastAsia="仿宋_GB2312" w:cs="宋体"/>
                <w:kern w:val="0"/>
                <w:sz w:val="18"/>
                <w:szCs w:val="18"/>
              </w:rPr>
              <w:t>%</w:t>
            </w: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eastAsia="仿宋_GB2312" w:cs="宋体"/>
                <w:kern w:val="0"/>
                <w:sz w:val="18"/>
                <w:szCs w:val="18"/>
              </w:rPr>
              <w:t xml:space="preserve">3.9 </w:t>
            </w: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住院患者压疮发生率（</w:t>
            </w:r>
            <w:r>
              <w:rPr>
                <w:rFonts w:ascii="仿宋_GB2312" w:hAnsi="仿宋" w:eastAsia="仿宋_GB2312" w:cs="宋体"/>
                <w:kern w:val="0"/>
                <w:sz w:val="18"/>
                <w:szCs w:val="18"/>
              </w:rPr>
              <w:t>%</w:t>
            </w: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4.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运行效率</w:t>
            </w:r>
          </w:p>
        </w:tc>
        <w:tc>
          <w:tcPr>
            <w:tcW w:w="5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eastAsia="仿宋_GB2312" w:cs="宋体"/>
                <w:kern w:val="0"/>
                <w:sz w:val="18"/>
                <w:szCs w:val="18"/>
              </w:rPr>
              <w:t xml:space="preserve">4.1 </w:t>
            </w: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门诊挂号预约率（</w:t>
            </w:r>
            <w:r>
              <w:rPr>
                <w:rFonts w:ascii="仿宋_GB2312" w:hAnsi="仿宋" w:eastAsia="仿宋_GB2312" w:cs="宋体"/>
                <w:kern w:val="0"/>
                <w:sz w:val="18"/>
                <w:szCs w:val="18"/>
              </w:rPr>
              <w:t>%</w:t>
            </w: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  <w:lang w:val="en-US" w:eastAsia="zh-CN"/>
              </w:rPr>
              <w:t>79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  <w:lang w:val="en-US" w:eastAsia="zh-CN"/>
              </w:rPr>
              <w:t>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eastAsia="仿宋_GB2312" w:cs="宋体"/>
                <w:kern w:val="0"/>
                <w:sz w:val="18"/>
                <w:szCs w:val="18"/>
              </w:rPr>
              <w:t xml:space="preserve">4.2 </w:t>
            </w: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术前待床日（天）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二类手术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eastAsia="仿宋_GB2312" w:cs="宋体"/>
                <w:kern w:val="0"/>
                <w:sz w:val="18"/>
                <w:szCs w:val="18"/>
              </w:rPr>
              <w:t>4-6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eastAsia="仿宋_GB2312" w:cs="宋体"/>
                <w:kern w:val="0"/>
                <w:sz w:val="18"/>
                <w:szCs w:val="18"/>
              </w:rPr>
              <w:t>4-6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三类手术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eastAsia="仿宋_GB2312" w:cs="宋体"/>
                <w:kern w:val="0"/>
                <w:sz w:val="18"/>
                <w:szCs w:val="18"/>
              </w:rPr>
              <w:t>3-5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eastAsia="仿宋_GB2312" w:cs="宋体"/>
                <w:kern w:val="0"/>
                <w:sz w:val="18"/>
                <w:szCs w:val="18"/>
              </w:rPr>
              <w:t>3-5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四类手术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eastAsia="仿宋_GB2312" w:cs="宋体"/>
                <w:kern w:val="0"/>
                <w:sz w:val="18"/>
                <w:szCs w:val="18"/>
              </w:rPr>
              <w:t>4-6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eastAsia="仿宋_GB2312" w:cs="宋体"/>
                <w:kern w:val="0"/>
                <w:sz w:val="18"/>
                <w:szCs w:val="18"/>
              </w:rPr>
              <w:t>4-6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eastAsia="仿宋_GB2312" w:cs="宋体"/>
                <w:kern w:val="0"/>
                <w:sz w:val="18"/>
                <w:szCs w:val="18"/>
              </w:rPr>
              <w:t>4.3</w:t>
            </w: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病床使用率（</w:t>
            </w:r>
            <w:r>
              <w:rPr>
                <w:rFonts w:ascii="仿宋_GB2312" w:hAnsi="仿宋" w:eastAsia="仿宋_GB2312" w:cs="宋体"/>
                <w:kern w:val="0"/>
                <w:sz w:val="18"/>
                <w:szCs w:val="18"/>
              </w:rPr>
              <w:t>%</w:t>
            </w: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  <w:lang w:val="en-US" w:eastAsia="zh-CN"/>
              </w:rPr>
              <w:t>127.92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  <w:lang w:val="en-US" w:eastAsia="zh-CN"/>
              </w:rPr>
              <w:t>62.33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eastAsia="仿宋_GB2312" w:cs="宋体"/>
                <w:kern w:val="0"/>
                <w:sz w:val="18"/>
                <w:szCs w:val="18"/>
              </w:rPr>
              <w:t xml:space="preserve">4.4 </w:t>
            </w: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出院者平均住院日（天）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  <w:lang w:val="en-US" w:eastAsia="zh-CN"/>
              </w:rPr>
              <w:t>8.11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  <w:lang w:val="en-US" w:eastAsia="zh-CN"/>
              </w:rPr>
              <w:t>9.82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5.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患者满意度</w:t>
            </w:r>
          </w:p>
        </w:tc>
        <w:tc>
          <w:tcPr>
            <w:tcW w:w="5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总体满意度（</w:t>
            </w:r>
            <w:r>
              <w:rPr>
                <w:rFonts w:ascii="仿宋_GB2312" w:hAnsi="仿宋" w:eastAsia="仿宋_GB2312" w:cs="宋体"/>
                <w:kern w:val="0"/>
                <w:sz w:val="18"/>
                <w:szCs w:val="18"/>
              </w:rPr>
              <w:t>%</w:t>
            </w: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  <w:lang w:val="en-US" w:eastAsia="zh-CN"/>
              </w:rPr>
              <w:t>97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  <w:lang w:val="en-US" w:eastAsia="zh-CN"/>
              </w:rPr>
              <w:t>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90" w:firstLineChars="50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6.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服务承诺</w:t>
            </w:r>
          </w:p>
        </w:tc>
        <w:tc>
          <w:tcPr>
            <w:tcW w:w="71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医疗机构服务承诺内容（见附件</w:t>
            </w:r>
            <w:r>
              <w:rPr>
                <w:rFonts w:ascii="仿宋_GB2312" w:hAnsi="仿宋" w:eastAsia="仿宋_GB2312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）</w:t>
            </w:r>
          </w:p>
        </w:tc>
      </w:tr>
    </w:tbl>
    <w:p>
      <w:pPr>
        <w:rPr>
          <w:rFonts w:ascii="仿宋_GB2312" w:eastAsia="仿宋_GB2312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ascii="黑体" w:hAnsi="宋体" w:eastAsia="黑体" w:cs="宋体"/>
          <w:kern w:val="0"/>
          <w:sz w:val="28"/>
          <w:szCs w:val="28"/>
        </w:rPr>
      </w:pPr>
      <w:r>
        <w:rPr>
          <w:rFonts w:hint="eastAsia" w:ascii="黑体" w:hAnsi="宋体" w:eastAsia="黑体" w:cs="宋体"/>
          <w:kern w:val="0"/>
          <w:sz w:val="28"/>
          <w:szCs w:val="28"/>
        </w:rPr>
        <w:t>附件</w:t>
      </w:r>
      <w:r>
        <w:rPr>
          <w:rFonts w:ascii="黑体" w:hAnsi="宋体" w:eastAsia="黑体" w:cs="宋体"/>
          <w:kern w:val="0"/>
          <w:sz w:val="28"/>
          <w:szCs w:val="28"/>
        </w:rPr>
        <w:t xml:space="preserve">4-2          </w:t>
      </w:r>
      <w:r>
        <w:rPr>
          <w:rFonts w:hint="eastAsia" w:ascii="黑体" w:hAnsi="宋体" w:eastAsia="黑体" w:cs="宋体"/>
          <w:kern w:val="0"/>
          <w:sz w:val="28"/>
          <w:szCs w:val="28"/>
        </w:rPr>
        <w:t>医疗机构住院患者单病种平均费用</w:t>
      </w:r>
    </w:p>
    <w:p/>
    <w:tbl>
      <w:tblPr>
        <w:tblStyle w:val="5"/>
        <w:tblW w:w="875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572"/>
        <w:gridCol w:w="957"/>
        <w:gridCol w:w="2043"/>
        <w:gridCol w:w="34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7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住院患者前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位单病种平均费用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疾病名称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（按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ICD-10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编码分类）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术式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本期平均费用（元）</w:t>
            </w:r>
          </w:p>
        </w:tc>
        <w:tc>
          <w:tcPr>
            <w:tcW w:w="3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上期平均费用（元）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腰腿痛（腰椎间盘突出症）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2534.33</w:t>
            </w:r>
          </w:p>
        </w:tc>
        <w:tc>
          <w:tcPr>
            <w:tcW w:w="3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1888.25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高血压病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3516.82</w:t>
            </w:r>
          </w:p>
        </w:tc>
        <w:tc>
          <w:tcPr>
            <w:tcW w:w="3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3357.38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子宫颈糜烂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3657.46</w:t>
            </w:r>
          </w:p>
        </w:tc>
        <w:tc>
          <w:tcPr>
            <w:tcW w:w="3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2459.64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膝痹病（膝关节骨性关节炎）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2298.05</w:t>
            </w:r>
          </w:p>
        </w:tc>
        <w:tc>
          <w:tcPr>
            <w:tcW w:w="3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1107.75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中风病（脑梗死）恢复期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3609.70</w:t>
            </w:r>
          </w:p>
        </w:tc>
        <w:tc>
          <w:tcPr>
            <w:tcW w:w="3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3296.45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肺胀（慢性阻塞性肺疾病）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2643.07</w:t>
            </w:r>
          </w:p>
        </w:tc>
        <w:tc>
          <w:tcPr>
            <w:tcW w:w="3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2750.07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肺部感染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3073.69</w:t>
            </w:r>
          </w:p>
        </w:tc>
        <w:tc>
          <w:tcPr>
            <w:tcW w:w="3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2834.25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脑动脉供血不足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3097.54</w:t>
            </w:r>
          </w:p>
        </w:tc>
        <w:tc>
          <w:tcPr>
            <w:tcW w:w="3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2648.85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消渴病（2型糖尿病）(诊断组)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2994.86</w:t>
            </w:r>
          </w:p>
        </w:tc>
        <w:tc>
          <w:tcPr>
            <w:tcW w:w="3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2778.23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eastAsia="zh-CN"/>
              </w:rPr>
              <w:t>脊髓型颈椎病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3005.18</w:t>
            </w:r>
          </w:p>
        </w:tc>
        <w:tc>
          <w:tcPr>
            <w:tcW w:w="3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2392.29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冠心病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3988.42</w:t>
            </w:r>
          </w:p>
        </w:tc>
        <w:tc>
          <w:tcPr>
            <w:tcW w:w="3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3449.27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肝着（慢性乙型肝炎）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3769.51</w:t>
            </w:r>
          </w:p>
        </w:tc>
        <w:tc>
          <w:tcPr>
            <w:tcW w:w="3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3677.81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eastAsia="zh-CN"/>
              </w:rPr>
              <w:t>前庭大腺囊肿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2028.19</w:t>
            </w:r>
          </w:p>
        </w:tc>
        <w:tc>
          <w:tcPr>
            <w:tcW w:w="3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1986.54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脂肪瘤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2109.34</w:t>
            </w:r>
          </w:p>
        </w:tc>
        <w:tc>
          <w:tcPr>
            <w:tcW w:w="3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1729.53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骨质疏松（诊断组）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4389.72</w:t>
            </w:r>
          </w:p>
        </w:tc>
        <w:tc>
          <w:tcPr>
            <w:tcW w:w="3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24392.23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面瘫（面神经炎）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3306.04</w:t>
            </w:r>
          </w:p>
        </w:tc>
        <w:tc>
          <w:tcPr>
            <w:tcW w:w="3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2647.63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尪痹（类风湿性关节炎）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3115.62</w:t>
            </w:r>
          </w:p>
        </w:tc>
        <w:tc>
          <w:tcPr>
            <w:tcW w:w="3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2511.34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出血性中风（脑出血）(诊断组)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3917.25</w:t>
            </w:r>
          </w:p>
        </w:tc>
        <w:tc>
          <w:tcPr>
            <w:tcW w:w="3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3454.77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肛周疾病（诊断组）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3891.22</w:t>
            </w:r>
          </w:p>
        </w:tc>
        <w:tc>
          <w:tcPr>
            <w:tcW w:w="3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4651.42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eastAsia="zh-CN"/>
              </w:rPr>
              <w:t>关节滑膜炎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3001.94</w:t>
            </w:r>
          </w:p>
        </w:tc>
        <w:tc>
          <w:tcPr>
            <w:tcW w:w="3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2826.65</w:t>
            </w:r>
          </w:p>
        </w:tc>
      </w:tr>
    </w:tbl>
    <w:p/>
    <w:p/>
    <w:tbl>
      <w:tblPr>
        <w:tblStyle w:val="5"/>
        <w:tblW w:w="875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2062"/>
        <w:gridCol w:w="2126"/>
        <w:gridCol w:w="1701"/>
        <w:gridCol w:w="16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7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医院特色专科住院患者前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位单病种平均费用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疾病名称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（按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ICD-10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编码分类）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术式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本期平均费用（元）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上期平均费用（元）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腰腿痛（腰椎间盘突出症）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2534.33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1888.25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中风病（脑梗死）恢复期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3609.70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3296.45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膝痹病（膝关节骨性关节炎）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2298.05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1107.75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尪痹（类风湿性关节炎）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3115.62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2511.34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eastAsia="zh-CN"/>
              </w:rPr>
              <w:t>脊髓型颈椎病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3005.18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2392.29</w:t>
            </w:r>
          </w:p>
        </w:tc>
      </w:tr>
    </w:tbl>
    <w:p>
      <w:r>
        <w:br w:type="page"/>
      </w:r>
    </w:p>
    <w:tbl>
      <w:tblPr>
        <w:tblStyle w:val="5"/>
        <w:tblW w:w="82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63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br w:type="page"/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 w:val="28"/>
                <w:szCs w:val="28"/>
              </w:rPr>
              <w:t>附件</w:t>
            </w:r>
            <w:r>
              <w:rPr>
                <w:rFonts w:ascii="黑体" w:hAnsi="宋体" w:eastAsia="黑体" w:cs="宋体"/>
                <w:b/>
                <w:bCs/>
                <w:kern w:val="0"/>
                <w:sz w:val="28"/>
                <w:szCs w:val="28"/>
              </w:rPr>
              <w:t xml:space="preserve">4-3             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 w:val="28"/>
                <w:szCs w:val="28"/>
              </w:rPr>
              <w:t>医疗机构服务承诺内容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黑体" w:hAnsi="宋体" w:eastAsia="黑体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6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承诺服务内容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在医疗服务活动中，谢绝接受患者及其亲友的“红包”、物品馈赠。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严格执行药品集中招标采购制度，对中标药品严格按合同采购，努力降低药品价格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不向科室下达任务指标，不搞对药品、仪器检查、化验报告及其他特殊检查等实行“开单提成”办法。拒绝私自利用医院检查仪器收受“红包”、吃请。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根据患者病情，因病施治，科学合理检查，合理治疗，合理用药，不开大处方，依法合理收费。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礼貌接诊，热情服务，态度和蔼，不推诿、训斥、刁难病人，文明行医。积极开展咨询义诊活动。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尊重患者的选择权、知情权和监督权，执行医务公开。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严格执行国家物价政策，不分解收费，不超标准收费，不自立项收费。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严格执行价格公示制度，利用公示栏显示医疗服务及药品等价格。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坚持“首诊负责制”和群众投诉首接负责制，聘请社会监督员，认真听取社会各界对医院的意见和建议，群众意见查办率达</w:t>
            </w:r>
            <w:r>
              <w:rPr>
                <w:rFonts w:ascii="宋体" w:hAnsi="宋体" w:cs="宋体"/>
                <w:kern w:val="0"/>
                <w:sz w:val="24"/>
              </w:rPr>
              <w:t>100%</w:t>
            </w:r>
            <w:r>
              <w:rPr>
                <w:rFonts w:hint="eastAsia" w:ascii="宋体" w:hAnsi="宋体" w:cs="宋体"/>
                <w:kern w:val="0"/>
                <w:sz w:val="24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医院内部一切财务收支有单位财务部门统一管理，严禁科室承包及收入分成。</w:t>
            </w:r>
          </w:p>
        </w:tc>
      </w:tr>
    </w:tbl>
    <w:p>
      <w:pPr>
        <w:pStyle w:val="4"/>
        <w:shd w:val="clear" w:color="auto" w:fill="FFFFFF"/>
        <w:spacing w:before="0" w:beforeAutospacing="0" w:after="0" w:afterAutospacing="0" w:line="480" w:lineRule="exact"/>
        <w:jc w:val="both"/>
        <w:rPr>
          <w:rFonts w:cs="Times New Roman"/>
          <w:kern w:val="2"/>
        </w:rPr>
      </w:pPr>
    </w:p>
    <w:p>
      <w:pPr>
        <w:pStyle w:val="4"/>
        <w:shd w:val="clear" w:color="auto" w:fill="FFFFFF"/>
        <w:spacing w:before="0" w:beforeAutospacing="0" w:after="0" w:afterAutospacing="0" w:line="480" w:lineRule="exact"/>
        <w:jc w:val="both"/>
        <w:rPr>
          <w:rFonts w:cs="Times New Roman"/>
          <w:kern w:val="2"/>
        </w:rPr>
      </w:pPr>
    </w:p>
    <w:p>
      <w:pPr>
        <w:pStyle w:val="4"/>
        <w:shd w:val="clear" w:color="auto" w:fill="FFFFFF"/>
        <w:spacing w:before="0" w:beforeAutospacing="0" w:after="0" w:afterAutospacing="0" w:line="480" w:lineRule="exact"/>
        <w:jc w:val="both"/>
        <w:rPr>
          <w:rFonts w:cs="Times New Roman"/>
          <w:kern w:val="2"/>
        </w:rPr>
      </w:pPr>
    </w:p>
    <w:p>
      <w:pPr>
        <w:pStyle w:val="4"/>
        <w:shd w:val="clear" w:color="auto" w:fill="FFFFFF"/>
        <w:spacing w:before="0" w:beforeAutospacing="0" w:after="0" w:afterAutospacing="0" w:line="480" w:lineRule="exact"/>
        <w:jc w:val="both"/>
        <w:rPr>
          <w:rFonts w:cs="Times New Roman"/>
          <w:kern w:val="2"/>
        </w:rPr>
      </w:pPr>
    </w:p>
    <w:p>
      <w:pPr>
        <w:pStyle w:val="4"/>
        <w:shd w:val="clear" w:color="auto" w:fill="FFFFFF"/>
        <w:spacing w:before="0" w:beforeAutospacing="0" w:after="0" w:afterAutospacing="0" w:line="480" w:lineRule="exact"/>
        <w:jc w:val="both"/>
        <w:rPr>
          <w:rFonts w:cs="Times New Roman"/>
          <w:kern w:val="2"/>
        </w:rPr>
      </w:pPr>
    </w:p>
    <w:p>
      <w:pPr>
        <w:pStyle w:val="4"/>
        <w:shd w:val="clear" w:color="auto" w:fill="FFFFFF"/>
        <w:spacing w:before="0" w:beforeAutospacing="0" w:after="0" w:afterAutospacing="0" w:line="480" w:lineRule="exact"/>
        <w:jc w:val="both"/>
        <w:rPr>
          <w:rFonts w:cs="Times New Roman"/>
          <w:kern w:val="2"/>
        </w:rPr>
      </w:pPr>
    </w:p>
    <w:p>
      <w:pPr>
        <w:pStyle w:val="4"/>
        <w:shd w:val="clear" w:color="auto" w:fill="FFFFFF"/>
        <w:spacing w:before="0" w:beforeAutospacing="0" w:after="0" w:afterAutospacing="0" w:line="480" w:lineRule="exact"/>
        <w:jc w:val="both"/>
        <w:rPr>
          <w:rFonts w:cs="Times New Roman"/>
          <w:kern w:val="2"/>
        </w:rPr>
      </w:pPr>
    </w:p>
    <w:p>
      <w:pPr>
        <w:pStyle w:val="4"/>
        <w:shd w:val="clear" w:color="auto" w:fill="FFFFFF"/>
        <w:spacing w:before="0" w:beforeAutospacing="0" w:after="0" w:afterAutospacing="0" w:line="480" w:lineRule="exact"/>
        <w:jc w:val="both"/>
        <w:rPr>
          <w:rFonts w:cs="Times New Roman"/>
          <w:kern w:val="2"/>
        </w:rPr>
      </w:pPr>
    </w:p>
    <w:p>
      <w:pPr>
        <w:pStyle w:val="4"/>
        <w:shd w:val="clear" w:color="auto" w:fill="FFFFFF"/>
        <w:spacing w:before="0" w:beforeAutospacing="0" w:after="0" w:afterAutospacing="0" w:line="480" w:lineRule="exact"/>
        <w:jc w:val="both"/>
        <w:rPr>
          <w:rFonts w:cs="Times New Roman"/>
          <w:kern w:val="2"/>
        </w:rPr>
      </w:pPr>
    </w:p>
    <w:p>
      <w:pPr>
        <w:pStyle w:val="4"/>
        <w:shd w:val="clear" w:color="auto" w:fill="FFFFFF"/>
        <w:spacing w:before="0" w:beforeAutospacing="0" w:after="0" w:afterAutospacing="0" w:line="480" w:lineRule="exact"/>
        <w:jc w:val="both"/>
        <w:rPr>
          <w:rFonts w:cs="Times New Roman"/>
          <w:kern w:val="2"/>
        </w:rPr>
      </w:pPr>
    </w:p>
    <w:p>
      <w:pPr>
        <w:pStyle w:val="4"/>
        <w:shd w:val="clear" w:color="auto" w:fill="FFFFFF"/>
        <w:spacing w:before="0" w:beforeAutospacing="0" w:after="0" w:afterAutospacing="0" w:line="480" w:lineRule="exact"/>
        <w:jc w:val="both"/>
        <w:rPr>
          <w:rFonts w:cs="Times New Roman"/>
          <w:kern w:val="2"/>
        </w:rPr>
      </w:pPr>
    </w:p>
    <w:p>
      <w:pPr>
        <w:pStyle w:val="4"/>
        <w:shd w:val="clear" w:color="auto" w:fill="FFFFFF"/>
        <w:spacing w:before="0" w:beforeAutospacing="0" w:after="0" w:afterAutospacing="0" w:line="480" w:lineRule="exact"/>
        <w:jc w:val="both"/>
        <w:rPr>
          <w:rFonts w:cs="Times New Roman"/>
          <w:kern w:val="2"/>
        </w:rPr>
      </w:pPr>
    </w:p>
    <w:p>
      <w:pPr>
        <w:pStyle w:val="4"/>
        <w:shd w:val="clear" w:color="auto" w:fill="FFFFFF"/>
        <w:spacing w:before="0" w:beforeAutospacing="0" w:after="0" w:afterAutospacing="0" w:line="480" w:lineRule="exact"/>
        <w:jc w:val="both"/>
        <w:rPr>
          <w:rFonts w:cs="Times New Roman"/>
          <w:kern w:val="2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b/>
          <w:sz w:val="28"/>
          <w:szCs w:val="28"/>
        </w:rPr>
        <w:t xml:space="preserve">4-4       </w:t>
      </w:r>
      <w:r>
        <w:rPr>
          <w:rFonts w:hint="eastAsia"/>
          <w:b/>
          <w:sz w:val="28"/>
          <w:szCs w:val="28"/>
        </w:rPr>
        <w:t>安徽省医疗服务信息社会公开指标说明</w:t>
      </w:r>
    </w:p>
    <w:tbl>
      <w:tblPr>
        <w:tblStyle w:val="5"/>
        <w:tblpPr w:leftFromText="180" w:rightFromText="180" w:vertAnchor="text" w:horzAnchor="margin" w:tblpX="-102" w:tblpY="318"/>
        <w:tblW w:w="90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066"/>
        <w:gridCol w:w="75"/>
        <w:gridCol w:w="140"/>
        <w:gridCol w:w="69"/>
        <w:gridCol w:w="1248"/>
        <w:gridCol w:w="5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91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信息分类</w:t>
            </w:r>
          </w:p>
        </w:tc>
        <w:tc>
          <w:tcPr>
            <w:tcW w:w="259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指标项目</w:t>
            </w:r>
          </w:p>
        </w:tc>
        <w:tc>
          <w:tcPr>
            <w:tcW w:w="5006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指标定义、计算公式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91" w:type="dxa"/>
            <w:vMerge w:val="restart"/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1.</w:t>
            </w:r>
            <w:r>
              <w:rPr>
                <w:rFonts w:hint="eastAsia" w:ascii="宋体" w:hAnsi="宋体"/>
                <w:sz w:val="24"/>
              </w:rPr>
              <w:t>基本情况</w:t>
            </w: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2598" w:type="dxa"/>
            <w:gridSpan w:val="5"/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1.1</w:t>
            </w:r>
            <w:r>
              <w:rPr>
                <w:rFonts w:hint="eastAsia" w:ascii="宋体" w:hAnsi="宋体"/>
                <w:sz w:val="24"/>
              </w:rPr>
              <w:t>医疗机构等级</w:t>
            </w:r>
          </w:p>
        </w:tc>
        <w:tc>
          <w:tcPr>
            <w:tcW w:w="5006" w:type="dxa"/>
            <w:vAlign w:val="center"/>
          </w:tcPr>
          <w:p>
            <w:pPr>
              <w:widowControl/>
              <w:spacing w:line="36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指经各级卫生行政部门评审，确定的医疗机构等级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91" w:type="dxa"/>
            <w:vMerge w:val="continue"/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281" w:type="dxa"/>
            <w:gridSpan w:val="3"/>
            <w:vMerge w:val="restart"/>
            <w:vAlign w:val="center"/>
          </w:tcPr>
          <w:p>
            <w:pPr>
              <w:spacing w:line="36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1.2 </w:t>
            </w:r>
            <w:r>
              <w:rPr>
                <w:rFonts w:hint="eastAsia" w:ascii="宋体" w:hAnsi="宋体"/>
                <w:sz w:val="24"/>
              </w:rPr>
              <w:t>重点（特色）专科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spacing w:line="360" w:lineRule="exact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国家级</w:t>
            </w:r>
          </w:p>
        </w:tc>
        <w:tc>
          <w:tcPr>
            <w:tcW w:w="5006" w:type="dxa"/>
            <w:vMerge w:val="restart"/>
            <w:vAlign w:val="center"/>
          </w:tcPr>
          <w:p>
            <w:pPr>
              <w:widowControl/>
              <w:spacing w:line="36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列举经各级卫生行政部门评定的重点专科名称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91" w:type="dxa"/>
            <w:vMerge w:val="continue"/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281" w:type="dxa"/>
            <w:gridSpan w:val="3"/>
            <w:vMerge w:val="continue"/>
            <w:vAlign w:val="center"/>
          </w:tcPr>
          <w:p>
            <w:pPr>
              <w:spacing w:line="36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tabs>
                <w:tab w:val="left" w:pos="870"/>
              </w:tabs>
              <w:spacing w:line="360" w:lineRule="exact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省级</w:t>
            </w:r>
          </w:p>
        </w:tc>
        <w:tc>
          <w:tcPr>
            <w:tcW w:w="5006" w:type="dxa"/>
            <w:vMerge w:val="continue"/>
            <w:vAlign w:val="center"/>
          </w:tcPr>
          <w:p>
            <w:pPr>
              <w:tabs>
                <w:tab w:val="left" w:pos="870"/>
              </w:tabs>
              <w:spacing w:line="36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91" w:type="dxa"/>
            <w:vMerge w:val="continue"/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281" w:type="dxa"/>
            <w:gridSpan w:val="3"/>
            <w:vMerge w:val="continue"/>
            <w:vAlign w:val="center"/>
          </w:tcPr>
          <w:p>
            <w:pPr>
              <w:spacing w:line="36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spacing w:line="360" w:lineRule="exact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市级</w:t>
            </w:r>
          </w:p>
        </w:tc>
        <w:tc>
          <w:tcPr>
            <w:tcW w:w="5006" w:type="dxa"/>
            <w:vMerge w:val="continue"/>
            <w:vAlign w:val="center"/>
          </w:tcPr>
          <w:p>
            <w:pPr>
              <w:spacing w:line="36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491" w:type="dxa"/>
            <w:vMerge w:val="continue"/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281" w:type="dxa"/>
            <w:gridSpan w:val="3"/>
            <w:vMerge w:val="continue"/>
            <w:vAlign w:val="center"/>
          </w:tcPr>
          <w:p>
            <w:pPr>
              <w:spacing w:line="36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spacing w:line="360" w:lineRule="exact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院级</w:t>
            </w:r>
          </w:p>
        </w:tc>
        <w:tc>
          <w:tcPr>
            <w:tcW w:w="5006" w:type="dxa"/>
            <w:vAlign w:val="center"/>
          </w:tcPr>
          <w:p>
            <w:pPr>
              <w:spacing w:line="360" w:lineRule="exact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列举</w:t>
            </w:r>
            <w:r>
              <w:rPr>
                <w:rFonts w:hint="eastAsia" w:ascii="宋体" w:hAnsi="宋体"/>
                <w:bCs/>
                <w:sz w:val="24"/>
              </w:rPr>
              <w:t>医疗机构自行评定的特色专科名称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91" w:type="dxa"/>
            <w:vMerge w:val="restart"/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2.</w:t>
            </w:r>
            <w:r>
              <w:rPr>
                <w:rFonts w:hint="eastAsia" w:ascii="宋体" w:hAnsi="宋体"/>
                <w:sz w:val="24"/>
              </w:rPr>
              <w:t>医疗费用</w:t>
            </w:r>
          </w:p>
        </w:tc>
        <w:tc>
          <w:tcPr>
            <w:tcW w:w="2598" w:type="dxa"/>
            <w:gridSpan w:val="5"/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 xml:space="preserve">2.1 </w:t>
            </w:r>
            <w:r>
              <w:rPr>
                <w:rFonts w:hint="eastAsia" w:ascii="宋体" w:hAnsi="宋体"/>
                <w:sz w:val="24"/>
              </w:rPr>
              <w:t>门诊患者人均医疗费用</w:t>
            </w:r>
          </w:p>
        </w:tc>
        <w:tc>
          <w:tcPr>
            <w:tcW w:w="5006" w:type="dxa"/>
            <w:vAlign w:val="center"/>
          </w:tcPr>
          <w:p>
            <w:pPr>
              <w:spacing w:line="36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=</w:t>
            </w:r>
            <w:r>
              <w:rPr>
                <w:rFonts w:hint="eastAsia" w:ascii="宋体" w:hAnsi="宋体"/>
                <w:bCs/>
                <w:sz w:val="24"/>
              </w:rPr>
              <w:t>门诊收入</w:t>
            </w:r>
            <w:r>
              <w:rPr>
                <w:rFonts w:ascii="宋体" w:hAnsi="宋体"/>
                <w:bCs/>
                <w:sz w:val="24"/>
              </w:rPr>
              <w:t>/</w:t>
            </w:r>
            <w:r>
              <w:rPr>
                <w:rFonts w:hint="eastAsia" w:ascii="宋体" w:hAnsi="宋体"/>
                <w:bCs/>
                <w:sz w:val="24"/>
              </w:rPr>
              <w:t>门诊诊疗人次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91" w:type="dxa"/>
            <w:vMerge w:val="continue"/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2598" w:type="dxa"/>
            <w:gridSpan w:val="5"/>
            <w:vAlign w:val="center"/>
          </w:tcPr>
          <w:p>
            <w:pPr>
              <w:spacing w:line="36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2.2 </w:t>
            </w:r>
            <w:r>
              <w:rPr>
                <w:rFonts w:hint="eastAsia" w:ascii="宋体" w:hAnsi="宋体"/>
                <w:sz w:val="24"/>
              </w:rPr>
              <w:t>出院患者人均医疗费用</w:t>
            </w:r>
          </w:p>
        </w:tc>
        <w:tc>
          <w:tcPr>
            <w:tcW w:w="5006" w:type="dxa"/>
            <w:vAlign w:val="center"/>
          </w:tcPr>
          <w:p>
            <w:pPr>
              <w:spacing w:line="36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=</w:t>
            </w:r>
            <w:r>
              <w:rPr>
                <w:rFonts w:hint="eastAsia" w:ascii="宋体" w:hAnsi="宋体"/>
                <w:bCs/>
                <w:sz w:val="24"/>
              </w:rPr>
              <w:t>住院收入</w:t>
            </w:r>
            <w:r>
              <w:rPr>
                <w:rFonts w:ascii="宋体" w:hAnsi="宋体"/>
                <w:bCs/>
                <w:sz w:val="24"/>
              </w:rPr>
              <w:t>/</w:t>
            </w:r>
            <w:r>
              <w:rPr>
                <w:rFonts w:hint="eastAsia" w:ascii="宋体" w:hAnsi="宋体"/>
                <w:bCs/>
                <w:sz w:val="24"/>
              </w:rPr>
              <w:t>出院人次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91" w:type="dxa"/>
            <w:vMerge w:val="continue"/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2598" w:type="dxa"/>
            <w:gridSpan w:val="5"/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2.3 </w:t>
            </w:r>
            <w:r>
              <w:rPr>
                <w:rFonts w:hint="eastAsia" w:ascii="宋体" w:hAnsi="宋体"/>
                <w:sz w:val="24"/>
              </w:rPr>
              <w:t>药品占比</w:t>
            </w:r>
          </w:p>
        </w:tc>
        <w:tc>
          <w:tcPr>
            <w:tcW w:w="5006" w:type="dxa"/>
            <w:vAlign w:val="center"/>
          </w:tcPr>
          <w:p>
            <w:pPr>
              <w:spacing w:line="36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=</w:t>
            </w:r>
            <w:r>
              <w:rPr>
                <w:rFonts w:hint="eastAsia" w:ascii="宋体" w:hAnsi="宋体"/>
                <w:bCs/>
                <w:sz w:val="24"/>
              </w:rPr>
              <w:t>医疗机构药品收入</w:t>
            </w:r>
            <w:r>
              <w:rPr>
                <w:rFonts w:ascii="宋体" w:hAnsi="宋体"/>
                <w:bCs/>
                <w:sz w:val="24"/>
              </w:rPr>
              <w:t>/</w:t>
            </w:r>
            <w:r>
              <w:rPr>
                <w:rFonts w:hint="eastAsia" w:ascii="宋体" w:hAnsi="宋体"/>
                <w:bCs/>
                <w:sz w:val="24"/>
              </w:rPr>
              <w:t>业务收入</w:t>
            </w:r>
            <w:r>
              <w:rPr>
                <w:rFonts w:ascii="宋体" w:hAnsi="宋体"/>
                <w:bCs/>
                <w:sz w:val="24"/>
              </w:rPr>
              <w:t>*100%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91" w:type="dxa"/>
            <w:vMerge w:val="continue"/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2598" w:type="dxa"/>
            <w:gridSpan w:val="5"/>
            <w:vAlign w:val="center"/>
          </w:tcPr>
          <w:p>
            <w:pPr>
              <w:spacing w:line="36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Cs w:val="21"/>
              </w:rPr>
              <w:t>2.3.1</w:t>
            </w:r>
            <w:r>
              <w:rPr>
                <w:rFonts w:hint="eastAsia" w:ascii="宋体" w:hAnsi="宋体"/>
                <w:szCs w:val="21"/>
              </w:rPr>
              <w:t>中药饮片占比</w:t>
            </w:r>
          </w:p>
        </w:tc>
        <w:tc>
          <w:tcPr>
            <w:tcW w:w="5006" w:type="dxa"/>
            <w:vAlign w:val="center"/>
          </w:tcPr>
          <w:p>
            <w:pPr>
              <w:spacing w:line="36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Ansi="宋体"/>
                <w:szCs w:val="21"/>
              </w:rPr>
              <w:t>=</w:t>
            </w:r>
            <w:r>
              <w:rPr>
                <w:rFonts w:hint="eastAsia" w:ascii="宋体" w:hAnsi="宋体"/>
                <w:szCs w:val="21"/>
              </w:rPr>
              <w:t>中药饮片收入（含院内制剂）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药品收入</w:t>
            </w:r>
            <w:r>
              <w:rPr>
                <w:rFonts w:ascii="宋体" w:hAnsi="宋体"/>
                <w:szCs w:val="21"/>
              </w:rPr>
              <w:t>*100%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91" w:type="dxa"/>
            <w:vMerge w:val="continue"/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2598" w:type="dxa"/>
            <w:gridSpan w:val="5"/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2.4 </w:t>
            </w:r>
            <w:r>
              <w:rPr>
                <w:rFonts w:hint="eastAsia" w:ascii="宋体" w:hAnsi="宋体"/>
                <w:sz w:val="24"/>
              </w:rPr>
              <w:t>耗材占比</w:t>
            </w:r>
          </w:p>
        </w:tc>
        <w:tc>
          <w:tcPr>
            <w:tcW w:w="5006" w:type="dxa"/>
            <w:vAlign w:val="center"/>
          </w:tcPr>
          <w:p>
            <w:pPr>
              <w:spacing w:line="36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=</w:t>
            </w:r>
            <w:r>
              <w:rPr>
                <w:rFonts w:hint="eastAsia" w:ascii="宋体" w:hAnsi="宋体"/>
                <w:bCs/>
                <w:sz w:val="24"/>
              </w:rPr>
              <w:t>医疗机构耗材收入</w:t>
            </w:r>
            <w:r>
              <w:rPr>
                <w:rFonts w:ascii="宋体" w:hAnsi="宋体"/>
                <w:bCs/>
                <w:sz w:val="24"/>
              </w:rPr>
              <w:t>/</w:t>
            </w:r>
            <w:r>
              <w:rPr>
                <w:rFonts w:hint="eastAsia" w:ascii="宋体" w:hAnsi="宋体"/>
                <w:bCs/>
                <w:sz w:val="24"/>
              </w:rPr>
              <w:t>业务收入</w:t>
            </w:r>
            <w:r>
              <w:rPr>
                <w:rFonts w:ascii="宋体" w:hAnsi="宋体"/>
                <w:bCs/>
                <w:sz w:val="24"/>
              </w:rPr>
              <w:t>*100%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91" w:type="dxa"/>
            <w:vMerge w:val="continue"/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2598" w:type="dxa"/>
            <w:gridSpan w:val="5"/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2.5 </w:t>
            </w:r>
            <w:r>
              <w:rPr>
                <w:rFonts w:hint="eastAsia" w:ascii="宋体" w:hAnsi="宋体"/>
                <w:sz w:val="24"/>
              </w:rPr>
              <w:t>住院患者前</w:t>
            </w:r>
            <w:r>
              <w:rPr>
                <w:rFonts w:ascii="宋体" w:hAnsi="宋体"/>
                <w:sz w:val="24"/>
              </w:rPr>
              <w:t>20</w:t>
            </w:r>
            <w:r>
              <w:rPr>
                <w:rFonts w:hint="eastAsia" w:ascii="宋体" w:hAnsi="宋体"/>
                <w:sz w:val="24"/>
              </w:rPr>
              <w:t>位单病种平均费用</w:t>
            </w:r>
          </w:p>
        </w:tc>
        <w:tc>
          <w:tcPr>
            <w:tcW w:w="5006" w:type="dxa"/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分别计算医疗机构住院患者前</w:t>
            </w:r>
            <w:r>
              <w:rPr>
                <w:rFonts w:ascii="宋体" w:hAnsi="宋体"/>
                <w:sz w:val="24"/>
              </w:rPr>
              <w:t>20</w:t>
            </w:r>
            <w:r>
              <w:rPr>
                <w:rFonts w:hint="eastAsia" w:ascii="宋体" w:hAnsi="宋体"/>
                <w:sz w:val="24"/>
              </w:rPr>
              <w:t>位单病种的平均费用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91" w:type="dxa"/>
            <w:vMerge w:val="continue"/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2598" w:type="dxa"/>
            <w:gridSpan w:val="5"/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2.6 </w:t>
            </w:r>
            <w:r>
              <w:rPr>
                <w:rFonts w:hint="eastAsia" w:ascii="宋体" w:hAnsi="宋体"/>
                <w:sz w:val="24"/>
              </w:rPr>
              <w:t>医疗机构特色专科住院患者前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位单病种平均费用</w:t>
            </w:r>
          </w:p>
        </w:tc>
        <w:tc>
          <w:tcPr>
            <w:tcW w:w="5006" w:type="dxa"/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分别计算医疗机构特色专科住院患者前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位单病种平均费用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491" w:type="dxa"/>
            <w:vMerge w:val="continue"/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066" w:type="dxa"/>
            <w:vMerge w:val="restart"/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2.7 </w:t>
            </w:r>
            <w:r>
              <w:rPr>
                <w:rFonts w:hint="eastAsia" w:ascii="宋体" w:hAnsi="宋体"/>
                <w:sz w:val="24"/>
                <w:lang w:val="en-GB"/>
              </w:rPr>
              <w:t>医保及新农合实际报销比例</w:t>
            </w: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%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1532" w:type="dxa"/>
            <w:gridSpan w:val="4"/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城镇职工</w:t>
            </w:r>
          </w:p>
        </w:tc>
        <w:tc>
          <w:tcPr>
            <w:tcW w:w="5006" w:type="dxa"/>
            <w:vMerge w:val="restart"/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分别计算三类医保住院患者平均实际报销比例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491" w:type="dxa"/>
            <w:vMerge w:val="continue"/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532" w:type="dxa"/>
            <w:gridSpan w:val="4"/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新农合</w:t>
            </w:r>
          </w:p>
        </w:tc>
        <w:tc>
          <w:tcPr>
            <w:tcW w:w="5006" w:type="dxa"/>
            <w:vMerge w:val="continue"/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491" w:type="dxa"/>
            <w:vMerge w:val="continue"/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532" w:type="dxa"/>
            <w:gridSpan w:val="4"/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城镇居民</w:t>
            </w:r>
          </w:p>
        </w:tc>
        <w:tc>
          <w:tcPr>
            <w:tcW w:w="5006" w:type="dxa"/>
            <w:vMerge w:val="continue"/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91" w:type="dxa"/>
            <w:vMerge w:val="restart"/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3.</w:t>
            </w:r>
            <w:r>
              <w:rPr>
                <w:rFonts w:hint="eastAsia" w:ascii="宋体" w:hAnsi="宋体"/>
                <w:sz w:val="24"/>
              </w:rPr>
              <w:t>医疗质量</w:t>
            </w:r>
          </w:p>
        </w:tc>
        <w:tc>
          <w:tcPr>
            <w:tcW w:w="2598" w:type="dxa"/>
            <w:gridSpan w:val="5"/>
            <w:vAlign w:val="center"/>
          </w:tcPr>
          <w:p>
            <w:pPr>
              <w:widowControl/>
              <w:spacing w:line="360" w:lineRule="exact"/>
              <w:rPr>
                <w:rFonts w:ascii="宋体"/>
                <w:sz w:val="24"/>
                <w:shd w:val="clear" w:color="auto" w:fill="FFFFFF"/>
              </w:rPr>
            </w:pPr>
            <w:r>
              <w:rPr>
                <w:rFonts w:ascii="宋体" w:hAnsi="宋体"/>
                <w:sz w:val="24"/>
                <w:shd w:val="clear" w:color="auto" w:fill="FFFFFF"/>
              </w:rPr>
              <w:t>3.1</w:t>
            </w:r>
            <w:r>
              <w:rPr>
                <w:rFonts w:hint="eastAsia" w:ascii="宋体" w:hAnsi="宋体"/>
                <w:sz w:val="24"/>
                <w:shd w:val="clear" w:color="auto" w:fill="FFFFFF"/>
              </w:rPr>
              <w:t>治愈好转率</w:t>
            </w: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%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5006" w:type="dxa"/>
            <w:vAlign w:val="center"/>
          </w:tcPr>
          <w:p>
            <w:pPr>
              <w:widowControl/>
              <w:spacing w:line="36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=</w:t>
            </w:r>
            <w:r>
              <w:rPr>
                <w:rFonts w:hint="eastAsia" w:ascii="宋体" w:hAnsi="宋体"/>
                <w:bCs/>
                <w:sz w:val="24"/>
              </w:rPr>
              <w:t>治愈好转人次</w:t>
            </w:r>
            <w:r>
              <w:rPr>
                <w:rFonts w:ascii="宋体" w:hAnsi="宋体"/>
                <w:bCs/>
                <w:sz w:val="24"/>
              </w:rPr>
              <w:t>/</w:t>
            </w:r>
            <w:r>
              <w:rPr>
                <w:rFonts w:hint="eastAsia" w:ascii="宋体" w:hAnsi="宋体"/>
                <w:bCs/>
                <w:sz w:val="24"/>
              </w:rPr>
              <w:t>出院人次</w:t>
            </w:r>
            <w:r>
              <w:rPr>
                <w:rFonts w:ascii="宋体" w:hAnsi="宋体"/>
                <w:bCs/>
                <w:sz w:val="24"/>
              </w:rPr>
              <w:t>*100%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91" w:type="dxa"/>
            <w:vMerge w:val="continue"/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2598" w:type="dxa"/>
            <w:gridSpan w:val="5"/>
            <w:vAlign w:val="center"/>
          </w:tcPr>
          <w:p>
            <w:pPr>
              <w:widowControl/>
              <w:spacing w:line="360" w:lineRule="exact"/>
              <w:rPr>
                <w:rFonts w:ascii="宋体"/>
                <w:sz w:val="24"/>
                <w:shd w:val="clear" w:color="auto" w:fill="FFFFFF"/>
              </w:rPr>
            </w:pPr>
            <w:r>
              <w:rPr>
                <w:rFonts w:ascii="宋体" w:hAnsi="宋体"/>
                <w:sz w:val="24"/>
                <w:shd w:val="clear" w:color="auto" w:fill="FFFFFF"/>
              </w:rPr>
              <w:t xml:space="preserve">3.2 </w:t>
            </w:r>
            <w:r>
              <w:rPr>
                <w:rFonts w:hint="eastAsia" w:ascii="宋体" w:hAnsi="宋体"/>
                <w:sz w:val="24"/>
              </w:rPr>
              <w:t>入出院诊断符合率（</w:t>
            </w:r>
            <w:r>
              <w:rPr>
                <w:rFonts w:ascii="宋体" w:hAnsi="宋体"/>
                <w:sz w:val="24"/>
              </w:rPr>
              <w:t>%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5006" w:type="dxa"/>
            <w:vAlign w:val="center"/>
          </w:tcPr>
          <w:p>
            <w:pPr>
              <w:widowControl/>
              <w:spacing w:line="36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Ansi="宋体"/>
                <w:sz w:val="24"/>
              </w:rPr>
              <w:t>=</w:t>
            </w:r>
            <w:r>
              <w:rPr>
                <w:rFonts w:hint="eastAsia" w:ascii="宋体" w:hAnsi="宋体"/>
                <w:sz w:val="24"/>
              </w:rPr>
              <w:t>入出院诊断符合数</w:t>
            </w:r>
            <w:r>
              <w:rPr>
                <w:rFonts w:ascii="宋体" w:hAnsi="宋体"/>
                <w:bCs/>
                <w:sz w:val="24"/>
              </w:rPr>
              <w:t>/</w:t>
            </w:r>
            <w:r>
              <w:rPr>
                <w:rFonts w:hint="eastAsia" w:ascii="宋体" w:hAnsi="宋体"/>
                <w:bCs/>
                <w:sz w:val="24"/>
              </w:rPr>
              <w:t>出院人次</w:t>
            </w:r>
            <w:r>
              <w:rPr>
                <w:rFonts w:ascii="宋体" w:hAnsi="宋体"/>
                <w:bCs/>
                <w:sz w:val="24"/>
              </w:rPr>
              <w:t>*100%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91" w:type="dxa"/>
            <w:vMerge w:val="continue"/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2598" w:type="dxa"/>
            <w:gridSpan w:val="5"/>
            <w:vAlign w:val="center"/>
          </w:tcPr>
          <w:p>
            <w:pPr>
              <w:widowControl/>
              <w:spacing w:line="360" w:lineRule="exact"/>
              <w:rPr>
                <w:rFonts w:ascii="宋体"/>
                <w:sz w:val="24"/>
                <w:shd w:val="clear" w:color="auto" w:fill="FFFFFF"/>
              </w:rPr>
            </w:pPr>
            <w:r>
              <w:rPr>
                <w:rFonts w:ascii="宋体" w:hAnsi="宋体"/>
                <w:sz w:val="24"/>
              </w:rPr>
              <w:t xml:space="preserve">3.3 </w:t>
            </w:r>
            <w:r>
              <w:rPr>
                <w:rFonts w:hint="eastAsia" w:ascii="宋体" w:hAnsi="宋体"/>
                <w:sz w:val="24"/>
              </w:rPr>
              <w:t>手术前后诊断符合率（</w:t>
            </w:r>
            <w:r>
              <w:rPr>
                <w:rFonts w:ascii="宋体" w:hAnsi="宋体"/>
                <w:sz w:val="24"/>
              </w:rPr>
              <w:t>%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5006" w:type="dxa"/>
            <w:vAlign w:val="center"/>
          </w:tcPr>
          <w:p>
            <w:pPr>
              <w:widowControl/>
              <w:spacing w:line="36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Ansi="宋体"/>
                <w:sz w:val="24"/>
              </w:rPr>
              <w:t>=</w:t>
            </w:r>
            <w:r>
              <w:rPr>
                <w:rFonts w:hint="eastAsia" w:ascii="宋体" w:hAnsi="宋体"/>
                <w:sz w:val="24"/>
              </w:rPr>
              <w:t>手术前后诊断符合数</w:t>
            </w:r>
            <w:r>
              <w:rPr>
                <w:rFonts w:ascii="宋体" w:hAnsi="宋体"/>
                <w:bCs/>
                <w:sz w:val="24"/>
              </w:rPr>
              <w:t>/</w:t>
            </w:r>
            <w:r>
              <w:rPr>
                <w:rFonts w:hint="eastAsia" w:ascii="宋体" w:hAnsi="宋体"/>
                <w:bCs/>
                <w:sz w:val="24"/>
              </w:rPr>
              <w:t>出院人次</w:t>
            </w:r>
            <w:r>
              <w:rPr>
                <w:rFonts w:ascii="宋体" w:hAnsi="宋体"/>
                <w:bCs/>
                <w:sz w:val="24"/>
              </w:rPr>
              <w:t>*100%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91" w:type="dxa"/>
            <w:vMerge w:val="continue"/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2598" w:type="dxa"/>
            <w:gridSpan w:val="5"/>
            <w:vAlign w:val="center"/>
          </w:tcPr>
          <w:p>
            <w:pPr>
              <w:widowControl/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3.4 </w:t>
            </w:r>
            <w:r>
              <w:rPr>
                <w:rFonts w:hint="eastAsia" w:ascii="宋体" w:hAnsi="宋体"/>
                <w:sz w:val="24"/>
              </w:rPr>
              <w:t>急诊抢救成功率（</w:t>
            </w:r>
            <w:r>
              <w:rPr>
                <w:rFonts w:ascii="宋体" w:hAnsi="宋体"/>
                <w:sz w:val="24"/>
              </w:rPr>
              <w:t>%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5006" w:type="dxa"/>
            <w:vAlign w:val="center"/>
          </w:tcPr>
          <w:p>
            <w:pPr>
              <w:widowControl/>
              <w:spacing w:line="36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Ansi="宋体"/>
                <w:sz w:val="24"/>
              </w:rPr>
              <w:t>=</w:t>
            </w:r>
            <w:r>
              <w:rPr>
                <w:rFonts w:hint="eastAsia" w:ascii="宋体" w:hAnsi="宋体"/>
                <w:sz w:val="24"/>
              </w:rPr>
              <w:t>急诊抢救成功次数</w:t>
            </w:r>
            <w:r>
              <w:rPr>
                <w:rFonts w:ascii="宋体" w:hAnsi="宋体"/>
                <w:bCs/>
                <w:sz w:val="24"/>
              </w:rPr>
              <w:t>/</w:t>
            </w:r>
            <w:r>
              <w:rPr>
                <w:rFonts w:hint="eastAsia" w:ascii="宋体" w:hAnsi="宋体"/>
                <w:bCs/>
                <w:sz w:val="24"/>
              </w:rPr>
              <w:t>急诊抢救次数</w:t>
            </w:r>
            <w:r>
              <w:rPr>
                <w:rFonts w:ascii="宋体" w:hAnsi="宋体"/>
                <w:bCs/>
                <w:sz w:val="24"/>
              </w:rPr>
              <w:t>*100%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91" w:type="dxa"/>
            <w:vMerge w:val="continue"/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350" w:type="dxa"/>
            <w:gridSpan w:val="4"/>
            <w:vMerge w:val="restart"/>
            <w:vAlign w:val="center"/>
          </w:tcPr>
          <w:p>
            <w:pPr>
              <w:widowControl/>
              <w:spacing w:line="36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3.5</w:t>
            </w:r>
            <w:r>
              <w:rPr>
                <w:rFonts w:hint="eastAsia" w:ascii="宋体" w:hAnsi="宋体"/>
                <w:sz w:val="24"/>
              </w:rPr>
              <w:t>大型设备检查阳性率（</w:t>
            </w:r>
            <w:r>
              <w:rPr>
                <w:rFonts w:ascii="宋体" w:hAnsi="宋体"/>
                <w:sz w:val="24"/>
              </w:rPr>
              <w:t>%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spacing w:line="360" w:lineRule="exact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彩超</w:t>
            </w:r>
          </w:p>
        </w:tc>
        <w:tc>
          <w:tcPr>
            <w:tcW w:w="5006" w:type="dxa"/>
            <w:vMerge w:val="restart"/>
            <w:vAlign w:val="center"/>
          </w:tcPr>
          <w:p>
            <w:pPr>
              <w:widowControl/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=</w:t>
            </w:r>
            <w:r>
              <w:rPr>
                <w:rFonts w:hint="eastAsia" w:ascii="宋体" w:hAnsi="宋体"/>
                <w:sz w:val="24"/>
              </w:rPr>
              <w:t>检查阳性结果数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检查人次数（三项检查分别计算）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91" w:type="dxa"/>
            <w:vMerge w:val="continue"/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350" w:type="dxa"/>
            <w:gridSpan w:val="4"/>
            <w:vMerge w:val="continue"/>
            <w:vAlign w:val="center"/>
          </w:tcPr>
          <w:p>
            <w:pPr>
              <w:widowControl/>
              <w:spacing w:line="36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widowControl/>
              <w:spacing w:line="36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Ansi="宋体"/>
                <w:sz w:val="24"/>
              </w:rPr>
              <w:t>CT</w:t>
            </w:r>
          </w:p>
        </w:tc>
        <w:tc>
          <w:tcPr>
            <w:tcW w:w="5006" w:type="dxa"/>
            <w:vMerge w:val="continue"/>
            <w:vAlign w:val="center"/>
          </w:tcPr>
          <w:p>
            <w:pPr>
              <w:widowControl/>
              <w:spacing w:line="36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91" w:type="dxa"/>
            <w:vMerge w:val="continue"/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350" w:type="dxa"/>
            <w:gridSpan w:val="4"/>
            <w:vMerge w:val="continue"/>
            <w:vAlign w:val="center"/>
          </w:tcPr>
          <w:p>
            <w:pPr>
              <w:widowControl/>
              <w:spacing w:line="36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widowControl/>
              <w:spacing w:line="36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Ansi="宋体"/>
                <w:sz w:val="24"/>
              </w:rPr>
              <w:t>MRI</w:t>
            </w:r>
          </w:p>
        </w:tc>
        <w:tc>
          <w:tcPr>
            <w:tcW w:w="5006" w:type="dxa"/>
            <w:vMerge w:val="continue"/>
            <w:vAlign w:val="center"/>
          </w:tcPr>
          <w:p>
            <w:pPr>
              <w:widowControl/>
              <w:spacing w:line="36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91" w:type="dxa"/>
            <w:vMerge w:val="continue"/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2598" w:type="dxa"/>
            <w:gridSpan w:val="5"/>
            <w:vAlign w:val="center"/>
          </w:tcPr>
          <w:p>
            <w:pPr>
              <w:spacing w:line="36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3.6</w:t>
            </w:r>
            <w:r>
              <w:rPr>
                <w:rFonts w:hint="eastAsia" w:ascii="宋体" w:hAnsi="宋体"/>
                <w:bCs/>
                <w:sz w:val="24"/>
              </w:rPr>
              <w:t>抗菌药物使用强度</w:t>
            </w:r>
          </w:p>
        </w:tc>
        <w:tc>
          <w:tcPr>
            <w:tcW w:w="5006" w:type="dxa"/>
            <w:vAlign w:val="center"/>
          </w:tcPr>
          <w:p>
            <w:pPr>
              <w:widowControl/>
              <w:spacing w:line="36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抗菌药物使用强度</w:t>
            </w:r>
            <w:r>
              <w:rPr>
                <w:rFonts w:ascii="宋体" w:hAnsi="宋体"/>
                <w:sz w:val="24"/>
              </w:rPr>
              <w:t>=</w:t>
            </w:r>
            <w:r>
              <w:rPr>
                <w:rFonts w:hint="eastAsia" w:ascii="宋体" w:hAnsi="宋体"/>
                <w:sz w:val="24"/>
              </w:rPr>
              <w:t>抗菌药物消耗量（累计</w:t>
            </w:r>
            <w:r>
              <w:rPr>
                <w:rFonts w:ascii="宋体" w:hAnsi="宋体"/>
                <w:sz w:val="24"/>
              </w:rPr>
              <w:t>DDD</w:t>
            </w:r>
            <w:r>
              <w:rPr>
                <w:rFonts w:hint="eastAsia" w:ascii="宋体" w:hAnsi="宋体"/>
                <w:sz w:val="24"/>
              </w:rPr>
              <w:t>值）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（出院患者人数×平均住院天数）</w:t>
            </w:r>
            <w:r>
              <w:rPr>
                <w:rFonts w:ascii="宋体" w:hAnsi="宋体"/>
                <w:bCs/>
                <w:sz w:val="24"/>
              </w:rPr>
              <w:t>*100%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91" w:type="dxa"/>
            <w:vMerge w:val="continue"/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2598" w:type="dxa"/>
            <w:gridSpan w:val="5"/>
            <w:vAlign w:val="center"/>
          </w:tcPr>
          <w:p>
            <w:pPr>
              <w:spacing w:line="36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3.7</w:t>
            </w:r>
            <w:r>
              <w:rPr>
                <w:rFonts w:hint="eastAsia" w:ascii="宋体" w:hAnsi="宋体"/>
                <w:bCs/>
                <w:sz w:val="24"/>
              </w:rPr>
              <w:t>门诊输液率</w:t>
            </w: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%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5006" w:type="dxa"/>
            <w:vAlign w:val="center"/>
          </w:tcPr>
          <w:p>
            <w:pPr>
              <w:widowControl/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=</w:t>
            </w:r>
            <w:r>
              <w:rPr>
                <w:rFonts w:hint="eastAsia" w:ascii="宋体" w:hAnsi="宋体"/>
                <w:sz w:val="24"/>
              </w:rPr>
              <w:t>门诊输液人次数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门诊诊疗人次</w:t>
            </w:r>
            <w:r>
              <w:rPr>
                <w:rFonts w:ascii="宋体" w:hAnsi="宋体"/>
                <w:bCs/>
                <w:sz w:val="24"/>
              </w:rPr>
              <w:t>*100%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91" w:type="dxa"/>
            <w:vMerge w:val="continue"/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2598" w:type="dxa"/>
            <w:gridSpan w:val="5"/>
            <w:vAlign w:val="center"/>
          </w:tcPr>
          <w:p>
            <w:pPr>
              <w:spacing w:line="36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3.8</w:t>
            </w:r>
            <w:r>
              <w:rPr>
                <w:rFonts w:hint="eastAsia" w:ascii="宋体" w:hAnsi="宋体"/>
                <w:bCs/>
                <w:sz w:val="24"/>
              </w:rPr>
              <w:t>无菌手术切口感染率</w:t>
            </w: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%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5006" w:type="dxa"/>
            <w:vAlign w:val="center"/>
          </w:tcPr>
          <w:p>
            <w:pPr>
              <w:widowControl/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=</w:t>
            </w:r>
            <w:r>
              <w:rPr>
                <w:rFonts w:hint="eastAsia" w:ascii="宋体" w:hAnsi="宋体"/>
                <w:bCs/>
                <w:sz w:val="24"/>
              </w:rPr>
              <w:t>无菌手术切口感染</w:t>
            </w:r>
            <w:r>
              <w:rPr>
                <w:rFonts w:hint="eastAsia" w:ascii="宋体" w:hAnsi="宋体"/>
                <w:sz w:val="24"/>
              </w:rPr>
              <w:t>数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无菌手术人次</w:t>
            </w:r>
            <w:r>
              <w:rPr>
                <w:rFonts w:ascii="宋体" w:hAnsi="宋体"/>
                <w:bCs/>
                <w:sz w:val="24"/>
              </w:rPr>
              <w:t>*100%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91" w:type="dxa"/>
            <w:vMerge w:val="continue"/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2598" w:type="dxa"/>
            <w:gridSpan w:val="5"/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3.9 </w:t>
            </w:r>
            <w:r>
              <w:rPr>
                <w:rFonts w:hint="eastAsia" w:ascii="宋体" w:hAnsi="宋体"/>
                <w:sz w:val="24"/>
              </w:rPr>
              <w:t>住院患者压疮发生率（</w:t>
            </w:r>
            <w:r>
              <w:rPr>
                <w:rFonts w:ascii="宋体" w:hAnsi="宋体"/>
                <w:sz w:val="24"/>
              </w:rPr>
              <w:t>%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5006" w:type="dxa"/>
            <w:vAlign w:val="center"/>
          </w:tcPr>
          <w:p>
            <w:pPr>
              <w:widowControl/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=</w:t>
            </w:r>
            <w:r>
              <w:rPr>
                <w:rFonts w:hint="eastAsia" w:ascii="宋体" w:hAnsi="宋体"/>
                <w:sz w:val="24"/>
              </w:rPr>
              <w:t>发生压疮的患者人次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出院患者人次</w:t>
            </w:r>
            <w:r>
              <w:rPr>
                <w:rFonts w:ascii="宋体" w:hAnsi="宋体"/>
                <w:bCs/>
                <w:sz w:val="24"/>
              </w:rPr>
              <w:t>*100%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91" w:type="dxa"/>
            <w:vMerge w:val="restart"/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4.</w:t>
            </w:r>
            <w:r>
              <w:rPr>
                <w:rFonts w:hint="eastAsia" w:ascii="宋体" w:hAnsi="宋体"/>
                <w:sz w:val="24"/>
              </w:rPr>
              <w:t>运行效率</w:t>
            </w:r>
          </w:p>
        </w:tc>
        <w:tc>
          <w:tcPr>
            <w:tcW w:w="2598" w:type="dxa"/>
            <w:gridSpan w:val="5"/>
            <w:vAlign w:val="center"/>
          </w:tcPr>
          <w:p>
            <w:pPr>
              <w:spacing w:line="36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4.1 </w:t>
            </w:r>
            <w:r>
              <w:rPr>
                <w:rFonts w:hint="eastAsia" w:ascii="宋体" w:hAnsi="宋体"/>
                <w:sz w:val="24"/>
              </w:rPr>
              <w:t>门诊挂号预约率</w:t>
            </w:r>
          </w:p>
        </w:tc>
        <w:tc>
          <w:tcPr>
            <w:tcW w:w="5006" w:type="dxa"/>
            <w:vAlign w:val="center"/>
          </w:tcPr>
          <w:p>
            <w:pPr>
              <w:widowControl/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=</w:t>
            </w:r>
            <w:r>
              <w:rPr>
                <w:rFonts w:hint="eastAsia" w:ascii="宋体" w:hAnsi="宋体"/>
                <w:sz w:val="24"/>
              </w:rPr>
              <w:t>门诊预约挂号数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门诊挂号数</w:t>
            </w:r>
            <w:r>
              <w:rPr>
                <w:rFonts w:ascii="宋体" w:hAnsi="宋体"/>
                <w:bCs/>
                <w:sz w:val="24"/>
              </w:rPr>
              <w:t>*100%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1" w:type="dxa"/>
            <w:vMerge w:val="continue"/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141" w:type="dxa"/>
            <w:gridSpan w:val="2"/>
            <w:vMerge w:val="restart"/>
            <w:vAlign w:val="center"/>
          </w:tcPr>
          <w:p>
            <w:pPr>
              <w:spacing w:line="36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 xml:space="preserve">4.2 </w:t>
            </w:r>
            <w:r>
              <w:rPr>
                <w:rFonts w:hint="eastAsia" w:ascii="宋体" w:hAnsi="宋体"/>
                <w:bCs/>
                <w:sz w:val="24"/>
              </w:rPr>
              <w:t>术前待床日（天）</w:t>
            </w:r>
          </w:p>
        </w:tc>
        <w:tc>
          <w:tcPr>
            <w:tcW w:w="1457" w:type="dxa"/>
            <w:gridSpan w:val="3"/>
            <w:vAlign w:val="center"/>
          </w:tcPr>
          <w:p>
            <w:pPr>
              <w:spacing w:line="360" w:lineRule="exact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二类手术</w:t>
            </w:r>
          </w:p>
        </w:tc>
        <w:tc>
          <w:tcPr>
            <w:tcW w:w="5006" w:type="dxa"/>
            <w:vMerge w:val="restart"/>
            <w:vAlign w:val="center"/>
          </w:tcPr>
          <w:p>
            <w:pPr>
              <w:widowControl/>
              <w:spacing w:line="36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分别计算各类手术患者从入院时点至手术时点的平均等候时间，以天为单位计算。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1" w:type="dxa"/>
            <w:vMerge w:val="continue"/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141" w:type="dxa"/>
            <w:gridSpan w:val="2"/>
            <w:vMerge w:val="continue"/>
            <w:vAlign w:val="center"/>
          </w:tcPr>
          <w:p>
            <w:pPr>
              <w:spacing w:line="36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457" w:type="dxa"/>
            <w:gridSpan w:val="3"/>
            <w:vAlign w:val="center"/>
          </w:tcPr>
          <w:p>
            <w:pPr>
              <w:spacing w:line="360" w:lineRule="exact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三类手术</w:t>
            </w:r>
          </w:p>
        </w:tc>
        <w:tc>
          <w:tcPr>
            <w:tcW w:w="5006" w:type="dxa"/>
            <w:vMerge w:val="continue"/>
            <w:vAlign w:val="center"/>
          </w:tcPr>
          <w:p>
            <w:pPr>
              <w:widowControl/>
              <w:spacing w:line="36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91" w:type="dxa"/>
            <w:vMerge w:val="continue"/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141" w:type="dxa"/>
            <w:gridSpan w:val="2"/>
            <w:vMerge w:val="continue"/>
            <w:vAlign w:val="center"/>
          </w:tcPr>
          <w:p>
            <w:pPr>
              <w:spacing w:line="36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457" w:type="dxa"/>
            <w:gridSpan w:val="3"/>
            <w:vAlign w:val="center"/>
          </w:tcPr>
          <w:p>
            <w:pPr>
              <w:spacing w:line="360" w:lineRule="exact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四类手术</w:t>
            </w:r>
          </w:p>
        </w:tc>
        <w:tc>
          <w:tcPr>
            <w:tcW w:w="5006" w:type="dxa"/>
            <w:vMerge w:val="continue"/>
            <w:vAlign w:val="center"/>
          </w:tcPr>
          <w:p>
            <w:pPr>
              <w:widowControl/>
              <w:spacing w:line="36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91" w:type="dxa"/>
            <w:vMerge w:val="continue"/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2598" w:type="dxa"/>
            <w:gridSpan w:val="5"/>
            <w:vAlign w:val="center"/>
          </w:tcPr>
          <w:p>
            <w:pPr>
              <w:spacing w:line="36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4.3</w:t>
            </w:r>
            <w:r>
              <w:rPr>
                <w:rFonts w:hint="eastAsia" w:ascii="宋体" w:hAnsi="宋体"/>
                <w:bCs/>
                <w:sz w:val="24"/>
              </w:rPr>
              <w:t>病床使用率</w:t>
            </w: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%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5006" w:type="dxa"/>
            <w:vAlign w:val="center"/>
          </w:tcPr>
          <w:p>
            <w:pPr>
              <w:widowControl/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=</w:t>
            </w:r>
            <w:r>
              <w:rPr>
                <w:rFonts w:hint="eastAsia" w:ascii="宋体" w:hAnsi="宋体"/>
                <w:sz w:val="24"/>
              </w:rPr>
              <w:t>实际占用总床日数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实际开放总床日数</w:t>
            </w:r>
            <w:r>
              <w:rPr>
                <w:rFonts w:ascii="宋体" w:hAnsi="宋体"/>
                <w:sz w:val="24"/>
              </w:rPr>
              <w:t>*100%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91" w:type="dxa"/>
            <w:vMerge w:val="continue"/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2598" w:type="dxa"/>
            <w:gridSpan w:val="5"/>
            <w:vAlign w:val="center"/>
          </w:tcPr>
          <w:p>
            <w:pPr>
              <w:spacing w:line="36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 xml:space="preserve">4.4 </w:t>
            </w:r>
            <w:r>
              <w:rPr>
                <w:rFonts w:hint="eastAsia" w:ascii="宋体" w:hAnsi="宋体"/>
                <w:bCs/>
                <w:sz w:val="24"/>
              </w:rPr>
              <w:t>出院者平均住院日（天）</w:t>
            </w:r>
          </w:p>
        </w:tc>
        <w:tc>
          <w:tcPr>
            <w:tcW w:w="5006" w:type="dxa"/>
            <w:vAlign w:val="center"/>
          </w:tcPr>
          <w:p>
            <w:pPr>
              <w:widowControl/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=</w:t>
            </w:r>
            <w:r>
              <w:rPr>
                <w:rFonts w:hint="eastAsia" w:ascii="宋体" w:hAnsi="宋体"/>
                <w:sz w:val="24"/>
              </w:rPr>
              <w:t>出院者占用总床日数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出院人次数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91" w:type="dxa"/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5.</w:t>
            </w:r>
            <w:r>
              <w:rPr>
                <w:rFonts w:hint="eastAsia" w:ascii="宋体" w:hAnsi="宋体"/>
                <w:sz w:val="24"/>
              </w:rPr>
              <w:t>患者满意度</w:t>
            </w:r>
          </w:p>
        </w:tc>
        <w:tc>
          <w:tcPr>
            <w:tcW w:w="2598" w:type="dxa"/>
            <w:gridSpan w:val="5"/>
            <w:vAlign w:val="center"/>
          </w:tcPr>
          <w:p>
            <w:pPr>
              <w:spacing w:line="360" w:lineRule="exact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总体满意度</w:t>
            </w: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%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5006" w:type="dxa"/>
            <w:vAlign w:val="center"/>
          </w:tcPr>
          <w:p>
            <w:pPr>
              <w:widowControl/>
              <w:spacing w:line="36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以第三方机构调查报告数据为准。三级医疗机构和省属医疗机构应用省卫生计生委满意度评价。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491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6.</w:t>
            </w:r>
            <w:r>
              <w:rPr>
                <w:rFonts w:hint="eastAsia" w:ascii="宋体" w:hAnsi="宋体"/>
                <w:sz w:val="24"/>
              </w:rPr>
              <w:t>服务承诺</w:t>
            </w:r>
          </w:p>
        </w:tc>
        <w:tc>
          <w:tcPr>
            <w:tcW w:w="7604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医疗机构主动向社会承诺的服务内容（含我省医疗机构统一和自选）</w:t>
            </w:r>
          </w:p>
        </w:tc>
      </w:tr>
    </w:tbl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/>
    <w:sectPr>
      <w:pgSz w:w="11906" w:h="16838"/>
      <w:pgMar w:top="1247" w:right="1797" w:bottom="124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A82"/>
    <w:rsid w:val="000E44D6"/>
    <w:rsid w:val="00127150"/>
    <w:rsid w:val="00165705"/>
    <w:rsid w:val="00175A67"/>
    <w:rsid w:val="00236634"/>
    <w:rsid w:val="00297335"/>
    <w:rsid w:val="002A0DF6"/>
    <w:rsid w:val="002A7EE4"/>
    <w:rsid w:val="00465D93"/>
    <w:rsid w:val="0047062A"/>
    <w:rsid w:val="004D129F"/>
    <w:rsid w:val="005A6AD9"/>
    <w:rsid w:val="005F4975"/>
    <w:rsid w:val="005F7C20"/>
    <w:rsid w:val="00610B48"/>
    <w:rsid w:val="00683B31"/>
    <w:rsid w:val="006D2034"/>
    <w:rsid w:val="00737C10"/>
    <w:rsid w:val="007D5F70"/>
    <w:rsid w:val="00816907"/>
    <w:rsid w:val="00871454"/>
    <w:rsid w:val="008903D0"/>
    <w:rsid w:val="00900987"/>
    <w:rsid w:val="00A42583"/>
    <w:rsid w:val="00A43416"/>
    <w:rsid w:val="00AB50BC"/>
    <w:rsid w:val="00B15843"/>
    <w:rsid w:val="00B80B0D"/>
    <w:rsid w:val="00C16259"/>
    <w:rsid w:val="00C201DF"/>
    <w:rsid w:val="00C61E97"/>
    <w:rsid w:val="00CD42C7"/>
    <w:rsid w:val="00CE18D0"/>
    <w:rsid w:val="00D710E2"/>
    <w:rsid w:val="00D82C0D"/>
    <w:rsid w:val="00D90B09"/>
    <w:rsid w:val="00DA627E"/>
    <w:rsid w:val="00E60A63"/>
    <w:rsid w:val="00E84555"/>
    <w:rsid w:val="00ED1A82"/>
    <w:rsid w:val="00F357E5"/>
    <w:rsid w:val="00F4535D"/>
    <w:rsid w:val="00F957D5"/>
    <w:rsid w:val="040676B3"/>
    <w:rsid w:val="06DB3449"/>
    <w:rsid w:val="0A6D152E"/>
    <w:rsid w:val="0B3B5DCC"/>
    <w:rsid w:val="11665FFF"/>
    <w:rsid w:val="29116A59"/>
    <w:rsid w:val="2C57263C"/>
    <w:rsid w:val="4B8E0B26"/>
    <w:rsid w:val="4E4B6239"/>
    <w:rsid w:val="515C2E24"/>
    <w:rsid w:val="56ED1C33"/>
    <w:rsid w:val="59C3190F"/>
    <w:rsid w:val="5C95578C"/>
    <w:rsid w:val="60620E16"/>
    <w:rsid w:val="66F9368D"/>
    <w:rsid w:val="6C401A7B"/>
    <w:rsid w:val="6E44226F"/>
    <w:rsid w:val="770E11C2"/>
    <w:rsid w:val="7B95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Header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6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7</Pages>
  <Words>527</Words>
  <Characters>3009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2017-04-19T02:18:00Z</dcterms:created>
  <dc:creator>User</dc:creator>
  <cp:lastModifiedBy>灵璧县卫生健康委员会</cp:lastModifiedBy>
  <cp:lastPrinted>2019-05-07T07:34:00Z</cp:lastPrinted>
  <dcterms:modified xsi:type="dcterms:W3CDTF">2021-04-14T01:31:39Z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D78EA7E52FFB4F96A271C21F1CC32D00</vt:lpwstr>
  </property>
</Properties>
</file>