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5692B">
      <w:pPr>
        <w:widowControl/>
        <w:spacing w:after="156" w:afterLines="50" w:line="360" w:lineRule="auto"/>
        <w:jc w:val="center"/>
        <w:outlineLvl w:val="0"/>
        <w:rPr>
          <w:rFonts w:ascii="宋体" w:hAnsi="Times New Roman" w:eastAsia="宋体" w:cs="宋体"/>
          <w:b w:val="0"/>
          <w:bCs w:val="0"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宋体" w:hAnsi="Times New Roman" w:eastAsia="宋体" w:cs="宋体"/>
          <w:b w:val="0"/>
          <w:bCs w:val="0"/>
          <w:color w:val="auto"/>
          <w:kern w:val="2"/>
          <w:sz w:val="36"/>
          <w:szCs w:val="36"/>
          <w:highlight w:val="none"/>
          <w:lang w:val="en-US" w:eastAsia="zh-CN" w:bidi="ar-SA"/>
        </w:rPr>
        <w:t>招标需求</w:t>
      </w:r>
    </w:p>
    <w:p w14:paraId="1D609E45">
      <w:pPr>
        <w:spacing w:line="240" w:lineRule="auto"/>
        <w:rPr>
          <w:rFonts w:ascii="Times New Roman" w:hAnsi="Times New Roman" w:eastAsia="宋体" w:cs="Times New Roman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</w:pPr>
    </w:p>
    <w:p w14:paraId="25F57CE5">
      <w:pPr>
        <w:spacing w:line="360" w:lineRule="auto"/>
        <w:rPr>
          <w:rFonts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</w:pPr>
      <w:r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  <w:t>一、</w:t>
      </w:r>
      <w:r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zh-TW" w:eastAsia="zh-TW" w:bidi="ar-SA"/>
        </w:rPr>
        <w:t>项目名称</w:t>
      </w:r>
      <w:r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  <w:t>：灵璧县现代公共交通运输有限责任公司纯电动公交车采购项目</w:t>
      </w:r>
    </w:p>
    <w:p w14:paraId="4635C7EF">
      <w:pPr>
        <w:spacing w:line="360" w:lineRule="auto"/>
        <w:rPr>
          <w:rFonts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</w:pPr>
      <w:r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  <w:t>二、采购预算：</w:t>
      </w:r>
      <w:r>
        <w:rPr>
          <w:rFonts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  <w:t>350</w:t>
      </w:r>
      <w:r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  <w:t>万元</w:t>
      </w:r>
      <w:bookmarkStart w:id="0" w:name="_GoBack"/>
      <w:bookmarkEnd w:id="0"/>
      <w:r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  <w:t>（含税）</w:t>
      </w:r>
    </w:p>
    <w:p w14:paraId="643A2B30">
      <w:pPr>
        <w:spacing w:line="360" w:lineRule="auto"/>
        <w:rPr>
          <w:rFonts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</w:pPr>
      <w:r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  <w:t>三、交货期：</w:t>
      </w:r>
      <w:r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1"/>
          <w:highlight w:val="none"/>
          <w:lang w:val="en-US" w:eastAsia="zh-CN" w:bidi="ar-SA"/>
        </w:rPr>
        <w:t>45天</w:t>
      </w:r>
    </w:p>
    <w:p w14:paraId="7D57F067">
      <w:pPr>
        <w:spacing w:line="360" w:lineRule="auto"/>
        <w:rPr>
          <w:rFonts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</w:pPr>
      <w:r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  <w:t>四、采购内容：</w:t>
      </w:r>
      <w:r>
        <w:rPr>
          <w:rFonts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  <w:t>14</w:t>
      </w:r>
      <w:r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  <w:t>台5米级无站立区纯电动公交车</w:t>
      </w:r>
    </w:p>
    <w:p w14:paraId="3F3C9A5F">
      <w:pPr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</w:pPr>
      <w:r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  <w:t>五、技术要求</w:t>
      </w:r>
    </w:p>
    <w:tbl>
      <w:tblPr>
        <w:tblStyle w:val="10"/>
        <w:tblW w:w="9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553"/>
        <w:gridCol w:w="5177"/>
        <w:gridCol w:w="1653"/>
      </w:tblGrid>
      <w:tr w14:paraId="77E25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62A9D3AC">
            <w:pPr>
              <w:spacing w:line="300" w:lineRule="exact"/>
              <w:rPr>
                <w:rFonts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6730" w:type="dxa"/>
            <w:gridSpan w:val="2"/>
            <w:shd w:val="clear" w:color="auto" w:fill="auto"/>
            <w:vAlign w:val="center"/>
          </w:tcPr>
          <w:p w14:paraId="1498BFD5">
            <w:pPr>
              <w:spacing w:line="300" w:lineRule="exact"/>
              <w:rPr>
                <w:rFonts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5米级技术要求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9A33009">
            <w:pPr>
              <w:spacing w:line="300" w:lineRule="exact"/>
              <w:rPr>
                <w:rFonts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备注</w:t>
            </w:r>
          </w:p>
        </w:tc>
      </w:tr>
      <w:tr w14:paraId="00F1A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6CA5B233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48EA195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▲车型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7E4BE7CE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无站立区纯电动公交车。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BD90F66">
            <w:pPr>
              <w:spacing w:line="300" w:lineRule="exact"/>
              <w:rPr>
                <w:rFonts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  <w:tr w14:paraId="001A2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71CAD86E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2BE5AC7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国家补贴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2E3BEDE2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提供的纯电动客车车型交付时须进入《减免车辆购置税的新能源汽车车型目录》。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2FC0F82">
            <w:pPr>
              <w:spacing w:line="300" w:lineRule="exact"/>
              <w:rPr>
                <w:rFonts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  <w:tr w14:paraId="7B074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2EBEDC90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54C975B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公告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375AED91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进入国家汽车产品公告目录；符合国家及用户有关技术与质量标准；保证车辆符合上牌条件。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43FE055">
            <w:pPr>
              <w:spacing w:line="300" w:lineRule="exact"/>
              <w:rPr>
                <w:rFonts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  <w:tr w14:paraId="79D2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03BB320E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E518897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▲车辆长度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5BEF8744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5999mm≥长≥5800mm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2809AEA">
            <w:pPr>
              <w:spacing w:line="300" w:lineRule="exact"/>
              <w:rPr>
                <w:rFonts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  <w:tr w14:paraId="5C5D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41A30D6B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22C5C67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车辆宽度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709E5467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2100mm≥宽≥1950mm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DDD0F98">
            <w:pPr>
              <w:spacing w:line="300" w:lineRule="exact"/>
              <w:rPr>
                <w:rFonts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  <w:tr w14:paraId="60AA5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1933D714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F8BF952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车辆高度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37B39670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2800mm≥高≥2200mm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7BF1D88">
            <w:pPr>
              <w:spacing w:line="300" w:lineRule="exact"/>
              <w:rPr>
                <w:rFonts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  <w:tr w14:paraId="0274E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4BE4AF0C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6D18642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▲接近角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60D3AB8A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≥22°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27BD3D7">
            <w:pPr>
              <w:spacing w:line="300" w:lineRule="exact"/>
              <w:rPr>
                <w:rFonts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  <w:tr w14:paraId="3EF79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41EF720D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02D0789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▲离去角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1AE6D387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≥15°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F050EA4">
            <w:pPr>
              <w:spacing w:line="300" w:lineRule="exact"/>
              <w:rPr>
                <w:rFonts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  <w:tr w14:paraId="71E19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5913CBD1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E506BCC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▲轴距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00F6D978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≥3800mm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9B1B86B">
            <w:pPr>
              <w:spacing w:line="300" w:lineRule="exact"/>
              <w:rPr>
                <w:rFonts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  <w:tr w14:paraId="5B0F9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179A6909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D03628F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核载人数、座位数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322770EF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12+1座位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597DADE">
            <w:pPr>
              <w:spacing w:line="300" w:lineRule="exact"/>
              <w:rPr>
                <w:rFonts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  <w:tr w14:paraId="5F0D6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74D330AC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7FE4C46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▲整备质量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270D9349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2700kg＜整备质量＜3000kg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41ED275">
            <w:pPr>
              <w:spacing w:line="300" w:lineRule="exact"/>
              <w:rPr>
                <w:rFonts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  <w:tr w14:paraId="6375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44C8E87C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36CE4E0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轮胎规格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64516989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215/75R16LT、195/75R16LT或者符合各种复杂工况的优质轮胎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309E430">
            <w:pPr>
              <w:spacing w:line="300" w:lineRule="exact"/>
              <w:rPr>
                <w:rFonts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  <w:tr w14:paraId="52A26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0881F49A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F64A61F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噪音限值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47867271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噪音限值优于或符合国家标准。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4A8E66C">
            <w:pPr>
              <w:spacing w:line="300" w:lineRule="exact"/>
              <w:rPr>
                <w:rFonts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  <w:tr w14:paraId="0A21E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301" w:type="dxa"/>
            <w:gridSpan w:val="4"/>
            <w:shd w:val="clear" w:color="auto" w:fill="auto"/>
            <w:vAlign w:val="center"/>
          </w:tcPr>
          <w:p w14:paraId="5BBF28CA">
            <w:pPr>
              <w:spacing w:line="300" w:lineRule="exact"/>
              <w:rPr>
                <w:rFonts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动力系统</w:t>
            </w:r>
          </w:p>
        </w:tc>
      </w:tr>
      <w:tr w14:paraId="2546F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207269DB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1157C20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充电形式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42D0E5CB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磷酸铁锂动力电池充电倍率具备1C及以上充电能力。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2BE88E8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  <w:tr w14:paraId="01D6A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0353D4E1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2B49010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▲动力电池组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1E4A24FA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动力电池电芯和电池PACK为同一家企业、磷酸铁锂电池，独立液冷，防护等级IP67及以上。质保8年，质保期内衰减不超过20%。电池舱配备自动报警灭火系统。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00F5733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高压电池舱自动灭火系统。质保：8年。</w:t>
            </w:r>
          </w:p>
        </w:tc>
      </w:tr>
      <w:tr w14:paraId="1EA98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1F873F41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65D2751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▲驱动电机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68A528A1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永磁同步液冷电机。额定功率＞60KW，峰值功率＞160KW。质保8年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14DFA31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  <w:tr w14:paraId="12F21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37B2A501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17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5420566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▲控制器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3807B22A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电池管理系统（BMS）可以监控每个单体的温度、电压、电流、电量、并有采用主动均衡技术，满足各种极端工况要求。控制器质保8年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5A2E909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  <w:tr w14:paraId="2D664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4875760E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18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D44B4D4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储能容量/密度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029FFE90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储能容量不低于80kWh，系统电池能量密度不低于140Wh/kg，与公告内容一致。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0A21396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  <w:tr w14:paraId="2190E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341DD94C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19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623892C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高压舱、动力电池箱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214726FE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电池箱布局合理，安装位置满足防撞、涉水深度要求，检修方便。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65A2626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  <w:tr w14:paraId="6B6C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6A4D35C7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FC622D4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充电接口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6D3D7DA5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采用国标直流充电插座，满足单充电口最大充电电流达250A能力，符合国标。同时具备拔枪时灭弧功能。充放电多重安全监测报警保护，杜绝过充过放，发生意外情况主动切断高压。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79A83B4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充电接口。质保：8年。</w:t>
            </w:r>
          </w:p>
        </w:tc>
      </w:tr>
      <w:tr w14:paraId="5D699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4DAC8141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21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3EDE5EA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冷却系统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320911F9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智能电控冷却系统，符合节能、耐用、稳定性要求。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67012F7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冷却系统。质保：8年。</w:t>
            </w:r>
          </w:p>
        </w:tc>
      </w:tr>
      <w:tr w14:paraId="0F264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301" w:type="dxa"/>
            <w:gridSpan w:val="4"/>
            <w:shd w:val="clear" w:color="auto" w:fill="auto"/>
            <w:vAlign w:val="center"/>
          </w:tcPr>
          <w:p w14:paraId="4F6292B4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底盘系统</w:t>
            </w:r>
          </w:p>
        </w:tc>
      </w:tr>
      <w:tr w14:paraId="7C7FB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00990186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22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F593EEE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转向助力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3F52EA37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电子助力转向。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D723858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电子助力转向系统。质保：5年。</w:t>
            </w:r>
          </w:p>
        </w:tc>
      </w:tr>
      <w:tr w14:paraId="192BA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1D7D2E4F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23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D87E46A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悬架系统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24789826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前独立悬架，后少片簧。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9F8FAE3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悬架系统。质保：5年。</w:t>
            </w:r>
          </w:p>
        </w:tc>
      </w:tr>
      <w:tr w14:paraId="4446B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50032185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B57A93B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智能辅助、制动系统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062A89F8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前后盘式制动器，自动驻车+坡道起步辅助+刹车辅助+电子驻车制动。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1A605F5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  <w:tr w14:paraId="3F1F8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692EE278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25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9A36321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轮胎及轮辋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17F4A019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 xml:space="preserve">专用真空胎。 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FCAA87C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轮胎及轮毂。质保：4年或20万公里，每台车辆须备有备胎。</w:t>
            </w:r>
          </w:p>
        </w:tc>
      </w:tr>
      <w:tr w14:paraId="66A6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10FF8297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26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196399F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胎压监测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708FC69C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具备胎压监测、温度显示（仪表显示）功能。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3653FBF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  <w:tr w14:paraId="5EEC1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1358A71F">
            <w:pPr>
              <w:spacing w:line="300" w:lineRule="exact"/>
              <w:rPr>
                <w:rFonts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27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D6F6BF4">
            <w:pPr>
              <w:spacing w:line="300" w:lineRule="exact"/>
              <w:rPr>
                <w:rFonts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电器线束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69D722AD">
            <w:pPr>
              <w:spacing w:line="300" w:lineRule="exact"/>
              <w:ind w:firstLine="420" w:firstLineChars="200"/>
              <w:rPr>
                <w:rFonts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整车线束按厂家标配；符合JT/T1240-2019标准。高压线束质保：8年。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BD15D51">
            <w:pPr>
              <w:spacing w:line="300" w:lineRule="exact"/>
              <w:rPr>
                <w:rFonts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  <w:tr w14:paraId="28F92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2794F628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28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B442CD7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灯具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076A9F85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采用一体式组合大灯加雾灯。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C524A70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  <w:tr w14:paraId="39C92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4CF282AE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29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A63C658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蓄电池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4E8FB683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≥40Ah。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4519C0D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蓄电池。质保：3年。</w:t>
            </w:r>
          </w:p>
        </w:tc>
      </w:tr>
      <w:tr w14:paraId="2DDCB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4356D350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30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F57E441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车身漆色图案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2918CC1B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车身油漆采用汽车专用漆，颜色为黑色，车身图案按照招标人要求设计。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4850351">
            <w:pPr>
              <w:spacing w:line="300" w:lineRule="exact"/>
              <w:ind w:firstLine="420" w:firstLineChars="200"/>
              <w:rPr>
                <w:rFonts w:hint="default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颜色</w:t>
            </w:r>
          </w:p>
        </w:tc>
      </w:tr>
      <w:tr w14:paraId="56806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301" w:type="dxa"/>
            <w:gridSpan w:val="4"/>
            <w:shd w:val="clear" w:color="auto" w:fill="auto"/>
            <w:vAlign w:val="center"/>
          </w:tcPr>
          <w:p w14:paraId="61E51BFF">
            <w:pPr>
              <w:spacing w:line="300" w:lineRule="exact"/>
              <w:rPr>
                <w:rFonts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车厢</w:t>
            </w:r>
          </w:p>
        </w:tc>
      </w:tr>
      <w:tr w14:paraId="0E8ED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428FA38D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31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005FF2A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车门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0D6D7210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右侧电动车门,质保4年或20万公里，以先到为准。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D31FE89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  <w:tr w14:paraId="52635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74B1FC27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32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B6BF72C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司机座椅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5D68E6B4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安全带未系报警，手动6向可调座椅+右侧扶手。质保4年或20万公里，以先到为准。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93D2652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  <w:tr w14:paraId="5989D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39BDEB7C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33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50218B4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乘客座椅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2F70DE7E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质保4年或20万公里，以先到为准。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80D87EE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  <w:tr w14:paraId="76067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751D1622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34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3A6269D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地板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0A035A58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PVC材料+客车防滑地板革。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D982ECE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  <w:tr w14:paraId="5B9D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05DE3CFE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35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D554261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内饰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723B014E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整体式内饰，颜色与整个车厢环境相协调。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F36A1B1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  <w:tr w14:paraId="622E9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1E44D924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36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27293D6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仪表台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2149B52A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全液晶仪表TFT，带倒车中控屏≥10寸。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AAEDF3C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  <w:tr w14:paraId="00E0D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18AAECE0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37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DB90139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倒车影像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5112986D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倒车影像+倒车雷达。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1D108BA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  <w:tr w14:paraId="69678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4B878A9D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38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D842D3B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窗帘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4A554713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整车商务窗帘。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A4F8C0B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  <w:tr w14:paraId="1BCD7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26F1C305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39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762EEFB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后视镜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40691BAE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配备电加热功能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45858E5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  <w:tr w14:paraId="5C3BC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500F00F1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40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66659D9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整车启动方式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3843EB97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一键启动。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2F22D28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  <w:tr w14:paraId="4C6CF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301" w:type="dxa"/>
            <w:gridSpan w:val="4"/>
            <w:shd w:val="clear" w:color="auto" w:fill="auto"/>
            <w:vAlign w:val="center"/>
          </w:tcPr>
          <w:p w14:paraId="7DBC3FE2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空调</w:t>
            </w:r>
          </w:p>
        </w:tc>
      </w:tr>
      <w:tr w14:paraId="75A2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4A1293D0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41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5DAAEF2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电动冷暖空调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490E0EF7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采用电动冷暖空调，乘客区配置暖风口。空调主机（管路、前 HVAC、冷凝器总成）+PTC质保5年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66CF90A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质保：5年（含易损件）。</w:t>
            </w:r>
          </w:p>
        </w:tc>
      </w:tr>
      <w:tr w14:paraId="34A69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301" w:type="dxa"/>
            <w:gridSpan w:val="4"/>
            <w:shd w:val="clear" w:color="auto" w:fill="auto"/>
            <w:vAlign w:val="center"/>
          </w:tcPr>
          <w:p w14:paraId="063F28F3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其它</w:t>
            </w:r>
          </w:p>
        </w:tc>
      </w:tr>
      <w:tr w14:paraId="4A427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26F86DB8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42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CF558BF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随车工具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2690F97A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含工具袋、三角警告牌、反光背心。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A1D59A1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  <w:tr w14:paraId="7E991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0AB1AF24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43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40FA015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智能调度终端及电子设施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682767CA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车载智能调度终端包括主机，触摸显示屏及按键等设备，集视频监控，数据集中存储，统一传输等功能，并对所有外设的数据进行接收、汇总、分析、存储和传输等，必须无条件开放与相关车载设施信息上传通讯端口。线束高度集成。满足设备高集成度。高可靠性，高标准化。（与现有灵璧公交调度系统兼容，能免费接入现有管理平台、满足招标人使用要求）</w:t>
            </w:r>
          </w:p>
          <w:p w14:paraId="4ACDCCE2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1、具备自动报站功能；</w:t>
            </w:r>
          </w:p>
          <w:p w14:paraId="0E0C48A2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2、具备智能调度功能：</w:t>
            </w:r>
          </w:p>
          <w:p w14:paraId="46083DC7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3、具备8路4G监控功能；（视频存储时间≥15天）</w:t>
            </w:r>
          </w:p>
          <w:p w14:paraId="0341A66C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4、具备中，后门及倒车监控：</w:t>
            </w:r>
          </w:p>
          <w:p w14:paraId="01BADFAF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5、具备CAN总线，485通信（与车内CAN总线对接，后台实时展现CAN总线数据，与车内LED屏及站节牌对接，需达到信息联动）；</w:t>
            </w:r>
          </w:p>
          <w:p w14:paraId="787FFE1B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6、具备一键报警功能，后台可实时报警并弹出视频；</w:t>
            </w:r>
          </w:p>
          <w:p w14:paraId="5BE59FD0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7、具备专用麦克，驾驶员可以对内对外喊话及网络通话功能；</w:t>
            </w:r>
          </w:p>
          <w:p w14:paraId="2D9399BA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8、具备发车倒计时功能；</w:t>
            </w:r>
          </w:p>
          <w:p w14:paraId="2F56249C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9、具备驾驶员行为分析功能（打电话，打哈欠，抽烟等预警），车辆运行监测车道偏离，防撞预警，后台能实时调取预警信息（图片及短视频），便于取证；</w:t>
            </w:r>
          </w:p>
          <w:p w14:paraId="7BD37A55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10、1T固态硬盘存储，7寸信息显示键盘终端4G模块，并向下兼容3G网络，可平滑升级到5G全网通，北斗单模定位模块；</w:t>
            </w:r>
          </w:p>
          <w:p w14:paraId="45653211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11、质保：①、智能调度终端8年；②、主动安全预警系统设备质保：8年；③、一键报警质保：8年。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72FAF6E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  <w:tr w14:paraId="082CC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69C03CA0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44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6E1586A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IC卡机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7B5A6702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1、采用32位高速处理器，主频528MHZ，支持Linux操作系统。支持4G全网通，并可平滑升级到5G全网通。支持GPS/BDS定位，与车载智能IC卡机调度终端进行站点定位信息匹配。</w:t>
            </w:r>
          </w:p>
          <w:p w14:paraId="248F3F3E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2、IC卡电子收费机兼容CPU卡、M1卡、自发卡、一卡通等IC卡支付。支持微信、支付宝、企业自发码等二维码扫码及NFC支付，支持二维码双离线消费。</w:t>
            </w:r>
          </w:p>
          <w:p w14:paraId="35022B9D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3、支持分段计价和换乘优惠功能，能够查看完整的IC卡和二维码消费记录，同时具备营收收入自动统计功能。预留IC卡机安装位置及电源线束，使用独立电源控制及通讯模块。通过 RS232,RS485,CAN接口和车载调度终端连接传输数据。</w:t>
            </w:r>
          </w:p>
          <w:p w14:paraId="270B79B1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4、车载机应安装带锁具的后托架模具，并将机具嵌入至后托架上锁定，机具朝向既要保证司机监票，也要保证乘客刷卡方便。</w:t>
            </w:r>
          </w:p>
          <w:p w14:paraId="0ED4B06D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5、车载机工作电压12V~36V，供电线路由车载机专用电源线提前安装。</w:t>
            </w:r>
          </w:p>
          <w:p w14:paraId="6F2E2DF4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6、预留一路刷卡机线束（与现有灵壁公交公司一致），质保8年。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 w14:paraId="538CB055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  <w:tr w14:paraId="71563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29B33944">
            <w:pPr>
              <w:spacing w:line="300" w:lineRule="exact"/>
              <w:rPr>
                <w:rFonts w:hint="default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45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32A523B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续航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3026B852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一次充满电后，在预留20％电量的情况下，在灵璧气候、道路条件、空调开启制冷模式或开启制暖模式、开启暖风、车辆满载情况下实际续驶里程≥220km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 w14:paraId="71D924C8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  <w:tr w14:paraId="46214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179F08F4">
            <w:pPr>
              <w:spacing w:line="300" w:lineRule="exact"/>
              <w:rPr>
                <w:rFonts w:hint="default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46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69F17D4">
            <w:pPr>
              <w:spacing w:line="300" w:lineRule="exact"/>
              <w:rPr>
                <w:rFonts w:hint="default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除霜装置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4BEC832D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1、采用电热暖风除霜系统，电气绝缘隔离性能满足安全防护要求，除霜效果保证玻璃的正常可视。</w:t>
            </w:r>
          </w:p>
          <w:p w14:paraId="3C657C7A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2、电热除霜器前加装防撞装置，防止碰撞后漏电事故的发生。质保5年。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 w14:paraId="31A216D6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  <w:tr w14:paraId="47163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165FBA2D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47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F7D131A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车辆360度环视系统：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213D44A6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可同时采集车辆四周影像，司机可通过中控屏获知车辆周围情况、转弯及倒车时的动态轨迹。质保：5年。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 w14:paraId="505E97C0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  <w:tr w14:paraId="55CA6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3BA6FD6B">
            <w:pPr>
              <w:spacing w:line="300" w:lineRule="exact"/>
              <w:rPr>
                <w:rFonts w:hint="default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48</w:t>
            </w:r>
          </w:p>
        </w:tc>
        <w:tc>
          <w:tcPr>
            <w:tcW w:w="6730" w:type="dxa"/>
            <w:gridSpan w:val="2"/>
            <w:shd w:val="clear" w:color="auto" w:fill="auto"/>
            <w:vAlign w:val="center"/>
          </w:tcPr>
          <w:p w14:paraId="4DFDFFC3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车厢内配备2只4kgABC类干粉灭火器。配备不锈钢支架，安装位置按车厢前后布置，且保证至少有一只在司机身侧，配备不低于3把防盗报警安全锤（司机身侧一把）。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 w14:paraId="4DCC556A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  <w:tr w14:paraId="0AD0D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316FB147">
            <w:pPr>
              <w:spacing w:line="300" w:lineRule="exact"/>
              <w:rPr>
                <w:rFonts w:hint="default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49</w:t>
            </w:r>
          </w:p>
        </w:tc>
        <w:tc>
          <w:tcPr>
            <w:tcW w:w="6730" w:type="dxa"/>
            <w:gridSpan w:val="2"/>
            <w:shd w:val="clear" w:color="auto" w:fill="auto"/>
            <w:vAlign w:val="center"/>
          </w:tcPr>
          <w:p w14:paraId="1ED3CDE2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提供车辆电器原理图，布线图及其它需用图线详细说明的内容。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 w14:paraId="7B8B440E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  <w:tr w14:paraId="1BE2B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32C86B1B">
            <w:pPr>
              <w:spacing w:line="300" w:lineRule="exact"/>
              <w:rPr>
                <w:rFonts w:hint="default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50</w:t>
            </w:r>
          </w:p>
        </w:tc>
        <w:tc>
          <w:tcPr>
            <w:tcW w:w="6730" w:type="dxa"/>
            <w:gridSpan w:val="2"/>
            <w:shd w:val="clear" w:color="auto" w:fill="auto"/>
            <w:vAlign w:val="center"/>
          </w:tcPr>
          <w:p w14:paraId="7DF4AB69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所有零配件须是原厂配件，质量有保障。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 w14:paraId="29EF08AE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  <w:tr w14:paraId="54762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689BF549">
            <w:pPr>
              <w:spacing w:line="300" w:lineRule="exact"/>
              <w:rPr>
                <w:rFonts w:hint="default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51</w:t>
            </w:r>
          </w:p>
        </w:tc>
        <w:tc>
          <w:tcPr>
            <w:tcW w:w="6730" w:type="dxa"/>
            <w:gridSpan w:val="2"/>
            <w:shd w:val="clear" w:color="auto" w:fill="auto"/>
            <w:vAlign w:val="center"/>
          </w:tcPr>
          <w:p w14:paraId="65F7EDF6">
            <w:pPr>
              <w:spacing w:line="300" w:lineRule="exact"/>
              <w:ind w:firstLine="420" w:firstLineChars="200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其它配置：本配置表未列入部分按厂家标准配置。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 w14:paraId="49F7B374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  <w:tr w14:paraId="20529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5CC1221C">
            <w:pPr>
              <w:spacing w:line="300" w:lineRule="exact"/>
              <w:rPr>
                <w:rFonts w:hint="default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52</w:t>
            </w:r>
          </w:p>
        </w:tc>
        <w:tc>
          <w:tcPr>
            <w:tcW w:w="6730" w:type="dxa"/>
            <w:gridSpan w:val="2"/>
            <w:shd w:val="clear" w:color="auto" w:fill="auto"/>
            <w:vAlign w:val="center"/>
          </w:tcPr>
          <w:p w14:paraId="7DBD7C97">
            <w:pPr>
              <w:spacing w:line="300" w:lineRule="exact"/>
              <w:ind w:firstLine="420" w:firstLineChars="200"/>
              <w:rPr>
                <w:rFonts w:hint="default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  <w:t>本采购车辆为前置长头流线型纯电动新能源公交车，采用经典尖头长头车身结构，区别于传统平头公交。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 w14:paraId="2EECE6AF">
            <w:pPr>
              <w:spacing w:line="300" w:lineRule="exact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46FE9537">
      <w:pPr>
        <w:spacing w:line="360" w:lineRule="auto"/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</w:pPr>
      <w:r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  <w:t xml:space="preserve">六、验收标准和方法 </w:t>
      </w:r>
    </w:p>
    <w:p w14:paraId="38623B97">
      <w:pPr>
        <w:spacing w:line="360" w:lineRule="auto"/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</w:pPr>
      <w:r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  <w:t xml:space="preserve">6.1中标后签订供货合同，按供货合同进行验收，中标人产品经过双方检验认可后，签署验收文件。 </w:t>
      </w:r>
    </w:p>
    <w:p w14:paraId="109D8820">
      <w:pPr>
        <w:spacing w:line="360" w:lineRule="auto"/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</w:pPr>
      <w:r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  <w:t>6.2验收由代理公司负责组织：</w:t>
      </w:r>
    </w:p>
    <w:p w14:paraId="0FACF816">
      <w:pPr>
        <w:spacing w:line="360" w:lineRule="auto"/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</w:pPr>
      <w:r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  <w:t>（1）成立验收小组，验收人员由技术专家组成。</w:t>
      </w:r>
    </w:p>
    <w:p w14:paraId="1AC93388">
      <w:pPr>
        <w:spacing w:line="360" w:lineRule="auto"/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</w:pPr>
      <w:r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  <w:t>（2）验收小组严格依照招标文件、投标文件、资格证明文件、中标通知书、合同书等履行验收手续。</w:t>
      </w:r>
    </w:p>
    <w:p w14:paraId="7004C1A9">
      <w:pPr>
        <w:spacing w:line="360" w:lineRule="auto"/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</w:pPr>
      <w:r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  <w:t>（3）验收结束，形成验收结论，并出具书面验收报告。</w:t>
      </w:r>
    </w:p>
    <w:p w14:paraId="242FF53B">
      <w:pPr>
        <w:spacing w:line="360" w:lineRule="auto"/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</w:pPr>
      <w:r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  <w:t xml:space="preserve">（4）验收过程发生的费用由中标人承担。 </w:t>
      </w:r>
    </w:p>
    <w:p w14:paraId="6CAA4941">
      <w:pPr>
        <w:spacing w:line="360" w:lineRule="auto"/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</w:pPr>
      <w:r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  <w:t>6.3中标后，最终验收时间以签订的合同为准。</w:t>
      </w:r>
    </w:p>
    <w:p w14:paraId="6F8AD12B">
      <w:pPr>
        <w:spacing w:line="360" w:lineRule="auto"/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</w:pPr>
      <w:r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  <w:t xml:space="preserve">七、售后服务 </w:t>
      </w:r>
    </w:p>
    <w:p w14:paraId="269A0EC5">
      <w:pPr>
        <w:spacing w:line="360" w:lineRule="auto"/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</w:pPr>
      <w:r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  <w:t>★免费质保期：按招标文件技术参数要求进行售后服务及保修承诺。</w:t>
      </w:r>
    </w:p>
    <w:p w14:paraId="2355F0B2">
      <w:pPr>
        <w:spacing w:line="360" w:lineRule="auto"/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</w:pPr>
      <w:r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  <w:t>八、付款方式：</w:t>
      </w:r>
    </w:p>
    <w:p w14:paraId="57480674">
      <w:pPr>
        <w:spacing w:line="360" w:lineRule="auto"/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</w:pPr>
      <w:r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  <w:t>1、以合同签订为准；</w:t>
      </w:r>
    </w:p>
    <w:p w14:paraId="2A4CE427">
      <w:pPr>
        <w:spacing w:line="360" w:lineRule="auto"/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</w:pPr>
      <w:r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  <w:t>九、其他要求：</w:t>
      </w:r>
    </w:p>
    <w:p w14:paraId="6B0CF7C4">
      <w:pPr>
        <w:spacing w:line="360" w:lineRule="auto"/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</w:pPr>
      <w:r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  <w:t>1、交货时间：45天，并提供合格证、 发票等上牌、上户相关材料。</w:t>
      </w:r>
    </w:p>
    <w:p w14:paraId="1F13F874">
      <w:pPr>
        <w:spacing w:line="360" w:lineRule="auto"/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</w:pPr>
      <w:r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  <w:t>2、交货地点及说明：中标人交付至灵璧县，交付所产生的费用由中标人自行承担。</w:t>
      </w:r>
    </w:p>
    <w:p w14:paraId="7C21A329">
      <w:pPr>
        <w:spacing w:line="360" w:lineRule="auto"/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</w:pPr>
      <w:r>
        <w:rPr>
          <w:rFonts w:hint="eastAsia" w:ascii="宋体" w:hAnsi="Times New Roman" w:eastAsia="宋体" w:cs="宋体"/>
          <w:b w:val="0"/>
          <w:bCs w:val="0"/>
          <w:color w:val="auto"/>
          <w:kern w:val="2"/>
          <w:szCs w:val="24"/>
          <w:highlight w:val="none"/>
          <w:lang w:val="en-US" w:eastAsia="zh-CN" w:bidi="ar-SA"/>
        </w:rPr>
        <w:t>十、其他未涉及事项，双方另行协商。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54416"/>
    <w:rsid w:val="00B13186"/>
    <w:rsid w:val="023F3BBA"/>
    <w:rsid w:val="02E80535"/>
    <w:rsid w:val="03C44116"/>
    <w:rsid w:val="05002B6F"/>
    <w:rsid w:val="068E3768"/>
    <w:rsid w:val="06C438AF"/>
    <w:rsid w:val="06EF519A"/>
    <w:rsid w:val="0948638C"/>
    <w:rsid w:val="0A0276B4"/>
    <w:rsid w:val="0B4153D8"/>
    <w:rsid w:val="0E3D1F0C"/>
    <w:rsid w:val="0EB66047"/>
    <w:rsid w:val="0F034277"/>
    <w:rsid w:val="0F2077D8"/>
    <w:rsid w:val="0F6E3272"/>
    <w:rsid w:val="104D3E92"/>
    <w:rsid w:val="10723DDF"/>
    <w:rsid w:val="10F23652"/>
    <w:rsid w:val="118566FE"/>
    <w:rsid w:val="11BC7066"/>
    <w:rsid w:val="12374CB3"/>
    <w:rsid w:val="138273CE"/>
    <w:rsid w:val="154148ED"/>
    <w:rsid w:val="15C060C7"/>
    <w:rsid w:val="168A026F"/>
    <w:rsid w:val="17B778D8"/>
    <w:rsid w:val="184A028D"/>
    <w:rsid w:val="184B5853"/>
    <w:rsid w:val="1A30655B"/>
    <w:rsid w:val="1B632FBD"/>
    <w:rsid w:val="1C36071E"/>
    <w:rsid w:val="1C6D218F"/>
    <w:rsid w:val="1C886A4A"/>
    <w:rsid w:val="1D9A3CB6"/>
    <w:rsid w:val="1E7551A3"/>
    <w:rsid w:val="1F0C2CC5"/>
    <w:rsid w:val="1FA670E6"/>
    <w:rsid w:val="20AA6A8E"/>
    <w:rsid w:val="20C84AF8"/>
    <w:rsid w:val="217A5B78"/>
    <w:rsid w:val="222E65CB"/>
    <w:rsid w:val="239A7714"/>
    <w:rsid w:val="26E34FB2"/>
    <w:rsid w:val="270A0057"/>
    <w:rsid w:val="270B25BE"/>
    <w:rsid w:val="27380691"/>
    <w:rsid w:val="27CC2B2D"/>
    <w:rsid w:val="28FD207F"/>
    <w:rsid w:val="29B37B27"/>
    <w:rsid w:val="29BD5183"/>
    <w:rsid w:val="2A4C6396"/>
    <w:rsid w:val="2B3866F7"/>
    <w:rsid w:val="2C5D2CF3"/>
    <w:rsid w:val="2E114561"/>
    <w:rsid w:val="2E2E79A3"/>
    <w:rsid w:val="2EEC4ACA"/>
    <w:rsid w:val="30647164"/>
    <w:rsid w:val="327868C2"/>
    <w:rsid w:val="32EE08CD"/>
    <w:rsid w:val="3364345F"/>
    <w:rsid w:val="33F2561D"/>
    <w:rsid w:val="34991C45"/>
    <w:rsid w:val="35CA3FD5"/>
    <w:rsid w:val="3775168B"/>
    <w:rsid w:val="37AC32C5"/>
    <w:rsid w:val="38171EC8"/>
    <w:rsid w:val="38F74501"/>
    <w:rsid w:val="39A9208B"/>
    <w:rsid w:val="3B5465C3"/>
    <w:rsid w:val="3C3D096F"/>
    <w:rsid w:val="3CCF3BB7"/>
    <w:rsid w:val="40566472"/>
    <w:rsid w:val="406E6E9A"/>
    <w:rsid w:val="418D1B4D"/>
    <w:rsid w:val="429F7385"/>
    <w:rsid w:val="436227E5"/>
    <w:rsid w:val="43B8443A"/>
    <w:rsid w:val="44AB6CB7"/>
    <w:rsid w:val="46DC5F36"/>
    <w:rsid w:val="472A7AA6"/>
    <w:rsid w:val="47837240"/>
    <w:rsid w:val="494C2961"/>
    <w:rsid w:val="49D03871"/>
    <w:rsid w:val="49F36EFC"/>
    <w:rsid w:val="4B285042"/>
    <w:rsid w:val="4C094780"/>
    <w:rsid w:val="4D381304"/>
    <w:rsid w:val="4DFC484F"/>
    <w:rsid w:val="4E3B1E6F"/>
    <w:rsid w:val="4E87489D"/>
    <w:rsid w:val="4EBA649D"/>
    <w:rsid w:val="50E61077"/>
    <w:rsid w:val="53E50336"/>
    <w:rsid w:val="54424EA8"/>
    <w:rsid w:val="55803F87"/>
    <w:rsid w:val="56D4592B"/>
    <w:rsid w:val="58B81737"/>
    <w:rsid w:val="592E05AA"/>
    <w:rsid w:val="594E21EE"/>
    <w:rsid w:val="598C0B94"/>
    <w:rsid w:val="5AAD7E51"/>
    <w:rsid w:val="5AB81D2F"/>
    <w:rsid w:val="5B470566"/>
    <w:rsid w:val="5BCB2AC9"/>
    <w:rsid w:val="5C545985"/>
    <w:rsid w:val="5DC12B9F"/>
    <w:rsid w:val="5EB237E6"/>
    <w:rsid w:val="5FD501C7"/>
    <w:rsid w:val="600424CF"/>
    <w:rsid w:val="6145071A"/>
    <w:rsid w:val="62991FE0"/>
    <w:rsid w:val="64CA5F1C"/>
    <w:rsid w:val="65733E15"/>
    <w:rsid w:val="67267B49"/>
    <w:rsid w:val="67D36082"/>
    <w:rsid w:val="69644257"/>
    <w:rsid w:val="699839D9"/>
    <w:rsid w:val="6A9F256B"/>
    <w:rsid w:val="6C04283C"/>
    <w:rsid w:val="6C0E1822"/>
    <w:rsid w:val="6C4471AC"/>
    <w:rsid w:val="6DE22A03"/>
    <w:rsid w:val="6EAE01A0"/>
    <w:rsid w:val="6ED631DB"/>
    <w:rsid w:val="70254C69"/>
    <w:rsid w:val="7053600D"/>
    <w:rsid w:val="71236287"/>
    <w:rsid w:val="718766B5"/>
    <w:rsid w:val="724E3DBB"/>
    <w:rsid w:val="7473539A"/>
    <w:rsid w:val="76516D7B"/>
    <w:rsid w:val="77910207"/>
    <w:rsid w:val="78C95DB6"/>
    <w:rsid w:val="793862E6"/>
    <w:rsid w:val="7C3063B7"/>
    <w:rsid w:val="7C9269CD"/>
    <w:rsid w:val="7D096956"/>
    <w:rsid w:val="7E16748C"/>
    <w:rsid w:val="7E2E0FA4"/>
    <w:rsid w:val="7FD8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黑体" w:cs="Times New Roman"/>
      <w:b/>
      <w:spacing w:val="-2"/>
      <w:sz w:val="32"/>
      <w:szCs w:val="20"/>
    </w:rPr>
  </w:style>
  <w:style w:type="paragraph" w:styleId="3">
    <w:name w:val="heading 2"/>
    <w:basedOn w:val="1"/>
    <w:next w:val="1"/>
    <w:link w:val="14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1"/>
    </w:pPr>
    <w:rPr>
      <w:rFonts w:ascii="Arial" w:hAnsi="Arial" w:eastAsia="宋体" w:cs="Times New Roman"/>
      <w:b/>
      <w:sz w:val="30"/>
    </w:rPr>
  </w:style>
  <w:style w:type="paragraph" w:styleId="4">
    <w:name w:val="heading 3"/>
    <w:basedOn w:val="1"/>
    <w:next w:val="1"/>
    <w:link w:val="12"/>
    <w:autoRedefine/>
    <w:semiHidden/>
    <w:unhideWhenUsed/>
    <w:qFormat/>
    <w:uiPriority w:val="0"/>
    <w:pPr>
      <w:widowControl w:val="0"/>
      <w:ind w:left="0" w:firstLine="0" w:firstLineChars="0"/>
      <w:jc w:val="left"/>
      <w:outlineLvl w:val="2"/>
    </w:pPr>
    <w:rPr>
      <w:rFonts w:ascii="Calibri" w:hAnsi="Calibri" w:eastAsia="宋体" w:cs="Times New Roman"/>
      <w:b/>
      <w:sz w:val="28"/>
      <w:szCs w:val="28"/>
    </w:rPr>
  </w:style>
  <w:style w:type="paragraph" w:styleId="5">
    <w:name w:val="heading 4"/>
    <w:basedOn w:val="1"/>
    <w:next w:val="1"/>
    <w:link w:val="15"/>
    <w:autoRedefine/>
    <w:semiHidden/>
    <w:unhideWhenUsed/>
    <w:qFormat/>
    <w:uiPriority w:val="0"/>
    <w:pPr>
      <w:spacing w:line="360" w:lineRule="auto"/>
      <w:ind w:firstLine="0" w:firstLineChars="0"/>
      <w:jc w:val="left"/>
      <w:outlineLvl w:val="3"/>
    </w:pPr>
    <w:rPr>
      <w:rFonts w:eastAsia="宋体"/>
      <w:b/>
      <w:bCs/>
      <w:sz w:val="28"/>
    </w:rPr>
  </w:style>
  <w:style w:type="paragraph" w:styleId="6">
    <w:name w:val="heading 5"/>
    <w:basedOn w:val="1"/>
    <w:next w:val="1"/>
    <w:link w:val="16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40" w:lineRule="exact"/>
      <w:jc w:val="center"/>
      <w:textAlignment w:val="center"/>
      <w:outlineLvl w:val="4"/>
    </w:pPr>
    <w:rPr>
      <w:rFonts w:ascii="Calibri" w:hAnsi="Calibri" w:eastAsia="宋体" w:cs="Times New Roman"/>
      <w:b/>
      <w:sz w:val="24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60" w:lineRule="auto"/>
      <w:jc w:val="center"/>
      <w:textAlignment w:val="center"/>
      <w:outlineLvl w:val="5"/>
    </w:pPr>
    <w:rPr>
      <w:rFonts w:ascii="Arial" w:hAnsi="Arial" w:eastAsia="宋体" w:cs="Times New Roman"/>
      <w:b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qFormat/>
    <w:uiPriority w:val="0"/>
    <w:pPr>
      <w:ind w:firstLine="420" w:firstLineChars="200"/>
    </w:pPr>
  </w:style>
  <w:style w:type="paragraph" w:styleId="9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12">
    <w:name w:val="标题 3 Char"/>
    <w:link w:val="4"/>
    <w:autoRedefine/>
    <w:qFormat/>
    <w:uiPriority w:val="0"/>
    <w:rPr>
      <w:rFonts w:ascii="Calibri" w:hAnsi="Calibri" w:eastAsia="宋体" w:cs="Times New Roman"/>
      <w:b/>
      <w:sz w:val="28"/>
      <w:szCs w:val="28"/>
    </w:rPr>
  </w:style>
  <w:style w:type="character" w:customStyle="1" w:styleId="13">
    <w:name w:val="标题 1 Char"/>
    <w:link w:val="2"/>
    <w:autoRedefine/>
    <w:qFormat/>
    <w:uiPriority w:val="0"/>
    <w:rPr>
      <w:rFonts w:ascii="Times New Roman" w:hAnsi="Times New Roman" w:eastAsia="黑体" w:cs="Times New Roman"/>
      <w:b/>
      <w:spacing w:val="-2"/>
      <w:sz w:val="32"/>
      <w:lang w:val="en-US" w:eastAsia="zh-CN" w:bidi="ar-SA"/>
    </w:rPr>
  </w:style>
  <w:style w:type="character" w:customStyle="1" w:styleId="14">
    <w:name w:val="标题 2 Char"/>
    <w:link w:val="3"/>
    <w:autoRedefine/>
    <w:qFormat/>
    <w:uiPriority w:val="0"/>
    <w:rPr>
      <w:rFonts w:ascii="Arial" w:hAnsi="Arial" w:eastAsia="宋体" w:cs="Times New Roman"/>
      <w:b/>
      <w:sz w:val="30"/>
    </w:rPr>
  </w:style>
  <w:style w:type="character" w:customStyle="1" w:styleId="15">
    <w:name w:val="标题 4 Char"/>
    <w:link w:val="5"/>
    <w:autoRedefine/>
    <w:qFormat/>
    <w:uiPriority w:val="0"/>
    <w:rPr>
      <w:rFonts w:ascii="Arial" w:hAnsi="Arial" w:eastAsia="宋体" w:cs="Times New Roman"/>
      <w:b/>
      <w:snapToGrid w:val="0"/>
      <w:color w:val="000000"/>
      <w:kern w:val="0"/>
      <w:sz w:val="28"/>
      <w:szCs w:val="21"/>
      <w:lang w:eastAsia="en-US"/>
    </w:rPr>
  </w:style>
  <w:style w:type="character" w:customStyle="1" w:styleId="16">
    <w:name w:val="标题 5 Char"/>
    <w:link w:val="6"/>
    <w:autoRedefine/>
    <w:qFormat/>
    <w:uiPriority w:val="0"/>
    <w:rPr>
      <w:rFonts w:ascii="Calibri" w:hAnsi="Calibri" w:eastAsia="宋体" w:cs="Times New Roman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2914</Words>
  <Characters>3179</Characters>
  <Lines>0</Lines>
  <Paragraphs>0</Paragraphs>
  <TotalTime>47</TotalTime>
  <ScaleCrop>false</ScaleCrop>
  <LinksUpToDate>false</LinksUpToDate>
  <CharactersWithSpaces>3187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2023-01-29T09:21:00Z</dcterms:created>
  <dc:creator>35207</dc:creator>
  <cp:lastModifiedBy>shine&amp;hot</cp:lastModifiedBy>
  <dcterms:modified xsi:type="dcterms:W3CDTF">2026-05-07T09:03:04Z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2D26E2D3D2224F22B33A611AC0AB8682</vt:lpwstr>
  </property>
  <property fmtid="{D5CDD505-2E9C-101B-9397-08002B2CF9AE}" pid="4" name="KSOTemplateDocerSaveRecord">
    <vt:lpwstr>eyJoZGlkIjoiMDBjNjM4YzdjZWExYWQwM2NiN2RkNzY0OGJlMGMzZjYiLCJ1c2VySWQiOiI1MDU2MTMwNTcifQ==</vt:lpwstr>
  </property>
</Properties>
</file>