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游</w:t>
      </w:r>
      <w:r>
        <w:rPr>
          <w:rFonts w:hint="eastAsia" w:ascii="仿宋_GB2312" w:eastAsia="仿宋_GB2312"/>
          <w:sz w:val="32"/>
          <w:szCs w:val="32"/>
        </w:rPr>
        <w:t>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游集镇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2020年脱贫攻坚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夏季攻势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根据《灵璧县2020年脱贫攻坚“夏季攻势”实施方案》文件要求，在巩固春季攻势成效基础上，现就全面打好夏季攻势制定如下实施方案。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目标任务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持续推进各类问题整改工作，全面解决“两不愁三保障”及饮水安全问题，落实各项重点任务,提升脱贫质量，扎实开展决战决胜脱贫攻坚“抗疫情、补短板、促攻坚”专项行动，夯实脱贫攻坚工作基础。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二、时间安排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脱贫攻坚“夏季攻势”行动集中在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年5月—7月开展，7月25日前全面完成。</w:t>
      </w:r>
    </w:p>
    <w:p>
      <w:pPr>
        <w:numPr>
          <w:ilvl w:val="0"/>
          <w:numId w:val="1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工作重点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（一）聚焦问题整改，确保各类问题全面清零。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强化统筹整改。全面梳理专项巡视“回头看”反馈问题与“不忘初心、牢记使命”主题教育检视问题、脱贫攻坚成效考核反馈问题，建立问题清单、任务清单、责任清单、时限清单，精准制定整改实施方案，细化整改任务，逐项逐条研究制定整改措施，切实采取实举措、硬办法，确保6月上旬各类问题全部整改到位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2.加强业务指导。杷问题整改作为决战决胜脱贫攻坚“抗疫情、补短板、促攻坚”专项行动重要内容，持续开展业务指导和督查，一周一调度，及时分析原因、解决问题。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确保整改实效。坚持从严从实，严把整改质量，严格销号管理，做到真查实改，全面整改，彻底整改。坚持标本兼治、举一反三抓整改，完善工作机制，推动问题整改向底部延伸、向纵深推进。持续深化“三个以案”警示教育，坚定不移力戒形式主义官僚主义，坚决防止上下“一般粗”，杜绝虚假整改、敷衍整改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（二）聚焦核心任务，确保“两不愁三保障”及饮水安全问题全面解决。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巩固“两不愁三保障”及饮水安全成果。持续开展逐村逐户逐人逐项动态监测，发现问题立即整改，做到动态清零。扎实做好控辍保学和春季学期学生资助工作。持续巩固提升乡村卫生医疗服务一体化管理工作成果。危房改造、饮水安全工程5月底前全部完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2.较真碰硬开展挂牌督战。加强对挂牌督战村的攻坚力度，加快补齐薄弱环节，切实把各项政策举措落地落细，确保6月底前挂牌督战取得决定性成效。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聚焦聚力特殊困难群体攻坚。继续以未脱贫户、脱贫监测户、边缘易致贫户和老少病残孤等困难群体“三户一体”为重点，进一步调整优化“一户一方案，一人一措施”，全面落实落细综合性保障政策，确保所有贫困群众稳定脱贫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（三）聚焦提质增效，确保脱贫成果全面巩固。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1.扎实推进产业扶贫。纵深推进“四带一自”产业扶贫、“三有一网”点位扶贫，加快推进特色种养业扶贫，实施一批农产品加工、冷链仓储等产业扶资配套设施建设。强化光伏扶贫电站运维管理和综合利用。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扎实推进就业扶贫。深化“三业一岗"就业扶贫，支持扶贫龙头企业、扶贫工厂、各类经营主体以及扶贫工程项目优先吸纳贫困劳动力就近就地就业。进一步规范光伏电站收益分配，确保光伏扶贫收益80%以上用于开发公益岗位。加强贫困村创业致富带头人培育,确保每个贫困村5名创业致富带头人，带动贫困人口参与扶贫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3.扎实推进金融扶贫。规范推广“一自三合”扶贫小额信贷模式，做到应贷尽贷。切实防范扶贫小额信贷风险，大力消化“户贷企用”存量贷款。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扎实推进扶贫项目实施。强力推进各类扶贫项目实施，压紧压实项目责任人责任，加快资金拨付，加强调度调配，力争5月底扶贫项目全面完工。各类扶贫项目要认真落实资金项目公开公示制度，主动接受监督。制定扶贫资产管理办法,切实做到扶贫资产家底清晰、产权归属明晰、类型界定科学、管护主体职责明确、运行管理规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扎实推进“双基”建设。加快推进水、电、路、讯、厕等基础设施改造提升，全面补齐基础设施短板，持续加强基层基本公共服务功能建设。结合推进乡村振兴战略,以疫情防治为切入点，加强乡村人居环境整治,持续推动农村人居环境和公共卫生体系建设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（四）聚焦防范返贫，确保脱贫质量全面提升。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着力防止返贫致贫。落实防止返贫监测和帮扶机制，扎实开展脱贫人口分类管理、返贫预警监测和边缘人口监测管理。以脱贫不稳定户、边缘易致贫户以及因疫情或其他原因收入骤减或支出骤增户为重点，加强动态监测，制定产业、就业支持政策和扶持措施，落实帮扶责任，切实防止返贫和致贫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着力激发贫困群众内生动力。加强志智双扶力度，充分发挥新时代文明实践中心站阵地作用，充分调动贫困群众参与扶贫项目建设的积极性和主动性，鼓励和支持他们发展产业和自主创业，增强“造血”功能。大力加强政策宣传，引导群众养成健康文明生活方式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3.着力推进精准帮扶。全面压实驻村扶贫工作队、帮扶责任人的帮扶责任，落实各项帮扶措施。认真落实“一村一规划、一户一方案、一人一措施”。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4.着力夯实基层基础。充分发挥基层党组织的战斗堡垒作用和党员的先锋模范作用，及时规范准确做好扶贫手册填写等基础工作，如实反映贫困户脱贫和后续扶持全过程。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各村要高度重视“夏季行动”，强化行动的工作保障措施。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组织领导。各村要高度重视，要把脱贫责任扛在肩上,按照分级负责原则，主要领导要亲力亲为、真抓实干。帮扶干部和村第一书记、驻村干部要充分发挥主力军作用,对表年度脱贫任务，对照肩负工作责任，强化开展“夏季攻势”行动的工作措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加快措施落地。要加快问题整改，严格按照时间节点完成巡视整改“回头看”工作，切实做到“问题不查清不放过、整改不到位不放过、责任不落实不放过、群众不满意不放过”。要切实加快推进项目实施，加速扶贫资金拨付使用。要切实将走访帮扶与政策宣传相结合，密切联系党群、干群关系，提高贫困人口对帮扶工作的满意度。要切实将脱贫攻坚与乡村人居环境整治等有机融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强化工作保障。确保各项工作细之又细、实之又实、紧之又紧，高质量高水平打好脱贫攻坚“夏季攻势”战役。各村要及时总结推广“夏季攻势”行动的好经验好做法好典型，大力宣传各地的政策举措和行动成效，营造全镇“夏季攻势”行动的浓厚舆论氛围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中共游集镇委员会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游集镇人民政府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2020年5月7日</w:t>
      </w:r>
    </w:p>
    <w:p>
      <w:pPr>
        <w:pStyle w:val="2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159AE7"/>
    <w:multiLevelType w:val="singleLevel"/>
    <w:tmpl w:val="D1159A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57ED77"/>
    <w:multiLevelType w:val="singleLevel"/>
    <w:tmpl w:val="4157ED7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94BCD"/>
    <w:rsid w:val="21CE398B"/>
    <w:rsid w:val="348049D2"/>
    <w:rsid w:val="39A113B8"/>
    <w:rsid w:val="40C3675A"/>
    <w:rsid w:val="4A894BCD"/>
    <w:rsid w:val="73CD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2020-05-08T07:31:00Z</dcterms:created>
  <dc:creator>Administrator</dc:creator>
  <cp:lastModifiedBy>流年～芳</cp:lastModifiedBy>
  <cp:lastPrinted>2020-08-25T01:39:28Z</cp:lastPrinted>
  <dcterms:modified xsi:type="dcterms:W3CDTF">2020-08-25T01:41:57Z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