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F061">
      <w:pPr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1D5D4C4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灵璧县游集镇人民政府2021</w:t>
      </w:r>
      <w:r>
        <w:rPr>
          <w:rFonts w:hint="eastAsia" w:ascii="宋体" w:hAnsi="宋体"/>
          <w:b/>
          <w:sz w:val="36"/>
          <w:szCs w:val="36"/>
        </w:rPr>
        <w:t>年度一般公共预算财政拨款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</w:t>
      </w:r>
    </w:p>
    <w:p w14:paraId="01FBE5F2">
      <w:pPr>
        <w:jc w:val="center"/>
        <w:rPr>
          <w:rFonts w:hint="eastAsia" w:ascii="楷体_GB2312" w:eastAsia="楷体_GB2312"/>
          <w:szCs w:val="32"/>
        </w:rPr>
      </w:pPr>
    </w:p>
    <w:p w14:paraId="644A39EB"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6"/>
          <w:szCs w:val="32"/>
        </w:rPr>
      </w:pPr>
    </w:p>
    <w:p w14:paraId="0ADF58EB"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  <w:bookmarkStart w:id="0" w:name="_GoBack"/>
      <w:bookmarkEnd w:id="0"/>
    </w:p>
    <w:p w14:paraId="11CF4C19">
      <w:pPr>
        <w:ind w:firstLine="7216" w:firstLineChars="2298"/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57A76899"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59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9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B2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22F9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A6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50A0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8.5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8B17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8.5</w:t>
            </w:r>
          </w:p>
        </w:tc>
      </w:tr>
      <w:tr w14:paraId="176B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F1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C912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DDE6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97B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5F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B23F72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BA8D47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</w:t>
            </w:r>
          </w:p>
        </w:tc>
      </w:tr>
      <w:tr w14:paraId="2CE8E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E7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9E5AB8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E82290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</w:t>
            </w:r>
          </w:p>
        </w:tc>
      </w:tr>
      <w:tr w14:paraId="1EF7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12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3D14F0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AF3EEE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4.4</w:t>
            </w:r>
          </w:p>
        </w:tc>
      </w:tr>
      <w:tr w14:paraId="5167A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E6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BA42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017E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C5984BC">
      <w:pPr>
        <w:ind w:firstLine="628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380FD000">
      <w:pPr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03DD83F1"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7EE0F61E">
      <w:pPr>
        <w:ind w:firstLine="628" w:firstLineChars="200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灵璧县游集镇人民政府2021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8.5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8.5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%。</w:t>
      </w:r>
      <w:r>
        <w:rPr>
          <w:rFonts w:hint="eastAsia" w:ascii="仿宋_GB2312" w:hAnsi="仿宋"/>
          <w:szCs w:val="32"/>
          <w:lang w:eastAsia="zh-CN"/>
        </w:rPr>
        <w:t>为全面反映“三公”经费支出，本次公布的“三公”经费决算为部门汇总数，包含单位本级和所属单位。</w:t>
      </w:r>
    </w:p>
    <w:p w14:paraId="28BBBDA1">
      <w:pPr>
        <w:ind w:firstLine="628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71D33103">
      <w:pPr>
        <w:ind w:firstLine="628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灵璧县游集镇人民政府2021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4.1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48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4.4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52</w:t>
      </w:r>
      <w:r>
        <w:rPr>
          <w:rFonts w:hint="eastAsia" w:ascii="仿宋_GB2312" w:hAnsi="仿宋"/>
          <w:szCs w:val="32"/>
        </w:rPr>
        <w:t>%。具体情况如下：</w:t>
      </w:r>
    </w:p>
    <w:p w14:paraId="679D3344">
      <w:pPr>
        <w:numPr>
          <w:ilvl w:val="0"/>
          <w:numId w:val="0"/>
        </w:numPr>
        <w:ind w:firstLine="628" w:firstLineChars="200"/>
        <w:rPr>
          <w:rFonts w:hint="eastAsia" w:ascii="仿宋_GB2312" w:hAnsi="宋体" w:cs="宋体"/>
          <w:color w:val="282828"/>
          <w:kern w:val="0"/>
          <w:szCs w:val="32"/>
        </w:rPr>
      </w:pPr>
      <w:r>
        <w:rPr>
          <w:rFonts w:hint="eastAsia" w:ascii="仿宋_GB2312" w:hAnsi="仿宋"/>
          <w:b/>
          <w:bCs/>
          <w:szCs w:val="32"/>
          <w:lang w:val="en-US" w:eastAsia="zh-CN"/>
        </w:rPr>
        <w:t>1.</w:t>
      </w:r>
      <w:r>
        <w:rPr>
          <w:rFonts w:hint="eastAsia" w:ascii="仿宋_GB2312" w:hAnsi="仿宋"/>
          <w:b/>
          <w:bCs/>
          <w:szCs w:val="32"/>
        </w:rPr>
        <w:t>因公出国（境）费支出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%，下降的原因是</w:t>
      </w:r>
      <w:r>
        <w:rPr>
          <w:rFonts w:hint="eastAsia" w:ascii="仿宋_GB2312" w:hAnsi="仿宋"/>
          <w:szCs w:val="32"/>
          <w:lang w:val="en-US" w:eastAsia="zh-CN"/>
        </w:rPr>
        <w:t>2021年度未安排因公出国</w:t>
      </w:r>
      <w:r>
        <w:rPr>
          <w:rFonts w:hint="eastAsia" w:ascii="仿宋_GB2312" w:hAnsi="仿宋"/>
          <w:szCs w:val="32"/>
        </w:rPr>
        <w:t>（境）</w:t>
      </w:r>
      <w:r>
        <w:rPr>
          <w:rFonts w:hint="eastAsia" w:ascii="仿宋_GB2312" w:hAnsi="仿宋"/>
          <w:szCs w:val="32"/>
          <w:lang w:eastAsia="zh-CN"/>
        </w:rPr>
        <w:t>计划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故2021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灵璧县游集镇人民政府</w:t>
      </w:r>
      <w:r>
        <w:rPr>
          <w:rFonts w:hint="eastAsia" w:ascii="仿宋_GB2312" w:hAnsi="仿宋"/>
          <w:szCs w:val="32"/>
        </w:rPr>
        <w:t>因公出国（境）团组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次，累计出国（境）</w:t>
      </w:r>
      <w:r>
        <w:rPr>
          <w:rFonts w:hint="eastAsia" w:ascii="仿宋_GB2312" w:hAnsi="仿宋"/>
          <w:szCs w:val="32"/>
          <w:lang w:eastAsia="zh-CN"/>
        </w:rPr>
        <w:t>0</w:t>
      </w:r>
      <w:r>
        <w:rPr>
          <w:rFonts w:hint="eastAsia" w:ascii="仿宋_GB2312" w:hAnsi="仿宋"/>
          <w:szCs w:val="32"/>
        </w:rPr>
        <w:t>人次。</w:t>
      </w:r>
    </w:p>
    <w:p w14:paraId="2FB5DBEB">
      <w:pPr>
        <w:numPr>
          <w:ilvl w:val="0"/>
          <w:numId w:val="0"/>
        </w:numPr>
        <w:ind w:firstLine="628" w:firstLineChars="200"/>
        <w:rPr>
          <w:rFonts w:hint="eastAsia" w:ascii="仿宋_GB2312" w:hAnsi="宋体" w:cs="宋体"/>
          <w:color w:val="282828"/>
          <w:kern w:val="0"/>
          <w:szCs w:val="32"/>
        </w:rPr>
      </w:pPr>
      <w:r>
        <w:rPr>
          <w:rFonts w:hint="eastAsia" w:ascii="仿宋_GB2312" w:hAnsi="仿宋"/>
          <w:b/>
          <w:bCs/>
          <w:szCs w:val="32"/>
          <w:lang w:val="en-US" w:eastAsia="zh-CN"/>
        </w:rPr>
        <w:t>2.</w:t>
      </w:r>
      <w:r>
        <w:rPr>
          <w:rFonts w:hint="eastAsia" w:ascii="仿宋_GB2312" w:hAnsi="仿宋"/>
          <w:b/>
          <w:bCs/>
          <w:szCs w:val="32"/>
        </w:rPr>
        <w:t>公务接待费支出</w:t>
      </w:r>
      <w:r>
        <w:rPr>
          <w:rFonts w:hint="eastAsia" w:ascii="仿宋_GB2312" w:hAnsi="仿宋"/>
          <w:szCs w:val="32"/>
          <w:lang w:val="en-US" w:eastAsia="zh-CN"/>
        </w:rPr>
        <w:t>4.1</w:t>
      </w:r>
      <w:r>
        <w:rPr>
          <w:rFonts w:hint="eastAsia" w:ascii="仿宋_GB2312" w:hAnsi="仿宋"/>
          <w:szCs w:val="32"/>
        </w:rPr>
        <w:t>万元,与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下降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。2021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灵璧县游集镇人民政府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300</w:t>
      </w:r>
      <w:r>
        <w:rPr>
          <w:rFonts w:hint="eastAsia" w:ascii="仿宋_GB2312" w:hAnsi="仿宋"/>
          <w:szCs w:val="32"/>
        </w:rPr>
        <w:t>批次（其中外事接待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批次），</w:t>
      </w:r>
      <w:r>
        <w:rPr>
          <w:rFonts w:hint="eastAsia" w:ascii="仿宋_GB2312" w:hAnsi="仿宋"/>
          <w:szCs w:val="32"/>
          <w:lang w:val="en-US" w:eastAsia="zh-CN"/>
        </w:rPr>
        <w:t>3000</w:t>
      </w:r>
      <w:r>
        <w:rPr>
          <w:rFonts w:hint="eastAsia" w:ascii="仿宋_GB2312" w:hAnsi="仿宋"/>
          <w:szCs w:val="32"/>
        </w:rPr>
        <w:t>人次（其中外事接待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人次）。主要是用于</w:t>
      </w:r>
      <w:r>
        <w:rPr>
          <w:rFonts w:hint="eastAsia" w:ascii="仿宋_GB2312" w:hAnsi="仿宋"/>
          <w:szCs w:val="32"/>
          <w:lang w:eastAsia="zh-CN"/>
        </w:rPr>
        <w:t>扶贫检查</w:t>
      </w:r>
      <w:r>
        <w:rPr>
          <w:rFonts w:hint="eastAsia" w:ascii="仿宋_GB2312" w:hAnsi="仿宋"/>
          <w:szCs w:val="32"/>
        </w:rPr>
        <w:t>。经费使用贯彻中央八项规定和</w:t>
      </w:r>
      <w:r>
        <w:rPr>
          <w:rFonts w:hint="eastAsia" w:ascii="仿宋_GB2312" w:hAnsi="宋体" w:cs="宋体"/>
          <w:color w:val="282828"/>
          <w:kern w:val="0"/>
          <w:szCs w:val="32"/>
        </w:rPr>
        <w:t>安徽省实施细则</w:t>
      </w:r>
      <w:r>
        <w:rPr>
          <w:rFonts w:hint="eastAsia" w:ascii="仿宋_GB2312" w:hAnsi="仿宋"/>
          <w:szCs w:val="32"/>
        </w:rPr>
        <w:t>，严格执行《党政机关厉行节约反对浪费条例》、</w:t>
      </w:r>
      <w:r>
        <w:rPr>
          <w:rFonts w:hint="eastAsia" w:ascii="仿宋_GB2312" w:hAnsi="宋体" w:cs="宋体"/>
          <w:color w:val="282828"/>
          <w:kern w:val="0"/>
          <w:szCs w:val="32"/>
        </w:rPr>
        <w:t>《安徽省省直机关公务接待管理暂行办法》（财行〔2014〕2066号）相关规定。</w:t>
      </w:r>
    </w:p>
    <w:p w14:paraId="42B32AF1">
      <w:pPr>
        <w:ind w:firstLine="628" w:firstLineChars="200"/>
        <w:rPr>
          <w:rFonts w:hint="eastAsia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4.4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</w:t>
      </w:r>
      <w:r>
        <w:rPr>
          <w:rFonts w:hint="eastAsia" w:ascii="仿宋_GB2312" w:hAnsi="仿宋"/>
          <w:szCs w:val="32"/>
          <w:lang w:eastAsia="zh-CN"/>
        </w:rPr>
        <w:t>持平。</w:t>
      </w:r>
      <w:r>
        <w:rPr>
          <w:rFonts w:hint="eastAsia" w:ascii="仿宋_GB2312" w:hAnsi="仿宋"/>
          <w:szCs w:val="32"/>
        </w:rPr>
        <w:t>其中，公务用车购置费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%，下降</w:t>
      </w:r>
      <w:r>
        <w:rPr>
          <w:rFonts w:hint="eastAsia" w:ascii="仿宋_GB2312" w:hAnsi="仿宋"/>
          <w:szCs w:val="32"/>
          <w:lang w:eastAsia="zh-CN"/>
        </w:rPr>
        <w:t>的原因是2021年没有安排公务用车购置费。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4.4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</w:t>
      </w:r>
      <w:r>
        <w:rPr>
          <w:rFonts w:hint="eastAsia" w:ascii="仿宋_GB2312" w:hAnsi="仿宋"/>
          <w:szCs w:val="32"/>
          <w:lang w:eastAsia="zh-CN"/>
        </w:rPr>
        <w:t>相等。</w:t>
      </w:r>
      <w:r>
        <w:rPr>
          <w:rFonts w:hint="eastAsia" w:ascii="仿宋_GB2312" w:hAnsi="仿宋"/>
          <w:szCs w:val="32"/>
        </w:rPr>
        <w:t>公务用车运行维护费，包括车辆燃料费、维修费、过路过桥费、保险费等支出，主要用于</w:t>
      </w:r>
      <w:r>
        <w:rPr>
          <w:rFonts w:hint="eastAsia" w:ascii="仿宋_GB2312" w:hAnsi="仿宋"/>
          <w:szCs w:val="32"/>
          <w:lang w:eastAsia="zh-CN"/>
        </w:rPr>
        <w:t>下乡检查工作去灵璧县县城开会学习培训等</w:t>
      </w:r>
      <w:r>
        <w:rPr>
          <w:rFonts w:hint="eastAsia" w:ascii="仿宋_GB2312" w:hAnsi="仿宋"/>
          <w:szCs w:val="32"/>
        </w:rPr>
        <w:t>。截至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年12月31日，</w:t>
      </w:r>
      <w:r>
        <w:rPr>
          <w:rFonts w:hint="eastAsia" w:ascii="仿宋_GB2312" w:hAnsi="仿宋"/>
          <w:szCs w:val="32"/>
          <w:lang w:eastAsia="zh-CN"/>
        </w:rPr>
        <w:t>灵璧县游集镇人民政府</w:t>
      </w:r>
      <w:r>
        <w:rPr>
          <w:rFonts w:hint="eastAsia" w:ascii="仿宋_GB2312" w:hAnsi="仿宋"/>
          <w:szCs w:val="32"/>
        </w:rPr>
        <w:t>机关开支财政拨款的公务用车保有量为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辆。</w:t>
      </w:r>
    </w:p>
    <w:p w14:paraId="6E26FBDD">
      <w:pPr>
        <w:pStyle w:val="2"/>
        <w:ind w:left="1258" w:hanging="1258"/>
        <w:jc w:val="both"/>
        <w:rPr>
          <w:rFonts w:hint="eastAsia" w:ascii="仿宋_GB2312" w:eastAsia="仿宋_GB2312"/>
          <w:sz w:val="32"/>
          <w:lang w:eastAsia="zh-CN"/>
        </w:rPr>
      </w:pPr>
    </w:p>
    <w:p w14:paraId="6485C570">
      <w:pPr>
        <w:pStyle w:val="2"/>
        <w:ind w:left="1258" w:hanging="1258"/>
        <w:jc w:val="both"/>
        <w:rPr>
          <w:rFonts w:hint="eastAsia" w:ascii="仿宋_GB2312" w:eastAsia="仿宋_GB2312"/>
          <w:sz w:val="32"/>
          <w:lang w:eastAsia="zh-CN"/>
        </w:rPr>
      </w:pPr>
    </w:p>
    <w:p w14:paraId="35A1FD28">
      <w:pPr>
        <w:pStyle w:val="2"/>
        <w:ind w:left="1258" w:hanging="1258"/>
        <w:jc w:val="both"/>
        <w:rPr>
          <w:rFonts w:hint="eastAsia" w:ascii="仿宋_GB2312" w:eastAsia="仿宋_GB2312"/>
          <w:sz w:val="32"/>
          <w:lang w:eastAsia="zh-CN"/>
        </w:rPr>
      </w:pPr>
    </w:p>
    <w:p w14:paraId="05D9C859">
      <w:pPr>
        <w:pStyle w:val="2"/>
        <w:ind w:left="1258" w:hanging="1258"/>
        <w:jc w:val="both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联系方式：</w:t>
      </w:r>
    </w:p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BA63B">
    <w:pPr>
      <w:pStyle w:val="3"/>
      <w:framePr w:wrap="around" w:vAnchor="text" w:hAnchor="margin" w:xAlign="right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50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>-</w:t>
    </w:r>
  </w:p>
  <w:p w14:paraId="46FB2882"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5B2BE"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F602BAF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MDg5YmFiOTEzMGMwM2YzMjZiN2E3ZTgxODg4NGEifQ=="/>
  </w:docVars>
  <w:rsids>
    <w:rsidRoot w:val="2BDE7A0C"/>
    <w:rsid w:val="0A492302"/>
    <w:rsid w:val="0DA05843"/>
    <w:rsid w:val="0F0942D3"/>
    <w:rsid w:val="187426F8"/>
    <w:rsid w:val="2B4F57CE"/>
    <w:rsid w:val="2BDE7A0C"/>
    <w:rsid w:val="2EE22BCB"/>
    <w:rsid w:val="4A2526B7"/>
    <w:rsid w:val="6B113DBC"/>
    <w:rsid w:val="7AE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983</Characters>
  <Lines>0</Lines>
  <Paragraphs>0</Paragraphs>
  <TotalTime>18</TotalTime>
  <ScaleCrop>false</ScaleCrop>
  <LinksUpToDate>false</LinksUpToDate>
  <CharactersWithSpaces>1048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2022-09-15T10:03:00Z</dcterms:created>
  <dc:creator>路晗</dc:creator>
  <cp:lastModifiedBy>sweet</cp:lastModifiedBy>
  <dcterms:modified xsi:type="dcterms:W3CDTF">2026-02-11T00:33:55Z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C5CC01112F634C89BF38740CD5A7F2AE_13</vt:lpwstr>
  </property>
  <property fmtid="{D5CDD505-2E9C-101B-9397-08002B2CF9AE}" pid="4" name="KSOTemplateDocerSaveRecord">
    <vt:lpwstr>eyJoZGlkIjoiNTY1MWUwNmUzNzA5ODYyOTUxYmRkOGNiYTAyYWI5MjEiLCJ1c2VySWQiOiIyNDI2MDUxNTAifQ==</vt:lpwstr>
  </property>
</Properties>
</file>