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300" w:afterAutospacing="0" w:line="23" w:lineRule="atLeast"/>
        <w:ind w:left="300" w:right="300"/>
        <w:jc w:val="center"/>
        <w:rPr>
          <w:rFonts w:hint="default" w:ascii="Times New Roman" w:hAnsi="Times New Roman" w:cs="Times New Roman"/>
          <w:sz w:val="21"/>
          <w:szCs w:val="21"/>
        </w:rPr>
      </w:pPr>
      <w:r>
        <w:rPr>
          <w:rFonts w:ascii="方正小标宋简体" w:hAnsi="方正小标宋简体" w:eastAsia="方正小标宋简体" w:cs="方正小标宋简体"/>
          <w:color w:val="333333"/>
          <w:sz w:val="32"/>
          <w:szCs w:val="32"/>
        </w:rPr>
        <w:t>灵璧县金色名郡项目设计采购施工总承包</w:t>
      </w:r>
      <w:r>
        <w:rPr>
          <w:rFonts w:hint="default" w:ascii="方正小标宋简体" w:hAnsi="方正小标宋简体" w:eastAsia="方正小标宋简体" w:cs="方正小标宋简体"/>
          <w:color w:val="333333"/>
          <w:sz w:val="32"/>
          <w:szCs w:val="32"/>
        </w:rPr>
        <w:t>EPC招标公告</w:t>
      </w:r>
    </w:p>
    <w:p>
      <w:pPr>
        <w:pStyle w:val="3"/>
        <w:keepNext w:val="0"/>
        <w:keepLines w:val="0"/>
        <w:widowControl/>
        <w:suppressLineNumbers w:val="0"/>
        <w:spacing w:before="0" w:beforeAutospacing="0" w:after="300" w:afterAutospacing="0" w:line="23" w:lineRule="atLeast"/>
        <w:ind w:left="300" w:right="300"/>
        <w:jc w:val="center"/>
        <w:rPr>
          <w:rFonts w:hint="default" w:ascii="Times New Roman" w:hAnsi="Times New Roman" w:cs="Times New Roman"/>
          <w:sz w:val="21"/>
          <w:szCs w:val="21"/>
        </w:rPr>
      </w:pPr>
      <w:r>
        <w:rPr>
          <w:rFonts w:ascii="仿宋" w:hAnsi="仿宋" w:eastAsia="仿宋" w:cs="仿宋"/>
          <w:color w:val="333333"/>
          <w:sz w:val="30"/>
          <w:szCs w:val="30"/>
        </w:rPr>
        <w:t>（项目编号：</w:t>
      </w:r>
      <w:r>
        <w:rPr>
          <w:rFonts w:hint="eastAsia" w:ascii="仿宋" w:hAnsi="仿宋" w:eastAsia="仿宋" w:cs="仿宋"/>
          <w:color w:val="333333"/>
          <w:sz w:val="30"/>
          <w:szCs w:val="30"/>
        </w:rPr>
        <w:t>LBGC2020076）</w:t>
      </w:r>
      <w:bookmarkStart w:id="0" w:name="_GoBack"/>
      <w:bookmarkEnd w:id="0"/>
    </w:p>
    <w:p>
      <w:pPr>
        <w:pStyle w:val="3"/>
        <w:keepNext w:val="0"/>
        <w:keepLines w:val="0"/>
        <w:widowControl/>
        <w:suppressLineNumbers w:val="0"/>
        <w:spacing w:before="0" w:beforeAutospacing="0" w:after="300" w:afterAutospacing="0"/>
        <w:ind w:left="300" w:right="300" w:firstLine="602"/>
        <w:jc w:val="both"/>
        <w:rPr>
          <w:rFonts w:hint="default" w:ascii="Times New Roman" w:hAnsi="Times New Roman" w:cs="Times New Roman"/>
          <w:sz w:val="21"/>
          <w:szCs w:val="21"/>
        </w:rPr>
      </w:pPr>
      <w:r>
        <w:rPr>
          <w:rFonts w:hint="eastAsia" w:ascii="仿宋" w:hAnsi="仿宋" w:eastAsia="仿宋" w:cs="仿宋"/>
          <w:b/>
          <w:color w:val="333333"/>
          <w:sz w:val="30"/>
          <w:szCs w:val="30"/>
        </w:rPr>
        <w:t>1.招标条件</w:t>
      </w:r>
    </w:p>
    <w:p>
      <w:pPr>
        <w:pStyle w:val="3"/>
        <w:keepNext w:val="0"/>
        <w:keepLines w:val="0"/>
        <w:widowControl/>
        <w:suppressLineNumbers w:val="0"/>
        <w:spacing w:before="0" w:beforeAutospacing="0" w:after="300" w:afterAutospacing="0" w:line="23" w:lineRule="atLeast"/>
        <w:ind w:left="512"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本招标项目灵璧县金色名郡项目设计采购施工总承包EPC已由灵璧县发展改革委员会备案通过，项目业主为灵璧县建灵投资管理有限公司，招标人为灵璧县建灵投资管理有限公司，建设资金为自筹资金，项目出资比例为100%。项目已具备招标条件，现对该项目进行公开招标。</w:t>
      </w:r>
    </w:p>
    <w:p>
      <w:pPr>
        <w:pStyle w:val="3"/>
        <w:keepNext w:val="0"/>
        <w:keepLines w:val="0"/>
        <w:widowControl/>
        <w:suppressLineNumbers w:val="0"/>
        <w:spacing w:before="0" w:beforeAutospacing="0" w:after="300" w:afterAutospacing="0"/>
        <w:ind w:left="300" w:right="300" w:firstLine="602"/>
        <w:jc w:val="both"/>
        <w:rPr>
          <w:rFonts w:hint="default" w:ascii="Times New Roman" w:hAnsi="Times New Roman" w:cs="Times New Roman"/>
          <w:sz w:val="21"/>
          <w:szCs w:val="21"/>
        </w:rPr>
      </w:pPr>
      <w:r>
        <w:rPr>
          <w:rFonts w:hint="eastAsia" w:ascii="仿宋" w:hAnsi="仿宋" w:eastAsia="仿宋" w:cs="仿宋"/>
          <w:b/>
          <w:color w:val="333333"/>
          <w:sz w:val="30"/>
          <w:szCs w:val="30"/>
        </w:rPr>
        <w:t>2.项目概况与招标范围</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 xml:space="preserve">2.1 建设地点：本项目位于建设北路以东，钟灵大道以北，潼河路以南，凌山路以西。 </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2.2建设规模：本项目用地面积约为110792.58平方米，总建筑面积约为295992平方米；项目建设内容包括住宅建筑、配套商业用房、社区服务用房、养老用房、物业用房、室外景观、道路管网等配套基础设施；项目总投资约为人民币9.5亿元，其中工程费用约7.5亿元（包括前期PPP模式实施的存量项目未完工程），最终以政府规划部门审批通过建设规模为准。</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2.3计划工期：总工期450日历天（自合同签订之日至本项目整体竣工验收、交付招标人使用）。其中，设计周期：自合同签订之日起45日历天完成全部工程设计及所有设计成果文件图审、审查工作。</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2.4招标范围：灵璧县金色名郡项目设计采购施工总承包EPC，包括设计(设计优化)、设备材料采购、施工、直至竣工验收交付招标人使用，具体招标范围及要求详见招标文件。</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注：前期PPP模式实施的存量项目已完工程不在本次招标范围，由于前期PPP模式实施的存量项目均未竣工，故前期PPP模式实施的存量项目已完工程的修补、修复、钢筋除锈、存量项目未完工程的设计（设计优化）、采购、施工、资料交接整理、变更等手续办理、竣工手续办理均纳入本次招标范围。</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2.5 标段划分：一个标段。</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2.6质量标准：设计质量标准：满足国家及地方相应现行规范要求并通过政府主管部门审查；材料设备质量标准：合格标准；施工工程质量标准：达到国家现行标准规范要求，工程质量等级合格。</w:t>
      </w:r>
    </w:p>
    <w:p>
      <w:pPr>
        <w:pStyle w:val="3"/>
        <w:keepNext w:val="0"/>
        <w:keepLines w:val="0"/>
        <w:widowControl/>
        <w:suppressLineNumbers w:val="0"/>
        <w:spacing w:before="0" w:beforeAutospacing="0" w:after="300" w:afterAutospacing="0"/>
        <w:ind w:left="300" w:right="300" w:firstLine="602"/>
        <w:jc w:val="both"/>
        <w:rPr>
          <w:rFonts w:hint="default" w:ascii="Times New Roman" w:hAnsi="Times New Roman" w:cs="Times New Roman"/>
          <w:sz w:val="21"/>
          <w:szCs w:val="21"/>
        </w:rPr>
      </w:pPr>
      <w:r>
        <w:rPr>
          <w:rFonts w:hint="eastAsia" w:ascii="仿宋" w:hAnsi="仿宋" w:eastAsia="仿宋" w:cs="仿宋"/>
          <w:b/>
          <w:color w:val="333333"/>
          <w:sz w:val="30"/>
          <w:szCs w:val="30"/>
        </w:rPr>
        <w:t>3.投标人资格要求</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3.1本次招标要求投标人须同时具备：</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（1）建筑工程施工总承包壹级及以上资质，具有有效的安全生产许可证，并在人员、设备、资金等方面具有相应的施工能力；</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（2）工程设计综合甲级资质或建筑行业设计甲级资质或建筑行业（建筑工程）设计甲级资质。</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3.2投标人业绩：2016年1月1日至投标截止日，投标人具有单个合同总建筑面积15万平方米及以上(或合同金额4亿元及以上)的房屋建筑工程施工总承包或EPC（或设计施工）总承包业绩；注：1.业绩必须是包含房屋建筑工程主体结构的施工业绩，仅含专业工程（例如装饰装修工程或布展工程等）的总承包业绩不予认可；2.业绩证明要求同时具备中标通知书及业绩合同，业绩时间以合同签订时间为准。3.若投标人提供的业绩为联合体方式承担的，则投标人在此业绩中须为联合体牵头人，否则不予认可。</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3.3项目负责人要求：</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1）项目总负责人要求：牵头处理本项目设计、采购、施工、验收、交付等全过程各类事务和统筹协调参建单位的相关工作，具有一级注册建造师(建筑工程)或一级注册结构工程师或一级注册建筑师或注册监理工程师（房屋建筑工程）注册执业资格或高级工程师职称。</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（2）施工项目经理资格要求：一级注册建造师(建筑工程)资格，B类安全生产考核合格证。</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（3）设计负责人资格要求：一级注册结构工程师或一级注册建筑师执业资格。</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注：项目总负责人可以兼任施工项目经理，但若兼职则至少满足施工项目经理资格要求。</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3.4授权委托代理人、项目总负责人、施工项目经理、设计负责人必须是投标人正式职工；须提供社保主管部门出具的投标人2019年11月至今为其连续缴纳满6个月的社保证明材料（社保证明材料须加盖社保中心章或社保中心参保缴费证明电子专用章复印件加盖投标人公章）。投标人须承诺：“项目总负责人、施工项目经理无在建工程或如该项目总负责人或施工项目经理有在建工程，保证在合同签订时按有关规定办理变更手续并备查”，提供承诺函。</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3.5投标人、法定代表人、项目总负责人、设计负责人、施工项目经理近3年（近3年指2017年6月以来）没有依法被认定的行贿犯罪行为。提供“近三年无行贿犯罪行为承诺函”。</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3.6中标企业在领取中标通知书时必须提供灵璧县人力资源和社会保障局出具的无拖欠农民工工资证明，否则取消中标资格。</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3.7本次招标不接受联合体投标。</w:t>
      </w:r>
    </w:p>
    <w:p>
      <w:pPr>
        <w:pStyle w:val="3"/>
        <w:keepNext w:val="0"/>
        <w:keepLines w:val="0"/>
        <w:widowControl/>
        <w:suppressLineNumbers w:val="0"/>
        <w:spacing w:before="0" w:beforeAutospacing="0" w:after="300" w:afterAutospacing="0"/>
        <w:ind w:left="300" w:right="300" w:firstLine="602"/>
        <w:jc w:val="both"/>
        <w:rPr>
          <w:rFonts w:hint="default" w:ascii="Times New Roman" w:hAnsi="Times New Roman" w:cs="Times New Roman"/>
          <w:sz w:val="21"/>
          <w:szCs w:val="21"/>
        </w:rPr>
      </w:pPr>
      <w:r>
        <w:rPr>
          <w:rFonts w:hint="eastAsia" w:ascii="仿宋" w:hAnsi="仿宋" w:eastAsia="仿宋" w:cs="仿宋"/>
          <w:b/>
          <w:color w:val="333333"/>
          <w:sz w:val="30"/>
          <w:szCs w:val="30"/>
        </w:rPr>
        <w:t>4.招标文件的获取</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4.1招标文件发布时间：自招标公告发布之日至2020年7月9日09时00分。</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4.2招标文件下载时间：投标截止时间前。</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4.3招标文件获取方式：宿州市公共资源交易网（http://ggzyjy.ahsz.gov.cn/szfront/）网上下载。</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4.3.1用ca锁登录如下地址：</w:t>
      </w:r>
      <w:r>
        <w:rPr>
          <w:rFonts w:hint="eastAsia" w:ascii="仿宋" w:hAnsi="仿宋" w:eastAsia="仿宋" w:cs="仿宋"/>
          <w:color w:val="333333"/>
          <w:sz w:val="30"/>
          <w:szCs w:val="30"/>
          <w:u w:val="none"/>
        </w:rPr>
        <w:fldChar w:fldCharType="begin"/>
      </w:r>
      <w:r>
        <w:rPr>
          <w:rFonts w:hint="eastAsia" w:ascii="仿宋" w:hAnsi="仿宋" w:eastAsia="仿宋" w:cs="仿宋"/>
          <w:color w:val="333333"/>
          <w:sz w:val="30"/>
          <w:szCs w:val="30"/>
          <w:u w:val="none"/>
        </w:rPr>
        <w:instrText xml:space="preserve"> HYPERLINK "http://www.hfztb.cn/HY/HuiYuanInfoMis2_HFZTB" </w:instrText>
      </w:r>
      <w:r>
        <w:rPr>
          <w:rFonts w:hint="eastAsia" w:ascii="仿宋" w:hAnsi="仿宋" w:eastAsia="仿宋" w:cs="仿宋"/>
          <w:color w:val="333333"/>
          <w:sz w:val="30"/>
          <w:szCs w:val="30"/>
          <w:u w:val="none"/>
        </w:rPr>
        <w:fldChar w:fldCharType="separate"/>
      </w:r>
      <w:r>
        <w:rPr>
          <w:rStyle w:val="10"/>
          <w:rFonts w:hint="eastAsia" w:ascii="仿宋" w:hAnsi="仿宋" w:eastAsia="仿宋" w:cs="仿宋"/>
          <w:color w:val="auto"/>
          <w:sz w:val="30"/>
          <w:szCs w:val="30"/>
          <w:u w:val="none"/>
        </w:rPr>
        <w:t>http://www.hfztb.cn/HY/HuiYuanInfoMis2_HFZTB</w:t>
      </w:r>
      <w:r>
        <w:rPr>
          <w:rFonts w:hint="eastAsia" w:ascii="仿宋" w:hAnsi="仿宋" w:eastAsia="仿宋" w:cs="仿宋"/>
          <w:color w:val="333333"/>
          <w:sz w:val="30"/>
          <w:szCs w:val="30"/>
          <w:u w:val="none"/>
        </w:rPr>
        <w:fldChar w:fldCharType="end"/>
      </w:r>
      <w:r>
        <w:rPr>
          <w:rFonts w:hint="eastAsia" w:ascii="仿宋" w:hAnsi="仿宋" w:eastAsia="仿宋" w:cs="仿宋"/>
          <w:color w:val="333333"/>
          <w:sz w:val="30"/>
          <w:szCs w:val="30"/>
        </w:rPr>
        <w:t xml:space="preserve"> 选择宿州（宿州市平台）--》点击工程业务—》填写投标信息（填写投标信息点击“我要投标”按钮）--》招标文件领取—》点击“领取按钮”下载招标文件。</w:t>
      </w:r>
    </w:p>
    <w:p>
      <w:pPr>
        <w:pStyle w:val="3"/>
        <w:keepNext w:val="0"/>
        <w:keepLines w:val="0"/>
        <w:widowControl/>
        <w:suppressLineNumbers w:val="0"/>
        <w:spacing w:before="0" w:beforeAutospacing="0" w:after="300" w:afterAutospacing="0" w:line="23" w:lineRule="atLeast"/>
        <w:ind w:left="300" w:right="300"/>
        <w:jc w:val="left"/>
        <w:rPr>
          <w:rFonts w:hint="default" w:ascii="Times New Roman" w:hAnsi="Times New Roman" w:cs="Times New Roman"/>
          <w:sz w:val="21"/>
          <w:szCs w:val="21"/>
        </w:rPr>
      </w:pPr>
      <w:r>
        <w:rPr>
          <w:rFonts w:hint="eastAsia" w:ascii="仿宋" w:hAnsi="仿宋" w:eastAsia="仿宋" w:cs="仿宋"/>
          <w:color w:val="333333"/>
          <w:sz w:val="30"/>
          <w:szCs w:val="30"/>
        </w:rPr>
        <w:t>（ca锁办理：企业办理企业信息库录入请参考如下地址进行入库和办理，</w:t>
      </w:r>
      <w:r>
        <w:rPr>
          <w:rFonts w:hint="eastAsia" w:ascii="仿宋" w:hAnsi="仿宋" w:eastAsia="仿宋" w:cs="仿宋"/>
          <w:color w:val="333333"/>
          <w:sz w:val="30"/>
          <w:szCs w:val="30"/>
          <w:u w:val="none"/>
        </w:rPr>
        <w:fldChar w:fldCharType="begin"/>
      </w:r>
      <w:r>
        <w:rPr>
          <w:rFonts w:hint="eastAsia" w:ascii="仿宋" w:hAnsi="仿宋" w:eastAsia="仿宋" w:cs="仿宋"/>
          <w:color w:val="333333"/>
          <w:sz w:val="30"/>
          <w:szCs w:val="30"/>
          <w:u w:val="none"/>
        </w:rPr>
        <w:instrText xml:space="preserve"> HYPERLINK "http://ggzyjy.ahsz.gov.cn/szfront/infodetail/?infoid=8919f9b0-e8ba-411d-92cf-ba7e22630f0f&amp;categoryNum=005001001" </w:instrText>
      </w:r>
      <w:r>
        <w:rPr>
          <w:rFonts w:hint="eastAsia" w:ascii="仿宋" w:hAnsi="仿宋" w:eastAsia="仿宋" w:cs="仿宋"/>
          <w:color w:val="333333"/>
          <w:sz w:val="30"/>
          <w:szCs w:val="30"/>
          <w:u w:val="none"/>
        </w:rPr>
        <w:fldChar w:fldCharType="separate"/>
      </w:r>
      <w:r>
        <w:rPr>
          <w:rStyle w:val="10"/>
          <w:rFonts w:hint="eastAsia" w:ascii="仿宋" w:hAnsi="仿宋" w:eastAsia="仿宋" w:cs="仿宋"/>
          <w:color w:val="auto"/>
          <w:sz w:val="30"/>
          <w:szCs w:val="30"/>
          <w:u w:val="none"/>
        </w:rPr>
        <w:t>http://ggzyjy.ahsz.gov.cn/szfront/infodetail/?infoid=8919f9b0-e8ba-411d-92cf-ba7e22630f0f&amp;categoryNum=005001001</w:t>
      </w:r>
      <w:r>
        <w:rPr>
          <w:rFonts w:hint="eastAsia" w:ascii="仿宋" w:hAnsi="仿宋" w:eastAsia="仿宋" w:cs="仿宋"/>
          <w:color w:val="333333"/>
          <w:sz w:val="30"/>
          <w:szCs w:val="30"/>
          <w:u w:val="none"/>
        </w:rPr>
        <w:fldChar w:fldCharType="end"/>
      </w:r>
      <w:r>
        <w:rPr>
          <w:rFonts w:hint="eastAsia" w:ascii="仿宋" w:hAnsi="仿宋" w:eastAsia="仿宋" w:cs="仿宋"/>
          <w:color w:val="333333"/>
          <w:sz w:val="30"/>
          <w:szCs w:val="30"/>
        </w:rPr>
        <w:t>。</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地址：宿州市公共资源交易中心一楼 电话：0557-3030327）</w:t>
      </w:r>
    </w:p>
    <w:p>
      <w:pPr>
        <w:pStyle w:val="3"/>
        <w:keepNext w:val="0"/>
        <w:keepLines w:val="0"/>
        <w:widowControl/>
        <w:suppressLineNumbers w:val="0"/>
        <w:spacing w:before="0" w:beforeAutospacing="0" w:after="300" w:afterAutospacing="0" w:line="23" w:lineRule="atLeast"/>
        <w:ind w:left="300" w:right="300" w:firstLine="600"/>
        <w:jc w:val="left"/>
        <w:rPr>
          <w:rFonts w:hint="default" w:ascii="Times New Roman" w:hAnsi="Times New Roman" w:cs="Times New Roman"/>
          <w:sz w:val="21"/>
          <w:szCs w:val="21"/>
        </w:rPr>
      </w:pPr>
      <w:r>
        <w:rPr>
          <w:rFonts w:hint="eastAsia" w:ascii="仿宋" w:hAnsi="仿宋" w:eastAsia="仿宋" w:cs="仿宋"/>
          <w:color w:val="333333"/>
          <w:sz w:val="30"/>
          <w:szCs w:val="30"/>
        </w:rPr>
        <w:t>4.4开标现场核对名单时，发现投标单位没有在网上上传投标文件的，投标文件不予接收。  </w:t>
      </w:r>
    </w:p>
    <w:p>
      <w:pPr>
        <w:pStyle w:val="3"/>
        <w:keepNext w:val="0"/>
        <w:keepLines w:val="0"/>
        <w:widowControl/>
        <w:suppressLineNumbers w:val="0"/>
        <w:spacing w:before="0" w:beforeAutospacing="0" w:after="300" w:afterAutospacing="0"/>
        <w:ind w:left="300" w:right="300" w:firstLine="602"/>
        <w:jc w:val="both"/>
        <w:rPr>
          <w:rFonts w:hint="default" w:ascii="Times New Roman" w:hAnsi="Times New Roman" w:cs="Times New Roman"/>
          <w:sz w:val="21"/>
          <w:szCs w:val="21"/>
        </w:rPr>
      </w:pPr>
      <w:r>
        <w:rPr>
          <w:rFonts w:hint="eastAsia" w:ascii="仿宋" w:hAnsi="仿宋" w:eastAsia="仿宋" w:cs="仿宋"/>
          <w:b/>
          <w:color w:val="333333"/>
          <w:sz w:val="30"/>
          <w:szCs w:val="30"/>
        </w:rPr>
        <w:t>5.投标文件的递交</w:t>
      </w:r>
    </w:p>
    <w:p>
      <w:pPr>
        <w:pStyle w:val="3"/>
        <w:keepNext w:val="0"/>
        <w:keepLines w:val="0"/>
        <w:widowControl/>
        <w:suppressLineNumbers w:val="0"/>
        <w:spacing w:before="0" w:beforeAutospacing="0" w:after="300" w:afterAutospacing="0" w:line="23" w:lineRule="atLeast"/>
        <w:ind w:left="512"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5.1 投标文件递交的截止时间（投标截止时间，下同）为2020年7月9日09时00分，地点为灵璧县公共资源交易中心第 1 开标室（灵璧县虞姬大道和钟灵大道交汇处万汇城1#楼）。</w:t>
      </w:r>
    </w:p>
    <w:p>
      <w:pPr>
        <w:pStyle w:val="3"/>
        <w:keepNext w:val="0"/>
        <w:keepLines w:val="0"/>
        <w:widowControl/>
        <w:suppressLineNumbers w:val="0"/>
        <w:spacing w:before="0" w:beforeAutospacing="0" w:after="300" w:afterAutospacing="0" w:line="23" w:lineRule="atLeast"/>
        <w:ind w:left="512"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5.2开标时间：2020年7月9日09时00分。</w:t>
      </w:r>
    </w:p>
    <w:p>
      <w:pPr>
        <w:pStyle w:val="3"/>
        <w:keepNext w:val="0"/>
        <w:keepLines w:val="0"/>
        <w:widowControl/>
        <w:suppressLineNumbers w:val="0"/>
        <w:spacing w:before="0" w:beforeAutospacing="0" w:after="300" w:afterAutospacing="0" w:line="23" w:lineRule="atLeast"/>
        <w:ind w:left="512"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5.3开标地点：地点为灵璧县公共资源交易中心第 1 开标室（灵璧县虞姬大道和钟灵大道交汇处万汇城1#楼）。</w:t>
      </w:r>
    </w:p>
    <w:p>
      <w:pPr>
        <w:pStyle w:val="3"/>
        <w:keepNext w:val="0"/>
        <w:keepLines w:val="0"/>
        <w:widowControl/>
        <w:suppressLineNumbers w:val="0"/>
        <w:spacing w:before="0" w:beforeAutospacing="0" w:after="300" w:afterAutospacing="0" w:line="23" w:lineRule="atLeast"/>
        <w:ind w:left="300" w:right="300" w:firstLine="900"/>
        <w:jc w:val="both"/>
        <w:rPr>
          <w:rFonts w:hint="default" w:ascii="Times New Roman" w:hAnsi="Times New Roman" w:cs="Times New Roman"/>
          <w:sz w:val="21"/>
          <w:szCs w:val="21"/>
        </w:rPr>
      </w:pPr>
      <w:r>
        <w:rPr>
          <w:rFonts w:hint="eastAsia" w:ascii="仿宋" w:hAnsi="仿宋" w:eastAsia="仿宋" w:cs="仿宋"/>
          <w:color w:val="333333"/>
          <w:sz w:val="30"/>
          <w:szCs w:val="30"/>
        </w:rPr>
        <w:t>5.4逾期送达的或者未送达指定地点的投标文件，招标人不予受理。</w:t>
      </w:r>
    </w:p>
    <w:p>
      <w:pPr>
        <w:pStyle w:val="3"/>
        <w:keepNext w:val="0"/>
        <w:keepLines w:val="0"/>
        <w:widowControl/>
        <w:suppressLineNumbers w:val="0"/>
        <w:spacing w:before="0" w:beforeAutospacing="0" w:after="300" w:afterAutospacing="0"/>
        <w:ind w:left="300" w:right="300" w:firstLine="602"/>
        <w:jc w:val="both"/>
        <w:rPr>
          <w:rFonts w:hint="default" w:ascii="Times New Roman" w:hAnsi="Times New Roman" w:cs="Times New Roman"/>
          <w:sz w:val="21"/>
          <w:szCs w:val="21"/>
        </w:rPr>
      </w:pPr>
      <w:r>
        <w:rPr>
          <w:rFonts w:hint="eastAsia" w:ascii="仿宋" w:hAnsi="仿宋" w:eastAsia="仿宋" w:cs="仿宋"/>
          <w:b/>
          <w:color w:val="333333"/>
          <w:sz w:val="30"/>
          <w:szCs w:val="30"/>
        </w:rPr>
        <w:t>6.发布公告的媒介</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本次招标公告同时在安徽省建设工程招投标信息网、安徽省招标投标信息网、宿州市公共资源交易网上发布。</w:t>
      </w:r>
    </w:p>
    <w:p>
      <w:pPr>
        <w:pStyle w:val="3"/>
        <w:keepNext w:val="0"/>
        <w:keepLines w:val="0"/>
        <w:widowControl/>
        <w:suppressLineNumbers w:val="0"/>
        <w:spacing w:before="0" w:beforeAutospacing="0" w:after="300" w:afterAutospacing="0"/>
        <w:ind w:left="300" w:right="300" w:firstLine="602"/>
        <w:jc w:val="both"/>
        <w:rPr>
          <w:rFonts w:hint="default" w:ascii="Times New Roman" w:hAnsi="Times New Roman" w:cs="Times New Roman"/>
          <w:sz w:val="21"/>
          <w:szCs w:val="21"/>
        </w:rPr>
      </w:pPr>
      <w:r>
        <w:rPr>
          <w:rFonts w:hint="eastAsia" w:ascii="仿宋" w:hAnsi="仿宋" w:eastAsia="仿宋" w:cs="仿宋"/>
          <w:b/>
          <w:color w:val="333333"/>
          <w:sz w:val="30"/>
          <w:szCs w:val="30"/>
        </w:rPr>
        <w:t>7.联系方式</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招标人：灵璧县建灵投资管理有限公司</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地  址：安徽省宿州市灵璧县灵城镇尚东国际安置小区</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联系人：周经理        </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 xml:space="preserve">电  话：18155772337 </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招标代理机构：安徽省招标集团股份有限公司</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地  址：安徽省合肥市包河区包河大道236号</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 xml:space="preserve">联系人：朱泽忠、任雪松 </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 xml:space="preserve">电  话： 15375455875、18326001970 </w:t>
      </w:r>
    </w:p>
    <w:p>
      <w:pPr>
        <w:pStyle w:val="3"/>
        <w:keepNext w:val="0"/>
        <w:keepLines w:val="0"/>
        <w:widowControl/>
        <w:suppressLineNumbers w:val="0"/>
        <w:spacing w:before="0" w:beforeAutospacing="0" w:after="300" w:afterAutospacing="0" w:line="23" w:lineRule="atLeast"/>
        <w:ind w:left="300" w:right="300" w:firstLine="600"/>
        <w:jc w:val="both"/>
        <w:rPr>
          <w:rFonts w:hint="default" w:ascii="Times New Roman" w:hAnsi="Times New Roman" w:cs="Times New Roman"/>
          <w:sz w:val="21"/>
          <w:szCs w:val="21"/>
        </w:rPr>
      </w:pPr>
      <w:r>
        <w:rPr>
          <w:rFonts w:hint="eastAsia" w:ascii="仿宋" w:hAnsi="仿宋" w:eastAsia="仿宋" w:cs="仿宋"/>
          <w:color w:val="333333"/>
          <w:sz w:val="30"/>
          <w:szCs w:val="30"/>
        </w:rPr>
        <w:t xml:space="preserve">电子邮件： zhaobiao02@ah-inter.com    </w:t>
      </w:r>
    </w:p>
    <w:p>
      <w:pPr>
        <w:pStyle w:val="3"/>
        <w:keepNext w:val="0"/>
        <w:keepLines w:val="0"/>
        <w:widowControl/>
        <w:suppressLineNumbers w:val="0"/>
        <w:spacing w:before="0" w:beforeAutospacing="0" w:after="300" w:afterAutospacing="0" w:line="23" w:lineRule="atLeast"/>
        <w:ind w:left="300" w:right="300" w:firstLine="600"/>
        <w:jc w:val="both"/>
      </w:pPr>
      <w:r>
        <w:rPr>
          <w:rFonts w:hint="eastAsia" w:ascii="仿宋" w:hAnsi="仿宋" w:eastAsia="仿宋" w:cs="仿宋"/>
          <w:color w:val="333333"/>
          <w:sz w:val="30"/>
          <w:szCs w:val="30"/>
        </w:rPr>
        <w:t>2020年6月19日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7168"/>
    <w:rsid w:val="08B27BA8"/>
    <w:rsid w:val="1ACA552D"/>
    <w:rsid w:val="1C8E1307"/>
    <w:rsid w:val="3C9040AA"/>
    <w:rsid w:val="46782F2A"/>
    <w:rsid w:val="55205B26"/>
    <w:rsid w:val="6E8A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30"/>
      <w:szCs w:val="30"/>
      <w:lang w:val="en-US" w:eastAsia="zh-CN" w:bidi="ar"/>
    </w:rPr>
  </w:style>
  <w:style w:type="character" w:default="1" w:styleId="4">
    <w:name w:val="Default Paragraph Font"/>
    <w:semiHidden/>
    <w:qForma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uiPriority w:val="0"/>
    <w:rPr>
      <w:i/>
    </w:rPr>
  </w:style>
  <w:style w:type="character" w:styleId="9">
    <w:name w:val="HTML Acronym"/>
    <w:basedOn w:val="4"/>
    <w:uiPriority w:val="0"/>
  </w:style>
  <w:style w:type="character" w:styleId="10">
    <w:name w:val="Hyperlink"/>
    <w:basedOn w:val="4"/>
    <w:uiPriority w:val="0"/>
    <w:rPr>
      <w:color w:val="333333"/>
      <w:u w:val="none"/>
    </w:rPr>
  </w:style>
  <w:style w:type="character" w:styleId="11">
    <w:name w:val="HTML Code"/>
    <w:basedOn w:val="4"/>
    <w:uiPriority w:val="0"/>
    <w:rPr>
      <w:rFonts w:ascii="monospace" w:hAnsi="monospace" w:eastAsia="monospace" w:cs="monospace"/>
      <w:sz w:val="21"/>
      <w:szCs w:val="21"/>
    </w:rPr>
  </w:style>
  <w:style w:type="character" w:styleId="12">
    <w:name w:val="HTML Keyboard"/>
    <w:basedOn w:val="4"/>
    <w:uiPriority w:val="0"/>
    <w:rPr>
      <w:rFonts w:hint="default" w:ascii="monospace" w:hAnsi="monospace" w:eastAsia="monospace" w:cs="monospace"/>
      <w:sz w:val="21"/>
      <w:szCs w:val="21"/>
    </w:rPr>
  </w:style>
  <w:style w:type="character" w:styleId="13">
    <w:name w:val="HTML Sample"/>
    <w:basedOn w:val="4"/>
    <w:uiPriority w:val="0"/>
    <w:rPr>
      <w:rFonts w:hint="default" w:ascii="monospace" w:hAnsi="monospace" w:eastAsia="monospace" w:cs="monospace"/>
      <w:sz w:val="21"/>
      <w:szCs w:val="21"/>
    </w:rPr>
  </w:style>
  <w:style w:type="character" w:customStyle="1" w:styleId="15">
    <w:name w:val="tit6"/>
    <w:basedOn w:val="4"/>
    <w:qFormat/>
    <w:uiPriority w:val="0"/>
    <w:rPr>
      <w:color w:val="0077D1"/>
    </w:rPr>
  </w:style>
  <w:style w:type="character" w:customStyle="1" w:styleId="16">
    <w:name w:val="s1"/>
    <w:basedOn w:val="4"/>
    <w:uiPriority w:val="0"/>
    <w:rPr>
      <w:color w:val="0077D1"/>
    </w:rPr>
  </w:style>
  <w:style w:type="character" w:customStyle="1" w:styleId="17">
    <w:name w:val="s11"/>
    <w:basedOn w:val="4"/>
    <w:uiPriority w:val="0"/>
    <w:rPr>
      <w:color w:val="0077D1"/>
    </w:rPr>
  </w:style>
  <w:style w:type="character" w:customStyle="1" w:styleId="18">
    <w:name w:val="tmpztreemove_arrow"/>
    <w:basedOn w:val="4"/>
    <w:uiPriority w:val="0"/>
  </w:style>
  <w:style w:type="character" w:customStyle="1" w:styleId="19">
    <w:name w:val="button"/>
    <w:basedOn w:val="4"/>
    <w:uiPriority w:val="0"/>
  </w:style>
  <w:style w:type="character" w:customStyle="1" w:styleId="20">
    <w:name w:val="s2"/>
    <w:basedOn w:val="4"/>
    <w:qFormat/>
    <w:uiPriority w:val="0"/>
    <w:rPr>
      <w:color w:val="FD8622"/>
    </w:rPr>
  </w:style>
  <w:style w:type="character" w:customStyle="1" w:styleId="21">
    <w:name w:val="s21"/>
    <w:basedOn w:val="4"/>
    <w:uiPriority w:val="0"/>
    <w:rPr>
      <w:color w:val="FD8622"/>
    </w:rPr>
  </w:style>
  <w:style w:type="character" w:customStyle="1" w:styleId="22">
    <w:name w:val="tit"/>
    <w:basedOn w:val="4"/>
    <w:uiPriority w:val="0"/>
    <w:rPr>
      <w:color w:val="0077D1"/>
    </w:rPr>
  </w:style>
  <w:style w:type="character" w:customStyle="1" w:styleId="23">
    <w:name w:val="lang"/>
    <w:basedOn w:val="4"/>
    <w:uiPriority w:val="0"/>
  </w:style>
  <w:style w:type="character" w:customStyle="1" w:styleId="24">
    <w:name w:val="note-content"/>
    <w:basedOn w:val="4"/>
    <w:uiPriority w:val="0"/>
  </w:style>
  <w:style w:type="character" w:customStyle="1" w:styleId="25">
    <w:name w:val="note-content1"/>
    <w:basedOn w:val="4"/>
    <w:uiPriority w:val="0"/>
    <w:rPr>
      <w:color w:val="333333"/>
      <w:bdr w:val="none" w:color="auto" w:sz="0" w:space="0"/>
    </w:rPr>
  </w:style>
  <w:style w:type="character" w:customStyle="1" w:styleId="26">
    <w:name w:val="img_title"/>
    <w:basedOn w:val="4"/>
    <w:uiPriority w:val="0"/>
    <w:rPr>
      <w:vanish/>
    </w:rPr>
  </w:style>
  <w:style w:type="character" w:customStyle="1" w:styleId="27">
    <w:name w:val="img_title1"/>
    <w:basedOn w:val="4"/>
    <w:uiPriority w:val="0"/>
    <w:rPr>
      <w:vanish/>
    </w:rPr>
  </w:style>
  <w:style w:type="character" w:customStyle="1" w:styleId="28">
    <w:name w:val="img_title2"/>
    <w:basedOn w:val="4"/>
    <w:uiPriority w:val="0"/>
    <w:rPr>
      <w:color w:val="666666"/>
      <w:sz w:val="21"/>
      <w:szCs w:val="21"/>
    </w:rPr>
  </w:style>
  <w:style w:type="character" w:customStyle="1" w:styleId="29">
    <w:name w:val="img_title3"/>
    <w:basedOn w:val="4"/>
    <w:uiPriority w:val="0"/>
    <w:rPr>
      <w:vanish/>
    </w:rPr>
  </w:style>
  <w:style w:type="character" w:customStyle="1" w:styleId="30">
    <w:name w:val="img_title4"/>
    <w:basedOn w:val="4"/>
    <w:uiPriority w:val="0"/>
    <w:rPr>
      <w:vanish/>
    </w:rPr>
  </w:style>
  <w:style w:type="character" w:customStyle="1" w:styleId="31">
    <w:name w:val="img_title5"/>
    <w:basedOn w:val="4"/>
    <w:uiPriority w:val="0"/>
    <w:rPr>
      <w:vanish/>
    </w:rPr>
  </w:style>
  <w:style w:type="character" w:customStyle="1" w:styleId="32">
    <w:name w:val="img_title6"/>
    <w:basedOn w:val="4"/>
    <w:uiPriority w:val="0"/>
    <w:rPr>
      <w:vanish/>
    </w:rPr>
  </w:style>
  <w:style w:type="character" w:customStyle="1" w:styleId="33">
    <w:name w:val="img_title7"/>
    <w:basedOn w:val="4"/>
    <w:uiPriority w:val="0"/>
    <w:rPr>
      <w:vanish/>
    </w:rPr>
  </w:style>
  <w:style w:type="character" w:customStyle="1" w:styleId="34">
    <w:name w:val="img_title8"/>
    <w:basedOn w:val="4"/>
    <w:uiPriority w:val="0"/>
    <w:rPr>
      <w:vanish/>
    </w:rPr>
  </w:style>
  <w:style w:type="character" w:customStyle="1" w:styleId="35">
    <w:name w:val="bj"/>
    <w:basedOn w:val="4"/>
    <w:uiPriority w:val="0"/>
    <w:rPr>
      <w:bdr w:val="single" w:color="DCDCDC" w:sz="6" w:space="0"/>
    </w:rPr>
  </w:style>
  <w:style w:type="character" w:customStyle="1" w:styleId="36">
    <w:name w:val="datetime"/>
    <w:basedOn w:val="4"/>
    <w:uiPriority w:val="0"/>
    <w:rPr>
      <w:rFonts w:ascii="Arial" w:hAnsi="Arial" w:cs="Arial"/>
      <w:color w:val="999999"/>
      <w:sz w:val="21"/>
      <w:szCs w:val="21"/>
    </w:rPr>
  </w:style>
  <w:style w:type="character" w:customStyle="1" w:styleId="37">
    <w:name w:val="c3"/>
    <w:basedOn w:val="4"/>
    <w:uiPriority w:val="0"/>
  </w:style>
  <w:style w:type="character" w:customStyle="1" w:styleId="38">
    <w:name w:val="c1"/>
    <w:basedOn w:val="4"/>
    <w:uiPriority w:val="0"/>
    <w:rPr>
      <w:bdr w:val="none" w:color="auto" w:sz="0" w:space="0"/>
    </w:rPr>
  </w:style>
  <w:style w:type="character" w:customStyle="1" w:styleId="39">
    <w:name w:val="c2"/>
    <w:basedOn w:val="4"/>
    <w:uiPriority w:val="0"/>
  </w:style>
  <w:style w:type="character" w:customStyle="1" w:styleId="40">
    <w:name w:val="msg-box20"/>
    <w:basedOn w:val="4"/>
    <w:uiPriority w:val="0"/>
  </w:style>
  <w:style w:type="character" w:customStyle="1" w:styleId="41">
    <w:name w:val="red2"/>
    <w:basedOn w:val="4"/>
    <w:uiPriority w:val="0"/>
    <w:rPr>
      <w:color w:val="FF0000"/>
    </w:rPr>
  </w:style>
  <w:style w:type="character" w:customStyle="1" w:styleId="42">
    <w:name w:val="bt3"/>
    <w:basedOn w:val="4"/>
    <w:uiPriority w:val="0"/>
    <w:rPr>
      <w:b/>
      <w:color w:val="0061AF"/>
      <w:sz w:val="24"/>
      <w:szCs w:val="24"/>
    </w:rPr>
  </w:style>
  <w:style w:type="character" w:customStyle="1" w:styleId="43">
    <w:name w:val="nr"/>
    <w:basedOn w:val="4"/>
    <w:uiPriority w:val="0"/>
  </w:style>
  <w:style w:type="character" w:customStyle="1" w:styleId="44">
    <w:name w:val="hover37"/>
    <w:basedOn w:val="4"/>
    <w:uiPriority w:val="0"/>
    <w:rPr>
      <w:shd w:val="clear" w:fill="03529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2020-11-11T08:53:18Z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