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84456">
      <w:pPr>
        <w:pStyle w:val="2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0"/>
        <w:jc w:val="center"/>
        <w:textAlignment w:val="auto"/>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一、建设项目基本情况</w:t>
      </w:r>
    </w:p>
    <w:tbl>
      <w:tblPr>
        <w:tblStyle w:val="2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03"/>
        <w:gridCol w:w="711"/>
        <w:gridCol w:w="1936"/>
        <w:gridCol w:w="2026"/>
        <w:gridCol w:w="3055"/>
      </w:tblGrid>
      <w:tr w14:paraId="027AD5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73" w:type="dxa"/>
            <w:gridSpan w:val="2"/>
            <w:tcBorders>
              <w:tl2br w:val="nil"/>
              <w:tr2bl w:val="nil"/>
            </w:tcBorders>
            <w:noWrap w:val="0"/>
            <w:tcMar>
              <w:top w:w="16" w:type="dxa"/>
              <w:left w:w="16" w:type="dxa"/>
              <w:right w:w="16" w:type="dxa"/>
            </w:tcMar>
            <w:vAlign w:val="center"/>
          </w:tcPr>
          <w:p w14:paraId="38B416E1">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建设项目名称</w:t>
            </w:r>
          </w:p>
        </w:tc>
        <w:tc>
          <w:tcPr>
            <w:tcW w:w="7097" w:type="dxa"/>
            <w:gridSpan w:val="3"/>
            <w:tcBorders>
              <w:tl2br w:val="nil"/>
              <w:tr2bl w:val="nil"/>
            </w:tcBorders>
            <w:noWrap w:val="0"/>
            <w:vAlign w:val="center"/>
          </w:tcPr>
          <w:p w14:paraId="6F8D6C4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rPr>
            </w:pPr>
            <w:r>
              <w:rPr>
                <w:rFonts w:hint="eastAsia" w:eastAsia="宋体" w:cs="Times New Roman"/>
                <w:color w:val="auto"/>
                <w:sz w:val="24"/>
                <w:szCs w:val="24"/>
                <w:highlight w:val="none"/>
                <w:lang w:val="en-US" w:eastAsia="zh-CN"/>
              </w:rPr>
              <w:t>优嘉精密轴承生产项目</w:t>
            </w:r>
          </w:p>
        </w:tc>
      </w:tr>
      <w:tr w14:paraId="547F86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73" w:type="dxa"/>
            <w:gridSpan w:val="2"/>
            <w:tcBorders>
              <w:tl2br w:val="nil"/>
              <w:tr2bl w:val="nil"/>
            </w:tcBorders>
            <w:noWrap w:val="0"/>
            <w:tcMar>
              <w:top w:w="16" w:type="dxa"/>
              <w:left w:w="16" w:type="dxa"/>
              <w:right w:w="16" w:type="dxa"/>
            </w:tcMar>
            <w:vAlign w:val="center"/>
          </w:tcPr>
          <w:p w14:paraId="238CE30A">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项目代码</w:t>
            </w:r>
          </w:p>
        </w:tc>
        <w:tc>
          <w:tcPr>
            <w:tcW w:w="7097" w:type="dxa"/>
            <w:gridSpan w:val="3"/>
            <w:tcBorders>
              <w:tl2br w:val="nil"/>
              <w:tr2bl w:val="nil"/>
            </w:tcBorders>
            <w:noWrap w:val="0"/>
            <w:vAlign w:val="center"/>
          </w:tcPr>
          <w:p w14:paraId="0CD7FAE1">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2503-341323-04-01-459992</w:t>
            </w:r>
          </w:p>
        </w:tc>
      </w:tr>
      <w:tr w14:paraId="621171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73" w:type="dxa"/>
            <w:gridSpan w:val="2"/>
            <w:tcBorders>
              <w:tl2br w:val="nil"/>
              <w:tr2bl w:val="nil"/>
            </w:tcBorders>
            <w:noWrap w:val="0"/>
            <w:tcMar>
              <w:top w:w="16" w:type="dxa"/>
              <w:left w:w="16" w:type="dxa"/>
              <w:right w:w="16" w:type="dxa"/>
            </w:tcMar>
            <w:vAlign w:val="center"/>
          </w:tcPr>
          <w:p w14:paraId="05B91575">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建设单位联系人</w:t>
            </w:r>
          </w:p>
        </w:tc>
        <w:tc>
          <w:tcPr>
            <w:tcW w:w="1942" w:type="dxa"/>
            <w:tcBorders>
              <w:tl2br w:val="nil"/>
              <w:tr2bl w:val="nil"/>
            </w:tcBorders>
            <w:noWrap w:val="0"/>
            <w:vAlign w:val="center"/>
          </w:tcPr>
          <w:p w14:paraId="1E39AE06">
            <w:pPr>
              <w:keepNext w:val="0"/>
              <w:keepLines w:val="0"/>
              <w:pageBreakBefore w:val="0"/>
              <w:widowControl w:val="0"/>
              <w:kinsoku/>
              <w:wordWrap/>
              <w:overflowPunct/>
              <w:topLinePunct w:val="0"/>
              <w:bidi w:val="0"/>
              <w:adjustRightInd w:val="0"/>
              <w:snapToGrid w:val="0"/>
              <w:jc w:val="center"/>
              <w:textAlignment w:val="auto"/>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胡安猛</w:t>
            </w:r>
          </w:p>
        </w:tc>
        <w:tc>
          <w:tcPr>
            <w:tcW w:w="2100" w:type="dxa"/>
            <w:tcBorders>
              <w:tl2br w:val="nil"/>
              <w:tr2bl w:val="nil"/>
            </w:tcBorders>
            <w:noWrap w:val="0"/>
            <w:vAlign w:val="center"/>
          </w:tcPr>
          <w:p w14:paraId="57CC8E1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联系方式</w:t>
            </w:r>
          </w:p>
        </w:tc>
        <w:tc>
          <w:tcPr>
            <w:tcW w:w="3055" w:type="dxa"/>
            <w:tcBorders>
              <w:tl2br w:val="nil"/>
              <w:tr2bl w:val="nil"/>
            </w:tcBorders>
            <w:noWrap w:val="0"/>
            <w:vAlign w:val="center"/>
          </w:tcPr>
          <w:p w14:paraId="45F6483E">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172****9608</w:t>
            </w:r>
          </w:p>
        </w:tc>
      </w:tr>
      <w:tr w14:paraId="5E653E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73" w:type="dxa"/>
            <w:gridSpan w:val="2"/>
            <w:tcBorders>
              <w:tl2br w:val="nil"/>
              <w:tr2bl w:val="nil"/>
            </w:tcBorders>
            <w:noWrap w:val="0"/>
            <w:tcMar>
              <w:top w:w="16" w:type="dxa"/>
              <w:left w:w="16" w:type="dxa"/>
              <w:right w:w="16" w:type="dxa"/>
            </w:tcMar>
            <w:vAlign w:val="center"/>
          </w:tcPr>
          <w:p w14:paraId="17F05213">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建设地点</w:t>
            </w:r>
          </w:p>
        </w:tc>
        <w:tc>
          <w:tcPr>
            <w:tcW w:w="7097" w:type="dxa"/>
            <w:gridSpan w:val="3"/>
            <w:tcBorders>
              <w:tl2br w:val="nil"/>
              <w:tr2bl w:val="nil"/>
            </w:tcBorders>
            <w:noWrap w:val="0"/>
            <w:vAlign w:val="center"/>
          </w:tcPr>
          <w:p w14:paraId="2AFB697C">
            <w:pPr>
              <w:keepNext w:val="0"/>
              <w:keepLines w:val="0"/>
              <w:widowControl/>
              <w:suppressLineNumbers w:val="0"/>
              <w:jc w:val="center"/>
              <w:rPr>
                <w:rFonts w:hint="eastAsia"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灵璧县北部经济开发区轴承产业基地AB区北侧重点区域</w:t>
            </w:r>
          </w:p>
        </w:tc>
      </w:tr>
      <w:tr w14:paraId="334D37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73" w:type="dxa"/>
            <w:gridSpan w:val="2"/>
            <w:tcBorders>
              <w:tl2br w:val="nil"/>
              <w:tr2bl w:val="nil"/>
            </w:tcBorders>
            <w:noWrap w:val="0"/>
            <w:tcMar>
              <w:top w:w="16" w:type="dxa"/>
              <w:left w:w="16" w:type="dxa"/>
              <w:right w:w="16" w:type="dxa"/>
            </w:tcMar>
            <w:vAlign w:val="center"/>
          </w:tcPr>
          <w:p w14:paraId="1986CB32">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地理坐标</w:t>
            </w:r>
          </w:p>
        </w:tc>
        <w:tc>
          <w:tcPr>
            <w:tcW w:w="7097" w:type="dxa"/>
            <w:gridSpan w:val="3"/>
            <w:tcBorders>
              <w:tl2br w:val="nil"/>
              <w:tr2bl w:val="nil"/>
            </w:tcBorders>
            <w:noWrap w:val="0"/>
            <w:vAlign w:val="center"/>
          </w:tcPr>
          <w:p w14:paraId="03472530">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Times New Roman" w:hAnsi="Times New Roman" w:eastAsia="宋体" w:cs="Times New Roman"/>
                <w:color w:val="auto"/>
                <w:sz w:val="24"/>
                <w:szCs w:val="24"/>
                <w:highlight w:val="none"/>
                <w:u w:val="single"/>
                <w:lang w:val="en-US" w:eastAsia="zh-CN"/>
              </w:rPr>
              <w:t xml:space="preserve">经度 117 </w:t>
            </w:r>
            <w:r>
              <w:rPr>
                <w:rFonts w:hint="default" w:ascii="Times New Roman" w:hAnsi="Times New Roman" w:eastAsia="宋体" w:cs="Times New Roman"/>
                <w:color w:val="auto"/>
                <w:sz w:val="24"/>
                <w:szCs w:val="24"/>
                <w:highlight w:val="none"/>
                <w:u w:val="single"/>
                <w:lang w:val="en-US" w:eastAsia="zh-CN"/>
              </w:rPr>
              <w:t xml:space="preserve">度 </w:t>
            </w:r>
            <w:r>
              <w:rPr>
                <w:rFonts w:hint="eastAsia" w:ascii="Times New Roman" w:hAnsi="Times New Roman" w:eastAsia="宋体" w:cs="Times New Roman"/>
                <w:color w:val="auto"/>
                <w:sz w:val="24"/>
                <w:szCs w:val="24"/>
                <w:highlight w:val="none"/>
                <w:u w:val="single"/>
                <w:lang w:val="en-US" w:eastAsia="zh-CN"/>
              </w:rPr>
              <w:t xml:space="preserve">32 </w:t>
            </w:r>
            <w:r>
              <w:rPr>
                <w:rFonts w:hint="default" w:ascii="Times New Roman" w:hAnsi="Times New Roman" w:eastAsia="宋体" w:cs="Times New Roman"/>
                <w:color w:val="auto"/>
                <w:sz w:val="24"/>
                <w:szCs w:val="24"/>
                <w:highlight w:val="none"/>
                <w:u w:val="single"/>
                <w:lang w:val="en-US" w:eastAsia="zh-CN"/>
              </w:rPr>
              <w:t xml:space="preserve">分 </w:t>
            </w:r>
            <w:r>
              <w:rPr>
                <w:rFonts w:hint="eastAsia" w:ascii="Times New Roman" w:hAnsi="Times New Roman" w:eastAsia="宋体" w:cs="Times New Roman"/>
                <w:color w:val="auto"/>
                <w:sz w:val="24"/>
                <w:szCs w:val="24"/>
                <w:highlight w:val="none"/>
                <w:u w:val="single"/>
                <w:lang w:val="en-US" w:eastAsia="zh-CN"/>
              </w:rPr>
              <w:t xml:space="preserve">54.475 </w:t>
            </w:r>
            <w:r>
              <w:rPr>
                <w:rFonts w:hint="default" w:ascii="Times New Roman" w:hAnsi="Times New Roman" w:eastAsia="宋体" w:cs="Times New Roman"/>
                <w:color w:val="auto"/>
                <w:sz w:val="24"/>
                <w:szCs w:val="24"/>
                <w:highlight w:val="none"/>
                <w:u w:val="single"/>
                <w:lang w:val="en-US" w:eastAsia="zh-CN"/>
              </w:rPr>
              <w:t>秒，</w:t>
            </w:r>
            <w:r>
              <w:rPr>
                <w:rFonts w:hint="eastAsia" w:ascii="Times New Roman" w:hAnsi="Times New Roman" w:eastAsia="宋体" w:cs="Times New Roman"/>
                <w:color w:val="auto"/>
                <w:sz w:val="24"/>
                <w:szCs w:val="24"/>
                <w:highlight w:val="none"/>
                <w:u w:val="single"/>
                <w:lang w:val="en-US" w:eastAsia="zh-CN"/>
              </w:rPr>
              <w:t>纬度</w:t>
            </w:r>
            <w:r>
              <w:rPr>
                <w:rFonts w:hint="default" w:ascii="Times New Roman" w:hAnsi="Times New Roman" w:eastAsia="宋体" w:cs="Times New Roman"/>
                <w:color w:val="auto"/>
                <w:sz w:val="24"/>
                <w:szCs w:val="24"/>
                <w:highlight w:val="none"/>
                <w:u w:val="single"/>
                <w:lang w:val="en-US" w:eastAsia="zh-CN"/>
              </w:rPr>
              <w:t xml:space="preserve"> 3</w:t>
            </w:r>
            <w:r>
              <w:rPr>
                <w:rFonts w:hint="eastAsia" w:ascii="Times New Roman" w:hAnsi="Times New Roman" w:eastAsia="宋体"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u w:val="single"/>
                <w:lang w:val="en-US" w:eastAsia="zh-CN"/>
              </w:rPr>
              <w:t xml:space="preserve"> 度 </w:t>
            </w:r>
            <w:r>
              <w:rPr>
                <w:rFonts w:hint="eastAsia" w:ascii="Times New Roman" w:hAnsi="Times New Roman" w:eastAsia="宋体" w:cs="Times New Roman"/>
                <w:color w:val="auto"/>
                <w:sz w:val="24"/>
                <w:szCs w:val="24"/>
                <w:highlight w:val="none"/>
                <w:u w:val="single"/>
                <w:lang w:val="en-US" w:eastAsia="zh-CN"/>
              </w:rPr>
              <w:t>37</w:t>
            </w:r>
            <w:r>
              <w:rPr>
                <w:rFonts w:hint="default" w:ascii="Times New Roman" w:hAnsi="Times New Roman" w:eastAsia="宋体" w:cs="Times New Roman"/>
                <w:color w:val="auto"/>
                <w:sz w:val="24"/>
                <w:szCs w:val="24"/>
                <w:highlight w:val="none"/>
                <w:u w:val="single"/>
                <w:lang w:val="en-US" w:eastAsia="zh-CN"/>
              </w:rPr>
              <w:t xml:space="preserve"> 分 </w:t>
            </w:r>
            <w:r>
              <w:rPr>
                <w:rFonts w:hint="eastAsia" w:ascii="Times New Roman" w:hAnsi="Times New Roman" w:eastAsia="宋体" w:cs="Times New Roman"/>
                <w:color w:val="auto"/>
                <w:sz w:val="24"/>
                <w:szCs w:val="24"/>
                <w:highlight w:val="none"/>
                <w:u w:val="single"/>
                <w:lang w:val="en-US" w:eastAsia="zh-CN"/>
              </w:rPr>
              <w:t>28.495秒）</w:t>
            </w:r>
          </w:p>
        </w:tc>
      </w:tr>
      <w:tr w14:paraId="61D0B5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73" w:type="dxa"/>
            <w:gridSpan w:val="2"/>
            <w:tcBorders>
              <w:tl2br w:val="nil"/>
              <w:tr2bl w:val="nil"/>
            </w:tcBorders>
            <w:noWrap w:val="0"/>
            <w:tcMar>
              <w:top w:w="16" w:type="dxa"/>
              <w:left w:w="16" w:type="dxa"/>
              <w:right w:w="16" w:type="dxa"/>
            </w:tcMar>
            <w:vAlign w:val="center"/>
          </w:tcPr>
          <w:p w14:paraId="01DE5D2F">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国民经济</w:t>
            </w:r>
          </w:p>
          <w:p w14:paraId="05A7D9EC">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行业类别</w:t>
            </w:r>
          </w:p>
        </w:tc>
        <w:tc>
          <w:tcPr>
            <w:tcW w:w="1942" w:type="dxa"/>
            <w:tcBorders>
              <w:tl2br w:val="nil"/>
              <w:tr2bl w:val="nil"/>
            </w:tcBorders>
            <w:noWrap w:val="0"/>
            <w:vAlign w:val="center"/>
          </w:tcPr>
          <w:p w14:paraId="47369C27">
            <w:pPr>
              <w:keepNext w:val="0"/>
              <w:keepLines w:val="0"/>
              <w:pageBreakBefore w:val="0"/>
              <w:widowControl w:val="0"/>
              <w:kinsoku/>
              <w:wordWrap/>
              <w:overflowPunct/>
              <w:topLinePunct w:val="0"/>
              <w:bidi w:val="0"/>
              <w:adjustRightInd w:val="0"/>
              <w:snapToGrid w:val="0"/>
              <w:jc w:val="center"/>
              <w:textAlignment w:val="auto"/>
              <w:rPr>
                <w:rFonts w:hint="default" w:ascii="宋体" w:hAnsi="宋体" w:eastAsia="宋体" w:cs="宋体"/>
                <w:color w:val="auto"/>
                <w:sz w:val="24"/>
                <w:szCs w:val="24"/>
                <w:highlight w:val="none"/>
                <w:lang w:val="en-US"/>
              </w:rPr>
            </w:pPr>
            <w:r>
              <w:rPr>
                <w:rFonts w:hint="default" w:ascii="Times New Roman" w:hAnsi="Times New Roman" w:eastAsia="宋体" w:cs="Times New Roman"/>
                <w:b/>
                <w:bCs/>
                <w:color w:val="auto"/>
                <w:sz w:val="24"/>
                <w:szCs w:val="24"/>
                <w:highlight w:val="none"/>
                <w:lang w:val="en-US" w:eastAsia="zh-CN"/>
              </w:rPr>
              <w:t>C</w:t>
            </w:r>
            <w:r>
              <w:rPr>
                <w:rFonts w:hint="eastAsia" w:cs="Times New Roman"/>
                <w:b/>
                <w:bCs/>
                <w:color w:val="auto"/>
                <w:sz w:val="24"/>
                <w:szCs w:val="24"/>
                <w:highlight w:val="none"/>
                <w:lang w:val="en-US" w:eastAsia="zh-CN"/>
              </w:rPr>
              <w:t>3451</w:t>
            </w:r>
            <w:r>
              <w:rPr>
                <w:rFonts w:hint="eastAsia" w:cs="Times New Roman"/>
                <w:b w:val="0"/>
                <w:bCs w:val="0"/>
                <w:color w:val="auto"/>
                <w:sz w:val="24"/>
                <w:szCs w:val="24"/>
                <w:highlight w:val="none"/>
                <w:lang w:val="en-US" w:eastAsia="zh-CN"/>
              </w:rPr>
              <w:t xml:space="preserve"> 滚动轴承制造</w:t>
            </w:r>
          </w:p>
        </w:tc>
        <w:tc>
          <w:tcPr>
            <w:tcW w:w="2100" w:type="dxa"/>
            <w:tcBorders>
              <w:tl2br w:val="nil"/>
              <w:tr2bl w:val="nil"/>
            </w:tcBorders>
            <w:noWrap w:val="0"/>
            <w:vAlign w:val="center"/>
          </w:tcPr>
          <w:p w14:paraId="648D3880">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bookmarkStart w:id="0" w:name="_Hlk49843745"/>
            <w:r>
              <w:rPr>
                <w:rFonts w:hint="eastAsia" w:ascii="宋体" w:hAnsi="宋体" w:eastAsia="宋体" w:cs="宋体"/>
                <w:b w:val="0"/>
                <w:bCs w:val="0"/>
                <w:color w:val="auto"/>
                <w:sz w:val="24"/>
                <w:szCs w:val="24"/>
                <w:highlight w:val="none"/>
              </w:rPr>
              <w:t>建设项目</w:t>
            </w:r>
          </w:p>
          <w:p w14:paraId="21A3E43F">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行业类别</w:t>
            </w:r>
            <w:bookmarkEnd w:id="0"/>
          </w:p>
        </w:tc>
        <w:tc>
          <w:tcPr>
            <w:tcW w:w="3055" w:type="dxa"/>
            <w:tcBorders>
              <w:tl2br w:val="nil"/>
              <w:tr2bl w:val="nil"/>
            </w:tcBorders>
            <w:noWrap w:val="0"/>
            <w:vAlign w:val="center"/>
          </w:tcPr>
          <w:p w14:paraId="6BF1E0BF">
            <w:pPr>
              <w:keepNext w:val="0"/>
              <w:keepLines w:val="0"/>
              <w:pageBreakBefore w:val="0"/>
              <w:widowControl w:val="0"/>
              <w:kinsoku/>
              <w:wordWrap/>
              <w:overflowPunct/>
              <w:topLinePunct w:val="0"/>
              <w:bidi w:val="0"/>
              <w:adjustRightInd w:val="0"/>
              <w:snapToGrid w:val="0"/>
              <w:jc w:val="center"/>
              <w:textAlignment w:val="auto"/>
              <w:rPr>
                <w:rFonts w:hint="default" w:ascii="宋体" w:hAnsi="宋体" w:eastAsia="宋体" w:cs="宋体"/>
                <w:color w:val="auto"/>
                <w:sz w:val="24"/>
                <w:szCs w:val="24"/>
                <w:highlight w:val="none"/>
                <w:lang w:val="en-US" w:eastAsia="zh-CN"/>
              </w:rPr>
            </w:pPr>
            <w:r>
              <w:rPr>
                <w:rFonts w:hint="eastAsia" w:cs="Times New Roman"/>
                <w:color w:val="auto"/>
                <w:sz w:val="24"/>
                <w:szCs w:val="24"/>
                <w:highlight w:val="none"/>
                <w:lang w:val="en-US" w:eastAsia="zh-CN"/>
              </w:rPr>
              <w:t>三十一、通用设备制造业-69</w:t>
            </w:r>
            <w:r>
              <w:rPr>
                <w:rFonts w:hint="default" w:ascii="Times New Roman" w:hAnsi="Times New Roman" w:eastAsia="宋体" w:cs="Times New Roman"/>
                <w:color w:val="auto"/>
                <w:sz w:val="24"/>
                <w:szCs w:val="24"/>
                <w:highlight w:val="none"/>
                <w:lang w:val="en-US" w:eastAsia="zh-CN"/>
              </w:rPr>
              <w:t>、</w:t>
            </w:r>
            <w:r>
              <w:rPr>
                <w:rFonts w:hint="eastAsia" w:ascii="宋体" w:hAnsi="宋体" w:eastAsia="宋体" w:cs="宋体"/>
                <w:color w:val="auto"/>
                <w:sz w:val="24"/>
                <w:szCs w:val="24"/>
                <w:highlight w:val="none"/>
                <w:lang w:eastAsia="zh-CN"/>
              </w:rPr>
              <w:t>轴承、齿轮和传动部件制造</w:t>
            </w:r>
          </w:p>
        </w:tc>
      </w:tr>
      <w:tr w14:paraId="433289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73" w:type="dxa"/>
            <w:gridSpan w:val="2"/>
            <w:tcBorders>
              <w:tl2br w:val="nil"/>
              <w:tr2bl w:val="nil"/>
            </w:tcBorders>
            <w:noWrap w:val="0"/>
            <w:tcMar>
              <w:top w:w="16" w:type="dxa"/>
              <w:left w:w="16" w:type="dxa"/>
              <w:right w:w="16" w:type="dxa"/>
            </w:tcMar>
            <w:vAlign w:val="center"/>
          </w:tcPr>
          <w:p w14:paraId="53A493E5">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建设性质</w:t>
            </w:r>
          </w:p>
        </w:tc>
        <w:tc>
          <w:tcPr>
            <w:tcW w:w="1942" w:type="dxa"/>
            <w:tcBorders>
              <w:tl2br w:val="nil"/>
              <w:tr2bl w:val="nil"/>
            </w:tcBorders>
            <w:noWrap w:val="0"/>
            <w:vAlign w:val="center"/>
          </w:tcPr>
          <w:p w14:paraId="498A22B9">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color w:val="auto"/>
                <w:sz w:val="24"/>
                <w:szCs w:val="24"/>
                <w:lang w:eastAsia="zh-CN"/>
              </w:rPr>
              <w:t>☑</w:t>
            </w:r>
            <w:r>
              <w:rPr>
                <w:rFonts w:hint="eastAsia" w:ascii="宋体" w:hAnsi="宋体" w:eastAsia="宋体" w:cs="宋体"/>
                <w:color w:val="auto"/>
                <w:sz w:val="24"/>
                <w:szCs w:val="24"/>
                <w:highlight w:val="none"/>
              </w:rPr>
              <w:t>新建（迁建）</w:t>
            </w:r>
          </w:p>
          <w:p w14:paraId="11E72B64">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改建</w:t>
            </w:r>
          </w:p>
          <w:p w14:paraId="764B9B58">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扩建</w:t>
            </w:r>
          </w:p>
          <w:p w14:paraId="526DBA3B">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技术改造</w:t>
            </w:r>
          </w:p>
        </w:tc>
        <w:tc>
          <w:tcPr>
            <w:tcW w:w="2100" w:type="dxa"/>
            <w:tcBorders>
              <w:tl2br w:val="nil"/>
              <w:tr2bl w:val="nil"/>
            </w:tcBorders>
            <w:noWrap w:val="0"/>
            <w:vAlign w:val="center"/>
          </w:tcPr>
          <w:p w14:paraId="1215FCEC">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建设项目</w:t>
            </w:r>
          </w:p>
          <w:p w14:paraId="6020F434">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申报情形</w:t>
            </w:r>
          </w:p>
        </w:tc>
        <w:tc>
          <w:tcPr>
            <w:tcW w:w="3055" w:type="dxa"/>
            <w:tcBorders>
              <w:tl2br w:val="nil"/>
              <w:tr2bl w:val="nil"/>
            </w:tcBorders>
            <w:noWrap w:val="0"/>
            <w:vAlign w:val="center"/>
          </w:tcPr>
          <w:p w14:paraId="17EEB37A">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color w:val="auto"/>
                <w:sz w:val="24"/>
                <w:szCs w:val="24"/>
                <w:lang w:eastAsia="zh-CN"/>
              </w:rPr>
              <w:t>☑</w:t>
            </w:r>
            <w:r>
              <w:rPr>
                <w:rFonts w:hint="eastAsia" w:ascii="宋体" w:hAnsi="宋体" w:eastAsia="宋体" w:cs="宋体"/>
                <w:color w:val="auto"/>
                <w:sz w:val="24"/>
                <w:szCs w:val="24"/>
                <w:highlight w:val="none"/>
              </w:rPr>
              <w:t xml:space="preserve">首次申报项目             </w:t>
            </w:r>
          </w:p>
          <w:p w14:paraId="7AAD4F8B">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不予批准后再次申报项目</w:t>
            </w:r>
          </w:p>
          <w:p w14:paraId="79104D74">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超五年重新审核项目     </w:t>
            </w:r>
          </w:p>
          <w:p w14:paraId="153FF714">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重大变动重新报批项目</w:t>
            </w:r>
          </w:p>
        </w:tc>
      </w:tr>
      <w:tr w14:paraId="3F7A5E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73" w:type="dxa"/>
            <w:gridSpan w:val="2"/>
            <w:tcBorders>
              <w:tl2br w:val="nil"/>
              <w:tr2bl w:val="nil"/>
            </w:tcBorders>
            <w:noWrap w:val="0"/>
            <w:tcMar>
              <w:top w:w="16" w:type="dxa"/>
              <w:left w:w="16" w:type="dxa"/>
              <w:right w:w="16" w:type="dxa"/>
            </w:tcMar>
            <w:vAlign w:val="center"/>
          </w:tcPr>
          <w:p w14:paraId="24867A33">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项目审批（核准</w:t>
            </w:r>
            <w:r>
              <w:rPr>
                <w:rFonts w:hint="eastAsia" w:cs="Times New Roman"/>
                <w:color w:val="auto"/>
                <w:sz w:val="24"/>
                <w:szCs w:val="24"/>
                <w:highlight w:val="none"/>
                <w:lang w:val="en-US" w:eastAsia="zh-CN"/>
              </w:rPr>
              <w:t>/</w:t>
            </w:r>
            <w:r>
              <w:rPr>
                <w:rFonts w:hint="eastAsia" w:ascii="宋体" w:hAnsi="宋体" w:eastAsia="宋体" w:cs="宋体"/>
                <w:b w:val="0"/>
                <w:bCs w:val="0"/>
                <w:color w:val="auto"/>
                <w:sz w:val="24"/>
                <w:szCs w:val="24"/>
                <w:highlight w:val="none"/>
              </w:rPr>
              <w:t>备案）部门（选填）</w:t>
            </w:r>
          </w:p>
        </w:tc>
        <w:tc>
          <w:tcPr>
            <w:tcW w:w="1942" w:type="dxa"/>
            <w:tcBorders>
              <w:tl2br w:val="nil"/>
              <w:tr2bl w:val="nil"/>
            </w:tcBorders>
            <w:noWrap w:val="0"/>
            <w:vAlign w:val="center"/>
          </w:tcPr>
          <w:p w14:paraId="610E521E">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灵璧县</w:t>
            </w:r>
            <w:r>
              <w:rPr>
                <w:rFonts w:hint="default" w:ascii="Times New Roman" w:hAnsi="Times New Roman" w:eastAsia="宋体" w:cs="Times New Roman"/>
                <w:b w:val="0"/>
                <w:bCs w:val="0"/>
                <w:color w:val="auto"/>
                <w:sz w:val="24"/>
                <w:szCs w:val="24"/>
                <w:highlight w:val="none"/>
              </w:rPr>
              <w:t>发展和改革委员会</w:t>
            </w:r>
          </w:p>
        </w:tc>
        <w:tc>
          <w:tcPr>
            <w:tcW w:w="2100" w:type="dxa"/>
            <w:tcBorders>
              <w:tl2br w:val="nil"/>
              <w:tr2bl w:val="nil"/>
            </w:tcBorders>
            <w:noWrap w:val="0"/>
            <w:vAlign w:val="center"/>
          </w:tcPr>
          <w:p w14:paraId="225CBF8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项目审批（核准/</w:t>
            </w:r>
          </w:p>
          <w:p w14:paraId="4DF6AB8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备案）文号（选填）</w:t>
            </w:r>
          </w:p>
        </w:tc>
        <w:tc>
          <w:tcPr>
            <w:tcW w:w="3055" w:type="dxa"/>
            <w:tcBorders>
              <w:tl2br w:val="nil"/>
              <w:tr2bl w:val="nil"/>
            </w:tcBorders>
            <w:noWrap w:val="0"/>
            <w:vAlign w:val="center"/>
          </w:tcPr>
          <w:p w14:paraId="6AE193AF">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无</w:t>
            </w:r>
          </w:p>
        </w:tc>
      </w:tr>
      <w:tr w14:paraId="7017C3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73" w:type="dxa"/>
            <w:gridSpan w:val="2"/>
            <w:tcBorders>
              <w:tl2br w:val="nil"/>
              <w:tr2bl w:val="nil"/>
            </w:tcBorders>
            <w:noWrap w:val="0"/>
            <w:tcMar>
              <w:top w:w="16" w:type="dxa"/>
              <w:left w:w="16" w:type="dxa"/>
              <w:right w:w="16" w:type="dxa"/>
            </w:tcMar>
            <w:vAlign w:val="center"/>
          </w:tcPr>
          <w:p w14:paraId="36E21C72">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总投资（万元）</w:t>
            </w:r>
          </w:p>
        </w:tc>
        <w:tc>
          <w:tcPr>
            <w:tcW w:w="1942" w:type="dxa"/>
            <w:tcBorders>
              <w:tl2br w:val="nil"/>
              <w:tr2bl w:val="nil"/>
            </w:tcBorders>
            <w:noWrap w:val="0"/>
            <w:vAlign w:val="center"/>
          </w:tcPr>
          <w:p w14:paraId="5662FF2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50000</w:t>
            </w:r>
          </w:p>
        </w:tc>
        <w:tc>
          <w:tcPr>
            <w:tcW w:w="2100" w:type="dxa"/>
            <w:tcBorders>
              <w:tl2br w:val="nil"/>
              <w:tr2bl w:val="nil"/>
            </w:tcBorders>
            <w:noWrap w:val="0"/>
            <w:tcMar>
              <w:top w:w="16" w:type="dxa"/>
              <w:left w:w="16" w:type="dxa"/>
              <w:right w:w="16" w:type="dxa"/>
            </w:tcMar>
            <w:vAlign w:val="center"/>
          </w:tcPr>
          <w:p w14:paraId="51096AB8">
            <w:pPr>
              <w:keepNext w:val="0"/>
              <w:keepLines w:val="0"/>
              <w:pageBreakBefore w:val="0"/>
              <w:widowControl w:val="0"/>
              <w:kinsoku/>
              <w:wordWrap/>
              <w:overflowPunct/>
              <w:topLinePunct w:val="0"/>
              <w:bidi w:val="0"/>
              <w:adjustRightInd w:val="0"/>
              <w:snapToGrid w:val="0"/>
              <w:jc w:val="center"/>
              <w:textAlignment w:val="auto"/>
              <w:rPr>
                <w:color w:val="auto"/>
              </w:rPr>
            </w:pPr>
            <w:r>
              <w:rPr>
                <w:rFonts w:hint="default" w:ascii="Times New Roman" w:hAnsi="Times New Roman" w:eastAsia="宋体" w:cs="Times New Roman"/>
                <w:b w:val="0"/>
                <w:bCs w:val="0"/>
                <w:color w:val="auto"/>
                <w:sz w:val="24"/>
                <w:szCs w:val="24"/>
                <w:highlight w:val="none"/>
              </w:rPr>
              <w:t>环保投资（万元）</w:t>
            </w:r>
          </w:p>
        </w:tc>
        <w:tc>
          <w:tcPr>
            <w:tcW w:w="3055" w:type="dxa"/>
            <w:tcBorders>
              <w:tl2br w:val="nil"/>
              <w:tr2bl w:val="nil"/>
            </w:tcBorders>
            <w:noWrap w:val="0"/>
            <w:vAlign w:val="center"/>
          </w:tcPr>
          <w:p w14:paraId="251496A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250</w:t>
            </w:r>
          </w:p>
        </w:tc>
      </w:tr>
      <w:tr w14:paraId="4D14AF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73" w:type="dxa"/>
            <w:gridSpan w:val="2"/>
            <w:tcBorders>
              <w:tl2br w:val="nil"/>
              <w:tr2bl w:val="nil"/>
            </w:tcBorders>
            <w:noWrap w:val="0"/>
            <w:tcMar>
              <w:top w:w="16" w:type="dxa"/>
              <w:left w:w="16" w:type="dxa"/>
              <w:right w:w="16" w:type="dxa"/>
            </w:tcMar>
            <w:vAlign w:val="center"/>
          </w:tcPr>
          <w:p w14:paraId="26775FD3">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环保投资占比</w:t>
            </w:r>
            <w:r>
              <w:rPr>
                <w:rFonts w:hint="default" w:ascii="Times New Roman" w:hAnsi="Times New Roman" w:eastAsia="宋体" w:cs="Times New Roman"/>
                <w:b w:val="0"/>
                <w:bCs w:val="0"/>
                <w:color w:val="auto"/>
                <w:sz w:val="24"/>
                <w:szCs w:val="24"/>
                <w:highlight w:val="none"/>
              </w:rPr>
              <w:t>（%）</w:t>
            </w:r>
          </w:p>
        </w:tc>
        <w:tc>
          <w:tcPr>
            <w:tcW w:w="1942" w:type="dxa"/>
            <w:tcBorders>
              <w:tl2br w:val="nil"/>
              <w:tr2bl w:val="nil"/>
            </w:tcBorders>
            <w:noWrap w:val="0"/>
            <w:vAlign w:val="center"/>
          </w:tcPr>
          <w:p w14:paraId="5D4A772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0.5</w:t>
            </w:r>
          </w:p>
        </w:tc>
        <w:tc>
          <w:tcPr>
            <w:tcW w:w="2100" w:type="dxa"/>
            <w:tcBorders>
              <w:tl2br w:val="nil"/>
              <w:tr2bl w:val="nil"/>
            </w:tcBorders>
            <w:noWrap w:val="0"/>
            <w:tcMar>
              <w:top w:w="16" w:type="dxa"/>
              <w:left w:w="16" w:type="dxa"/>
              <w:right w:w="16" w:type="dxa"/>
            </w:tcMar>
            <w:vAlign w:val="center"/>
          </w:tcPr>
          <w:p w14:paraId="25C5226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施工工期</w:t>
            </w:r>
          </w:p>
        </w:tc>
        <w:tc>
          <w:tcPr>
            <w:tcW w:w="3055" w:type="dxa"/>
            <w:tcBorders>
              <w:tl2br w:val="nil"/>
              <w:tr2bl w:val="nil"/>
            </w:tcBorders>
            <w:noWrap w:val="0"/>
            <w:vAlign w:val="center"/>
          </w:tcPr>
          <w:p w14:paraId="01C8EB5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12</w:t>
            </w:r>
            <w:r>
              <w:rPr>
                <w:rFonts w:hint="default" w:ascii="Times New Roman" w:hAnsi="Times New Roman" w:cs="Times New Roman"/>
                <w:color w:val="auto"/>
                <w:sz w:val="24"/>
                <w:szCs w:val="24"/>
                <w:highlight w:val="none"/>
                <w:lang w:val="en-US" w:eastAsia="zh-CN"/>
              </w:rPr>
              <w:t>个月</w:t>
            </w:r>
          </w:p>
        </w:tc>
      </w:tr>
      <w:tr w14:paraId="0A3FF7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73" w:type="dxa"/>
            <w:gridSpan w:val="2"/>
            <w:tcBorders>
              <w:tl2br w:val="nil"/>
              <w:tr2bl w:val="nil"/>
            </w:tcBorders>
            <w:noWrap w:val="0"/>
            <w:tcMar>
              <w:top w:w="16" w:type="dxa"/>
              <w:left w:w="16" w:type="dxa"/>
              <w:right w:w="16" w:type="dxa"/>
            </w:tcMar>
            <w:vAlign w:val="center"/>
          </w:tcPr>
          <w:p w14:paraId="377719B5">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是否开工建设</w:t>
            </w:r>
          </w:p>
        </w:tc>
        <w:tc>
          <w:tcPr>
            <w:tcW w:w="1942" w:type="dxa"/>
            <w:tcBorders>
              <w:tl2br w:val="nil"/>
              <w:tr2bl w:val="nil"/>
            </w:tcBorders>
            <w:noWrap w:val="0"/>
            <w:vAlign w:val="center"/>
          </w:tcPr>
          <w:p w14:paraId="53F9FC5C">
            <w:pPr>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14:paraId="45D54559">
            <w:pPr>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cs="Times New Roman"/>
                <w:color w:val="auto"/>
                <w:sz w:val="24"/>
                <w:szCs w:val="24"/>
                <w:highlight w:val="none"/>
                <w:lang w:eastAsia="zh-CN"/>
              </w:rPr>
              <w:t>：</w:t>
            </w:r>
            <w:r>
              <w:rPr>
                <w:rFonts w:hint="eastAsia" w:cs="Times New Roman"/>
                <w:color w:val="auto"/>
                <w:sz w:val="24"/>
                <w:szCs w:val="24"/>
                <w:highlight w:val="none"/>
                <w:u w:val="single"/>
                <w:lang w:val="en-US" w:eastAsia="zh-CN"/>
              </w:rPr>
              <w:t xml:space="preserve">    </w:t>
            </w:r>
          </w:p>
        </w:tc>
        <w:tc>
          <w:tcPr>
            <w:tcW w:w="2100" w:type="dxa"/>
            <w:tcBorders>
              <w:tl2br w:val="nil"/>
              <w:tr2bl w:val="nil"/>
            </w:tcBorders>
            <w:noWrap w:val="0"/>
            <w:tcMar>
              <w:top w:w="16" w:type="dxa"/>
              <w:left w:w="16" w:type="dxa"/>
              <w:right w:w="16" w:type="dxa"/>
            </w:tcMar>
            <w:vAlign w:val="center"/>
          </w:tcPr>
          <w:p w14:paraId="4A4DE06F">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pacing w:val="-6"/>
                <w:sz w:val="24"/>
                <w:szCs w:val="24"/>
                <w:highlight w:val="none"/>
              </w:rPr>
            </w:pPr>
            <w:r>
              <w:rPr>
                <w:rFonts w:hint="default" w:ascii="Times New Roman" w:hAnsi="Times New Roman" w:eastAsia="宋体" w:cs="Times New Roman"/>
                <w:b w:val="0"/>
                <w:bCs w:val="0"/>
                <w:color w:val="auto"/>
                <w:spacing w:val="-6"/>
                <w:sz w:val="24"/>
                <w:szCs w:val="24"/>
                <w:highlight w:val="none"/>
              </w:rPr>
              <w:t>用地（用海）</w:t>
            </w:r>
          </w:p>
          <w:p w14:paraId="31791A75">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pacing w:val="-6"/>
                <w:sz w:val="24"/>
                <w:szCs w:val="24"/>
                <w:highlight w:val="none"/>
              </w:rPr>
              <w:t>面积（m</w:t>
            </w:r>
            <w:r>
              <w:rPr>
                <w:rFonts w:hint="default" w:ascii="Times New Roman" w:hAnsi="Times New Roman" w:eastAsia="宋体" w:cs="Times New Roman"/>
                <w:b w:val="0"/>
                <w:bCs w:val="0"/>
                <w:color w:val="auto"/>
                <w:spacing w:val="-6"/>
                <w:sz w:val="24"/>
                <w:szCs w:val="24"/>
                <w:highlight w:val="none"/>
                <w:vertAlign w:val="superscript"/>
              </w:rPr>
              <w:t>2</w:t>
            </w:r>
            <w:r>
              <w:rPr>
                <w:rFonts w:hint="default" w:ascii="Times New Roman" w:hAnsi="Times New Roman" w:eastAsia="宋体" w:cs="Times New Roman"/>
                <w:b w:val="0"/>
                <w:bCs w:val="0"/>
                <w:color w:val="auto"/>
                <w:spacing w:val="-6"/>
                <w:sz w:val="24"/>
                <w:szCs w:val="24"/>
                <w:highlight w:val="none"/>
              </w:rPr>
              <w:t>）</w:t>
            </w:r>
          </w:p>
        </w:tc>
        <w:tc>
          <w:tcPr>
            <w:tcW w:w="3055" w:type="dxa"/>
            <w:tcBorders>
              <w:tl2br w:val="nil"/>
              <w:tr2bl w:val="nil"/>
            </w:tcBorders>
            <w:noWrap w:val="0"/>
            <w:vAlign w:val="center"/>
          </w:tcPr>
          <w:p w14:paraId="51BDB3E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26667</w:t>
            </w:r>
          </w:p>
        </w:tc>
      </w:tr>
      <w:tr w14:paraId="36A7B4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73" w:type="dxa"/>
            <w:gridSpan w:val="2"/>
            <w:tcBorders>
              <w:tl2br w:val="nil"/>
              <w:tr2bl w:val="nil"/>
            </w:tcBorders>
            <w:noWrap w:val="0"/>
            <w:vAlign w:val="center"/>
          </w:tcPr>
          <w:p w14:paraId="63897F17">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专项评价设置情况</w:t>
            </w:r>
          </w:p>
        </w:tc>
        <w:tc>
          <w:tcPr>
            <w:tcW w:w="7097" w:type="dxa"/>
            <w:gridSpan w:val="3"/>
            <w:tcBorders>
              <w:tl2br w:val="nil"/>
              <w:tr2bl w:val="nil"/>
            </w:tcBorders>
            <w:noWrap w:val="0"/>
            <w:vAlign w:val="center"/>
          </w:tcPr>
          <w:p w14:paraId="0AA1ECF0">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无</w:t>
            </w:r>
          </w:p>
        </w:tc>
      </w:tr>
      <w:tr w14:paraId="62413A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73" w:type="dxa"/>
            <w:gridSpan w:val="2"/>
            <w:tcBorders>
              <w:tl2br w:val="nil"/>
              <w:tr2bl w:val="nil"/>
            </w:tcBorders>
            <w:noWrap w:val="0"/>
            <w:vAlign w:val="center"/>
          </w:tcPr>
          <w:p w14:paraId="789BF2A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规划情况</w:t>
            </w:r>
          </w:p>
        </w:tc>
        <w:tc>
          <w:tcPr>
            <w:tcW w:w="7097" w:type="dxa"/>
            <w:gridSpan w:val="3"/>
            <w:tcBorders>
              <w:tl2br w:val="nil"/>
              <w:tr2bl w:val="nil"/>
            </w:tcBorders>
            <w:noWrap w:val="0"/>
            <w:vAlign w:val="center"/>
          </w:tcPr>
          <w:p w14:paraId="242B047A">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lef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kern w:val="0"/>
                <w:sz w:val="24"/>
                <w:szCs w:val="24"/>
                <w:highlight w:val="none"/>
                <w:lang w:val="en-US" w:eastAsia="zh-CN"/>
              </w:rPr>
              <w:t>规划名称：</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eastAsia="zh-CN"/>
              </w:rPr>
              <w:t>安徽灵璧经济开发区</w:t>
            </w:r>
            <w:r>
              <w:rPr>
                <w:rFonts w:hint="eastAsia" w:ascii="Times New Roman" w:hAnsi="Times New Roman" w:cs="Times New Roman"/>
                <w:color w:val="auto"/>
                <w:sz w:val="24"/>
                <w:szCs w:val="24"/>
                <w:highlight w:val="none"/>
              </w:rPr>
              <w:t>总体</w:t>
            </w:r>
            <w:r>
              <w:rPr>
                <w:rFonts w:hint="eastAsia" w:cs="Times New Roman"/>
                <w:color w:val="auto"/>
                <w:sz w:val="24"/>
                <w:szCs w:val="24"/>
                <w:highlight w:val="none"/>
                <w:lang w:eastAsia="zh-CN"/>
              </w:rPr>
              <w:t>发展</w:t>
            </w:r>
            <w:r>
              <w:rPr>
                <w:rFonts w:hint="eastAsia" w:ascii="Times New Roman" w:hAnsi="Times New Roman" w:cs="Times New Roman"/>
                <w:color w:val="auto"/>
                <w:sz w:val="24"/>
                <w:szCs w:val="24"/>
                <w:highlight w:val="none"/>
              </w:rPr>
              <w:t>规划（201</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-2030）》</w:t>
            </w:r>
            <w:r>
              <w:rPr>
                <w:rFonts w:hint="eastAsia" w:cs="Times New Roman"/>
                <w:color w:val="auto"/>
                <w:sz w:val="24"/>
                <w:szCs w:val="24"/>
                <w:highlight w:val="none"/>
                <w:lang w:eastAsia="zh-CN"/>
              </w:rPr>
              <w:t>；</w:t>
            </w:r>
          </w:p>
          <w:p w14:paraId="73B36E85">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olor w:val="auto"/>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审批机关：</w:t>
            </w:r>
            <w:r>
              <w:rPr>
                <w:rFonts w:hint="eastAsia"/>
                <w:color w:val="auto"/>
                <w:sz w:val="24"/>
                <w:szCs w:val="24"/>
                <w:highlight w:val="none"/>
                <w:lang w:val="en-US" w:eastAsia="zh-CN"/>
              </w:rPr>
              <w:t>安徽省人民政府；</w:t>
            </w:r>
          </w:p>
          <w:p w14:paraId="79047BC1">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审批文件名称和文号：</w:t>
            </w:r>
            <w:r>
              <w:rPr>
                <w:rFonts w:hint="eastAsia" w:ascii="Times New Roman" w:hAnsi="Times New Roman" w:cs="Times New Roman"/>
                <w:color w:val="auto"/>
                <w:sz w:val="24"/>
                <w:szCs w:val="24"/>
                <w:highlight w:val="none"/>
              </w:rPr>
              <w:t>《安徽省人民政府关于</w:t>
            </w:r>
            <w:r>
              <w:rPr>
                <w:rFonts w:hint="eastAsia" w:cs="Times New Roman"/>
                <w:color w:val="auto"/>
                <w:sz w:val="24"/>
                <w:szCs w:val="24"/>
                <w:highlight w:val="none"/>
                <w:lang w:eastAsia="zh-CN"/>
              </w:rPr>
              <w:t>同意安徽灵璧经济开发区扩区</w:t>
            </w:r>
            <w:r>
              <w:rPr>
                <w:rFonts w:hint="eastAsia" w:ascii="Times New Roman" w:hAnsi="Times New Roman" w:cs="Times New Roman"/>
                <w:color w:val="auto"/>
                <w:sz w:val="24"/>
                <w:szCs w:val="24"/>
                <w:highlight w:val="none"/>
              </w:rPr>
              <w:t>的批复》</w:t>
            </w:r>
            <w:r>
              <w:rPr>
                <w:rFonts w:hint="eastAsia"/>
                <w:color w:val="auto"/>
                <w:sz w:val="24"/>
                <w:szCs w:val="24"/>
                <w:highlight w:val="none"/>
                <w:lang w:val="en-US" w:eastAsia="zh-CN"/>
              </w:rPr>
              <w:t>（</w:t>
            </w:r>
            <w:r>
              <w:rPr>
                <w:rFonts w:hint="eastAsia" w:ascii="Times New Roman" w:hAnsi="Times New Roman" w:cs="Times New Roman"/>
                <w:color w:val="auto"/>
                <w:sz w:val="24"/>
                <w:szCs w:val="24"/>
                <w:highlight w:val="none"/>
              </w:rPr>
              <w:t>皖政秘【2012】</w:t>
            </w:r>
            <w:r>
              <w:rPr>
                <w:rFonts w:hint="eastAsia" w:cs="Times New Roman"/>
                <w:color w:val="auto"/>
                <w:sz w:val="24"/>
                <w:szCs w:val="24"/>
                <w:highlight w:val="none"/>
                <w:lang w:val="en-US" w:eastAsia="zh-CN"/>
              </w:rPr>
              <w:t>554</w:t>
            </w:r>
            <w:r>
              <w:rPr>
                <w:rFonts w:hint="eastAsia" w:ascii="Times New Roman" w:hAnsi="Times New Roman" w:cs="Times New Roman"/>
                <w:color w:val="auto"/>
                <w:sz w:val="24"/>
                <w:szCs w:val="24"/>
                <w:highlight w:val="none"/>
              </w:rPr>
              <w:t>号</w:t>
            </w:r>
            <w:r>
              <w:rPr>
                <w:rFonts w:hint="eastAsia"/>
                <w:color w:val="auto"/>
                <w:sz w:val="24"/>
                <w:szCs w:val="24"/>
                <w:highlight w:val="none"/>
                <w:lang w:val="en-US" w:eastAsia="zh-CN"/>
              </w:rPr>
              <w:t>）。</w:t>
            </w:r>
          </w:p>
        </w:tc>
      </w:tr>
      <w:tr w14:paraId="55455D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81" w:hRule="atLeast"/>
          <w:jc w:val="center"/>
        </w:trPr>
        <w:tc>
          <w:tcPr>
            <w:tcW w:w="1773" w:type="dxa"/>
            <w:gridSpan w:val="2"/>
            <w:tcBorders>
              <w:tl2br w:val="nil"/>
              <w:tr2bl w:val="nil"/>
            </w:tcBorders>
            <w:noWrap w:val="0"/>
            <w:vAlign w:val="center"/>
          </w:tcPr>
          <w:p w14:paraId="5FFD7C97">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规划环境影响评价情况</w:t>
            </w:r>
          </w:p>
        </w:tc>
        <w:tc>
          <w:tcPr>
            <w:tcW w:w="7097" w:type="dxa"/>
            <w:gridSpan w:val="3"/>
            <w:tcBorders>
              <w:tl2br w:val="nil"/>
              <w:tr2bl w:val="nil"/>
            </w:tcBorders>
            <w:noWrap w:val="0"/>
            <w:vAlign w:val="center"/>
          </w:tcPr>
          <w:p w14:paraId="1539850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left"/>
              <w:textAlignment w:val="auto"/>
              <w:rPr>
                <w:rFonts w:hint="eastAsia"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微软雅黑" w:cs="Times New Roman"/>
                <w:b/>
                <w:bCs/>
                <w:color w:val="auto"/>
                <w:kern w:val="0"/>
                <w:sz w:val="24"/>
                <w:szCs w:val="24"/>
                <w:highlight w:val="none"/>
                <w:lang w:val="en-US" w:eastAsia="zh-CN"/>
              </w:rPr>
              <w:t>①</w:t>
            </w:r>
            <w:r>
              <w:rPr>
                <w:rFonts w:hint="default" w:ascii="Times New Roman" w:hAnsi="Times New Roman" w:eastAsia="宋体" w:cs="Times New Roman"/>
                <w:b/>
                <w:bCs/>
                <w:color w:val="auto"/>
                <w:kern w:val="0"/>
                <w:sz w:val="24"/>
                <w:szCs w:val="24"/>
                <w:highlight w:val="none"/>
                <w:lang w:val="en-US" w:eastAsia="zh-CN"/>
              </w:rPr>
              <w:t>规划环境影响评价文件名称：</w:t>
            </w:r>
            <w:r>
              <w:rPr>
                <w:rFonts w:hint="eastAsia" w:ascii="Times New Roman" w:hAnsi="Times New Roman" w:eastAsia="宋体" w:cs="Times New Roman"/>
                <w:b w:val="0"/>
                <w:bCs w:val="0"/>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eastAsia="zh-CN"/>
              </w:rPr>
              <w:t>安徽灵璧经济开发区总体</w:t>
            </w:r>
            <w:r>
              <w:rPr>
                <w:rFonts w:hint="eastAsia" w:ascii="Times New Roman" w:hAnsi="Times New Roman" w:eastAsia="宋体" w:cs="Times New Roman"/>
                <w:color w:val="auto"/>
                <w:kern w:val="0"/>
                <w:sz w:val="24"/>
                <w:szCs w:val="24"/>
                <w:highlight w:val="none"/>
                <w:lang w:eastAsia="zh-CN"/>
              </w:rPr>
              <w:t>发展</w:t>
            </w:r>
            <w:r>
              <w:rPr>
                <w:rFonts w:hint="default" w:ascii="Times New Roman" w:hAnsi="Times New Roman" w:eastAsia="宋体" w:cs="Times New Roman"/>
                <w:color w:val="auto"/>
                <w:kern w:val="0"/>
                <w:sz w:val="24"/>
                <w:szCs w:val="24"/>
                <w:highlight w:val="none"/>
                <w:lang w:eastAsia="zh-CN"/>
              </w:rPr>
              <w:t>规划环境影响报告书</w:t>
            </w:r>
            <w:r>
              <w:rPr>
                <w:rFonts w:hint="eastAsia" w:ascii="Times New Roman" w:hAnsi="Times New Roman" w:eastAsia="宋体" w:cs="Times New Roman"/>
                <w:b w:val="0"/>
                <w:bCs w:val="0"/>
                <w:color w:val="auto"/>
                <w:kern w:val="0"/>
                <w:sz w:val="24"/>
                <w:szCs w:val="24"/>
                <w:highlight w:val="none"/>
                <w:lang w:val="en-US" w:eastAsia="zh-CN"/>
              </w:rPr>
              <w:t>》</w:t>
            </w:r>
            <w:r>
              <w:rPr>
                <w:rFonts w:hint="eastAsia" w:cs="Times New Roman"/>
                <w:b w:val="0"/>
                <w:bCs w:val="0"/>
                <w:color w:val="auto"/>
                <w:kern w:val="0"/>
                <w:sz w:val="24"/>
                <w:szCs w:val="24"/>
                <w:highlight w:val="none"/>
                <w:lang w:val="en-US" w:eastAsia="zh-CN"/>
              </w:rPr>
              <w:t>；</w:t>
            </w:r>
          </w:p>
          <w:p w14:paraId="0C47E26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召集审查机关：</w:t>
            </w:r>
            <w:r>
              <w:rPr>
                <w:rFonts w:hint="eastAsia" w:ascii="Times New Roman" w:hAnsi="Times New Roman" w:eastAsia="宋体" w:cs="Times New Roman"/>
                <w:b w:val="0"/>
                <w:bCs w:val="0"/>
                <w:color w:val="auto"/>
                <w:kern w:val="0"/>
                <w:sz w:val="24"/>
                <w:szCs w:val="24"/>
                <w:highlight w:val="none"/>
                <w:lang w:val="en-US" w:eastAsia="zh-CN"/>
              </w:rPr>
              <w:t>安徽省</w:t>
            </w:r>
            <w:r>
              <w:rPr>
                <w:rFonts w:hint="eastAsia" w:ascii="Times New Roman" w:hAnsi="Times New Roman" w:cs="Times New Roman"/>
                <w:b w:val="0"/>
                <w:bCs w:val="0"/>
                <w:color w:val="auto"/>
                <w:kern w:val="0"/>
                <w:sz w:val="24"/>
                <w:szCs w:val="24"/>
                <w:highlight w:val="none"/>
                <w:lang w:val="en-US" w:eastAsia="zh-CN"/>
              </w:rPr>
              <w:t>环境保护厅；</w:t>
            </w:r>
          </w:p>
          <w:p w14:paraId="719DF2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val="0"/>
                <w:bCs w:val="0"/>
                <w:color w:val="auto"/>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审查文件名称及文号：</w:t>
            </w:r>
            <w:r>
              <w:rPr>
                <w:rFonts w:hint="eastAsia" w:ascii="Times New Roman" w:hAnsi="Times New Roman" w:eastAsia="宋体" w:cs="Times New Roman"/>
                <w:b w:val="0"/>
                <w:bCs w:val="0"/>
                <w:color w:val="auto"/>
                <w:kern w:val="0"/>
                <w:sz w:val="24"/>
                <w:szCs w:val="24"/>
                <w:highlight w:val="none"/>
                <w:lang w:val="en-US" w:eastAsia="zh-CN"/>
              </w:rPr>
              <w:t>《关于</w:t>
            </w:r>
            <w:r>
              <w:rPr>
                <w:rFonts w:hint="default" w:ascii="Times New Roman" w:hAnsi="Times New Roman" w:eastAsia="宋体" w:cs="Times New Roman"/>
                <w:color w:val="auto"/>
                <w:kern w:val="0"/>
                <w:sz w:val="24"/>
                <w:szCs w:val="24"/>
                <w:highlight w:val="none"/>
                <w:lang w:eastAsia="zh-CN"/>
              </w:rPr>
              <w:t>安徽灵璧经济开发区总体</w:t>
            </w:r>
            <w:r>
              <w:rPr>
                <w:rFonts w:hint="eastAsia" w:ascii="Times New Roman" w:hAnsi="Times New Roman" w:eastAsia="宋体" w:cs="Times New Roman"/>
                <w:color w:val="auto"/>
                <w:kern w:val="0"/>
                <w:sz w:val="24"/>
                <w:szCs w:val="24"/>
                <w:highlight w:val="none"/>
                <w:lang w:eastAsia="zh-CN"/>
              </w:rPr>
              <w:t>发展</w:t>
            </w:r>
            <w:r>
              <w:rPr>
                <w:rFonts w:hint="default" w:ascii="Times New Roman" w:hAnsi="Times New Roman" w:eastAsia="宋体" w:cs="Times New Roman"/>
                <w:color w:val="auto"/>
                <w:kern w:val="0"/>
                <w:sz w:val="24"/>
                <w:szCs w:val="24"/>
                <w:highlight w:val="none"/>
                <w:lang w:eastAsia="zh-CN"/>
              </w:rPr>
              <w:t>规划环境影响报告书</w:t>
            </w:r>
            <w:r>
              <w:rPr>
                <w:rFonts w:hint="eastAsia" w:ascii="Times New Roman" w:hAnsi="Times New Roman" w:eastAsia="宋体" w:cs="Times New Roman"/>
                <w:color w:val="auto"/>
                <w:kern w:val="0"/>
                <w:sz w:val="24"/>
                <w:szCs w:val="24"/>
                <w:highlight w:val="none"/>
                <w:lang w:eastAsia="zh-CN"/>
              </w:rPr>
              <w:t>审查意见的函》（环评函【</w:t>
            </w:r>
            <w:r>
              <w:rPr>
                <w:rFonts w:hint="eastAsia" w:ascii="Times New Roman" w:hAnsi="Times New Roman" w:eastAsia="宋体" w:cs="Times New Roman"/>
                <w:color w:val="auto"/>
                <w:kern w:val="0"/>
                <w:sz w:val="24"/>
                <w:szCs w:val="24"/>
                <w:highlight w:val="none"/>
                <w:lang w:val="en-US" w:eastAsia="zh-CN"/>
              </w:rPr>
              <w:t>2012】1174号）</w:t>
            </w:r>
            <w:r>
              <w:rPr>
                <w:rFonts w:hint="eastAsia" w:cs="Times New Roman"/>
                <w:color w:val="auto"/>
                <w:kern w:val="0"/>
                <w:sz w:val="24"/>
                <w:szCs w:val="24"/>
                <w:highlight w:val="none"/>
                <w:lang w:val="en-US" w:eastAsia="zh-CN"/>
              </w:rPr>
              <w:t>。</w:t>
            </w:r>
          </w:p>
          <w:p w14:paraId="2184257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微软雅黑" w:cs="Times New Roman"/>
                <w:b/>
                <w:bCs/>
                <w:color w:val="auto"/>
                <w:kern w:val="0"/>
                <w:sz w:val="24"/>
                <w:szCs w:val="24"/>
                <w:highlight w:val="none"/>
                <w:lang w:val="en-US" w:eastAsia="zh-CN"/>
              </w:rPr>
              <w:t>②</w:t>
            </w:r>
            <w:r>
              <w:rPr>
                <w:rFonts w:hint="default" w:ascii="Times New Roman" w:hAnsi="Times New Roman" w:eastAsia="宋体" w:cs="Times New Roman"/>
                <w:b/>
                <w:bCs/>
                <w:color w:val="auto"/>
                <w:kern w:val="0"/>
                <w:sz w:val="24"/>
                <w:szCs w:val="24"/>
                <w:highlight w:val="none"/>
                <w:lang w:val="en-US" w:eastAsia="zh-CN"/>
              </w:rPr>
              <w:t>规划环境影响评价文件名称：</w:t>
            </w:r>
            <w:r>
              <w:rPr>
                <w:rFonts w:hint="default" w:ascii="Times New Roman" w:hAnsi="Times New Roman" w:eastAsia="宋体" w:cs="Times New Roman"/>
                <w:color w:val="auto"/>
                <w:kern w:val="0"/>
                <w:sz w:val="24"/>
                <w:szCs w:val="24"/>
                <w:highlight w:val="none"/>
                <w:lang w:eastAsia="zh-CN"/>
              </w:rPr>
              <w:t>《安徽灵璧经济开发区总体规划环境影响</w:t>
            </w:r>
            <w:r>
              <w:rPr>
                <w:rFonts w:hint="default" w:ascii="Times New Roman" w:hAnsi="Times New Roman" w:cs="Times New Roman"/>
                <w:color w:val="auto"/>
                <w:kern w:val="0"/>
                <w:sz w:val="24"/>
                <w:szCs w:val="24"/>
                <w:highlight w:val="none"/>
                <w:lang w:eastAsia="zh-CN"/>
              </w:rPr>
              <w:t>跟踪评价</w:t>
            </w:r>
            <w:r>
              <w:rPr>
                <w:rFonts w:hint="default" w:ascii="Times New Roman" w:hAnsi="Times New Roman" w:eastAsia="宋体" w:cs="Times New Roman"/>
                <w:color w:val="auto"/>
                <w:kern w:val="0"/>
                <w:sz w:val="24"/>
                <w:szCs w:val="24"/>
                <w:highlight w:val="none"/>
                <w:lang w:eastAsia="zh-CN"/>
              </w:rPr>
              <w:t>报告书》</w:t>
            </w:r>
            <w:r>
              <w:rPr>
                <w:rFonts w:hint="eastAsia" w:cs="Times New Roman"/>
                <w:color w:val="auto"/>
                <w:kern w:val="0"/>
                <w:sz w:val="24"/>
                <w:szCs w:val="24"/>
                <w:highlight w:val="none"/>
                <w:lang w:eastAsia="zh-CN"/>
              </w:rPr>
              <w:t>；</w:t>
            </w:r>
          </w:p>
          <w:p w14:paraId="496C5B7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b/>
                <w:bCs/>
                <w:color w:val="auto"/>
                <w:kern w:val="0"/>
                <w:sz w:val="24"/>
                <w:szCs w:val="24"/>
                <w:highlight w:val="none"/>
                <w:lang w:val="en-US" w:eastAsia="zh-CN"/>
              </w:rPr>
              <w:t>召集审查机关：</w:t>
            </w:r>
            <w:r>
              <w:rPr>
                <w:rFonts w:hint="default" w:ascii="Times New Roman" w:hAnsi="Times New Roman" w:cs="Times New Roman"/>
                <w:color w:val="auto"/>
                <w:kern w:val="0"/>
                <w:sz w:val="24"/>
                <w:szCs w:val="24"/>
                <w:highlight w:val="none"/>
                <w:lang w:eastAsia="zh-CN"/>
              </w:rPr>
              <w:t>宿州市生态环境局</w:t>
            </w:r>
            <w:r>
              <w:rPr>
                <w:rFonts w:hint="eastAsia" w:cs="Times New Roman"/>
                <w:color w:val="auto"/>
                <w:kern w:val="0"/>
                <w:sz w:val="24"/>
                <w:szCs w:val="24"/>
                <w:highlight w:val="none"/>
                <w:lang w:eastAsia="zh-CN"/>
              </w:rPr>
              <w:t>；</w:t>
            </w:r>
          </w:p>
          <w:p w14:paraId="737B9ED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审查文件名称及文号：</w:t>
            </w:r>
            <w:r>
              <w:rPr>
                <w:rFonts w:hint="default" w:ascii="Times New Roman" w:hAnsi="Times New Roman" w:eastAsia="宋体" w:cs="Times New Roman"/>
                <w:color w:val="auto"/>
                <w:kern w:val="0"/>
                <w:sz w:val="24"/>
                <w:szCs w:val="24"/>
                <w:highlight w:val="none"/>
                <w:lang w:eastAsia="zh-CN"/>
              </w:rPr>
              <w:t>《宿州市生态环境局关于安徽灵璧经济开发区总体规划环境影响</w:t>
            </w:r>
            <w:r>
              <w:rPr>
                <w:rFonts w:hint="default" w:ascii="Times New Roman" w:hAnsi="Times New Roman" w:cs="Times New Roman"/>
                <w:color w:val="auto"/>
                <w:kern w:val="0"/>
                <w:sz w:val="24"/>
                <w:szCs w:val="24"/>
                <w:highlight w:val="none"/>
                <w:lang w:eastAsia="zh-CN"/>
              </w:rPr>
              <w:t>跟踪评价</w:t>
            </w:r>
            <w:r>
              <w:rPr>
                <w:rFonts w:hint="default" w:ascii="Times New Roman" w:hAnsi="Times New Roman" w:eastAsia="宋体" w:cs="Times New Roman"/>
                <w:color w:val="auto"/>
                <w:kern w:val="0"/>
                <w:sz w:val="24"/>
                <w:szCs w:val="24"/>
                <w:highlight w:val="none"/>
                <w:lang w:eastAsia="zh-CN"/>
              </w:rPr>
              <w:t>报告书的审查意见》</w:t>
            </w:r>
            <w:r>
              <w:rPr>
                <w:rFonts w:hint="default" w:ascii="Times New Roman" w:hAnsi="Times New Roman" w:cs="Times New Roman"/>
                <w:color w:val="auto"/>
                <w:kern w:val="0"/>
                <w:sz w:val="24"/>
                <w:szCs w:val="24"/>
                <w:highlight w:val="none"/>
                <w:lang w:eastAsia="zh-CN"/>
              </w:rPr>
              <w:t>（宿</w:t>
            </w:r>
            <w:r>
              <w:rPr>
                <w:rFonts w:hint="default" w:ascii="Times New Roman" w:hAnsi="Times New Roman" w:eastAsia="宋体" w:cs="Times New Roman"/>
                <w:color w:val="auto"/>
                <w:kern w:val="0"/>
                <w:sz w:val="24"/>
                <w:szCs w:val="24"/>
                <w:highlight w:val="none"/>
                <w:lang w:eastAsia="zh-CN"/>
              </w:rPr>
              <w:t>环函</w:t>
            </w:r>
            <w:r>
              <w:rPr>
                <w:rFonts w:hint="default" w:ascii="Times New Roman" w:hAnsi="Times New Roman" w:cs="Times New Roman"/>
                <w:color w:val="auto"/>
                <w:sz w:val="24"/>
                <w:szCs w:val="24"/>
                <w:highlight w:val="none"/>
              </w:rPr>
              <w:t>【20</w:t>
            </w:r>
            <w:r>
              <w:rPr>
                <w:rFonts w:hint="default" w:ascii="Times New Roman" w:hAnsi="Times New Roman" w:cs="Times New Roman"/>
                <w:color w:val="auto"/>
                <w:sz w:val="24"/>
                <w:szCs w:val="24"/>
                <w:highlight w:val="none"/>
                <w:lang w:val="en-US" w:eastAsia="zh-CN"/>
              </w:rPr>
              <w:t>20</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kern w:val="0"/>
                <w:sz w:val="24"/>
                <w:szCs w:val="24"/>
                <w:highlight w:val="none"/>
                <w:lang w:val="en-US" w:eastAsia="zh-CN"/>
              </w:rPr>
              <w:t>100</w:t>
            </w:r>
            <w:r>
              <w:rPr>
                <w:rFonts w:hint="default" w:ascii="Times New Roman" w:hAnsi="Times New Roman" w:eastAsia="宋体" w:cs="Times New Roman"/>
                <w:color w:val="auto"/>
                <w:kern w:val="0"/>
                <w:sz w:val="24"/>
                <w:szCs w:val="24"/>
                <w:highlight w:val="none"/>
                <w:lang w:val="en-US" w:eastAsia="zh-CN"/>
              </w:rPr>
              <w:t>号</w:t>
            </w:r>
            <w:r>
              <w:rPr>
                <w:rFonts w:hint="default" w:ascii="Times New Roman" w:hAnsi="Times New Roman" w:cs="Times New Roman"/>
                <w:color w:val="auto"/>
                <w:kern w:val="0"/>
                <w:sz w:val="24"/>
                <w:szCs w:val="24"/>
                <w:highlight w:val="none"/>
                <w:lang w:eastAsia="zh-CN"/>
              </w:rPr>
              <w:t>）</w:t>
            </w:r>
            <w:r>
              <w:rPr>
                <w:rFonts w:hint="eastAsia" w:cs="Times New Roman"/>
                <w:color w:val="auto"/>
                <w:kern w:val="0"/>
                <w:sz w:val="24"/>
                <w:szCs w:val="24"/>
                <w:highlight w:val="none"/>
                <w:lang w:eastAsia="zh-CN"/>
              </w:rPr>
              <w:t>。</w:t>
            </w:r>
          </w:p>
        </w:tc>
      </w:tr>
      <w:tr w14:paraId="0985B8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03" w:type="dxa"/>
            <w:tcBorders>
              <w:tl2br w:val="nil"/>
              <w:tr2bl w:val="nil"/>
            </w:tcBorders>
            <w:noWrap w:val="0"/>
            <w:vAlign w:val="center"/>
          </w:tcPr>
          <w:p w14:paraId="0D60A45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规划及规划环境影响评价符合性分析</w:t>
            </w:r>
          </w:p>
        </w:tc>
        <w:tc>
          <w:tcPr>
            <w:tcW w:w="8267" w:type="dxa"/>
            <w:gridSpan w:val="4"/>
            <w:tcBorders>
              <w:tl2br w:val="nil"/>
              <w:tr2bl w:val="nil"/>
            </w:tcBorders>
            <w:noWrap w:val="0"/>
            <w:vAlign w:val="center"/>
          </w:tcPr>
          <w:p w14:paraId="78BCEE1D">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rPr>
                <w:rFonts w:cs="宋体"/>
                <w:b/>
                <w:color w:val="auto"/>
                <w:sz w:val="24"/>
              </w:rPr>
            </w:pPr>
            <w:r>
              <w:rPr>
                <w:rFonts w:hint="eastAsia" w:cs="宋体"/>
                <w:b/>
                <w:color w:val="auto"/>
                <w:sz w:val="24"/>
              </w:rPr>
              <w:t>1、与园区</w:t>
            </w:r>
            <w:r>
              <w:rPr>
                <w:rFonts w:cs="宋体"/>
                <w:b/>
                <w:color w:val="auto"/>
                <w:sz w:val="24"/>
              </w:rPr>
              <w:t>规划符合性分析</w:t>
            </w:r>
          </w:p>
          <w:p w14:paraId="4FDA13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本项目位于</w:t>
            </w:r>
            <w:r>
              <w:rPr>
                <w:rFonts w:hint="eastAsia" w:cs="Times New Roman"/>
                <w:b w:val="0"/>
                <w:bCs/>
                <w:color w:val="auto"/>
                <w:sz w:val="24"/>
                <w:szCs w:val="24"/>
                <w:lang w:val="en-US" w:eastAsia="zh-CN"/>
              </w:rPr>
              <w:t>安徽省宿州市</w:t>
            </w:r>
            <w:r>
              <w:rPr>
                <w:rFonts w:hint="eastAsia" w:eastAsia="宋体" w:cs="Times New Roman"/>
                <w:color w:val="auto"/>
                <w:sz w:val="24"/>
                <w:szCs w:val="24"/>
                <w:highlight w:val="none"/>
                <w:lang w:val="en-US" w:eastAsia="zh-CN"/>
              </w:rPr>
              <w:t>灵璧县北部经济开发区轴承产业基地AB区北侧重点区域</w:t>
            </w:r>
            <w:r>
              <w:rPr>
                <w:rFonts w:hint="eastAsia" w:cs="Times New Roman"/>
                <w:b w:val="0"/>
                <w:bCs/>
                <w:color w:val="auto"/>
                <w:sz w:val="24"/>
                <w:szCs w:val="24"/>
                <w:lang w:val="en-US" w:eastAsia="zh-CN"/>
              </w:rPr>
              <w:t>，</w:t>
            </w:r>
            <w:r>
              <w:rPr>
                <w:rFonts w:hint="default" w:ascii="Times New Roman" w:hAnsi="Times New Roman" w:eastAsia="宋体" w:cs="Times New Roman"/>
                <w:b w:val="0"/>
                <w:bCs/>
                <w:color w:val="auto"/>
                <w:sz w:val="24"/>
                <w:szCs w:val="24"/>
                <w:highlight w:val="none"/>
                <w:lang w:val="en-US" w:eastAsia="zh-CN"/>
              </w:rPr>
              <w:t>根据</w:t>
            </w:r>
            <w:r>
              <w:rPr>
                <w:rFonts w:hint="eastAsia" w:cs="Times New Roman"/>
                <w:color w:val="auto"/>
                <w:sz w:val="24"/>
                <w:szCs w:val="24"/>
                <w:highlight w:val="none"/>
                <w:lang w:eastAsia="zh-CN"/>
              </w:rPr>
              <w:t>灵璧</w:t>
            </w:r>
            <w:r>
              <w:rPr>
                <w:rFonts w:hint="eastAsia" w:cs="Times New Roman"/>
                <w:color w:val="auto"/>
                <w:sz w:val="24"/>
                <w:szCs w:val="24"/>
                <w:highlight w:val="none"/>
                <w:lang w:val="en-US" w:eastAsia="zh-CN"/>
              </w:rPr>
              <w:t>经济开发区总体规划</w:t>
            </w:r>
            <w:r>
              <w:rPr>
                <w:rFonts w:hint="eastAsia" w:ascii="Times New Roman" w:hAnsi="Times New Roman" w:cs="Times New Roman"/>
                <w:color w:val="auto"/>
                <w:sz w:val="24"/>
                <w:szCs w:val="24"/>
                <w:highlight w:val="none"/>
              </w:rPr>
              <w:t>（201</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-2030）</w:t>
            </w:r>
            <w:r>
              <w:rPr>
                <w:rFonts w:hint="default" w:ascii="Times New Roman" w:hAnsi="Times New Roman" w:eastAsia="宋体" w:cs="Times New Roman"/>
                <w:b w:val="0"/>
                <w:bCs/>
                <w:color w:val="auto"/>
                <w:sz w:val="24"/>
                <w:szCs w:val="24"/>
                <w:highlight w:val="none"/>
                <w:lang w:val="en-US" w:eastAsia="zh-CN"/>
              </w:rPr>
              <w:t>，项目所在地土地性质为工业用地，项目</w:t>
            </w:r>
            <w:r>
              <w:rPr>
                <w:rFonts w:hint="default" w:ascii="Times New Roman" w:hAnsi="Times New Roman" w:eastAsia="宋体" w:cs="Times New Roman"/>
                <w:b w:val="0"/>
                <w:bCs/>
                <w:color w:val="auto"/>
                <w:sz w:val="24"/>
                <w:szCs w:val="24"/>
                <w:lang w:val="en-US" w:eastAsia="zh-CN"/>
              </w:rPr>
              <w:t>用地符合灵璧</w:t>
            </w:r>
            <w:r>
              <w:rPr>
                <w:rFonts w:hint="eastAsia" w:eastAsia="宋体" w:cs="Times New Roman"/>
                <w:b w:val="0"/>
                <w:bCs/>
                <w:color w:val="auto"/>
                <w:sz w:val="24"/>
                <w:szCs w:val="24"/>
                <w:lang w:val="en-US" w:eastAsia="zh-CN"/>
              </w:rPr>
              <w:t>经开区</w:t>
            </w:r>
            <w:r>
              <w:rPr>
                <w:rFonts w:hint="default" w:ascii="Times New Roman" w:hAnsi="Times New Roman" w:eastAsia="宋体" w:cs="Times New Roman"/>
                <w:b w:val="0"/>
                <w:bCs/>
                <w:color w:val="auto"/>
                <w:sz w:val="24"/>
                <w:szCs w:val="24"/>
                <w:lang w:val="en-US" w:eastAsia="zh-CN"/>
              </w:rPr>
              <w:t>用地规划要求。</w:t>
            </w:r>
          </w:p>
          <w:p w14:paraId="78F1E5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pacing w:val="6"/>
                <w:sz w:val="24"/>
                <w:szCs w:val="22"/>
              </w:rPr>
            </w:pPr>
            <w:r>
              <w:rPr>
                <w:rFonts w:hint="eastAsia" w:cs="Times New Roman"/>
                <w:b w:val="0"/>
                <w:bCs/>
                <w:color w:val="auto"/>
                <w:sz w:val="24"/>
                <w:szCs w:val="24"/>
                <w:lang w:val="en-US" w:eastAsia="zh-CN"/>
              </w:rPr>
              <w:t>同时项目已与安徽灵璧经济开发区管理委员会签订项目投资协议</w:t>
            </w:r>
            <w:r>
              <w:rPr>
                <w:rFonts w:hint="eastAsia" w:cs="Times New Roman"/>
                <w:b w:val="0"/>
                <w:bCs/>
                <w:color w:val="auto"/>
                <w:sz w:val="24"/>
                <w:szCs w:val="24"/>
                <w:highlight w:val="none"/>
                <w:lang w:val="en-US" w:eastAsia="zh-CN"/>
              </w:rPr>
              <w:t>书</w:t>
            </w:r>
            <w:r>
              <w:rPr>
                <w:rFonts w:hint="default" w:ascii="Times New Roman" w:hAnsi="Times New Roman" w:eastAsia="宋体" w:cs="Times New Roman"/>
                <w:b w:val="0"/>
                <w:bCs/>
                <w:color w:val="auto"/>
                <w:sz w:val="24"/>
                <w:szCs w:val="24"/>
                <w:highlight w:val="none"/>
                <w:lang w:val="en-US" w:eastAsia="zh-CN"/>
              </w:rPr>
              <w:t>（详见附件5）</w:t>
            </w:r>
            <w:r>
              <w:rPr>
                <w:rFonts w:hint="eastAsia" w:cs="Times New Roman"/>
                <w:b w:val="0"/>
                <w:bCs/>
                <w:color w:val="auto"/>
                <w:sz w:val="24"/>
                <w:szCs w:val="24"/>
                <w:highlight w:val="none"/>
                <w:lang w:val="en-US" w:eastAsia="zh-CN"/>
              </w:rPr>
              <w:t>，</w:t>
            </w:r>
            <w:r>
              <w:rPr>
                <w:rFonts w:hint="eastAsia" w:cs="Times New Roman"/>
                <w:color w:val="auto"/>
                <w:sz w:val="24"/>
                <w:highlight w:val="none"/>
                <w:lang w:eastAsia="zh-CN"/>
              </w:rPr>
              <w:t>根</w:t>
            </w:r>
            <w:r>
              <w:rPr>
                <w:rFonts w:hint="eastAsia" w:cs="Times New Roman"/>
                <w:color w:val="auto"/>
                <w:sz w:val="24"/>
                <w:lang w:eastAsia="zh-CN"/>
              </w:rPr>
              <w:t>据《加速打造百亿元轴承产业基地——灵璧县召开专题会议部署推进轴承产业发展》（灵璧县投资促进中心，</w:t>
            </w:r>
            <w:r>
              <w:rPr>
                <w:rFonts w:hint="eastAsia" w:cs="Times New Roman"/>
                <w:color w:val="auto"/>
                <w:sz w:val="24"/>
                <w:lang w:val="en-US" w:eastAsia="zh-CN"/>
              </w:rPr>
              <w:t>2020.10.13</w:t>
            </w:r>
            <w:r>
              <w:rPr>
                <w:rFonts w:hint="eastAsia" w:cs="Times New Roman"/>
                <w:color w:val="auto"/>
                <w:sz w:val="24"/>
                <w:lang w:eastAsia="zh-CN"/>
              </w:rPr>
              <w:t>），“会议强调：要进一步优化营商环境，做好已签约项目服务保障，完善供电、供水、供气等基础设施，落实轴承产业支持政策。</w:t>
            </w:r>
            <w:r>
              <w:rPr>
                <w:rFonts w:hint="eastAsia" w:cs="Times New Roman"/>
                <w:b/>
                <w:bCs/>
                <w:color w:val="auto"/>
                <w:sz w:val="24"/>
                <w:lang w:eastAsia="zh-CN"/>
              </w:rPr>
              <w:t>要加大招商引资力度，积极引进轴承产业上下游相关企业入驻园区，完善轴承产业链条，促进轴承产业高质量发展。</w:t>
            </w:r>
            <w:r>
              <w:rPr>
                <w:rFonts w:hint="eastAsia" w:cs="Times New Roman"/>
                <w:color w:val="auto"/>
                <w:sz w:val="24"/>
                <w:lang w:eastAsia="zh-CN"/>
              </w:rPr>
              <w:t>各部门要群策群力，共同推进，坚持问题导向，紧盯政策落实，为企业解决实际问题，保障企业健康发展。”同时根据《安徽灵璧：培育壮大发展新动能 打造轴承产业新高地》（灵璧县招商局，</w:t>
            </w:r>
            <w:r>
              <w:rPr>
                <w:rFonts w:hint="eastAsia" w:cs="Times New Roman"/>
                <w:color w:val="auto"/>
                <w:sz w:val="24"/>
                <w:lang w:val="en-US" w:eastAsia="zh-CN"/>
              </w:rPr>
              <w:t>2020.11.11</w:t>
            </w:r>
            <w:r>
              <w:rPr>
                <w:rFonts w:hint="eastAsia" w:cs="Times New Roman"/>
                <w:color w:val="auto"/>
                <w:sz w:val="24"/>
                <w:lang w:eastAsia="zh-CN"/>
              </w:rPr>
              <w:t>），“近年来，灵璧县聚力发展轴承制造产业，现已汇集轴承类企业10余家，基本形成以轴承钢、轴承套圈、保持架、热处理、轴承组装等专业化分工明确、配套能力强的完整产业链条，完成“从无到有、由小到大、从企业单打独斗到全产业链集聚发展”的蜕变，成功获批安徽省机械制造特色产业集聚（基地），初步建成以经济开发区为中心、辐射周边乡镇的轴承产业集群。”坚持以机械电子产业园为基础、以轴承产业园建设规划为指导、以企业需求为导向，高规划建设标准化厂房，高标准完善基础设施配套。目前，轴承产业园（一、二期）14.1万平方米的标准化厂房已建成并完成企业入驻，轴承产业园（三期）19万平方米标准化厂房、轴承产业园（四期）30万平方米标准化厂房轴承研发中心建设进展顺利，已谋划启动</w:t>
            </w:r>
            <w:r>
              <w:rPr>
                <w:rFonts w:hint="eastAsia" w:cs="Times New Roman"/>
                <w:color w:val="auto"/>
                <w:sz w:val="24"/>
                <w:lang w:val="en-US" w:eastAsia="zh-CN"/>
              </w:rPr>
              <w:t>6.99万</w:t>
            </w:r>
            <w:r>
              <w:rPr>
                <w:rFonts w:hint="eastAsia" w:cs="Times New Roman"/>
                <w:color w:val="auto"/>
                <w:sz w:val="24"/>
                <w:lang w:eastAsia="zh-CN"/>
              </w:rPr>
              <w:t>平方米的轴承产业园（五期）智能化、标准化厂房及相关配套设施。</w:t>
            </w:r>
            <w:r>
              <w:rPr>
                <w:rFonts w:hint="eastAsia" w:cs="Times New Roman"/>
                <w:color w:val="auto"/>
                <w:sz w:val="24"/>
                <w:lang w:val="en-US" w:eastAsia="zh-CN"/>
              </w:rPr>
              <w:t>截至</w:t>
            </w:r>
            <w:r>
              <w:rPr>
                <w:rFonts w:hint="eastAsia" w:cs="Times New Roman"/>
                <w:color w:val="auto"/>
                <w:sz w:val="24"/>
                <w:lang w:eastAsia="zh-CN"/>
              </w:rPr>
              <w:t>2021年底，灵璧轴承产业园已入驻轴承及配套企业30余家。</w:t>
            </w:r>
            <w:r>
              <w:rPr>
                <w:rFonts w:hint="eastAsia" w:cs="Times New Roman"/>
                <w:color w:val="auto"/>
                <w:sz w:val="24"/>
                <w:lang w:val="en-US" w:eastAsia="zh-CN"/>
              </w:rPr>
              <w:t>本项目位于</w:t>
            </w:r>
            <w:r>
              <w:rPr>
                <w:rFonts w:hint="eastAsia" w:eastAsia="宋体" w:cs="Times New Roman"/>
                <w:color w:val="auto"/>
                <w:sz w:val="24"/>
                <w:szCs w:val="24"/>
                <w:highlight w:val="none"/>
                <w:lang w:val="en-US" w:eastAsia="zh-CN"/>
              </w:rPr>
              <w:t>灵璧县北部经济开发区轴承产业基地AB区北侧重点区域</w:t>
            </w:r>
            <w:r>
              <w:rPr>
                <w:rFonts w:hint="eastAsia" w:cs="Times New Roman"/>
                <w:color w:val="auto"/>
                <w:sz w:val="24"/>
                <w:lang w:val="en-US" w:eastAsia="zh-CN"/>
              </w:rPr>
              <w:t>，主要为精密轴承生产，属于轴承、齿轮和传动部件制造，符合园区产业规划。</w:t>
            </w:r>
          </w:p>
          <w:p w14:paraId="11694A5C">
            <w:pPr>
              <w:snapToGrid w:val="0"/>
              <w:spacing w:line="360" w:lineRule="auto"/>
              <w:rPr>
                <w:rFonts w:cs="宋体"/>
                <w:b/>
                <w:color w:val="auto"/>
                <w:sz w:val="24"/>
              </w:rPr>
            </w:pPr>
            <w:r>
              <w:rPr>
                <w:rFonts w:hint="eastAsia" w:cs="宋体"/>
                <w:b/>
                <w:color w:val="auto"/>
                <w:sz w:val="24"/>
                <w:lang w:val="en-US" w:eastAsia="zh-CN"/>
              </w:rPr>
              <w:t>2、</w:t>
            </w:r>
            <w:r>
              <w:rPr>
                <w:rFonts w:hint="eastAsia" w:cs="宋体"/>
                <w:b/>
                <w:color w:val="auto"/>
                <w:sz w:val="24"/>
              </w:rPr>
              <w:t>与规划环评审查意见的符合性分析</w:t>
            </w:r>
          </w:p>
          <w:p w14:paraId="6D4E964C">
            <w:pPr>
              <w:snapToGrid w:val="0"/>
              <w:spacing w:line="360" w:lineRule="auto"/>
              <w:ind w:firstLine="480" w:firstLineChars="200"/>
              <w:rPr>
                <w:rFonts w:cs="宋体"/>
                <w:color w:val="auto"/>
                <w:sz w:val="24"/>
                <w:szCs w:val="22"/>
              </w:rPr>
            </w:pPr>
            <w:r>
              <w:rPr>
                <w:rFonts w:hint="eastAsia" w:cs="宋体"/>
                <w:color w:val="auto"/>
                <w:sz w:val="24"/>
                <w:lang w:eastAsia="zh-CN"/>
              </w:rPr>
              <w:t>（</w:t>
            </w:r>
            <w:r>
              <w:rPr>
                <w:rFonts w:hint="eastAsia" w:cs="宋体"/>
                <w:color w:val="auto"/>
                <w:sz w:val="24"/>
                <w:lang w:val="en-US" w:eastAsia="zh-CN"/>
              </w:rPr>
              <w:t>1</w:t>
            </w:r>
            <w:r>
              <w:rPr>
                <w:rFonts w:hint="eastAsia" w:cs="宋体"/>
                <w:color w:val="auto"/>
                <w:sz w:val="24"/>
                <w:lang w:eastAsia="zh-CN"/>
              </w:rPr>
              <w:t>）</w:t>
            </w:r>
            <w:r>
              <w:rPr>
                <w:rFonts w:hint="eastAsia" w:cs="宋体"/>
                <w:color w:val="auto"/>
                <w:sz w:val="24"/>
              </w:rPr>
              <w:t>本项目与</w:t>
            </w:r>
            <w:r>
              <w:rPr>
                <w:rFonts w:hint="eastAsia"/>
                <w:color w:val="auto"/>
                <w:sz w:val="24"/>
              </w:rPr>
              <w:t>《安徽灵璧经济开发区总体发展规划环境影响报告书》</w:t>
            </w:r>
            <w:r>
              <w:rPr>
                <w:rFonts w:hint="eastAsia" w:cs="宋体"/>
                <w:color w:val="auto"/>
                <w:sz w:val="24"/>
                <w:szCs w:val="22"/>
              </w:rPr>
              <w:t>及批复</w:t>
            </w:r>
            <w:r>
              <w:rPr>
                <w:rFonts w:hint="eastAsia"/>
                <w:color w:val="auto"/>
                <w:sz w:val="24"/>
              </w:rPr>
              <w:t>（</w:t>
            </w:r>
            <w:r>
              <w:rPr>
                <w:rFonts w:hint="eastAsia" w:ascii="Times New Roman" w:hAnsi="Times New Roman" w:eastAsia="宋体" w:cs="Times New Roman"/>
                <w:color w:val="auto"/>
                <w:kern w:val="0"/>
                <w:sz w:val="24"/>
                <w:szCs w:val="24"/>
                <w:lang w:eastAsia="zh-CN"/>
              </w:rPr>
              <w:t>环评函</w:t>
            </w:r>
            <w:r>
              <w:rPr>
                <w:rFonts w:hint="default" w:ascii="Times New Roman" w:hAnsi="Times New Roman" w:eastAsia="宋体" w:cs="Times New Roman"/>
                <w:color w:val="auto"/>
                <w:sz w:val="24"/>
                <w:szCs w:val="24"/>
                <w:highlight w:val="none"/>
                <w:lang w:val="en-US" w:eastAsia="zh-CN"/>
              </w:rPr>
              <w:t>【201</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kern w:val="0"/>
                <w:sz w:val="24"/>
                <w:szCs w:val="24"/>
                <w:lang w:val="en-US" w:eastAsia="zh-CN"/>
              </w:rPr>
              <w:t>1174号</w:t>
            </w:r>
            <w:r>
              <w:rPr>
                <w:rFonts w:hint="eastAsia"/>
                <w:color w:val="auto"/>
                <w:sz w:val="24"/>
              </w:rPr>
              <w:t>）</w:t>
            </w:r>
            <w:r>
              <w:rPr>
                <w:rFonts w:hint="eastAsia" w:cs="宋体"/>
                <w:color w:val="auto"/>
                <w:sz w:val="24"/>
                <w:szCs w:val="22"/>
              </w:rPr>
              <w:t>的符合性分析</w:t>
            </w:r>
          </w:p>
          <w:p w14:paraId="58ABB959">
            <w:pPr>
              <w:snapToGrid w:val="0"/>
              <w:spacing w:line="360" w:lineRule="auto"/>
              <w:jc w:val="center"/>
              <w:rPr>
                <w:rFonts w:cs="宋体"/>
                <w:b/>
                <w:color w:val="auto"/>
                <w:sz w:val="24"/>
              </w:rPr>
            </w:pPr>
            <w:r>
              <w:rPr>
                <w:rFonts w:hint="eastAsia" w:cs="宋体"/>
                <w:b/>
                <w:color w:val="auto"/>
                <w:sz w:val="24"/>
              </w:rPr>
              <w:t>表1</w:t>
            </w:r>
            <w:r>
              <w:rPr>
                <w:rFonts w:hint="eastAsia" w:cs="宋体"/>
                <w:b/>
                <w:color w:val="auto"/>
                <w:sz w:val="24"/>
                <w:lang w:val="en-US" w:eastAsia="zh-CN"/>
              </w:rPr>
              <w:t>.1</w:t>
            </w:r>
            <w:r>
              <w:rPr>
                <w:rFonts w:hint="eastAsia" w:cs="宋体"/>
                <w:b/>
                <w:color w:val="auto"/>
                <w:sz w:val="24"/>
              </w:rPr>
              <w:t xml:space="preserve">  与安徽</w:t>
            </w:r>
            <w:r>
              <w:rPr>
                <w:rFonts w:cs="宋体"/>
                <w:b/>
                <w:color w:val="auto"/>
                <w:sz w:val="24"/>
              </w:rPr>
              <w:t>灵璧经济开发区总体发展规划环评及批复</w:t>
            </w:r>
            <w:r>
              <w:rPr>
                <w:rFonts w:hint="eastAsia" w:cs="宋体"/>
                <w:b/>
                <w:color w:val="auto"/>
                <w:sz w:val="24"/>
              </w:rPr>
              <w:t>的符合性分析表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2914"/>
              <w:gridCol w:w="3400"/>
              <w:gridCol w:w="683"/>
            </w:tblGrid>
            <w:tr w14:paraId="7A56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pct"/>
                  <w:tcBorders>
                    <w:tl2br w:val="nil"/>
                    <w:tr2bl w:val="nil"/>
                  </w:tcBorders>
                  <w:shd w:val="clear" w:color="auto" w:fill="auto"/>
                  <w:vAlign w:val="center"/>
                </w:tcPr>
                <w:p w14:paraId="59F94826">
                  <w:pPr>
                    <w:adjustRightInd w:val="0"/>
                    <w:snapToGrid w:val="0"/>
                    <w:jc w:val="center"/>
                    <w:rPr>
                      <w:rFonts w:cs="宋体"/>
                      <w:b w:val="0"/>
                      <w:bCs/>
                      <w:color w:val="auto"/>
                      <w:sz w:val="21"/>
                      <w:szCs w:val="21"/>
                    </w:rPr>
                  </w:pPr>
                  <w:r>
                    <w:rPr>
                      <w:rFonts w:hint="eastAsia" w:cs="宋体"/>
                      <w:b w:val="0"/>
                      <w:bCs/>
                      <w:color w:val="auto"/>
                      <w:sz w:val="21"/>
                      <w:szCs w:val="21"/>
                    </w:rPr>
                    <w:t>序号</w:t>
                  </w:r>
                </w:p>
              </w:tc>
              <w:tc>
                <w:tcPr>
                  <w:tcW w:w="1942" w:type="pct"/>
                  <w:tcBorders>
                    <w:tl2br w:val="nil"/>
                    <w:tr2bl w:val="nil"/>
                  </w:tcBorders>
                  <w:shd w:val="clear" w:color="auto" w:fill="auto"/>
                  <w:vAlign w:val="center"/>
                </w:tcPr>
                <w:p w14:paraId="3A7CEDDE">
                  <w:pPr>
                    <w:adjustRightInd w:val="0"/>
                    <w:snapToGrid w:val="0"/>
                    <w:jc w:val="center"/>
                    <w:rPr>
                      <w:rFonts w:cs="宋体"/>
                      <w:b w:val="0"/>
                      <w:bCs/>
                      <w:color w:val="auto"/>
                      <w:sz w:val="21"/>
                      <w:szCs w:val="21"/>
                    </w:rPr>
                  </w:pPr>
                  <w:r>
                    <w:rPr>
                      <w:rFonts w:hint="eastAsia" w:cs="宋体"/>
                      <w:b w:val="0"/>
                      <w:bCs/>
                      <w:color w:val="auto"/>
                      <w:sz w:val="21"/>
                      <w:szCs w:val="21"/>
                    </w:rPr>
                    <w:t>审查意见的函要求</w:t>
                  </w:r>
                </w:p>
              </w:tc>
              <w:tc>
                <w:tcPr>
                  <w:tcW w:w="2266" w:type="pct"/>
                  <w:tcBorders>
                    <w:tl2br w:val="nil"/>
                    <w:tr2bl w:val="nil"/>
                  </w:tcBorders>
                  <w:shd w:val="clear" w:color="auto" w:fill="auto"/>
                  <w:vAlign w:val="center"/>
                </w:tcPr>
                <w:p w14:paraId="700ED9CD">
                  <w:pPr>
                    <w:adjustRightInd w:val="0"/>
                    <w:snapToGrid w:val="0"/>
                    <w:jc w:val="center"/>
                    <w:rPr>
                      <w:rFonts w:cs="宋体"/>
                      <w:b w:val="0"/>
                      <w:bCs/>
                      <w:color w:val="auto"/>
                      <w:sz w:val="21"/>
                      <w:szCs w:val="21"/>
                    </w:rPr>
                  </w:pPr>
                  <w:r>
                    <w:rPr>
                      <w:rFonts w:hint="eastAsia" w:cs="宋体"/>
                      <w:b w:val="0"/>
                      <w:bCs/>
                      <w:color w:val="auto"/>
                      <w:sz w:val="21"/>
                      <w:szCs w:val="21"/>
                    </w:rPr>
                    <w:t>本项目情况</w:t>
                  </w:r>
                </w:p>
              </w:tc>
              <w:tc>
                <w:tcPr>
                  <w:tcW w:w="455" w:type="pct"/>
                  <w:tcBorders>
                    <w:tl2br w:val="nil"/>
                    <w:tr2bl w:val="nil"/>
                  </w:tcBorders>
                  <w:shd w:val="clear" w:color="auto" w:fill="auto"/>
                  <w:vAlign w:val="center"/>
                </w:tcPr>
                <w:p w14:paraId="48807830">
                  <w:pPr>
                    <w:adjustRightInd w:val="0"/>
                    <w:snapToGrid w:val="0"/>
                    <w:jc w:val="center"/>
                    <w:rPr>
                      <w:rFonts w:cs="宋体"/>
                      <w:b w:val="0"/>
                      <w:bCs/>
                      <w:color w:val="auto"/>
                      <w:sz w:val="21"/>
                      <w:szCs w:val="21"/>
                    </w:rPr>
                  </w:pPr>
                  <w:r>
                    <w:rPr>
                      <w:rFonts w:hint="eastAsia" w:cs="宋体"/>
                      <w:b w:val="0"/>
                      <w:bCs/>
                      <w:color w:val="auto"/>
                      <w:sz w:val="21"/>
                      <w:szCs w:val="21"/>
                    </w:rPr>
                    <w:t>是否符合</w:t>
                  </w:r>
                </w:p>
              </w:tc>
            </w:tr>
            <w:tr w14:paraId="7A4B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pct"/>
                  <w:tcBorders>
                    <w:tl2br w:val="nil"/>
                    <w:tr2bl w:val="nil"/>
                  </w:tcBorders>
                  <w:shd w:val="clear" w:color="auto" w:fill="auto"/>
                  <w:vAlign w:val="center"/>
                </w:tcPr>
                <w:p w14:paraId="7E28D8BC">
                  <w:pPr>
                    <w:adjustRightInd w:val="0"/>
                    <w:snapToGrid w:val="0"/>
                    <w:jc w:val="center"/>
                    <w:rPr>
                      <w:rFonts w:cs="宋体"/>
                      <w:b w:val="0"/>
                      <w:bCs/>
                      <w:color w:val="auto"/>
                      <w:sz w:val="21"/>
                      <w:szCs w:val="21"/>
                    </w:rPr>
                  </w:pPr>
                  <w:r>
                    <w:rPr>
                      <w:rFonts w:hint="eastAsia" w:cs="宋体"/>
                      <w:b w:val="0"/>
                      <w:bCs/>
                      <w:color w:val="auto"/>
                      <w:sz w:val="21"/>
                      <w:szCs w:val="21"/>
                    </w:rPr>
                    <w:t>1</w:t>
                  </w:r>
                </w:p>
              </w:tc>
              <w:tc>
                <w:tcPr>
                  <w:tcW w:w="1942" w:type="pct"/>
                  <w:tcBorders>
                    <w:tl2br w:val="nil"/>
                    <w:tr2bl w:val="nil"/>
                  </w:tcBorders>
                  <w:vAlign w:val="center"/>
                </w:tcPr>
                <w:p w14:paraId="12E9DECA">
                  <w:pPr>
                    <w:widowControl/>
                    <w:jc w:val="center"/>
                    <w:rPr>
                      <w:rFonts w:hint="eastAsia" w:eastAsia="宋体"/>
                      <w:b w:val="0"/>
                      <w:bCs/>
                      <w:color w:val="auto"/>
                      <w:sz w:val="21"/>
                      <w:szCs w:val="21"/>
                      <w:lang w:eastAsia="zh-CN"/>
                    </w:rPr>
                  </w:pPr>
                  <w:r>
                    <w:rPr>
                      <w:rFonts w:hint="eastAsia"/>
                      <w:b w:val="0"/>
                      <w:bCs/>
                      <w:color w:val="auto"/>
                      <w:sz w:val="21"/>
                      <w:szCs w:val="21"/>
                    </w:rPr>
                    <w:t>严禁建设国家产业政策、技术政策和环保法律法规明令禁止的项目</w:t>
                  </w:r>
                  <w:r>
                    <w:rPr>
                      <w:rFonts w:hint="eastAsia"/>
                      <w:b w:val="0"/>
                      <w:bCs/>
                      <w:color w:val="auto"/>
                      <w:sz w:val="21"/>
                      <w:szCs w:val="21"/>
                      <w:lang w:eastAsia="zh-CN"/>
                    </w:rPr>
                    <w:t>。</w:t>
                  </w:r>
                </w:p>
              </w:tc>
              <w:tc>
                <w:tcPr>
                  <w:tcW w:w="2266" w:type="pct"/>
                  <w:tcBorders>
                    <w:tl2br w:val="nil"/>
                    <w:tr2bl w:val="nil"/>
                  </w:tcBorders>
                  <w:vAlign w:val="center"/>
                </w:tcPr>
                <w:p w14:paraId="0BDCEF1B">
                  <w:pPr>
                    <w:widowControl/>
                    <w:jc w:val="center"/>
                    <w:rPr>
                      <w:rFonts w:hint="eastAsia" w:eastAsia="宋体"/>
                      <w:b w:val="0"/>
                      <w:bCs/>
                      <w:color w:val="auto"/>
                      <w:sz w:val="21"/>
                      <w:szCs w:val="21"/>
                      <w:lang w:eastAsia="zh-CN"/>
                    </w:rPr>
                  </w:pPr>
                  <w:r>
                    <w:rPr>
                      <w:rFonts w:hint="eastAsia"/>
                      <w:b w:val="0"/>
                      <w:bCs/>
                      <w:color w:val="auto"/>
                      <w:sz w:val="21"/>
                      <w:szCs w:val="21"/>
                    </w:rPr>
                    <w:t>本项目为</w:t>
                  </w:r>
                  <w:r>
                    <w:rPr>
                      <w:rFonts w:hint="eastAsia"/>
                      <w:b w:val="0"/>
                      <w:bCs/>
                      <w:color w:val="auto"/>
                      <w:sz w:val="21"/>
                      <w:szCs w:val="21"/>
                      <w:lang w:val="en-US" w:eastAsia="zh-CN"/>
                    </w:rPr>
                    <w:t>滚动轴承制造</w:t>
                  </w:r>
                  <w:r>
                    <w:rPr>
                      <w:rFonts w:hint="eastAsia"/>
                      <w:b w:val="0"/>
                      <w:bCs/>
                      <w:color w:val="auto"/>
                      <w:sz w:val="21"/>
                      <w:szCs w:val="21"/>
                    </w:rPr>
                    <w:t>，不属于其限制类与淘汰类，为允许类</w:t>
                  </w:r>
                  <w:r>
                    <w:rPr>
                      <w:rFonts w:hint="eastAsia"/>
                      <w:b w:val="0"/>
                      <w:bCs/>
                      <w:color w:val="auto"/>
                      <w:sz w:val="21"/>
                      <w:szCs w:val="21"/>
                      <w:lang w:eastAsia="zh-CN"/>
                    </w:rPr>
                    <w:t>。</w:t>
                  </w:r>
                </w:p>
              </w:tc>
              <w:tc>
                <w:tcPr>
                  <w:tcW w:w="455" w:type="pct"/>
                  <w:tcBorders>
                    <w:tl2br w:val="nil"/>
                    <w:tr2bl w:val="nil"/>
                  </w:tcBorders>
                  <w:shd w:val="clear" w:color="auto" w:fill="auto"/>
                  <w:vAlign w:val="center"/>
                </w:tcPr>
                <w:p w14:paraId="29F41E8C">
                  <w:pPr>
                    <w:adjustRightInd w:val="0"/>
                    <w:snapToGrid w:val="0"/>
                    <w:jc w:val="center"/>
                    <w:rPr>
                      <w:rFonts w:cs="宋体"/>
                      <w:b w:val="0"/>
                      <w:bCs/>
                      <w:color w:val="auto"/>
                      <w:sz w:val="21"/>
                      <w:szCs w:val="21"/>
                    </w:rPr>
                  </w:pPr>
                  <w:r>
                    <w:rPr>
                      <w:rFonts w:hint="eastAsia" w:cs="宋体"/>
                      <w:b w:val="0"/>
                      <w:bCs/>
                      <w:color w:val="auto"/>
                      <w:sz w:val="21"/>
                      <w:szCs w:val="21"/>
                    </w:rPr>
                    <w:t>是</w:t>
                  </w:r>
                </w:p>
              </w:tc>
            </w:tr>
            <w:tr w14:paraId="3231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pct"/>
                  <w:tcBorders>
                    <w:tl2br w:val="nil"/>
                    <w:tr2bl w:val="nil"/>
                  </w:tcBorders>
                  <w:shd w:val="clear" w:color="auto" w:fill="auto"/>
                  <w:vAlign w:val="center"/>
                </w:tcPr>
                <w:p w14:paraId="581DF95B">
                  <w:pPr>
                    <w:adjustRightInd w:val="0"/>
                    <w:snapToGrid w:val="0"/>
                    <w:jc w:val="center"/>
                    <w:rPr>
                      <w:rFonts w:cs="宋体"/>
                      <w:b w:val="0"/>
                      <w:bCs/>
                      <w:color w:val="auto"/>
                      <w:sz w:val="21"/>
                      <w:szCs w:val="21"/>
                    </w:rPr>
                  </w:pPr>
                  <w:r>
                    <w:rPr>
                      <w:rFonts w:hint="eastAsia" w:cs="宋体"/>
                      <w:b w:val="0"/>
                      <w:bCs/>
                      <w:color w:val="auto"/>
                      <w:sz w:val="21"/>
                      <w:szCs w:val="21"/>
                    </w:rPr>
                    <w:t>2</w:t>
                  </w:r>
                </w:p>
              </w:tc>
              <w:tc>
                <w:tcPr>
                  <w:tcW w:w="1942" w:type="pct"/>
                  <w:tcBorders>
                    <w:tl2br w:val="nil"/>
                    <w:tr2bl w:val="nil"/>
                  </w:tcBorders>
                  <w:vAlign w:val="center"/>
                </w:tcPr>
                <w:p w14:paraId="20A10FDF">
                  <w:pPr>
                    <w:widowControl/>
                    <w:jc w:val="center"/>
                    <w:rPr>
                      <w:rFonts w:hint="eastAsia" w:eastAsia="宋体"/>
                      <w:b w:val="0"/>
                      <w:bCs/>
                      <w:color w:val="auto"/>
                      <w:sz w:val="21"/>
                      <w:szCs w:val="21"/>
                      <w:lang w:eastAsia="zh-CN"/>
                    </w:rPr>
                  </w:pPr>
                  <w:r>
                    <w:rPr>
                      <w:rFonts w:hint="eastAsia"/>
                      <w:b w:val="0"/>
                      <w:bCs/>
                      <w:color w:val="auto"/>
                      <w:sz w:val="21"/>
                      <w:szCs w:val="21"/>
                    </w:rPr>
                    <w:t>严格控制高耗水、高耗能、污水排放量大的项目入区</w:t>
                  </w:r>
                  <w:r>
                    <w:rPr>
                      <w:rFonts w:hint="eastAsia"/>
                      <w:b w:val="0"/>
                      <w:bCs/>
                      <w:color w:val="auto"/>
                      <w:sz w:val="21"/>
                      <w:szCs w:val="21"/>
                      <w:lang w:eastAsia="zh-CN"/>
                    </w:rPr>
                    <w:t>。</w:t>
                  </w:r>
                </w:p>
              </w:tc>
              <w:tc>
                <w:tcPr>
                  <w:tcW w:w="2266" w:type="pct"/>
                  <w:tcBorders>
                    <w:tl2br w:val="nil"/>
                    <w:tr2bl w:val="nil"/>
                  </w:tcBorders>
                  <w:vAlign w:val="center"/>
                </w:tcPr>
                <w:p w14:paraId="1FBE06E6">
                  <w:pPr>
                    <w:widowControl/>
                    <w:jc w:val="center"/>
                    <w:rPr>
                      <w:b w:val="0"/>
                      <w:bCs/>
                      <w:color w:val="auto"/>
                      <w:sz w:val="21"/>
                      <w:szCs w:val="21"/>
                    </w:rPr>
                  </w:pPr>
                  <w:r>
                    <w:rPr>
                      <w:rFonts w:hint="eastAsia" w:cs="Times New Roman"/>
                      <w:color w:val="auto"/>
                      <w:szCs w:val="21"/>
                      <w:lang w:eastAsia="zh-CN"/>
                    </w:rPr>
                    <w:t>项目用水为生活用水和生产用水</w:t>
                  </w:r>
                  <w:r>
                    <w:rPr>
                      <w:rFonts w:hint="eastAsia" w:cs="Times New Roman"/>
                      <w:color w:val="auto"/>
                      <w:szCs w:val="21"/>
                      <w:lang w:val="en-US" w:eastAsia="zh-CN"/>
                    </w:rPr>
                    <w:t>，用电为生产设备用电及办公用电，废水为生活污水，</w:t>
                  </w:r>
                  <w:r>
                    <w:rPr>
                      <w:rFonts w:hint="eastAsia" w:cs="Times New Roman"/>
                      <w:b w:val="0"/>
                      <w:bCs w:val="0"/>
                      <w:color w:val="auto"/>
                      <w:szCs w:val="21"/>
                      <w:lang w:eastAsia="zh-CN"/>
                    </w:rPr>
                    <w:t>不属于</w:t>
                  </w:r>
                  <w:r>
                    <w:rPr>
                      <w:rFonts w:hint="default" w:ascii="Times New Roman" w:hAnsi="Times New Roman" w:eastAsia="宋体" w:cs="Times New Roman"/>
                      <w:b w:val="0"/>
                      <w:bCs w:val="0"/>
                      <w:color w:val="auto"/>
                      <w:szCs w:val="21"/>
                    </w:rPr>
                    <w:t>高</w:t>
                  </w:r>
                  <w:r>
                    <w:rPr>
                      <w:rFonts w:hint="default" w:ascii="Times New Roman" w:hAnsi="Times New Roman" w:eastAsia="宋体" w:cs="Times New Roman"/>
                      <w:color w:val="auto"/>
                      <w:szCs w:val="21"/>
                    </w:rPr>
                    <w:t>耗水、高耗能、污水排放量大的项目</w:t>
                  </w:r>
                  <w:r>
                    <w:rPr>
                      <w:rFonts w:hint="eastAsia" w:ascii="Times New Roman" w:hAnsi="Times New Roman" w:eastAsia="宋体" w:cs="Times New Roman"/>
                      <w:color w:val="auto"/>
                      <w:szCs w:val="21"/>
                      <w:lang w:eastAsia="zh-CN"/>
                    </w:rPr>
                    <w:t>。</w:t>
                  </w:r>
                </w:p>
              </w:tc>
              <w:tc>
                <w:tcPr>
                  <w:tcW w:w="455" w:type="pct"/>
                  <w:tcBorders>
                    <w:tl2br w:val="nil"/>
                    <w:tr2bl w:val="nil"/>
                  </w:tcBorders>
                  <w:shd w:val="clear" w:color="auto" w:fill="auto"/>
                  <w:vAlign w:val="center"/>
                </w:tcPr>
                <w:p w14:paraId="66B0400B">
                  <w:pPr>
                    <w:adjustRightInd w:val="0"/>
                    <w:snapToGrid w:val="0"/>
                    <w:jc w:val="center"/>
                    <w:rPr>
                      <w:rFonts w:cs="宋体"/>
                      <w:b w:val="0"/>
                      <w:bCs/>
                      <w:color w:val="auto"/>
                      <w:sz w:val="21"/>
                      <w:szCs w:val="21"/>
                    </w:rPr>
                  </w:pPr>
                  <w:r>
                    <w:rPr>
                      <w:rFonts w:hint="eastAsia" w:cs="宋体"/>
                      <w:b w:val="0"/>
                      <w:bCs/>
                      <w:color w:val="auto"/>
                      <w:sz w:val="21"/>
                      <w:szCs w:val="21"/>
                    </w:rPr>
                    <w:t>是</w:t>
                  </w:r>
                </w:p>
              </w:tc>
            </w:tr>
            <w:tr w14:paraId="1F46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pct"/>
                  <w:tcBorders>
                    <w:tl2br w:val="nil"/>
                    <w:tr2bl w:val="nil"/>
                  </w:tcBorders>
                  <w:shd w:val="clear" w:color="auto" w:fill="auto"/>
                  <w:vAlign w:val="center"/>
                </w:tcPr>
                <w:p w14:paraId="1F914263">
                  <w:pPr>
                    <w:adjustRightInd w:val="0"/>
                    <w:snapToGrid w:val="0"/>
                    <w:jc w:val="center"/>
                    <w:rPr>
                      <w:rFonts w:cs="宋体"/>
                      <w:b w:val="0"/>
                      <w:bCs/>
                      <w:color w:val="auto"/>
                      <w:sz w:val="21"/>
                      <w:szCs w:val="21"/>
                    </w:rPr>
                  </w:pPr>
                  <w:r>
                    <w:rPr>
                      <w:rFonts w:hint="eastAsia" w:cs="宋体"/>
                      <w:b w:val="0"/>
                      <w:bCs/>
                      <w:color w:val="auto"/>
                      <w:sz w:val="21"/>
                      <w:szCs w:val="21"/>
                    </w:rPr>
                    <w:t>3</w:t>
                  </w:r>
                </w:p>
              </w:tc>
              <w:tc>
                <w:tcPr>
                  <w:tcW w:w="1942" w:type="pct"/>
                  <w:tcBorders>
                    <w:tl2br w:val="nil"/>
                    <w:tr2bl w:val="nil"/>
                  </w:tcBorders>
                  <w:vAlign w:val="center"/>
                </w:tcPr>
                <w:p w14:paraId="49804D20">
                  <w:pPr>
                    <w:widowControl/>
                    <w:jc w:val="center"/>
                    <w:rPr>
                      <w:rFonts w:hint="eastAsia" w:eastAsia="宋体"/>
                      <w:b w:val="0"/>
                      <w:bCs/>
                      <w:color w:val="auto"/>
                      <w:sz w:val="21"/>
                      <w:szCs w:val="21"/>
                      <w:lang w:eastAsia="zh-CN"/>
                    </w:rPr>
                  </w:pPr>
                  <w:r>
                    <w:rPr>
                      <w:rFonts w:hint="eastAsia"/>
                      <w:b w:val="0"/>
                      <w:bCs/>
                      <w:color w:val="auto"/>
                      <w:sz w:val="21"/>
                      <w:szCs w:val="21"/>
                    </w:rPr>
                    <w:t>入园区项目要建设完善的环境保护、安全生产和事故防范措施</w:t>
                  </w:r>
                  <w:r>
                    <w:rPr>
                      <w:rFonts w:hint="eastAsia"/>
                      <w:b w:val="0"/>
                      <w:bCs/>
                      <w:color w:val="auto"/>
                      <w:sz w:val="21"/>
                      <w:szCs w:val="21"/>
                      <w:lang w:eastAsia="zh-CN"/>
                    </w:rPr>
                    <w:t>。</w:t>
                  </w:r>
                </w:p>
              </w:tc>
              <w:tc>
                <w:tcPr>
                  <w:tcW w:w="2266" w:type="pct"/>
                  <w:tcBorders>
                    <w:tl2br w:val="nil"/>
                    <w:tr2bl w:val="nil"/>
                  </w:tcBorders>
                  <w:vAlign w:val="center"/>
                </w:tcPr>
                <w:p w14:paraId="1BDB805B">
                  <w:pPr>
                    <w:widowControl/>
                    <w:jc w:val="center"/>
                    <w:rPr>
                      <w:rFonts w:hint="eastAsia" w:eastAsia="宋体"/>
                      <w:b w:val="0"/>
                      <w:bCs/>
                      <w:color w:val="auto"/>
                      <w:sz w:val="21"/>
                      <w:szCs w:val="21"/>
                      <w:lang w:eastAsia="zh-CN"/>
                    </w:rPr>
                  </w:pPr>
                  <w:r>
                    <w:rPr>
                      <w:rFonts w:hint="eastAsia"/>
                      <w:b w:val="0"/>
                      <w:bCs/>
                      <w:color w:val="auto"/>
                      <w:sz w:val="21"/>
                      <w:szCs w:val="21"/>
                    </w:rPr>
                    <w:t>本项目建设了完善的环境保护、安全生产和事故防范措施</w:t>
                  </w:r>
                  <w:r>
                    <w:rPr>
                      <w:rFonts w:hint="eastAsia"/>
                      <w:b w:val="0"/>
                      <w:bCs/>
                      <w:color w:val="auto"/>
                      <w:sz w:val="21"/>
                      <w:szCs w:val="21"/>
                      <w:lang w:eastAsia="zh-CN"/>
                    </w:rPr>
                    <w:t>。</w:t>
                  </w:r>
                </w:p>
              </w:tc>
              <w:tc>
                <w:tcPr>
                  <w:tcW w:w="455" w:type="pct"/>
                  <w:tcBorders>
                    <w:tl2br w:val="nil"/>
                    <w:tr2bl w:val="nil"/>
                  </w:tcBorders>
                  <w:shd w:val="clear" w:color="auto" w:fill="auto"/>
                  <w:vAlign w:val="center"/>
                </w:tcPr>
                <w:p w14:paraId="00333EF9">
                  <w:pPr>
                    <w:adjustRightInd w:val="0"/>
                    <w:snapToGrid w:val="0"/>
                    <w:jc w:val="center"/>
                    <w:rPr>
                      <w:rFonts w:cs="宋体"/>
                      <w:b w:val="0"/>
                      <w:bCs/>
                      <w:color w:val="auto"/>
                      <w:sz w:val="21"/>
                      <w:szCs w:val="21"/>
                    </w:rPr>
                  </w:pPr>
                  <w:r>
                    <w:rPr>
                      <w:rFonts w:hint="eastAsia" w:cs="宋体"/>
                      <w:b w:val="0"/>
                      <w:bCs/>
                      <w:color w:val="auto"/>
                      <w:sz w:val="21"/>
                      <w:szCs w:val="21"/>
                    </w:rPr>
                    <w:t>是</w:t>
                  </w:r>
                </w:p>
              </w:tc>
            </w:tr>
            <w:tr w14:paraId="4C21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pct"/>
                  <w:tcBorders>
                    <w:tl2br w:val="nil"/>
                    <w:tr2bl w:val="nil"/>
                  </w:tcBorders>
                  <w:shd w:val="clear" w:color="auto" w:fill="auto"/>
                  <w:vAlign w:val="center"/>
                </w:tcPr>
                <w:p w14:paraId="53E05BAF">
                  <w:pPr>
                    <w:adjustRightInd w:val="0"/>
                    <w:snapToGrid w:val="0"/>
                    <w:jc w:val="center"/>
                    <w:rPr>
                      <w:rFonts w:cs="宋体"/>
                      <w:b w:val="0"/>
                      <w:bCs/>
                      <w:color w:val="auto"/>
                      <w:sz w:val="21"/>
                      <w:szCs w:val="21"/>
                    </w:rPr>
                  </w:pPr>
                  <w:r>
                    <w:rPr>
                      <w:rFonts w:hint="eastAsia" w:cs="宋体"/>
                      <w:b w:val="0"/>
                      <w:bCs/>
                      <w:color w:val="auto"/>
                      <w:sz w:val="21"/>
                      <w:szCs w:val="21"/>
                    </w:rPr>
                    <w:t>4</w:t>
                  </w:r>
                </w:p>
              </w:tc>
              <w:tc>
                <w:tcPr>
                  <w:tcW w:w="1942" w:type="pct"/>
                  <w:tcBorders>
                    <w:tl2br w:val="nil"/>
                    <w:tr2bl w:val="nil"/>
                  </w:tcBorders>
                  <w:vAlign w:val="center"/>
                </w:tcPr>
                <w:p w14:paraId="1DD1EC6C">
                  <w:pPr>
                    <w:widowControl/>
                    <w:jc w:val="center"/>
                    <w:rPr>
                      <w:rFonts w:hint="eastAsia" w:eastAsia="宋体"/>
                      <w:b w:val="0"/>
                      <w:bCs/>
                      <w:color w:val="auto"/>
                      <w:sz w:val="21"/>
                      <w:szCs w:val="21"/>
                      <w:lang w:eastAsia="zh-CN"/>
                    </w:rPr>
                  </w:pPr>
                  <w:r>
                    <w:rPr>
                      <w:rFonts w:hint="eastAsia"/>
                      <w:b w:val="0"/>
                      <w:bCs/>
                      <w:color w:val="auto"/>
                      <w:sz w:val="21"/>
                      <w:szCs w:val="21"/>
                    </w:rPr>
                    <w:t>最大限度的控制开发区污染物排放量和排放强度</w:t>
                  </w:r>
                  <w:r>
                    <w:rPr>
                      <w:rFonts w:hint="eastAsia"/>
                      <w:b w:val="0"/>
                      <w:bCs/>
                      <w:color w:val="auto"/>
                      <w:sz w:val="21"/>
                      <w:szCs w:val="21"/>
                      <w:lang w:eastAsia="zh-CN"/>
                    </w:rPr>
                    <w:t>。</w:t>
                  </w:r>
                </w:p>
              </w:tc>
              <w:tc>
                <w:tcPr>
                  <w:tcW w:w="2266" w:type="pct"/>
                  <w:tcBorders>
                    <w:tl2br w:val="nil"/>
                    <w:tr2bl w:val="nil"/>
                  </w:tcBorders>
                  <w:vAlign w:val="center"/>
                </w:tcPr>
                <w:p w14:paraId="382D81E1">
                  <w:pPr>
                    <w:widowControl/>
                    <w:jc w:val="center"/>
                    <w:rPr>
                      <w:rFonts w:hint="eastAsia" w:eastAsia="宋体"/>
                      <w:b w:val="0"/>
                      <w:bCs/>
                      <w:color w:val="auto"/>
                      <w:sz w:val="21"/>
                      <w:szCs w:val="21"/>
                      <w:lang w:eastAsia="zh-CN"/>
                    </w:rPr>
                  </w:pPr>
                  <w:r>
                    <w:rPr>
                      <w:rFonts w:hint="eastAsia"/>
                      <w:b w:val="0"/>
                      <w:bCs/>
                      <w:color w:val="auto"/>
                      <w:sz w:val="21"/>
                      <w:szCs w:val="21"/>
                      <w:lang w:val="en-US" w:eastAsia="zh-CN"/>
                    </w:rPr>
                    <w:t>项目废水主要为生活污水，经</w:t>
                  </w:r>
                  <w:r>
                    <w:rPr>
                      <w:rFonts w:hint="eastAsia" w:cs="Times New Roman"/>
                      <w:color w:val="auto"/>
                      <w:sz w:val="21"/>
                      <w:szCs w:val="21"/>
                      <w:vertAlign w:val="baseline"/>
                      <w:lang w:val="en-US" w:eastAsia="zh-CN"/>
                    </w:rPr>
                    <w:t>粪池</w:t>
                  </w:r>
                  <w:r>
                    <w:rPr>
                      <w:rFonts w:hint="eastAsia"/>
                      <w:b w:val="0"/>
                      <w:bCs/>
                      <w:color w:val="auto"/>
                      <w:sz w:val="21"/>
                      <w:szCs w:val="21"/>
                      <w:lang w:val="en-US" w:eastAsia="zh-CN"/>
                    </w:rPr>
                    <w:t>预处理通过市政污水管网排入灵璧经济开发区北部污水处理厂处理</w:t>
                  </w:r>
                  <w:r>
                    <w:rPr>
                      <w:rFonts w:hint="eastAsia" w:cs="宋体"/>
                      <w:b w:val="0"/>
                      <w:bCs/>
                      <w:color w:val="auto"/>
                      <w:sz w:val="21"/>
                      <w:szCs w:val="21"/>
                    </w:rPr>
                    <w:t>；项目</w:t>
                  </w:r>
                  <w:r>
                    <w:rPr>
                      <w:rFonts w:hint="eastAsia" w:cs="宋体"/>
                      <w:b w:val="0"/>
                      <w:bCs/>
                      <w:color w:val="auto"/>
                      <w:sz w:val="21"/>
                      <w:szCs w:val="21"/>
                      <w:lang w:eastAsia="zh-CN"/>
                    </w:rPr>
                    <w:t>无废气产生</w:t>
                  </w:r>
                  <w:r>
                    <w:rPr>
                      <w:rFonts w:hint="eastAsia" w:cs="宋体"/>
                      <w:b w:val="0"/>
                      <w:bCs/>
                      <w:color w:val="auto"/>
                      <w:sz w:val="21"/>
                      <w:szCs w:val="21"/>
                    </w:rPr>
                    <w:t>；</w:t>
                  </w:r>
                  <w:r>
                    <w:rPr>
                      <w:rFonts w:hint="eastAsia"/>
                      <w:b w:val="0"/>
                      <w:bCs/>
                      <w:color w:val="auto"/>
                      <w:sz w:val="21"/>
                      <w:szCs w:val="21"/>
                    </w:rPr>
                    <w:t>危险固废严格按照国家相关管理规定和规范进行安全处置</w:t>
                  </w:r>
                  <w:r>
                    <w:rPr>
                      <w:rFonts w:hint="eastAsia"/>
                      <w:b w:val="0"/>
                      <w:bCs/>
                      <w:color w:val="auto"/>
                      <w:sz w:val="21"/>
                      <w:szCs w:val="21"/>
                      <w:lang w:eastAsia="zh-CN"/>
                    </w:rPr>
                    <w:t>。</w:t>
                  </w:r>
                </w:p>
              </w:tc>
              <w:tc>
                <w:tcPr>
                  <w:tcW w:w="455" w:type="pct"/>
                  <w:tcBorders>
                    <w:tl2br w:val="nil"/>
                    <w:tr2bl w:val="nil"/>
                  </w:tcBorders>
                  <w:shd w:val="clear" w:color="auto" w:fill="auto"/>
                  <w:vAlign w:val="center"/>
                </w:tcPr>
                <w:p w14:paraId="2FEA6D0C">
                  <w:pPr>
                    <w:adjustRightInd w:val="0"/>
                    <w:snapToGrid w:val="0"/>
                    <w:jc w:val="center"/>
                    <w:rPr>
                      <w:rFonts w:cs="宋体"/>
                      <w:b w:val="0"/>
                      <w:bCs/>
                      <w:color w:val="auto"/>
                      <w:sz w:val="21"/>
                      <w:szCs w:val="21"/>
                    </w:rPr>
                  </w:pPr>
                  <w:r>
                    <w:rPr>
                      <w:rFonts w:hint="eastAsia" w:cs="宋体"/>
                      <w:b w:val="0"/>
                      <w:bCs/>
                      <w:color w:val="auto"/>
                      <w:sz w:val="21"/>
                      <w:szCs w:val="21"/>
                    </w:rPr>
                    <w:t>是</w:t>
                  </w:r>
                </w:p>
              </w:tc>
            </w:tr>
            <w:tr w14:paraId="5802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pct"/>
                  <w:tcBorders>
                    <w:tl2br w:val="nil"/>
                    <w:tr2bl w:val="nil"/>
                  </w:tcBorders>
                  <w:shd w:val="clear" w:color="auto" w:fill="auto"/>
                  <w:vAlign w:val="center"/>
                </w:tcPr>
                <w:p w14:paraId="5EB0A09F">
                  <w:pPr>
                    <w:adjustRightInd w:val="0"/>
                    <w:snapToGrid w:val="0"/>
                    <w:jc w:val="center"/>
                    <w:rPr>
                      <w:rFonts w:cs="宋体"/>
                      <w:b w:val="0"/>
                      <w:bCs/>
                      <w:color w:val="auto"/>
                      <w:sz w:val="21"/>
                      <w:szCs w:val="21"/>
                    </w:rPr>
                  </w:pPr>
                  <w:r>
                    <w:rPr>
                      <w:rFonts w:hint="eastAsia" w:cs="宋体"/>
                      <w:b w:val="0"/>
                      <w:bCs/>
                      <w:color w:val="auto"/>
                      <w:sz w:val="21"/>
                      <w:szCs w:val="21"/>
                    </w:rPr>
                    <w:t>5</w:t>
                  </w:r>
                </w:p>
              </w:tc>
              <w:tc>
                <w:tcPr>
                  <w:tcW w:w="1942" w:type="pct"/>
                  <w:tcBorders>
                    <w:tl2br w:val="nil"/>
                    <w:tr2bl w:val="nil"/>
                  </w:tcBorders>
                  <w:vAlign w:val="center"/>
                </w:tcPr>
                <w:p w14:paraId="08CF9721">
                  <w:pPr>
                    <w:widowControl/>
                    <w:jc w:val="center"/>
                    <w:rPr>
                      <w:rFonts w:hint="eastAsia" w:eastAsia="宋体"/>
                      <w:b w:val="0"/>
                      <w:bCs/>
                      <w:color w:val="auto"/>
                      <w:sz w:val="21"/>
                      <w:szCs w:val="21"/>
                      <w:lang w:eastAsia="zh-CN"/>
                    </w:rPr>
                  </w:pPr>
                  <w:r>
                    <w:rPr>
                      <w:rFonts w:hint="eastAsia"/>
                      <w:b w:val="0"/>
                      <w:bCs/>
                      <w:color w:val="auto"/>
                      <w:sz w:val="21"/>
                      <w:szCs w:val="21"/>
                    </w:rPr>
                    <w:t>加强地下水资源保护与管理，入区项目一律采用市政集中供水，采取措施防止地下水污染</w:t>
                  </w:r>
                  <w:r>
                    <w:rPr>
                      <w:rFonts w:hint="eastAsia"/>
                      <w:b w:val="0"/>
                      <w:bCs/>
                      <w:color w:val="auto"/>
                      <w:sz w:val="21"/>
                      <w:szCs w:val="21"/>
                      <w:lang w:eastAsia="zh-CN"/>
                    </w:rPr>
                    <w:t>。</w:t>
                  </w:r>
                </w:p>
              </w:tc>
              <w:tc>
                <w:tcPr>
                  <w:tcW w:w="2266" w:type="pct"/>
                  <w:tcBorders>
                    <w:tl2br w:val="nil"/>
                    <w:tr2bl w:val="nil"/>
                  </w:tcBorders>
                  <w:vAlign w:val="center"/>
                </w:tcPr>
                <w:p w14:paraId="367B488F">
                  <w:pPr>
                    <w:widowControl/>
                    <w:jc w:val="center"/>
                    <w:rPr>
                      <w:b w:val="0"/>
                      <w:bCs/>
                      <w:color w:val="auto"/>
                      <w:sz w:val="21"/>
                      <w:szCs w:val="21"/>
                    </w:rPr>
                  </w:pPr>
                  <w:r>
                    <w:rPr>
                      <w:rFonts w:hint="eastAsia"/>
                      <w:b w:val="0"/>
                      <w:bCs/>
                      <w:color w:val="auto"/>
                      <w:sz w:val="21"/>
                      <w:szCs w:val="21"/>
                    </w:rPr>
                    <w:t>本项目采用市政集中供水，通过地面硬化、设置防渗装置等措施，防止对地下水的污染。</w:t>
                  </w:r>
                </w:p>
              </w:tc>
              <w:tc>
                <w:tcPr>
                  <w:tcW w:w="455" w:type="pct"/>
                  <w:tcBorders>
                    <w:tl2br w:val="nil"/>
                    <w:tr2bl w:val="nil"/>
                  </w:tcBorders>
                  <w:shd w:val="clear" w:color="auto" w:fill="auto"/>
                  <w:vAlign w:val="center"/>
                </w:tcPr>
                <w:p w14:paraId="4E1B37EC">
                  <w:pPr>
                    <w:adjustRightInd w:val="0"/>
                    <w:snapToGrid w:val="0"/>
                    <w:jc w:val="center"/>
                    <w:rPr>
                      <w:rFonts w:cs="宋体"/>
                      <w:b w:val="0"/>
                      <w:bCs/>
                      <w:color w:val="auto"/>
                      <w:sz w:val="21"/>
                      <w:szCs w:val="21"/>
                    </w:rPr>
                  </w:pPr>
                  <w:r>
                    <w:rPr>
                      <w:rFonts w:hint="eastAsia" w:cs="宋体"/>
                      <w:b w:val="0"/>
                      <w:bCs/>
                      <w:color w:val="auto"/>
                      <w:sz w:val="21"/>
                      <w:szCs w:val="21"/>
                    </w:rPr>
                    <w:t>是</w:t>
                  </w:r>
                </w:p>
              </w:tc>
            </w:tr>
            <w:tr w14:paraId="7A86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pct"/>
                  <w:tcBorders>
                    <w:tl2br w:val="nil"/>
                    <w:tr2bl w:val="nil"/>
                  </w:tcBorders>
                  <w:shd w:val="clear" w:color="auto" w:fill="auto"/>
                  <w:vAlign w:val="center"/>
                </w:tcPr>
                <w:p w14:paraId="4403D415">
                  <w:pPr>
                    <w:adjustRightInd w:val="0"/>
                    <w:snapToGrid w:val="0"/>
                    <w:jc w:val="center"/>
                    <w:rPr>
                      <w:rFonts w:cs="宋体"/>
                      <w:b w:val="0"/>
                      <w:bCs/>
                      <w:color w:val="auto"/>
                      <w:sz w:val="21"/>
                      <w:szCs w:val="21"/>
                    </w:rPr>
                  </w:pPr>
                  <w:r>
                    <w:rPr>
                      <w:rFonts w:hint="eastAsia" w:cs="宋体"/>
                      <w:b w:val="0"/>
                      <w:bCs/>
                      <w:color w:val="auto"/>
                      <w:sz w:val="21"/>
                      <w:szCs w:val="21"/>
                    </w:rPr>
                    <w:t>6</w:t>
                  </w:r>
                </w:p>
              </w:tc>
              <w:tc>
                <w:tcPr>
                  <w:tcW w:w="1942" w:type="pct"/>
                  <w:tcBorders>
                    <w:tl2br w:val="nil"/>
                    <w:tr2bl w:val="nil"/>
                  </w:tcBorders>
                  <w:vAlign w:val="center"/>
                </w:tcPr>
                <w:p w14:paraId="39FFCBD2">
                  <w:pPr>
                    <w:widowControl/>
                    <w:jc w:val="center"/>
                    <w:rPr>
                      <w:rFonts w:hint="eastAsia" w:eastAsia="宋体"/>
                      <w:b w:val="0"/>
                      <w:bCs/>
                      <w:color w:val="auto"/>
                      <w:sz w:val="21"/>
                      <w:szCs w:val="21"/>
                      <w:lang w:eastAsia="zh-CN"/>
                    </w:rPr>
                  </w:pPr>
                  <w:r>
                    <w:rPr>
                      <w:rFonts w:hint="eastAsia"/>
                      <w:b w:val="0"/>
                      <w:bCs/>
                      <w:color w:val="auto"/>
                      <w:sz w:val="21"/>
                      <w:szCs w:val="21"/>
                    </w:rPr>
                    <w:t>禁止建设燃煤锅炉，逐步淘汰现有的小燃煤锅炉，减少大气污染物排放</w:t>
                  </w:r>
                  <w:r>
                    <w:rPr>
                      <w:rFonts w:hint="eastAsia"/>
                      <w:b w:val="0"/>
                      <w:bCs/>
                      <w:color w:val="auto"/>
                      <w:sz w:val="21"/>
                      <w:szCs w:val="21"/>
                      <w:lang w:eastAsia="zh-CN"/>
                    </w:rPr>
                    <w:t>。</w:t>
                  </w:r>
                </w:p>
              </w:tc>
              <w:tc>
                <w:tcPr>
                  <w:tcW w:w="2266" w:type="pct"/>
                  <w:tcBorders>
                    <w:tl2br w:val="nil"/>
                    <w:tr2bl w:val="nil"/>
                  </w:tcBorders>
                  <w:vAlign w:val="center"/>
                </w:tcPr>
                <w:p w14:paraId="2FED98AF">
                  <w:pPr>
                    <w:widowControl/>
                    <w:jc w:val="center"/>
                    <w:rPr>
                      <w:rFonts w:hint="eastAsia" w:eastAsia="宋体"/>
                      <w:b w:val="0"/>
                      <w:bCs/>
                      <w:color w:val="auto"/>
                      <w:sz w:val="21"/>
                      <w:szCs w:val="21"/>
                      <w:lang w:eastAsia="zh-CN"/>
                    </w:rPr>
                  </w:pPr>
                  <w:r>
                    <w:rPr>
                      <w:rFonts w:hint="eastAsia"/>
                      <w:b w:val="0"/>
                      <w:bCs/>
                      <w:color w:val="auto"/>
                      <w:sz w:val="21"/>
                      <w:szCs w:val="21"/>
                    </w:rPr>
                    <w:t>本项目不涉及燃煤锅炉使用</w:t>
                  </w:r>
                  <w:r>
                    <w:rPr>
                      <w:rFonts w:hint="eastAsia"/>
                      <w:b w:val="0"/>
                      <w:bCs/>
                      <w:color w:val="auto"/>
                      <w:sz w:val="21"/>
                      <w:szCs w:val="21"/>
                      <w:lang w:eastAsia="zh-CN"/>
                    </w:rPr>
                    <w:t>。</w:t>
                  </w:r>
                </w:p>
              </w:tc>
              <w:tc>
                <w:tcPr>
                  <w:tcW w:w="455" w:type="pct"/>
                  <w:tcBorders>
                    <w:tl2br w:val="nil"/>
                    <w:tr2bl w:val="nil"/>
                  </w:tcBorders>
                  <w:shd w:val="clear" w:color="auto" w:fill="auto"/>
                  <w:vAlign w:val="center"/>
                </w:tcPr>
                <w:p w14:paraId="20D646B6">
                  <w:pPr>
                    <w:adjustRightInd w:val="0"/>
                    <w:snapToGrid w:val="0"/>
                    <w:jc w:val="center"/>
                    <w:rPr>
                      <w:rFonts w:cs="宋体"/>
                      <w:b w:val="0"/>
                      <w:bCs/>
                      <w:color w:val="auto"/>
                      <w:sz w:val="21"/>
                      <w:szCs w:val="21"/>
                    </w:rPr>
                  </w:pPr>
                  <w:r>
                    <w:rPr>
                      <w:rFonts w:hint="eastAsia" w:cs="宋体"/>
                      <w:b w:val="0"/>
                      <w:bCs/>
                      <w:color w:val="auto"/>
                      <w:sz w:val="21"/>
                      <w:szCs w:val="21"/>
                    </w:rPr>
                    <w:t>是</w:t>
                  </w:r>
                </w:p>
              </w:tc>
            </w:tr>
          </w:tbl>
          <w:p w14:paraId="3DEB18B0">
            <w:pPr>
              <w:snapToGrid w:val="0"/>
              <w:spacing w:before="120" w:beforeLines="50" w:line="360" w:lineRule="auto"/>
              <w:ind w:firstLine="480" w:firstLineChars="200"/>
              <w:rPr>
                <w:rFonts w:cs="宋体"/>
                <w:color w:val="auto"/>
                <w:sz w:val="24"/>
              </w:rPr>
            </w:pPr>
            <w:r>
              <w:rPr>
                <w:rFonts w:hint="eastAsia" w:cs="宋体"/>
                <w:color w:val="auto"/>
                <w:sz w:val="24"/>
              </w:rPr>
              <w:t>由上表可知，本项目与《安徽灵璧经济开发区总体发展规划环境影响报告书》及批复（</w:t>
            </w:r>
            <w:r>
              <w:rPr>
                <w:rFonts w:hint="eastAsia" w:ascii="Times New Roman" w:hAnsi="Times New Roman" w:eastAsia="宋体" w:cs="Times New Roman"/>
                <w:color w:val="auto"/>
                <w:kern w:val="0"/>
                <w:sz w:val="24"/>
                <w:szCs w:val="24"/>
                <w:lang w:eastAsia="zh-CN"/>
              </w:rPr>
              <w:t>环评函</w:t>
            </w:r>
            <w:r>
              <w:rPr>
                <w:rFonts w:hint="default" w:ascii="Times New Roman" w:hAnsi="Times New Roman" w:eastAsia="宋体" w:cs="Times New Roman"/>
                <w:color w:val="auto"/>
                <w:sz w:val="24"/>
                <w:szCs w:val="24"/>
                <w:highlight w:val="none"/>
                <w:lang w:val="en-US" w:eastAsia="zh-CN"/>
              </w:rPr>
              <w:t>【201</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kern w:val="0"/>
                <w:sz w:val="24"/>
                <w:szCs w:val="24"/>
                <w:lang w:val="en-US" w:eastAsia="zh-CN"/>
              </w:rPr>
              <w:t>1174号</w:t>
            </w:r>
            <w:r>
              <w:rPr>
                <w:rFonts w:hint="eastAsia" w:cs="宋体"/>
                <w:color w:val="auto"/>
                <w:sz w:val="24"/>
              </w:rPr>
              <w:t>）相符合。</w:t>
            </w:r>
          </w:p>
          <w:p w14:paraId="01081963">
            <w:pPr>
              <w:adjustRightInd w:val="0"/>
              <w:snapToGrid w:val="0"/>
              <w:spacing w:line="360" w:lineRule="auto"/>
              <w:ind w:firstLine="480" w:firstLineChars="200"/>
              <w:rPr>
                <w:color w:val="auto"/>
                <w:sz w:val="24"/>
              </w:rPr>
            </w:pPr>
            <w:r>
              <w:rPr>
                <w:rFonts w:hint="eastAsia" w:cs="宋体"/>
                <w:color w:val="auto"/>
                <w:sz w:val="24"/>
              </w:rPr>
              <w:t>②本项目</w:t>
            </w:r>
            <w:r>
              <w:rPr>
                <w:rFonts w:cs="宋体"/>
                <w:color w:val="auto"/>
                <w:sz w:val="24"/>
              </w:rPr>
              <w:t>与</w:t>
            </w:r>
            <w:r>
              <w:rPr>
                <w:rFonts w:hint="default" w:ascii="Times New Roman" w:hAnsi="Times New Roman" w:eastAsia="宋体" w:cs="Times New Roman"/>
                <w:color w:val="auto"/>
                <w:kern w:val="0"/>
                <w:sz w:val="24"/>
                <w:szCs w:val="24"/>
                <w:lang w:eastAsia="zh-CN"/>
              </w:rPr>
              <w:t>《安徽灵璧经济开发区总体规划环境影响</w:t>
            </w:r>
            <w:r>
              <w:rPr>
                <w:rFonts w:hint="default" w:ascii="Times New Roman" w:hAnsi="Times New Roman" w:cs="Times New Roman"/>
                <w:color w:val="auto"/>
                <w:kern w:val="0"/>
                <w:sz w:val="24"/>
                <w:szCs w:val="24"/>
                <w:lang w:eastAsia="zh-CN"/>
              </w:rPr>
              <w:t>跟踪评价</w:t>
            </w:r>
            <w:r>
              <w:rPr>
                <w:rFonts w:hint="default" w:ascii="Times New Roman" w:hAnsi="Times New Roman" w:eastAsia="宋体" w:cs="Times New Roman"/>
                <w:color w:val="auto"/>
                <w:kern w:val="0"/>
                <w:sz w:val="24"/>
                <w:szCs w:val="24"/>
                <w:lang w:eastAsia="zh-CN"/>
              </w:rPr>
              <w:t>报告书》</w:t>
            </w:r>
            <w:r>
              <w:rPr>
                <w:rFonts w:cs="宋体"/>
                <w:b w:val="0"/>
                <w:bCs/>
                <w:color w:val="auto"/>
                <w:sz w:val="24"/>
              </w:rPr>
              <w:t>及批复</w:t>
            </w:r>
            <w:r>
              <w:rPr>
                <w:color w:val="auto"/>
                <w:sz w:val="24"/>
              </w:rPr>
              <w:t>（</w:t>
            </w:r>
            <w:r>
              <w:rPr>
                <w:rFonts w:hint="default" w:ascii="Times New Roman" w:hAnsi="Times New Roman" w:cs="Times New Roman"/>
                <w:color w:val="auto"/>
                <w:kern w:val="0"/>
                <w:sz w:val="24"/>
                <w:szCs w:val="24"/>
                <w:lang w:eastAsia="zh-CN"/>
              </w:rPr>
              <w:t>宿</w:t>
            </w:r>
            <w:r>
              <w:rPr>
                <w:rFonts w:hint="default" w:ascii="Times New Roman" w:hAnsi="Times New Roman" w:eastAsia="宋体" w:cs="Times New Roman"/>
                <w:color w:val="auto"/>
                <w:kern w:val="0"/>
                <w:sz w:val="24"/>
                <w:szCs w:val="24"/>
                <w:lang w:eastAsia="zh-CN"/>
              </w:rPr>
              <w:t>环函</w:t>
            </w: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kern w:val="0"/>
                <w:sz w:val="24"/>
                <w:szCs w:val="24"/>
                <w:lang w:val="en-US" w:eastAsia="zh-CN"/>
              </w:rPr>
              <w:t>100</w:t>
            </w:r>
            <w:r>
              <w:rPr>
                <w:rFonts w:hint="default" w:ascii="Times New Roman" w:hAnsi="Times New Roman" w:eastAsia="宋体" w:cs="Times New Roman"/>
                <w:color w:val="auto"/>
                <w:kern w:val="0"/>
                <w:sz w:val="24"/>
                <w:szCs w:val="24"/>
                <w:lang w:val="en-US" w:eastAsia="zh-CN"/>
              </w:rPr>
              <w:t>号</w:t>
            </w:r>
            <w:r>
              <w:rPr>
                <w:color w:val="auto"/>
                <w:sz w:val="24"/>
              </w:rPr>
              <w:t>）符合性分析</w:t>
            </w:r>
          </w:p>
          <w:p w14:paraId="4E07F787">
            <w:pPr>
              <w:adjustRightInd w:val="0"/>
              <w:snapToGrid w:val="0"/>
              <w:spacing w:line="360" w:lineRule="auto"/>
              <w:jc w:val="center"/>
              <w:rPr>
                <w:b/>
                <w:color w:val="auto"/>
                <w:sz w:val="24"/>
              </w:rPr>
            </w:pPr>
            <w:r>
              <w:rPr>
                <w:b/>
                <w:color w:val="auto"/>
                <w:sz w:val="24"/>
              </w:rPr>
              <w:t>表1</w:t>
            </w:r>
            <w:r>
              <w:rPr>
                <w:rFonts w:hint="eastAsia"/>
                <w:b/>
                <w:color w:val="auto"/>
                <w:sz w:val="24"/>
                <w:lang w:val="en-US" w:eastAsia="zh-CN"/>
              </w:rPr>
              <w:t>.2</w:t>
            </w:r>
            <w:r>
              <w:rPr>
                <w:b/>
                <w:color w:val="auto"/>
                <w:sz w:val="24"/>
              </w:rPr>
              <w:t xml:space="preserve">  </w:t>
            </w:r>
            <w:r>
              <w:rPr>
                <w:rFonts w:hint="eastAsia"/>
                <w:b/>
                <w:color w:val="auto"/>
                <w:sz w:val="24"/>
              </w:rPr>
              <w:t>与</w:t>
            </w:r>
            <w:r>
              <w:rPr>
                <w:b/>
                <w:color w:val="auto"/>
                <w:sz w:val="24"/>
              </w:rPr>
              <w:t>安徽灵璧经济开发区总体规划环境影响</w:t>
            </w:r>
            <w:r>
              <w:rPr>
                <w:rFonts w:hint="eastAsia"/>
                <w:b/>
                <w:color w:val="auto"/>
                <w:sz w:val="24"/>
              </w:rPr>
              <w:t>跟踪评价及</w:t>
            </w:r>
            <w:r>
              <w:rPr>
                <w:b/>
                <w:color w:val="auto"/>
                <w:sz w:val="24"/>
              </w:rPr>
              <w:t>批复的符合性</w:t>
            </w:r>
            <w:r>
              <w:rPr>
                <w:rFonts w:hint="eastAsia"/>
                <w:b/>
                <w:color w:val="auto"/>
                <w:sz w:val="24"/>
              </w:rPr>
              <w:t>分析</w:t>
            </w:r>
            <w:r>
              <w:rPr>
                <w:b/>
                <w:color w:val="auto"/>
                <w:sz w:val="24"/>
              </w:rPr>
              <w:t>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3435"/>
              <w:gridCol w:w="2816"/>
              <w:gridCol w:w="729"/>
            </w:tblGrid>
            <w:tr w14:paraId="54BA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6" w:type="pct"/>
                  <w:tcBorders>
                    <w:tl2br w:val="nil"/>
                    <w:tr2bl w:val="nil"/>
                  </w:tcBorders>
                  <w:vAlign w:val="center"/>
                </w:tcPr>
                <w:p w14:paraId="48127415">
                  <w:pPr>
                    <w:adjustRightInd w:val="0"/>
                    <w:snapToGrid w:val="0"/>
                    <w:jc w:val="center"/>
                    <w:rPr>
                      <w:b w:val="0"/>
                      <w:bCs w:val="0"/>
                      <w:color w:val="auto"/>
                      <w:sz w:val="21"/>
                      <w:szCs w:val="21"/>
                    </w:rPr>
                  </w:pPr>
                  <w:r>
                    <w:rPr>
                      <w:b w:val="0"/>
                      <w:bCs w:val="0"/>
                      <w:color w:val="auto"/>
                      <w:sz w:val="21"/>
                      <w:szCs w:val="21"/>
                    </w:rPr>
                    <w:t>序号</w:t>
                  </w:r>
                </w:p>
              </w:tc>
              <w:tc>
                <w:tcPr>
                  <w:tcW w:w="2289" w:type="pct"/>
                  <w:tcBorders>
                    <w:tl2br w:val="nil"/>
                    <w:tr2bl w:val="nil"/>
                  </w:tcBorders>
                  <w:vAlign w:val="center"/>
                </w:tcPr>
                <w:p w14:paraId="2B8FCC64">
                  <w:pPr>
                    <w:adjustRightInd w:val="0"/>
                    <w:snapToGrid w:val="0"/>
                    <w:jc w:val="center"/>
                    <w:rPr>
                      <w:b w:val="0"/>
                      <w:bCs w:val="0"/>
                      <w:color w:val="auto"/>
                      <w:sz w:val="21"/>
                      <w:szCs w:val="21"/>
                    </w:rPr>
                  </w:pPr>
                  <w:r>
                    <w:rPr>
                      <w:b w:val="0"/>
                      <w:bCs w:val="0"/>
                      <w:color w:val="auto"/>
                      <w:sz w:val="21"/>
                      <w:szCs w:val="21"/>
                    </w:rPr>
                    <w:t>内容</w:t>
                  </w:r>
                </w:p>
              </w:tc>
              <w:tc>
                <w:tcPr>
                  <w:tcW w:w="1876" w:type="pct"/>
                  <w:tcBorders>
                    <w:tl2br w:val="nil"/>
                    <w:tr2bl w:val="nil"/>
                  </w:tcBorders>
                  <w:vAlign w:val="center"/>
                </w:tcPr>
                <w:p w14:paraId="38274DDB">
                  <w:pPr>
                    <w:adjustRightInd w:val="0"/>
                    <w:snapToGrid w:val="0"/>
                    <w:jc w:val="center"/>
                    <w:rPr>
                      <w:b w:val="0"/>
                      <w:bCs w:val="0"/>
                      <w:color w:val="auto"/>
                      <w:sz w:val="21"/>
                      <w:szCs w:val="21"/>
                    </w:rPr>
                  </w:pPr>
                  <w:r>
                    <w:rPr>
                      <w:rFonts w:hint="eastAsia"/>
                      <w:b w:val="0"/>
                      <w:bCs w:val="0"/>
                      <w:color w:val="auto"/>
                      <w:sz w:val="21"/>
                      <w:szCs w:val="21"/>
                    </w:rPr>
                    <w:t>本项目情况</w:t>
                  </w:r>
                </w:p>
              </w:tc>
              <w:tc>
                <w:tcPr>
                  <w:tcW w:w="486" w:type="pct"/>
                  <w:tcBorders>
                    <w:tl2br w:val="nil"/>
                    <w:tr2bl w:val="nil"/>
                  </w:tcBorders>
                  <w:vAlign w:val="center"/>
                </w:tcPr>
                <w:p w14:paraId="3519AF6C">
                  <w:pPr>
                    <w:adjustRightInd w:val="0"/>
                    <w:snapToGrid w:val="0"/>
                    <w:jc w:val="center"/>
                    <w:rPr>
                      <w:b w:val="0"/>
                      <w:bCs w:val="0"/>
                      <w:color w:val="auto"/>
                      <w:sz w:val="21"/>
                      <w:szCs w:val="21"/>
                    </w:rPr>
                  </w:pPr>
                  <w:r>
                    <w:rPr>
                      <w:rFonts w:hint="eastAsia"/>
                      <w:b w:val="0"/>
                      <w:bCs w:val="0"/>
                      <w:color w:val="auto"/>
                      <w:sz w:val="21"/>
                      <w:szCs w:val="21"/>
                    </w:rPr>
                    <w:t>是否</w:t>
                  </w:r>
                  <w:r>
                    <w:rPr>
                      <w:b w:val="0"/>
                      <w:bCs w:val="0"/>
                      <w:color w:val="auto"/>
                      <w:sz w:val="21"/>
                      <w:szCs w:val="21"/>
                    </w:rPr>
                    <w:t>符合</w:t>
                  </w:r>
                </w:p>
              </w:tc>
            </w:tr>
            <w:tr w14:paraId="1FFB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6" w:type="pct"/>
                  <w:tcBorders>
                    <w:tl2br w:val="nil"/>
                    <w:tr2bl w:val="nil"/>
                  </w:tcBorders>
                  <w:vAlign w:val="center"/>
                </w:tcPr>
                <w:p w14:paraId="3758CCB7">
                  <w:pPr>
                    <w:adjustRightInd w:val="0"/>
                    <w:snapToGrid w:val="0"/>
                    <w:jc w:val="center"/>
                    <w:rPr>
                      <w:b w:val="0"/>
                      <w:bCs w:val="0"/>
                      <w:color w:val="auto"/>
                      <w:sz w:val="21"/>
                      <w:szCs w:val="21"/>
                    </w:rPr>
                  </w:pPr>
                  <w:r>
                    <w:rPr>
                      <w:b w:val="0"/>
                      <w:bCs w:val="0"/>
                      <w:color w:val="auto"/>
                      <w:sz w:val="21"/>
                      <w:szCs w:val="21"/>
                    </w:rPr>
                    <w:t>1</w:t>
                  </w:r>
                </w:p>
              </w:tc>
              <w:tc>
                <w:tcPr>
                  <w:tcW w:w="2289" w:type="pct"/>
                  <w:tcBorders>
                    <w:tl2br w:val="nil"/>
                    <w:tr2bl w:val="nil"/>
                  </w:tcBorders>
                  <w:vAlign w:val="center"/>
                </w:tcPr>
                <w:p w14:paraId="46207F7E">
                  <w:pPr>
                    <w:widowControl/>
                    <w:adjustRightInd w:val="0"/>
                    <w:snapToGrid w:val="0"/>
                    <w:jc w:val="center"/>
                    <w:rPr>
                      <w:b w:val="0"/>
                      <w:bCs w:val="0"/>
                      <w:color w:val="auto"/>
                      <w:sz w:val="21"/>
                      <w:szCs w:val="21"/>
                    </w:rPr>
                  </w:pPr>
                  <w:r>
                    <w:rPr>
                      <w:rFonts w:hint="eastAsia"/>
                      <w:b w:val="0"/>
                      <w:bCs w:val="0"/>
                      <w:color w:val="auto"/>
                      <w:sz w:val="21"/>
                      <w:szCs w:val="21"/>
                    </w:rPr>
                    <w:t>严格项目行业准入和资源环境准入。禁止负面清单中行业企业入驻；新入区项目应按照规划功能布局入驻。</w:t>
                  </w:r>
                </w:p>
              </w:tc>
              <w:tc>
                <w:tcPr>
                  <w:tcW w:w="1876" w:type="pct"/>
                  <w:tcBorders>
                    <w:tl2br w:val="nil"/>
                    <w:tr2bl w:val="nil"/>
                  </w:tcBorders>
                  <w:vAlign w:val="center"/>
                </w:tcPr>
                <w:p w14:paraId="7CE0B94D">
                  <w:pPr>
                    <w:widowControl/>
                    <w:adjustRightInd w:val="0"/>
                    <w:snapToGrid w:val="0"/>
                    <w:jc w:val="center"/>
                    <w:rPr>
                      <w:b w:val="0"/>
                      <w:bCs w:val="0"/>
                      <w:color w:val="auto"/>
                      <w:sz w:val="21"/>
                      <w:szCs w:val="21"/>
                    </w:rPr>
                  </w:pPr>
                  <w:r>
                    <w:rPr>
                      <w:b w:val="0"/>
                      <w:bCs w:val="0"/>
                      <w:color w:val="auto"/>
                      <w:sz w:val="21"/>
                      <w:szCs w:val="21"/>
                    </w:rPr>
                    <w:t>本项目</w:t>
                  </w:r>
                  <w:r>
                    <w:rPr>
                      <w:rFonts w:hint="eastAsia"/>
                      <w:b w:val="0"/>
                      <w:bCs w:val="0"/>
                      <w:color w:val="auto"/>
                      <w:sz w:val="21"/>
                      <w:szCs w:val="21"/>
                      <w:lang w:val="en-US" w:eastAsia="zh-CN"/>
                    </w:rPr>
                    <w:t>为精密轴承制造</w:t>
                  </w:r>
                  <w:r>
                    <w:rPr>
                      <w:b w:val="0"/>
                      <w:bCs w:val="0"/>
                      <w:color w:val="auto"/>
                      <w:sz w:val="21"/>
                      <w:szCs w:val="21"/>
                    </w:rPr>
                    <w:t>，</w:t>
                  </w:r>
                  <w:r>
                    <w:rPr>
                      <w:rFonts w:hint="eastAsia"/>
                      <w:b w:val="0"/>
                      <w:bCs w:val="0"/>
                      <w:color w:val="auto"/>
                      <w:sz w:val="21"/>
                      <w:szCs w:val="21"/>
                    </w:rPr>
                    <w:t>不属于负面清单中行业企业，本项目入驻</w:t>
                  </w:r>
                  <w:r>
                    <w:rPr>
                      <w:rFonts w:hint="eastAsia"/>
                      <w:b w:val="0"/>
                      <w:bCs w:val="0"/>
                      <w:color w:val="auto"/>
                      <w:sz w:val="21"/>
                      <w:szCs w:val="21"/>
                      <w:lang w:eastAsia="zh-CN"/>
                    </w:rPr>
                    <w:t>安徽省宿州市灵璧县经济开发区轴承产业园</w:t>
                  </w:r>
                  <w:r>
                    <w:rPr>
                      <w:rFonts w:hint="eastAsia"/>
                      <w:b w:val="0"/>
                      <w:bCs w:val="0"/>
                      <w:color w:val="auto"/>
                      <w:sz w:val="21"/>
                      <w:szCs w:val="21"/>
                    </w:rPr>
                    <w:t>，</w:t>
                  </w:r>
                  <w:r>
                    <w:rPr>
                      <w:b w:val="0"/>
                      <w:bCs w:val="0"/>
                      <w:color w:val="auto"/>
                      <w:sz w:val="21"/>
                      <w:szCs w:val="21"/>
                    </w:rPr>
                    <w:t>与工业园区规划功能相符</w:t>
                  </w:r>
                  <w:r>
                    <w:rPr>
                      <w:rFonts w:hint="eastAsia"/>
                      <w:b w:val="0"/>
                      <w:bCs w:val="0"/>
                      <w:color w:val="auto"/>
                      <w:sz w:val="21"/>
                      <w:szCs w:val="21"/>
                    </w:rPr>
                    <w:t>。</w:t>
                  </w:r>
                </w:p>
              </w:tc>
              <w:tc>
                <w:tcPr>
                  <w:tcW w:w="486" w:type="pct"/>
                  <w:tcBorders>
                    <w:tl2br w:val="nil"/>
                    <w:tr2bl w:val="nil"/>
                  </w:tcBorders>
                  <w:vAlign w:val="center"/>
                </w:tcPr>
                <w:p w14:paraId="42F9630E">
                  <w:pPr>
                    <w:widowControl/>
                    <w:adjustRightInd w:val="0"/>
                    <w:snapToGrid w:val="0"/>
                    <w:jc w:val="center"/>
                    <w:rPr>
                      <w:b w:val="0"/>
                      <w:bCs w:val="0"/>
                      <w:color w:val="auto"/>
                      <w:sz w:val="21"/>
                      <w:szCs w:val="21"/>
                    </w:rPr>
                  </w:pPr>
                  <w:r>
                    <w:rPr>
                      <w:rFonts w:hint="eastAsia"/>
                      <w:b w:val="0"/>
                      <w:bCs w:val="0"/>
                      <w:color w:val="auto"/>
                      <w:sz w:val="21"/>
                      <w:szCs w:val="21"/>
                    </w:rPr>
                    <w:t>是</w:t>
                  </w:r>
                </w:p>
              </w:tc>
            </w:tr>
            <w:tr w14:paraId="5452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46" w:type="pct"/>
                  <w:tcBorders>
                    <w:tl2br w:val="nil"/>
                    <w:tr2bl w:val="nil"/>
                  </w:tcBorders>
                  <w:vAlign w:val="center"/>
                </w:tcPr>
                <w:p w14:paraId="75FABE12">
                  <w:pPr>
                    <w:adjustRightInd w:val="0"/>
                    <w:snapToGrid w:val="0"/>
                    <w:jc w:val="center"/>
                    <w:rPr>
                      <w:b w:val="0"/>
                      <w:bCs w:val="0"/>
                      <w:color w:val="auto"/>
                      <w:sz w:val="21"/>
                      <w:szCs w:val="21"/>
                    </w:rPr>
                  </w:pPr>
                  <w:r>
                    <w:rPr>
                      <w:b w:val="0"/>
                      <w:bCs w:val="0"/>
                      <w:color w:val="auto"/>
                      <w:sz w:val="21"/>
                      <w:szCs w:val="21"/>
                    </w:rPr>
                    <w:t>2</w:t>
                  </w:r>
                </w:p>
              </w:tc>
              <w:tc>
                <w:tcPr>
                  <w:tcW w:w="2289" w:type="pct"/>
                  <w:tcBorders>
                    <w:tl2br w:val="nil"/>
                    <w:tr2bl w:val="nil"/>
                  </w:tcBorders>
                  <w:vAlign w:val="center"/>
                </w:tcPr>
                <w:p w14:paraId="2BD8FD9D">
                  <w:pPr>
                    <w:widowControl/>
                    <w:adjustRightInd w:val="0"/>
                    <w:snapToGrid w:val="0"/>
                    <w:jc w:val="center"/>
                    <w:rPr>
                      <w:b w:val="0"/>
                      <w:bCs w:val="0"/>
                      <w:color w:val="auto"/>
                      <w:sz w:val="21"/>
                      <w:szCs w:val="21"/>
                    </w:rPr>
                  </w:pPr>
                  <w:r>
                    <w:rPr>
                      <w:rFonts w:hint="eastAsia"/>
                      <w:b w:val="0"/>
                      <w:bCs w:val="0"/>
                      <w:color w:val="auto"/>
                      <w:sz w:val="21"/>
                      <w:szCs w:val="21"/>
                    </w:rPr>
                    <w:t>强化水资源管理，积极推进企业内、企业间水资源梯级利用和企业用水总量控制，切实提高水资源利用率。严禁建设国家明令禁止的项目，严格控制高耗水、高耗能、污水排放量大的项目建设；已建和拟入区建设项目应严格执行水环境保护相关标准和要求。开发区内企业不得自行开采地下水用于工业生产。</w:t>
                  </w:r>
                </w:p>
              </w:tc>
              <w:tc>
                <w:tcPr>
                  <w:tcW w:w="1876" w:type="pct"/>
                  <w:tcBorders>
                    <w:tl2br w:val="nil"/>
                    <w:tr2bl w:val="nil"/>
                  </w:tcBorders>
                  <w:vAlign w:val="center"/>
                </w:tcPr>
                <w:p w14:paraId="16A1BE7E">
                  <w:pPr>
                    <w:widowControl/>
                    <w:adjustRightInd w:val="0"/>
                    <w:snapToGrid w:val="0"/>
                    <w:jc w:val="center"/>
                    <w:rPr>
                      <w:b w:val="0"/>
                      <w:bCs w:val="0"/>
                      <w:color w:val="auto"/>
                      <w:sz w:val="21"/>
                      <w:szCs w:val="21"/>
                    </w:rPr>
                  </w:pPr>
                  <w:r>
                    <w:rPr>
                      <w:b w:val="0"/>
                      <w:bCs w:val="0"/>
                      <w:color w:val="auto"/>
                      <w:sz w:val="21"/>
                      <w:szCs w:val="21"/>
                    </w:rPr>
                    <w:t>本项目</w:t>
                  </w:r>
                  <w:r>
                    <w:rPr>
                      <w:rFonts w:hint="eastAsia"/>
                      <w:b w:val="0"/>
                      <w:bCs w:val="0"/>
                      <w:color w:val="auto"/>
                      <w:sz w:val="21"/>
                      <w:szCs w:val="21"/>
                      <w:lang w:eastAsia="zh-CN"/>
                    </w:rPr>
                    <w:t>为</w:t>
                  </w:r>
                  <w:r>
                    <w:rPr>
                      <w:rFonts w:hint="eastAsia"/>
                      <w:b w:val="0"/>
                      <w:bCs w:val="0"/>
                      <w:color w:val="auto"/>
                      <w:sz w:val="21"/>
                      <w:szCs w:val="21"/>
                      <w:lang w:val="en-US" w:eastAsia="zh-CN"/>
                    </w:rPr>
                    <w:t>精密轴承制造</w:t>
                  </w:r>
                  <w:r>
                    <w:rPr>
                      <w:b w:val="0"/>
                      <w:bCs w:val="0"/>
                      <w:color w:val="auto"/>
                      <w:sz w:val="21"/>
                      <w:szCs w:val="21"/>
                    </w:rPr>
                    <w:t>，不属于其限制类与淘汰类，为允许类</w:t>
                  </w:r>
                  <w:r>
                    <w:rPr>
                      <w:rFonts w:hint="eastAsia"/>
                      <w:b w:val="0"/>
                      <w:bCs w:val="0"/>
                      <w:color w:val="auto"/>
                      <w:sz w:val="21"/>
                      <w:szCs w:val="21"/>
                    </w:rPr>
                    <w:t>，项目用水为生活用水</w:t>
                  </w:r>
                  <w:r>
                    <w:rPr>
                      <w:rFonts w:hint="eastAsia"/>
                      <w:b w:val="0"/>
                      <w:bCs w:val="0"/>
                      <w:color w:val="auto"/>
                      <w:sz w:val="21"/>
                      <w:szCs w:val="21"/>
                      <w:lang w:eastAsia="zh-CN"/>
                    </w:rPr>
                    <w:t>和生产用水</w:t>
                  </w:r>
                  <w:r>
                    <w:rPr>
                      <w:rFonts w:hint="eastAsia"/>
                      <w:b w:val="0"/>
                      <w:bCs w:val="0"/>
                      <w:color w:val="auto"/>
                      <w:sz w:val="21"/>
                      <w:szCs w:val="21"/>
                    </w:rPr>
                    <w:t>，用电为生产设备用电及办公用电，不属于</w:t>
                  </w:r>
                  <w:r>
                    <w:rPr>
                      <w:b w:val="0"/>
                      <w:bCs w:val="0"/>
                      <w:color w:val="auto"/>
                      <w:sz w:val="21"/>
                      <w:szCs w:val="21"/>
                    </w:rPr>
                    <w:t>高耗水、高耗能、污水排放量大的项目</w:t>
                  </w:r>
                  <w:r>
                    <w:rPr>
                      <w:rFonts w:hint="eastAsia"/>
                      <w:b w:val="0"/>
                      <w:bCs w:val="0"/>
                      <w:color w:val="auto"/>
                      <w:sz w:val="21"/>
                      <w:szCs w:val="21"/>
                    </w:rPr>
                    <w:t>，项目用水来来自</w:t>
                  </w:r>
                  <w:r>
                    <w:rPr>
                      <w:b w:val="0"/>
                      <w:bCs w:val="0"/>
                      <w:color w:val="auto"/>
                      <w:sz w:val="21"/>
                      <w:szCs w:val="21"/>
                    </w:rPr>
                    <w:t>供水管网</w:t>
                  </w:r>
                  <w:r>
                    <w:rPr>
                      <w:rFonts w:hint="eastAsia"/>
                      <w:b w:val="0"/>
                      <w:bCs w:val="0"/>
                      <w:color w:val="auto"/>
                      <w:sz w:val="21"/>
                      <w:szCs w:val="21"/>
                    </w:rPr>
                    <w:t>，不使用地下水。</w:t>
                  </w:r>
                </w:p>
              </w:tc>
              <w:tc>
                <w:tcPr>
                  <w:tcW w:w="486" w:type="pct"/>
                  <w:tcBorders>
                    <w:tl2br w:val="nil"/>
                    <w:tr2bl w:val="nil"/>
                  </w:tcBorders>
                  <w:vAlign w:val="center"/>
                </w:tcPr>
                <w:p w14:paraId="456C7B0E">
                  <w:pPr>
                    <w:widowControl/>
                    <w:adjustRightInd w:val="0"/>
                    <w:snapToGrid w:val="0"/>
                    <w:jc w:val="center"/>
                    <w:rPr>
                      <w:b w:val="0"/>
                      <w:bCs w:val="0"/>
                      <w:color w:val="auto"/>
                      <w:sz w:val="21"/>
                      <w:szCs w:val="21"/>
                    </w:rPr>
                  </w:pPr>
                  <w:r>
                    <w:rPr>
                      <w:rFonts w:hint="eastAsia"/>
                      <w:b w:val="0"/>
                      <w:bCs w:val="0"/>
                      <w:color w:val="auto"/>
                      <w:sz w:val="21"/>
                      <w:szCs w:val="21"/>
                    </w:rPr>
                    <w:t>是</w:t>
                  </w:r>
                </w:p>
              </w:tc>
            </w:tr>
          </w:tbl>
          <w:p w14:paraId="0DDE6289">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color w:val="auto"/>
                <w:sz w:val="24"/>
              </w:rPr>
            </w:pPr>
            <w:r>
              <w:rPr>
                <w:rFonts w:hint="eastAsia"/>
                <w:color w:val="auto"/>
                <w:sz w:val="24"/>
              </w:rPr>
              <w:t>由上表</w:t>
            </w:r>
            <w:r>
              <w:rPr>
                <w:color w:val="auto"/>
                <w:sz w:val="24"/>
              </w:rPr>
              <w:t>可知，本项目</w:t>
            </w:r>
            <w:r>
              <w:rPr>
                <w:rFonts w:hint="eastAsia"/>
                <w:color w:val="auto"/>
                <w:sz w:val="24"/>
                <w:lang w:eastAsia="zh-CN"/>
              </w:rPr>
              <w:t>与</w:t>
            </w:r>
            <w:r>
              <w:rPr>
                <w:rFonts w:hint="default" w:ascii="Times New Roman" w:hAnsi="Times New Roman" w:eastAsia="宋体" w:cs="Times New Roman"/>
                <w:color w:val="auto"/>
                <w:kern w:val="0"/>
                <w:sz w:val="24"/>
                <w:szCs w:val="24"/>
                <w:lang w:eastAsia="zh-CN"/>
              </w:rPr>
              <w:t>《安徽灵璧经济开发区总体规划环境影响</w:t>
            </w:r>
            <w:r>
              <w:rPr>
                <w:rFonts w:hint="default" w:ascii="Times New Roman" w:hAnsi="Times New Roman" w:cs="Times New Roman"/>
                <w:color w:val="auto"/>
                <w:kern w:val="0"/>
                <w:sz w:val="24"/>
                <w:szCs w:val="24"/>
                <w:lang w:eastAsia="zh-CN"/>
              </w:rPr>
              <w:t>跟踪评价</w:t>
            </w:r>
            <w:r>
              <w:rPr>
                <w:rFonts w:hint="default" w:ascii="Times New Roman" w:hAnsi="Times New Roman" w:eastAsia="宋体" w:cs="Times New Roman"/>
                <w:color w:val="auto"/>
                <w:kern w:val="0"/>
                <w:sz w:val="24"/>
                <w:szCs w:val="24"/>
                <w:lang w:eastAsia="zh-CN"/>
              </w:rPr>
              <w:t>报告书》</w:t>
            </w:r>
            <w:r>
              <w:rPr>
                <w:rFonts w:cs="宋体"/>
                <w:b w:val="0"/>
                <w:bCs/>
                <w:color w:val="auto"/>
                <w:sz w:val="24"/>
              </w:rPr>
              <w:t>及批复</w:t>
            </w:r>
            <w:r>
              <w:rPr>
                <w:color w:val="auto"/>
                <w:sz w:val="24"/>
              </w:rPr>
              <w:t>（</w:t>
            </w:r>
            <w:r>
              <w:rPr>
                <w:rFonts w:hint="default" w:ascii="Times New Roman" w:hAnsi="Times New Roman" w:cs="Times New Roman"/>
                <w:color w:val="auto"/>
                <w:kern w:val="0"/>
                <w:sz w:val="24"/>
                <w:szCs w:val="24"/>
                <w:lang w:eastAsia="zh-CN"/>
              </w:rPr>
              <w:t>宿</w:t>
            </w:r>
            <w:r>
              <w:rPr>
                <w:rFonts w:hint="default" w:ascii="Times New Roman" w:hAnsi="Times New Roman" w:eastAsia="宋体" w:cs="Times New Roman"/>
                <w:color w:val="auto"/>
                <w:kern w:val="0"/>
                <w:sz w:val="24"/>
                <w:szCs w:val="24"/>
                <w:lang w:eastAsia="zh-CN"/>
              </w:rPr>
              <w:t>环函</w:t>
            </w: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kern w:val="0"/>
                <w:sz w:val="24"/>
                <w:szCs w:val="24"/>
                <w:lang w:val="en-US" w:eastAsia="zh-CN"/>
              </w:rPr>
              <w:t>100</w:t>
            </w:r>
            <w:r>
              <w:rPr>
                <w:rFonts w:hint="default" w:ascii="Times New Roman" w:hAnsi="Times New Roman" w:eastAsia="宋体" w:cs="Times New Roman"/>
                <w:color w:val="auto"/>
                <w:kern w:val="0"/>
                <w:sz w:val="24"/>
                <w:szCs w:val="24"/>
                <w:lang w:val="en-US" w:eastAsia="zh-CN"/>
              </w:rPr>
              <w:t>号</w:t>
            </w:r>
            <w:r>
              <w:rPr>
                <w:color w:val="auto"/>
                <w:sz w:val="24"/>
              </w:rPr>
              <w:t>）</w:t>
            </w:r>
            <w:r>
              <w:rPr>
                <w:rFonts w:hint="eastAsia"/>
                <w:color w:val="auto"/>
                <w:sz w:val="24"/>
              </w:rPr>
              <w:t>相符合</w:t>
            </w:r>
            <w:r>
              <w:rPr>
                <w:color w:val="auto"/>
                <w:sz w:val="24"/>
              </w:rPr>
              <w:t>。</w:t>
            </w:r>
          </w:p>
          <w:p w14:paraId="46E31F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kern w:val="0"/>
                <w:sz w:val="24"/>
                <w:szCs w:val="24"/>
                <w:highlight w:val="none"/>
              </w:rPr>
            </w:pPr>
            <w:r>
              <w:rPr>
                <w:rFonts w:hint="eastAsia" w:cs="宋体"/>
                <w:color w:val="auto"/>
                <w:sz w:val="24"/>
              </w:rPr>
              <w:t>综上所述，本项目符合规划环评，选址合理。</w:t>
            </w:r>
          </w:p>
        </w:tc>
      </w:tr>
      <w:tr w14:paraId="5A7B9F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03" w:type="dxa"/>
            <w:tcBorders>
              <w:tl2br w:val="nil"/>
              <w:tr2bl w:val="nil"/>
            </w:tcBorders>
            <w:noWrap w:val="0"/>
            <w:vAlign w:val="center"/>
          </w:tcPr>
          <w:p w14:paraId="162F70D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其他符合性分析</w:t>
            </w:r>
          </w:p>
        </w:tc>
        <w:tc>
          <w:tcPr>
            <w:tcW w:w="8267" w:type="dxa"/>
            <w:gridSpan w:val="4"/>
            <w:tcBorders>
              <w:tl2br w:val="nil"/>
              <w:tr2bl w:val="nil"/>
            </w:tcBorders>
            <w:noWrap w:val="0"/>
            <w:vAlign w:val="center"/>
          </w:tcPr>
          <w:p w14:paraId="6291E6BF">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left"/>
              <w:textAlignment w:val="auto"/>
              <w:rPr>
                <w:rFonts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1、分区管控与“三线一单”相符性分析</w:t>
            </w:r>
          </w:p>
          <w:p w14:paraId="0EC6669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安徽省人民政府于2020年7月13日发布了《安徽省人民政府关于加快实施</w:t>
            </w:r>
            <w:r>
              <w:rPr>
                <w:rFonts w:hint="eastAsia" w:ascii="宋体" w:hAnsi="宋体" w:eastAsia="宋体" w:cs="宋体"/>
                <w:color w:val="auto"/>
                <w:kern w:val="2"/>
                <w:sz w:val="24"/>
                <w:szCs w:val="24"/>
                <w:highlight w:val="none"/>
                <w:lang w:val="en-US" w:eastAsia="zh-CN" w:bidi="ar-SA"/>
              </w:rPr>
              <w:t>“三线一单”生态</w:t>
            </w:r>
            <w:r>
              <w:rPr>
                <w:rFonts w:hint="default" w:ascii="Times New Roman" w:hAnsi="Times New Roman" w:eastAsia="宋体" w:cs="Times New Roman"/>
                <w:color w:val="auto"/>
                <w:kern w:val="2"/>
                <w:sz w:val="24"/>
                <w:szCs w:val="24"/>
                <w:highlight w:val="none"/>
                <w:lang w:val="en-US" w:eastAsia="zh-CN" w:bidi="ar-SA"/>
              </w:rPr>
              <w:t>环境分区管控的通知》，安徽省生态环境厅皖环发〔2022〕5号发布了《安徽省生态环境厅关于印发安徽</w:t>
            </w:r>
            <w:r>
              <w:rPr>
                <w:rFonts w:hint="eastAsia" w:ascii="宋体" w:hAnsi="宋体" w:eastAsia="宋体" w:cs="宋体"/>
                <w:color w:val="auto"/>
                <w:kern w:val="2"/>
                <w:sz w:val="24"/>
                <w:szCs w:val="24"/>
                <w:highlight w:val="none"/>
                <w:lang w:val="en-US" w:eastAsia="zh-CN" w:bidi="ar-SA"/>
              </w:rPr>
              <w:t>省“三线一单”生态</w:t>
            </w:r>
            <w:r>
              <w:rPr>
                <w:rFonts w:hint="default" w:ascii="Times New Roman" w:hAnsi="Times New Roman" w:eastAsia="宋体" w:cs="Times New Roman"/>
                <w:color w:val="auto"/>
                <w:kern w:val="2"/>
                <w:sz w:val="24"/>
                <w:szCs w:val="24"/>
                <w:highlight w:val="none"/>
                <w:lang w:val="en-US" w:eastAsia="zh-CN" w:bidi="ar-SA"/>
              </w:rPr>
              <w:t>环境分区管控管理办法（暂行）的通知》，明确为贯彻落实《中共中央国务院关于全面加强生态环境保护坚决打好污染防治攻坚战的意见》（中发【2018】17号），就落实生态保护红线、环境质量底线、资源利用上线和生态环境准入清单（统称</w:t>
            </w:r>
            <w:r>
              <w:rPr>
                <w:rFonts w:hint="eastAsia" w:ascii="宋体" w:hAnsi="宋体" w:eastAsia="宋体" w:cs="宋体"/>
                <w:color w:val="auto"/>
                <w:kern w:val="2"/>
                <w:sz w:val="24"/>
                <w:szCs w:val="24"/>
                <w:highlight w:val="none"/>
                <w:lang w:val="en-US" w:eastAsia="zh-CN" w:bidi="ar-SA"/>
              </w:rPr>
              <w:t>“三线一单”）</w:t>
            </w:r>
            <w:r>
              <w:rPr>
                <w:rFonts w:hint="default" w:ascii="Times New Roman" w:hAnsi="Times New Roman" w:eastAsia="宋体" w:cs="Times New Roman"/>
                <w:color w:val="auto"/>
                <w:kern w:val="2"/>
                <w:sz w:val="24"/>
                <w:szCs w:val="24"/>
                <w:highlight w:val="none"/>
                <w:lang w:val="en-US" w:eastAsia="zh-CN" w:bidi="ar-SA"/>
              </w:rPr>
              <w:t>，实施生态环境分区管控。</w:t>
            </w:r>
          </w:p>
          <w:p w14:paraId="639A0A38">
            <w:pPr>
              <w:widowControl w:val="0"/>
              <w:autoSpaceDE w:val="0"/>
              <w:autoSpaceDN w:val="0"/>
              <w:adjustRightInd w:val="0"/>
              <w:snapToGrid/>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（1）生</w:t>
            </w:r>
            <w:r>
              <w:rPr>
                <w:rFonts w:ascii="Times New Roman" w:hAnsi="Times New Roman" w:eastAsia="宋体" w:cs="Times New Roman"/>
                <w:color w:val="auto"/>
                <w:kern w:val="2"/>
                <w:sz w:val="24"/>
                <w:szCs w:val="24"/>
                <w:highlight w:val="none"/>
                <w:lang w:val="en-US" w:eastAsia="zh-CN" w:bidi="ar-SA"/>
              </w:rPr>
              <w:t>态保护红线及生态分区管控</w:t>
            </w:r>
          </w:p>
          <w:p w14:paraId="5944ABC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 w:cs="宋?"/>
                <w:color w:val="auto"/>
                <w:kern w:val="2"/>
                <w:sz w:val="24"/>
                <w:szCs w:val="24"/>
                <w:highlight w:val="none"/>
                <w:lang w:val="en-US" w:eastAsia="zh-CN" w:bidi="ar-SA"/>
              </w:rPr>
              <w:t>本项目位于</w:t>
            </w:r>
            <w:r>
              <w:rPr>
                <w:rFonts w:hint="default" w:ascii="Times New Roman" w:hAnsi="Times New Roman" w:eastAsia="宋体" w:cs="Times New Roman"/>
                <w:b w:val="0"/>
                <w:bCs/>
                <w:color w:val="auto"/>
                <w:sz w:val="24"/>
                <w:szCs w:val="24"/>
                <w:highlight w:val="none"/>
                <w:lang w:val="en-US" w:eastAsia="zh-CN"/>
              </w:rPr>
              <w:t>安徽省宿州</w:t>
            </w:r>
            <w:r>
              <w:rPr>
                <w:rFonts w:hint="eastAsia" w:eastAsia="宋体" w:cs="Times New Roman"/>
                <w:color w:val="auto"/>
                <w:sz w:val="24"/>
                <w:szCs w:val="24"/>
                <w:highlight w:val="none"/>
                <w:lang w:val="en-US" w:eastAsia="zh-CN"/>
              </w:rPr>
              <w:t>灵璧县北部经济开发区轴承产业基地AB区北侧重点区域</w:t>
            </w:r>
            <w:r>
              <w:rPr>
                <w:rFonts w:hint="eastAsia" w:cs="Times New Roman"/>
                <w:b w:val="0"/>
                <w:bCs/>
                <w:color w:val="auto"/>
                <w:sz w:val="24"/>
                <w:szCs w:val="24"/>
                <w:highlight w:val="none"/>
                <w:lang w:val="en-US" w:eastAsia="zh-CN"/>
              </w:rPr>
              <w:t>。</w:t>
            </w:r>
            <w:r>
              <w:rPr>
                <w:rFonts w:hint="default" w:ascii="Times New Roman" w:hAnsi="Times New Roman" w:eastAsia="宋体" w:cs="Times New Roman"/>
                <w:color w:val="auto"/>
                <w:kern w:val="2"/>
                <w:sz w:val="24"/>
                <w:szCs w:val="24"/>
                <w:highlight w:val="none"/>
                <w:lang w:val="en-US" w:eastAsia="zh-CN" w:bidi="ar-SA"/>
              </w:rPr>
              <w:t>根据202</w:t>
            </w:r>
            <w:r>
              <w:rPr>
                <w:rFonts w:hint="eastAsia"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年宿州市</w:t>
            </w:r>
            <w:r>
              <w:rPr>
                <w:rFonts w:hint="eastAsia" w:ascii="宋体" w:hAnsi="宋体" w:eastAsia="宋体" w:cs="宋体"/>
                <w:color w:val="auto"/>
                <w:kern w:val="2"/>
                <w:sz w:val="24"/>
                <w:szCs w:val="24"/>
                <w:highlight w:val="none"/>
                <w:lang w:val="en-US" w:eastAsia="zh-CN" w:bidi="ar-SA"/>
              </w:rPr>
              <w:t>“三线一单”文</w:t>
            </w:r>
            <w:r>
              <w:rPr>
                <w:rFonts w:hint="default" w:ascii="Times New Roman" w:hAnsi="Times New Roman" w:eastAsia="宋体" w:cs="Times New Roman"/>
                <w:color w:val="auto"/>
                <w:kern w:val="2"/>
                <w:sz w:val="24"/>
                <w:szCs w:val="24"/>
                <w:highlight w:val="none"/>
                <w:lang w:val="en-US" w:eastAsia="zh-CN" w:bidi="ar-SA"/>
              </w:rPr>
              <w:t>本，对照宿州市生态保护红线图和宿州市生态空间图，本项目不涉及生态保护红线，不属于一般生态空间。</w:t>
            </w:r>
            <w:r>
              <w:rPr>
                <w:rFonts w:ascii="Times New Roman" w:hAnsi="Times New Roman" w:eastAsia="宋体" w:cs="Times New Roman"/>
                <w:color w:val="auto"/>
                <w:kern w:val="2"/>
                <w:sz w:val="24"/>
                <w:szCs w:val="24"/>
                <w:highlight w:val="none"/>
                <w:lang w:val="en-US" w:eastAsia="zh-CN" w:bidi="ar-SA"/>
              </w:rPr>
              <w:t>详见附图2 区域生态红线图。</w:t>
            </w:r>
          </w:p>
          <w:p w14:paraId="5C8F1476">
            <w:pPr>
              <w:keepNext w:val="0"/>
              <w:keepLines w:val="0"/>
              <w:pageBreakBefore w:val="0"/>
              <w:widowControl w:val="0"/>
              <w:kinsoku/>
              <w:wordWrap/>
              <w:overflowPunct/>
              <w:topLinePunct w:val="0"/>
              <w:autoSpaceDE w:val="0"/>
              <w:autoSpaceDN w:val="0"/>
              <w:bidi w:val="0"/>
              <w:adjustRightInd w:val="0"/>
              <w:snapToGrid/>
              <w:spacing w:before="0" w:beforeLines="0" w:line="360" w:lineRule="auto"/>
              <w:ind w:firstLine="480" w:firstLineChars="200"/>
              <w:jc w:val="both"/>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r>
              <w:rPr>
                <w:rFonts w:ascii="Times New Roman" w:hAnsi="Times New Roman" w:eastAsia="宋体" w:cs="Times New Roman"/>
                <w:color w:val="auto"/>
                <w:kern w:val="2"/>
                <w:sz w:val="24"/>
                <w:szCs w:val="24"/>
                <w:highlight w:val="none"/>
                <w:lang w:val="en-US" w:eastAsia="zh-CN" w:bidi="ar-SA"/>
              </w:rPr>
              <w:t>环境质量底线及环境分区管控</w:t>
            </w:r>
          </w:p>
          <w:p w14:paraId="288D03F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①大气环境质量底线及分区管控</w:t>
            </w:r>
          </w:p>
          <w:p w14:paraId="79337CB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imes New Roman" w:hAnsi="Times New Roman" w:eastAsia="宋体" w:cs="Times New Roman"/>
                <w:color w:val="auto"/>
                <w:kern w:val="2"/>
                <w:sz w:val="32"/>
                <w:szCs w:val="32"/>
                <w:highlight w:val="none"/>
                <w:lang w:val="en-US" w:eastAsia="zh-CN" w:bidi="ar-SA"/>
              </w:rPr>
            </w:pPr>
            <w:r>
              <w:rPr>
                <w:color w:val="auto"/>
                <w:sz w:val="24"/>
                <w:szCs w:val="32"/>
              </w:rPr>
              <w:t>根据《宿州市</w:t>
            </w:r>
            <w:r>
              <w:rPr>
                <w:rFonts w:hint="eastAsia"/>
                <w:color w:val="auto"/>
                <w:sz w:val="24"/>
                <w:szCs w:val="32"/>
                <w:lang w:eastAsia="zh-CN"/>
              </w:rPr>
              <w:t>2024</w:t>
            </w:r>
            <w:r>
              <w:rPr>
                <w:color w:val="auto"/>
                <w:sz w:val="24"/>
                <w:szCs w:val="32"/>
              </w:rPr>
              <w:t>年环境质量报告》，O</w:t>
            </w:r>
            <w:r>
              <w:rPr>
                <w:color w:val="auto"/>
                <w:sz w:val="24"/>
                <w:szCs w:val="32"/>
                <w:vertAlign w:val="subscript"/>
              </w:rPr>
              <w:t>3</w:t>
            </w:r>
            <w:r>
              <w:rPr>
                <w:color w:val="auto"/>
                <w:sz w:val="24"/>
                <w:szCs w:val="32"/>
              </w:rPr>
              <w:t>、PM</w:t>
            </w:r>
            <w:r>
              <w:rPr>
                <w:color w:val="auto"/>
                <w:sz w:val="24"/>
                <w:szCs w:val="32"/>
                <w:vertAlign w:val="subscript"/>
              </w:rPr>
              <w:t>2.5</w:t>
            </w:r>
            <w:r>
              <w:rPr>
                <w:color w:val="auto"/>
                <w:sz w:val="24"/>
                <w:szCs w:val="32"/>
              </w:rPr>
              <w:t>、PM</w:t>
            </w:r>
            <w:r>
              <w:rPr>
                <w:color w:val="auto"/>
                <w:sz w:val="24"/>
                <w:szCs w:val="32"/>
                <w:vertAlign w:val="subscript"/>
              </w:rPr>
              <w:t>10</w:t>
            </w:r>
            <w:r>
              <w:rPr>
                <w:color w:val="auto"/>
                <w:sz w:val="24"/>
                <w:szCs w:val="32"/>
              </w:rPr>
              <w:t>超过《环境空气质量标准》（GB3095-2012）中二级标准限值，因此项目所在区域为环境空气质量不达标区。为改善环境空气质量情况，宿州市通过优化产业结构和布局，严控高耗能、高污染项目建设</w:t>
            </w:r>
            <w:r>
              <w:rPr>
                <w:rFonts w:hint="eastAsia" w:ascii="宋体" w:hAnsi="宋体" w:eastAsia="宋体" w:cs="宋体"/>
                <w:color w:val="auto"/>
                <w:sz w:val="24"/>
                <w:szCs w:val="32"/>
              </w:rPr>
              <w:t>，对“散乱污”企业</w:t>
            </w:r>
            <w:r>
              <w:rPr>
                <w:color w:val="auto"/>
                <w:sz w:val="24"/>
                <w:szCs w:val="32"/>
              </w:rPr>
              <w:t>进行综合整治等措施的实施，地区的环境空气质量将逐渐得到改善。</w:t>
            </w:r>
          </w:p>
          <w:p w14:paraId="630AF3B4">
            <w:pPr>
              <w:widowControl w:val="0"/>
              <w:autoSpaceDE w:val="0"/>
              <w:autoSpaceDN w:val="0"/>
              <w:adjustRightInd w:val="0"/>
              <w:snapToGrid/>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②水环境质量底线及分区管控</w:t>
            </w:r>
          </w:p>
          <w:p w14:paraId="26F126B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w:t>
            </w:r>
            <w:r>
              <w:rPr>
                <w:rFonts w:hint="eastAsia" w:cs="Times New Roman"/>
                <w:color w:val="auto"/>
                <w:kern w:val="2"/>
                <w:sz w:val="24"/>
                <w:szCs w:val="24"/>
                <w:highlight w:val="none"/>
                <w:lang w:val="en-US" w:eastAsia="zh-CN" w:bidi="ar-SA"/>
              </w:rPr>
              <w:t>2024</w:t>
            </w:r>
            <w:r>
              <w:rPr>
                <w:rFonts w:hint="default" w:ascii="Times New Roman" w:hAnsi="Times New Roman" w:eastAsia="宋体" w:cs="Times New Roman"/>
                <w:color w:val="auto"/>
                <w:kern w:val="2"/>
                <w:sz w:val="24"/>
                <w:szCs w:val="24"/>
                <w:highlight w:val="none"/>
                <w:lang w:val="en-US" w:eastAsia="zh-CN" w:bidi="ar-SA"/>
              </w:rPr>
              <w:t>年宿州市环境质量公告，本项目评价区域内地表水</w:t>
            </w:r>
            <w:r>
              <w:rPr>
                <w:rFonts w:hint="eastAsia" w:cs="Times New Roman"/>
                <w:color w:val="auto"/>
                <w:kern w:val="2"/>
                <w:sz w:val="24"/>
                <w:szCs w:val="24"/>
                <w:highlight w:val="none"/>
                <w:lang w:val="en-US" w:eastAsia="zh-CN" w:bidi="ar-SA"/>
              </w:rPr>
              <w:t>闫河</w:t>
            </w:r>
            <w:r>
              <w:rPr>
                <w:rFonts w:hint="default" w:ascii="Times New Roman" w:hAnsi="Times New Roman" w:eastAsia="宋体" w:cs="Times New Roman"/>
                <w:color w:val="auto"/>
                <w:kern w:val="2"/>
                <w:sz w:val="24"/>
                <w:szCs w:val="24"/>
                <w:highlight w:val="none"/>
                <w:lang w:val="en-US" w:eastAsia="zh-CN" w:bidi="ar-SA"/>
              </w:rPr>
              <w:t>满足《地表水环境质量标准》（GB3838-2002）中Ⅳ类标准要求。</w:t>
            </w:r>
          </w:p>
          <w:p w14:paraId="0EC9F0D2">
            <w:pPr>
              <w:keepNext w:val="0"/>
              <w:keepLines w:val="0"/>
              <w:pageBreakBefore w:val="0"/>
              <w:widowControl w:val="0"/>
              <w:kinsoku/>
              <w:wordWrap/>
              <w:overflowPunct/>
              <w:topLinePunct w:val="0"/>
              <w:autoSpaceDE w:val="0"/>
              <w:autoSpaceDN w:val="0"/>
              <w:bidi w:val="0"/>
              <w:adjustRightInd w:val="0"/>
              <w:snapToGrid/>
              <w:spacing w:before="0" w:beforeLines="0" w:line="360" w:lineRule="auto"/>
              <w:ind w:firstLine="480" w:firstLineChars="200"/>
              <w:jc w:val="both"/>
              <w:textAlignment w:val="auto"/>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本项目位于淮河流域，项目建设符合《安徽省淮河流域水污染防治条例》的要求。项目生活污水</w:t>
            </w:r>
            <w:r>
              <w:rPr>
                <w:rFonts w:hint="eastAsia" w:cs="Times New Roman"/>
                <w:color w:val="auto"/>
                <w:kern w:val="2"/>
                <w:sz w:val="24"/>
                <w:szCs w:val="24"/>
                <w:highlight w:val="none"/>
                <w:lang w:val="en-US" w:eastAsia="zh-CN" w:bidi="ar-SA"/>
              </w:rPr>
              <w:t>经</w:t>
            </w:r>
            <w:r>
              <w:rPr>
                <w:rFonts w:hint="eastAsia" w:ascii="Times New Roman" w:hAnsi="Times New Roman" w:eastAsia="宋体" w:cs="Times New Roman"/>
                <w:color w:val="auto"/>
                <w:kern w:val="2"/>
                <w:sz w:val="24"/>
                <w:szCs w:val="24"/>
                <w:highlight w:val="none"/>
                <w:lang w:val="en-US" w:eastAsia="zh-CN" w:bidi="ar-SA"/>
              </w:rPr>
              <w:t>化粪池</w:t>
            </w:r>
            <w:r>
              <w:rPr>
                <w:rFonts w:ascii="Times New Roman" w:hAnsi="Times New Roman" w:eastAsia="宋体" w:cs="Times New Roman"/>
                <w:color w:val="auto"/>
                <w:kern w:val="0"/>
                <w:sz w:val="24"/>
                <w:szCs w:val="24"/>
                <w:highlight w:val="none"/>
                <w:lang w:val="en-US" w:eastAsia="zh-CN" w:bidi="ar-SA"/>
              </w:rPr>
              <w:t>预处理</w:t>
            </w:r>
            <w:r>
              <w:rPr>
                <w:rFonts w:hint="eastAsia" w:ascii="Times New Roman" w:hAnsi="Times New Roman" w:eastAsia="宋体" w:cs="Times New Roman"/>
                <w:color w:val="auto"/>
                <w:kern w:val="2"/>
                <w:sz w:val="24"/>
                <w:szCs w:val="24"/>
                <w:highlight w:val="none"/>
                <w:lang w:val="en-US" w:eastAsia="zh-CN" w:bidi="ar-SA"/>
              </w:rPr>
              <w:t>后，</w:t>
            </w:r>
            <w:r>
              <w:rPr>
                <w:rFonts w:ascii="Times New Roman" w:hAnsi="Times New Roman" w:eastAsia="宋体" w:cs="Times New Roman"/>
                <w:color w:val="auto"/>
                <w:kern w:val="0"/>
                <w:sz w:val="24"/>
                <w:szCs w:val="24"/>
                <w:highlight w:val="none"/>
                <w:lang w:val="en-US" w:eastAsia="zh-CN" w:bidi="ar-SA"/>
              </w:rPr>
              <w:t>排水满足</w:t>
            </w:r>
            <w:r>
              <w:rPr>
                <w:rFonts w:ascii="Times New Roman" w:hAnsi="Times New Roman" w:eastAsia="宋体" w:cs="Times New Roman"/>
                <w:color w:val="auto"/>
                <w:kern w:val="2"/>
                <w:sz w:val="24"/>
                <w:szCs w:val="24"/>
                <w:highlight w:val="none"/>
                <w:lang w:val="en-US" w:eastAsia="zh-CN" w:bidi="ar-SA"/>
              </w:rPr>
              <w:t>《污水综合排放标准》（GB8978-1996）中三级排放标准</w:t>
            </w:r>
            <w:r>
              <w:rPr>
                <w:rFonts w:ascii="Times New Roman" w:hAnsi="Times New Roman" w:eastAsia="宋体" w:cs="Times New Roman"/>
                <w:bCs/>
                <w:color w:val="auto"/>
                <w:kern w:val="2"/>
                <w:sz w:val="24"/>
                <w:szCs w:val="24"/>
                <w:highlight w:val="none"/>
                <w:lang w:val="zh-CN" w:eastAsia="zh-CN" w:bidi="ar-SA"/>
              </w:rPr>
              <w:t>及</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ascii="Times New Roman" w:hAnsi="Times New Roman" w:eastAsia="宋体" w:cs="Times New Roman"/>
                <w:bCs/>
                <w:color w:val="auto"/>
                <w:kern w:val="2"/>
                <w:sz w:val="24"/>
                <w:szCs w:val="24"/>
                <w:highlight w:val="none"/>
                <w:lang w:val="zh-CN" w:eastAsia="zh-CN" w:bidi="ar-SA"/>
              </w:rPr>
              <w:t>的接管</w:t>
            </w:r>
            <w:r>
              <w:rPr>
                <w:rFonts w:hint="eastAsia" w:ascii="Times New Roman" w:hAnsi="Times New Roman" w:eastAsia="宋体" w:cs="Times New Roman"/>
                <w:color w:val="auto"/>
                <w:kern w:val="0"/>
                <w:sz w:val="24"/>
                <w:szCs w:val="24"/>
                <w:highlight w:val="none"/>
                <w:lang w:val="zh-CN" w:eastAsia="zh-CN" w:bidi="ar-SA"/>
              </w:rPr>
              <w:t>限值</w:t>
            </w:r>
            <w:r>
              <w:rPr>
                <w:rFonts w:hint="eastAsia" w:ascii="Times New Roman" w:hAnsi="Times New Roman" w:eastAsia="宋体" w:cs="Times New Roman"/>
                <w:color w:val="auto"/>
                <w:kern w:val="0"/>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通过市政污水管网统一纳入</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ascii="Times New Roman" w:hAnsi="Times New Roman" w:eastAsia="宋体" w:cs="Times New Roman"/>
                <w:color w:val="auto"/>
                <w:kern w:val="2"/>
                <w:sz w:val="24"/>
                <w:szCs w:val="24"/>
                <w:highlight w:val="none"/>
                <w:lang w:val="en-US" w:eastAsia="zh-CN" w:bidi="ar-SA"/>
              </w:rPr>
              <w:t>处理。</w:t>
            </w:r>
            <w:r>
              <w:rPr>
                <w:rFonts w:ascii="Times New Roman" w:hAnsi="Times New Roman" w:eastAsia="宋体" w:cs="Times New Roman"/>
                <w:color w:val="auto"/>
                <w:kern w:val="2"/>
                <w:sz w:val="24"/>
                <w:szCs w:val="24"/>
                <w:highlight w:val="none"/>
                <w:lang w:val="en-US" w:eastAsia="zh-CN" w:bidi="ar-SA"/>
              </w:rPr>
              <w:t>对周围水环境影响较小。</w:t>
            </w:r>
          </w:p>
          <w:p w14:paraId="429C7EB7">
            <w:pPr>
              <w:widowControl w:val="0"/>
              <w:autoSpaceDE w:val="0"/>
              <w:autoSpaceDN w:val="0"/>
              <w:adjustRightInd w:val="0"/>
              <w:snapToGrid/>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③土壤环境风险防控底线及分区管控</w:t>
            </w:r>
          </w:p>
          <w:p w14:paraId="242D1887">
            <w:pPr>
              <w:widowControl w:val="0"/>
              <w:autoSpaceDE w:val="0"/>
              <w:autoSpaceDN w:val="0"/>
              <w:adjustRightInd w:val="0"/>
              <w:snapToGrid/>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项目评价区域内土壤现状满足《土壤环境质量</w:t>
            </w:r>
            <w:r>
              <w:rPr>
                <w:rFonts w:hint="eastAsia" w:ascii="Times New Roman" w:hAnsi="Times New Roman" w:eastAsia="宋体" w:cs="Times New Roman"/>
                <w:color w:val="auto"/>
                <w:kern w:val="2"/>
                <w:sz w:val="24"/>
                <w:szCs w:val="24"/>
                <w:highlight w:val="none"/>
                <w:lang w:val="en-US" w:eastAsia="zh-CN" w:bidi="ar-SA"/>
              </w:rPr>
              <w:t xml:space="preserve"> </w:t>
            </w:r>
            <w:r>
              <w:rPr>
                <w:rFonts w:ascii="Times New Roman" w:hAnsi="Times New Roman" w:eastAsia="宋体" w:cs="Times New Roman"/>
                <w:color w:val="auto"/>
                <w:kern w:val="2"/>
                <w:sz w:val="24"/>
                <w:szCs w:val="24"/>
                <w:highlight w:val="none"/>
                <w:lang w:val="en-US" w:eastAsia="zh-CN" w:bidi="ar-SA"/>
              </w:rPr>
              <w:t>建设用地土壤污染风险管控标准（试行）》（GB36600-2018）中第二类用地筛选值要求。</w:t>
            </w:r>
          </w:p>
          <w:p w14:paraId="79335BF4">
            <w:pPr>
              <w:autoSpaceDE w:val="0"/>
              <w:autoSpaceDN w:val="0"/>
              <w:adjustRightInd w:val="0"/>
              <w:snapToGrid w:val="0"/>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本项目建设不占用永久基本农田；项目对可能产生地下水、土壤影响的各项途径均进行有效预防，在确保各项防渗措施得以落实，</w:t>
            </w:r>
            <w:r>
              <w:rPr>
                <w:rFonts w:hint="eastAsia" w:cs="Times New Roman"/>
                <w:color w:val="auto"/>
                <w:sz w:val="24"/>
                <w:highlight w:val="none"/>
                <w:lang w:val="en-US" w:eastAsia="zh-CN"/>
              </w:rPr>
              <w:t>在</w:t>
            </w:r>
            <w:r>
              <w:rPr>
                <w:rFonts w:ascii="Times New Roman" w:hAnsi="Times New Roman" w:eastAsia="宋体" w:cs="Times New Roman"/>
                <w:color w:val="auto"/>
                <w:sz w:val="24"/>
                <w:highlight w:val="none"/>
              </w:rPr>
              <w:t>加强维护和厂区环境管理的前提下，可有效控制厂区内的废水污染物下渗现象，避免污染土壤，因此本项目不会对区域土壤环境产生明显影响。</w:t>
            </w:r>
          </w:p>
          <w:p w14:paraId="158BF7C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（3）与资源利用上线相符性分析</w:t>
            </w:r>
          </w:p>
          <w:p w14:paraId="1089BD0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本项目给水来自供水管网，</w:t>
            </w:r>
            <w:r>
              <w:rPr>
                <w:rFonts w:hint="eastAsia" w:cs="Times New Roman"/>
                <w:color w:val="auto"/>
                <w:sz w:val="24"/>
                <w:highlight w:val="none"/>
                <w:lang w:eastAsia="zh-CN"/>
              </w:rPr>
              <w:t>总</w:t>
            </w:r>
            <w:r>
              <w:rPr>
                <w:rFonts w:ascii="Times New Roman" w:hAnsi="Times New Roman" w:eastAsia="宋体" w:cs="Times New Roman"/>
                <w:color w:val="auto"/>
                <w:sz w:val="24"/>
                <w:highlight w:val="none"/>
              </w:rPr>
              <w:t>供水量为</w:t>
            </w:r>
            <w:r>
              <w:rPr>
                <w:rFonts w:hint="eastAsia" w:cs="Times New Roman"/>
                <w:color w:val="auto"/>
                <w:sz w:val="24"/>
                <w:highlight w:val="none"/>
                <w:lang w:val="en-US" w:eastAsia="zh-CN"/>
              </w:rPr>
              <w:t>1340</w:t>
            </w:r>
            <w:r>
              <w:rPr>
                <w:rFonts w:ascii="Times New Roman" w:hAnsi="Times New Roman" w:eastAsia="宋体" w:cs="Times New Roman"/>
                <w:color w:val="auto"/>
                <w:sz w:val="24"/>
                <w:highlight w:val="none"/>
              </w:rPr>
              <w:t>t/a，不会达到资源利用上线；项目用电由市政电网所供给，用电量为</w:t>
            </w:r>
            <w:r>
              <w:rPr>
                <w:rFonts w:hint="eastAsia" w:cs="Times New Roman"/>
                <w:color w:val="auto"/>
                <w:sz w:val="24"/>
                <w:highlight w:val="none"/>
                <w:lang w:val="en-US" w:eastAsia="zh-CN"/>
              </w:rPr>
              <w:t>30</w:t>
            </w:r>
            <w:r>
              <w:rPr>
                <w:rFonts w:hint="eastAsia" w:ascii="Times New Roman" w:hAnsi="Times New Roman" w:eastAsia="宋体" w:cs="Times New Roman"/>
                <w:color w:val="auto"/>
                <w:sz w:val="24"/>
                <w:highlight w:val="none"/>
              </w:rPr>
              <w:t>0</w:t>
            </w:r>
            <w:r>
              <w:rPr>
                <w:rFonts w:ascii="Times New Roman" w:hAnsi="Times New Roman" w:eastAsia="宋体" w:cs="Times New Roman"/>
                <w:color w:val="auto"/>
                <w:sz w:val="24"/>
                <w:highlight w:val="none"/>
              </w:rPr>
              <w:t>万kW·h/a，不会达到资源利用上线；项目用地符合当地土地规划要求，不会达到资源利用上线</w:t>
            </w:r>
            <w:r>
              <w:rPr>
                <w:rFonts w:hint="eastAsia" w:ascii="Times New Roman" w:hAnsi="Times New Roman" w:eastAsia="宋体" w:cs="Times New Roman"/>
                <w:color w:val="auto"/>
                <w:sz w:val="24"/>
                <w:highlight w:val="none"/>
              </w:rPr>
              <w:t>。</w:t>
            </w:r>
          </w:p>
          <w:p w14:paraId="4F9F59E0">
            <w:pPr>
              <w:autoSpaceDE w:val="0"/>
              <w:autoSpaceDN w:val="0"/>
              <w:adjustRightInd w:val="0"/>
              <w:snapToGrid w:val="0"/>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本项目成熟可靠的工艺技术，自动化控制手段，符合资源利用上线要求。</w:t>
            </w:r>
          </w:p>
          <w:p w14:paraId="6893CDB7">
            <w:pPr>
              <w:autoSpaceDE w:val="0"/>
              <w:autoSpaceDN w:val="0"/>
              <w:adjustRightInd w:val="0"/>
              <w:snapToGrid w:val="0"/>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（4）与环境准入负面清单相符性分析</w:t>
            </w:r>
          </w:p>
          <w:p w14:paraId="4D7BCA51">
            <w:pPr>
              <w:autoSpaceDE w:val="0"/>
              <w:autoSpaceDN w:val="0"/>
              <w:adjustRightInd w:val="0"/>
              <w:snapToGrid w:val="0"/>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rPr>
              <w:t>本项目</w:t>
            </w:r>
            <w:r>
              <w:rPr>
                <w:rFonts w:hint="eastAsia" w:ascii="Times New Roman" w:hAnsi="Times New Roman" w:eastAsia="宋体" w:cs="Times New Roman"/>
                <w:color w:val="auto"/>
                <w:kern w:val="0"/>
                <w:sz w:val="24"/>
                <w:highlight w:val="none"/>
              </w:rPr>
              <w:t>位于</w:t>
            </w:r>
            <w:r>
              <w:rPr>
                <w:rFonts w:hint="eastAsia" w:eastAsia="宋体" w:cs="Times New Roman"/>
                <w:color w:val="auto"/>
                <w:sz w:val="24"/>
                <w:szCs w:val="24"/>
                <w:highlight w:val="none"/>
                <w:lang w:val="en-US" w:eastAsia="zh-CN"/>
              </w:rPr>
              <w:t>灵璧县北部经济开发区轴承产业基地AB区北侧重点区域</w:t>
            </w:r>
            <w:r>
              <w:rPr>
                <w:rFonts w:hint="eastAsia" w:cs="Times New Roman"/>
                <w:color w:val="auto"/>
                <w:sz w:val="24"/>
                <w:szCs w:val="24"/>
                <w:highlight w:val="none"/>
                <w:lang w:val="en-US" w:eastAsia="zh-CN"/>
              </w:rPr>
              <w:t>，</w:t>
            </w:r>
            <w:r>
              <w:rPr>
                <w:rFonts w:hint="eastAsia" w:ascii="宋体" w:hAnsi="宋体" w:eastAsia="宋体" w:cs="宋体"/>
                <w:b w:val="0"/>
                <w:bCs w:val="0"/>
                <w:color w:val="auto"/>
                <w:sz w:val="24"/>
                <w:szCs w:val="24"/>
                <w:lang w:val="en-US" w:eastAsia="zh-CN"/>
              </w:rPr>
              <w:t>对照《宿州市“三线一单”生态环境准入清单》（宿州市生态环境局，二〇二</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val="en-US" w:eastAsia="zh-CN"/>
              </w:rPr>
              <w:t>年十二月）附件</w:t>
            </w:r>
            <w:r>
              <w:rPr>
                <w:rFonts w:hint="default" w:ascii="Times New Roman" w:hAnsi="Times New Roman" w:eastAsia="宋体" w:cs="Times New Roman"/>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 xml:space="preserve"> 宿州市生态环境准入清单，</w:t>
            </w:r>
            <w:r>
              <w:rPr>
                <w:rFonts w:hint="eastAsia" w:ascii="宋体" w:hAnsi="宋体" w:eastAsia="宋体" w:cs="宋体"/>
                <w:color w:val="auto"/>
                <w:sz w:val="24"/>
                <w:highlight w:val="none"/>
              </w:rPr>
              <w:t>进行说明：</w:t>
            </w:r>
          </w:p>
          <w:p w14:paraId="5943411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lang w:eastAsia="zh-CN"/>
              </w:rPr>
              <w:t>限制入园区项目：</w:t>
            </w:r>
            <w:r>
              <w:rPr>
                <w:rFonts w:hint="eastAsia" w:ascii="宋体" w:hAnsi="宋体" w:eastAsia="宋体" w:cs="宋体"/>
                <w:color w:val="auto"/>
                <w:sz w:val="24"/>
                <w:szCs w:val="24"/>
                <w:lang w:eastAsia="zh-CN"/>
              </w:rPr>
              <w:t>①</w:t>
            </w:r>
            <w:r>
              <w:rPr>
                <w:rFonts w:hint="eastAsia" w:ascii="Times New Roman" w:hAnsi="Times New Roman" w:eastAsia="宋体" w:cs="Times New Roman"/>
                <w:b w:val="0"/>
                <w:bCs w:val="0"/>
                <w:color w:val="auto"/>
                <w:sz w:val="24"/>
                <w:szCs w:val="24"/>
                <w:lang w:val="en-US" w:eastAsia="zh-CN"/>
              </w:rPr>
              <w:t>《产业结构调整指导目录（2024 年本）》</w:t>
            </w:r>
            <w:r>
              <w:rPr>
                <w:rFonts w:hint="default" w:ascii="Times New Roman" w:hAnsi="Times New Roman" w:eastAsia="宋体" w:cs="Times New Roman"/>
                <w:color w:val="auto"/>
                <w:sz w:val="24"/>
                <w:szCs w:val="24"/>
                <w:lang w:eastAsia="zh-CN"/>
              </w:rPr>
              <w:t>中限制类项目；</w:t>
            </w:r>
            <w:r>
              <w:rPr>
                <w:rFonts w:hint="eastAsia" w:ascii="宋体" w:hAnsi="宋体" w:eastAsia="宋体" w:cs="宋体"/>
                <w:color w:val="auto"/>
                <w:sz w:val="24"/>
                <w:szCs w:val="24"/>
                <w:lang w:eastAsia="zh-CN"/>
              </w:rPr>
              <w:t>②</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建材行业中水泥生产等高污染、高能耗项目；</w:t>
            </w:r>
            <w:r>
              <w:rPr>
                <w:rFonts w:hint="eastAsia" w:ascii="宋体" w:hAnsi="宋体" w:eastAsia="宋体" w:cs="宋体"/>
                <w:color w:val="auto"/>
                <w:sz w:val="24"/>
                <w:szCs w:val="24"/>
                <w:lang w:eastAsia="zh-CN"/>
              </w:rPr>
              <w:t>③</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机械加工中电镀等高污染、高能耗项目；</w:t>
            </w:r>
            <w:r>
              <w:rPr>
                <w:rFonts w:hint="eastAsia" w:ascii="宋体" w:hAnsi="宋体" w:eastAsia="宋体" w:cs="宋体"/>
                <w:color w:val="auto"/>
                <w:sz w:val="24"/>
                <w:szCs w:val="24"/>
                <w:lang w:val="en-US" w:eastAsia="zh-CN"/>
              </w:rPr>
              <w:t>④</w:t>
            </w:r>
            <w:r>
              <w:rPr>
                <w:rFonts w:hint="eastAsia" w:ascii="宋体" w:hAnsi="宋体" w:cs="宋体"/>
                <w:color w:val="auto"/>
                <w:sz w:val="24"/>
                <w:szCs w:val="24"/>
                <w:lang w:val="en-US" w:eastAsia="zh-CN"/>
              </w:rPr>
              <w:t xml:space="preserve"> </w:t>
            </w:r>
            <w:r>
              <w:rPr>
                <w:rFonts w:hint="default" w:ascii="Times New Roman" w:hAnsi="Times New Roman" w:eastAsia="宋体" w:cs="Times New Roman"/>
                <w:color w:val="auto"/>
                <w:sz w:val="24"/>
                <w:szCs w:val="24"/>
                <w:lang w:eastAsia="zh-CN"/>
              </w:rPr>
              <w:t>服装生产中印染等高污染、高</w:t>
            </w:r>
            <w:r>
              <w:rPr>
                <w:rFonts w:hint="eastAsia" w:cs="Times New Roman"/>
                <w:color w:val="auto"/>
                <w:sz w:val="24"/>
                <w:szCs w:val="24"/>
                <w:lang w:eastAsia="zh-CN"/>
              </w:rPr>
              <w:t>水耗</w:t>
            </w:r>
            <w:r>
              <w:rPr>
                <w:rFonts w:hint="default" w:ascii="Times New Roman" w:hAnsi="Times New Roman" w:eastAsia="宋体" w:cs="Times New Roman"/>
                <w:color w:val="auto"/>
                <w:sz w:val="24"/>
                <w:szCs w:val="24"/>
                <w:lang w:eastAsia="zh-CN"/>
              </w:rPr>
              <w:t>的项目</w:t>
            </w:r>
            <w:r>
              <w:rPr>
                <w:rFonts w:hint="eastAsia" w:ascii="Times New Roman" w:hAnsi="Times New Roman" w:cs="Times New Roman"/>
                <w:color w:val="auto"/>
                <w:sz w:val="24"/>
                <w:szCs w:val="24"/>
                <w:lang w:eastAsia="zh-CN"/>
              </w:rPr>
              <w:t>；</w:t>
            </w:r>
            <w:r>
              <w:rPr>
                <w:rFonts w:hint="eastAsia" w:ascii="宋体" w:hAnsi="宋体" w:eastAsia="宋体" w:cs="宋体"/>
                <w:color w:val="auto"/>
                <w:sz w:val="24"/>
                <w:szCs w:val="24"/>
                <w:lang w:val="en-US" w:eastAsia="zh-CN"/>
              </w:rPr>
              <w:t>⑤</w:t>
            </w:r>
            <w:r>
              <w:rPr>
                <w:rFonts w:hint="eastAsia" w:ascii="宋体" w:hAnsi="宋体" w:cs="宋体"/>
                <w:color w:val="auto"/>
                <w:sz w:val="24"/>
                <w:szCs w:val="24"/>
                <w:lang w:val="en-US" w:eastAsia="zh-CN"/>
              </w:rPr>
              <w:t xml:space="preserve"> </w:t>
            </w:r>
            <w:r>
              <w:rPr>
                <w:rFonts w:hint="default" w:ascii="Times New Roman" w:hAnsi="Times New Roman" w:eastAsia="宋体" w:cs="Times New Roman"/>
                <w:color w:val="auto"/>
                <w:sz w:val="24"/>
                <w:szCs w:val="24"/>
                <w:lang w:eastAsia="zh-CN"/>
              </w:rPr>
              <w:t>装备制造限制进入：与主导产业类型不相符的其他非机械、电子产业；</w:t>
            </w:r>
            <w:r>
              <w:rPr>
                <w:rFonts w:hint="eastAsia" w:ascii="宋体" w:hAnsi="宋体" w:eastAsia="宋体" w:cs="宋体"/>
                <w:color w:val="auto"/>
                <w:sz w:val="24"/>
                <w:szCs w:val="24"/>
                <w:lang w:val="en-US" w:eastAsia="zh-CN"/>
              </w:rPr>
              <w:t>⑥</w:t>
            </w:r>
            <w:r>
              <w:rPr>
                <w:rFonts w:hint="eastAsia" w:ascii="宋体" w:hAnsi="宋体" w:cs="宋体"/>
                <w:color w:val="auto"/>
                <w:sz w:val="24"/>
                <w:szCs w:val="24"/>
                <w:lang w:val="en-US" w:eastAsia="zh-CN"/>
              </w:rPr>
              <w:t xml:space="preserve"> </w:t>
            </w:r>
            <w:r>
              <w:rPr>
                <w:rFonts w:hint="default" w:ascii="Times New Roman" w:hAnsi="Times New Roman" w:eastAsia="宋体" w:cs="Times New Roman"/>
                <w:color w:val="auto"/>
                <w:sz w:val="24"/>
                <w:szCs w:val="24"/>
                <w:lang w:eastAsia="zh-CN"/>
              </w:rPr>
              <w:t>农副产品加工业限制进入：屠宰及肉类加工业，耗水量大的酿造类。禁止入区项目</w:t>
            </w:r>
            <w:r>
              <w:rPr>
                <w:rFonts w:hint="eastAsia" w:ascii="Times New Roman" w:hAnsi="Times New Roman" w:cs="Times New Roman"/>
                <w:color w:val="auto"/>
                <w:sz w:val="24"/>
                <w:szCs w:val="24"/>
                <w:lang w:eastAsia="zh-CN"/>
              </w:rPr>
              <w:t>：</w:t>
            </w:r>
            <w:r>
              <w:rPr>
                <w:rFonts w:hint="eastAsia" w:ascii="宋体" w:hAnsi="宋体" w:eastAsia="宋体" w:cs="宋体"/>
                <w:color w:val="auto"/>
                <w:sz w:val="24"/>
                <w:szCs w:val="24"/>
                <w:lang w:eastAsia="zh-CN"/>
              </w:rPr>
              <w:t>①</w:t>
            </w:r>
            <w:r>
              <w:rPr>
                <w:rFonts w:hint="eastAsia" w:ascii="宋体" w:hAnsi="宋体" w:cs="宋体"/>
                <w:color w:val="auto"/>
                <w:sz w:val="24"/>
                <w:szCs w:val="24"/>
                <w:lang w:val="en-US" w:eastAsia="zh-CN"/>
              </w:rPr>
              <w:t xml:space="preserve"> </w:t>
            </w:r>
            <w:r>
              <w:rPr>
                <w:rFonts w:hint="default" w:ascii="Times New Roman" w:hAnsi="Times New Roman" w:eastAsia="宋体" w:cs="Times New Roman"/>
                <w:color w:val="auto"/>
                <w:sz w:val="24"/>
                <w:szCs w:val="24"/>
                <w:lang w:eastAsia="zh-CN"/>
              </w:rPr>
              <w:t>禁止入工业园项目是指国家现行产业政策明令禁止或淘汰的产业和工艺，以及污染控制难度大，不符合工业园水污染及大气污染总量控制原则的项目。</w:t>
            </w:r>
            <w:r>
              <w:rPr>
                <w:rFonts w:hint="eastAsia" w:ascii="Times New Roman" w:hAnsi="Times New Roman" w:eastAsia="宋体" w:cs="Times New Roman"/>
                <w:b w:val="0"/>
                <w:bCs w:val="0"/>
                <w:color w:val="auto"/>
                <w:sz w:val="24"/>
                <w:szCs w:val="24"/>
                <w:lang w:val="en-US" w:eastAsia="zh-CN"/>
              </w:rPr>
              <w:t>《产业结构调整指导目录（2024 年本）》</w:t>
            </w:r>
            <w:r>
              <w:rPr>
                <w:rFonts w:hint="default" w:ascii="Times New Roman" w:hAnsi="Times New Roman" w:eastAsia="宋体" w:cs="Times New Roman"/>
                <w:color w:val="auto"/>
                <w:sz w:val="24"/>
                <w:szCs w:val="24"/>
                <w:lang w:eastAsia="zh-CN"/>
              </w:rPr>
              <w:t>中淘汰类项目</w:t>
            </w:r>
            <w:r>
              <w:rPr>
                <w:rFonts w:hint="eastAsia" w:ascii="Times New Roman" w:hAnsi="Times New Roman" w:cs="Times New Roman"/>
                <w:color w:val="auto"/>
                <w:sz w:val="24"/>
                <w:szCs w:val="24"/>
                <w:lang w:eastAsia="zh-CN"/>
              </w:rPr>
              <w:t>；</w:t>
            </w:r>
            <w:r>
              <w:rPr>
                <w:rFonts w:hint="eastAsia" w:ascii="宋体" w:hAnsi="宋体" w:eastAsia="宋体" w:cs="宋体"/>
                <w:color w:val="auto"/>
                <w:sz w:val="24"/>
                <w:szCs w:val="24"/>
                <w:lang w:eastAsia="zh-CN"/>
              </w:rPr>
              <w:t>②</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不符合国家产业政策和清洁生产水平的行业禁止入区，其他行业选择性入区；开发区集中供热管网建成后，尚需要自行建设小型燃煤锅炉的企业禁止入区。</w:t>
            </w:r>
            <w:r>
              <w:rPr>
                <w:rFonts w:hint="eastAsia" w:ascii="宋体" w:hAnsi="宋体" w:eastAsia="宋体" w:cs="宋体"/>
                <w:color w:val="auto"/>
                <w:sz w:val="24"/>
                <w:szCs w:val="24"/>
                <w:lang w:eastAsia="zh-CN"/>
              </w:rPr>
              <w:t>③</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装备制造业禁止进入：自带电镀</w:t>
            </w:r>
            <w:r>
              <w:rPr>
                <w:rFonts w:hint="eastAsia" w:cs="Times New Roman"/>
                <w:color w:val="auto"/>
                <w:sz w:val="24"/>
                <w:szCs w:val="24"/>
                <w:lang w:eastAsia="zh-CN"/>
              </w:rPr>
              <w:t>，以及</w:t>
            </w:r>
            <w:r>
              <w:rPr>
                <w:rFonts w:hint="default" w:ascii="Times New Roman" w:hAnsi="Times New Roman" w:eastAsia="宋体" w:cs="Times New Roman"/>
                <w:color w:val="auto"/>
                <w:sz w:val="24"/>
                <w:szCs w:val="24"/>
                <w:lang w:eastAsia="zh-CN"/>
              </w:rPr>
              <w:t>含磷和磷化剂的企业</w:t>
            </w:r>
            <w:r>
              <w:rPr>
                <w:rFonts w:hint="eastAsia" w:ascii="Times New Roman" w:hAnsi="Times New Roman" w:cs="Times New Roman"/>
                <w:color w:val="auto"/>
                <w:sz w:val="24"/>
                <w:szCs w:val="24"/>
                <w:lang w:eastAsia="zh-CN"/>
              </w:rPr>
              <w:t>；</w:t>
            </w:r>
            <w:r>
              <w:rPr>
                <w:rFonts w:hint="eastAsia" w:ascii="宋体" w:hAnsi="宋体" w:eastAsia="宋体" w:cs="宋体"/>
                <w:color w:val="auto"/>
                <w:sz w:val="24"/>
                <w:szCs w:val="24"/>
                <w:lang w:val="en-US" w:eastAsia="zh-CN"/>
              </w:rPr>
              <w:t>④</w:t>
            </w:r>
            <w:r>
              <w:rPr>
                <w:rFonts w:hint="eastAsia" w:ascii="宋体" w:hAnsi="宋体" w:cs="宋体"/>
                <w:color w:val="auto"/>
                <w:sz w:val="24"/>
                <w:szCs w:val="24"/>
                <w:lang w:val="en-US" w:eastAsia="zh-CN"/>
              </w:rPr>
              <w:t xml:space="preserve"> </w:t>
            </w:r>
            <w:r>
              <w:rPr>
                <w:rFonts w:hint="default" w:ascii="Times New Roman" w:hAnsi="Times New Roman" w:eastAsia="宋体" w:cs="Times New Roman"/>
                <w:color w:val="auto"/>
                <w:sz w:val="24"/>
                <w:szCs w:val="24"/>
                <w:lang w:eastAsia="zh-CN"/>
              </w:rPr>
              <w:t>农副产品加工禁止进入：主要污染物为氨氮且排放量大的项目；</w:t>
            </w:r>
            <w:r>
              <w:rPr>
                <w:rFonts w:hint="eastAsia" w:ascii="宋体" w:hAnsi="宋体" w:eastAsia="宋体" w:cs="宋体"/>
                <w:color w:val="auto"/>
                <w:sz w:val="24"/>
                <w:szCs w:val="24"/>
                <w:lang w:val="en-US" w:eastAsia="zh-CN"/>
              </w:rPr>
              <w:t>⑤</w:t>
            </w:r>
            <w:r>
              <w:rPr>
                <w:rFonts w:hint="eastAsia" w:ascii="宋体" w:hAnsi="宋体" w:cs="宋体"/>
                <w:color w:val="auto"/>
                <w:sz w:val="24"/>
                <w:szCs w:val="24"/>
                <w:lang w:val="en-US" w:eastAsia="zh-CN"/>
              </w:rPr>
              <w:t xml:space="preserve"> </w:t>
            </w:r>
            <w:r>
              <w:rPr>
                <w:rFonts w:hint="default" w:ascii="Times New Roman" w:hAnsi="Times New Roman" w:eastAsia="宋体" w:cs="Times New Roman"/>
                <w:color w:val="auto"/>
                <w:sz w:val="24"/>
                <w:szCs w:val="24"/>
                <w:lang w:eastAsia="zh-CN"/>
              </w:rPr>
              <w:t>纺织服装禁止进入：</w:t>
            </w:r>
            <w:r>
              <w:rPr>
                <w:rFonts w:hint="eastAsia" w:cs="Times New Roman"/>
                <w:color w:val="auto"/>
                <w:sz w:val="24"/>
                <w:szCs w:val="24"/>
                <w:lang w:eastAsia="zh-CN"/>
              </w:rPr>
              <w:t>印染</w:t>
            </w:r>
            <w:r>
              <w:rPr>
                <w:rFonts w:hint="default" w:ascii="Times New Roman" w:hAnsi="Times New Roman" w:eastAsia="宋体" w:cs="Times New Roman"/>
                <w:color w:val="auto"/>
                <w:sz w:val="24"/>
                <w:szCs w:val="24"/>
                <w:lang w:eastAsia="zh-CN"/>
              </w:rPr>
              <w:t>、染整、制革等高耗能项目，主要污染物为氨氮且排放量大的项目</w:t>
            </w:r>
            <w:r>
              <w:rPr>
                <w:rFonts w:hint="eastAsia" w:ascii="Times New Roman" w:hAnsi="Times New Roman" w:cs="Times New Roman"/>
                <w:color w:val="auto"/>
                <w:sz w:val="24"/>
                <w:szCs w:val="24"/>
                <w:lang w:eastAsia="zh-CN"/>
              </w:rPr>
              <w:t>。</w:t>
            </w:r>
          </w:p>
          <w:p w14:paraId="100A1C5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ascii="宋体" w:hAnsi="宋体" w:eastAsia="宋体" w:cs="宋体"/>
                <w:color w:val="auto"/>
                <w:sz w:val="24"/>
                <w:szCs w:val="24"/>
              </w:rPr>
              <w:t>本项目为</w:t>
            </w:r>
            <w:r>
              <w:rPr>
                <w:rFonts w:hint="eastAsia" w:ascii="宋体" w:hAnsi="宋体" w:eastAsia="宋体" w:cs="宋体"/>
                <w:color w:val="auto"/>
                <w:sz w:val="24"/>
                <w:szCs w:val="24"/>
                <w:lang w:eastAsia="zh-CN"/>
              </w:rPr>
              <w:t>轴承、齿轮和传动部件制造，不属于</w:t>
            </w:r>
            <w:r>
              <w:rPr>
                <w:rFonts w:hint="eastAsia" w:ascii="Times New Roman" w:hAnsi="Times New Roman" w:eastAsia="宋体" w:cs="Times New Roman"/>
                <w:b w:val="0"/>
                <w:bCs w:val="0"/>
                <w:color w:val="auto"/>
                <w:sz w:val="24"/>
                <w:szCs w:val="24"/>
                <w:lang w:val="en-US" w:eastAsia="zh-CN"/>
              </w:rPr>
              <w:t>《产业结构调整指导目录（2024 年本）》</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限制类和淘汰类</w:t>
            </w:r>
            <w:r>
              <w:rPr>
                <w:rFonts w:hint="eastAsia" w:ascii="宋体" w:hAnsi="宋体" w:eastAsia="宋体" w:cs="宋体"/>
                <w:color w:val="auto"/>
                <w:sz w:val="24"/>
                <w:szCs w:val="24"/>
                <w:lang w:eastAsia="zh-CN"/>
              </w:rPr>
              <w:t>项目，不属于上述</w:t>
            </w:r>
            <w:r>
              <w:rPr>
                <w:rFonts w:hint="default" w:ascii="Times New Roman" w:hAnsi="Times New Roman" w:eastAsia="宋体" w:cs="Times New Roman"/>
                <w:color w:val="auto"/>
                <w:sz w:val="24"/>
                <w:szCs w:val="24"/>
                <w:lang w:eastAsia="zh-CN"/>
              </w:rPr>
              <w:t>限制入园区项目</w:t>
            </w:r>
            <w:r>
              <w:rPr>
                <w:rFonts w:hint="eastAsia" w:ascii="Times New Roman" w:hAnsi="Times New Roman" w:eastAsia="宋体" w:cs="Times New Roman"/>
                <w:color w:val="auto"/>
                <w:sz w:val="24"/>
                <w:szCs w:val="24"/>
                <w:lang w:eastAsia="zh-CN"/>
              </w:rPr>
              <w:t>和</w:t>
            </w:r>
            <w:r>
              <w:rPr>
                <w:rFonts w:hint="default" w:ascii="Times New Roman" w:hAnsi="Times New Roman" w:eastAsia="宋体" w:cs="Times New Roman"/>
                <w:color w:val="auto"/>
                <w:sz w:val="24"/>
                <w:szCs w:val="24"/>
                <w:lang w:eastAsia="zh-CN"/>
              </w:rPr>
              <w:t>禁止入区项目</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符合</w:t>
            </w:r>
            <w:r>
              <w:rPr>
                <w:rFonts w:hint="eastAsia" w:ascii="宋体" w:hAnsi="宋体" w:eastAsia="宋体" w:cs="宋体"/>
                <w:color w:val="auto"/>
                <w:sz w:val="24"/>
                <w:szCs w:val="24"/>
              </w:rPr>
              <w:t>灵璧经济开发区产业准入要求</w:t>
            </w:r>
            <w:r>
              <w:rPr>
                <w:rFonts w:hint="default" w:ascii="Times New Roman" w:hAnsi="Times New Roman" w:eastAsia="宋体" w:cs="Times New Roman"/>
                <w:color w:val="auto"/>
                <w:sz w:val="24"/>
                <w:szCs w:val="24"/>
              </w:rPr>
              <w:t>。</w:t>
            </w:r>
          </w:p>
          <w:p w14:paraId="06D05B2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color w:val="auto"/>
              </w:rPr>
            </w:pPr>
            <w:r>
              <w:rPr>
                <w:rFonts w:hint="eastAsia" w:ascii="宋体" w:hAnsi="宋体" w:eastAsia="宋体" w:cs="宋体"/>
                <w:b w:val="0"/>
                <w:bCs w:val="0"/>
                <w:color w:val="auto"/>
                <w:kern w:val="0"/>
                <w:sz w:val="24"/>
                <w:szCs w:val="24"/>
                <w:lang w:val="en-US" w:eastAsia="zh-CN" w:bidi="ar"/>
              </w:rPr>
              <w:t>(</w:t>
            </w:r>
            <w:r>
              <w:rPr>
                <w:rFonts w:hint="default" w:ascii="Times New Roman" w:hAnsi="Times New Roman" w:eastAsia="宋体" w:cs="Times New Roman"/>
                <w:b w:val="0"/>
                <w:bCs w:val="0"/>
                <w:color w:val="auto"/>
                <w:kern w:val="0"/>
                <w:sz w:val="24"/>
                <w:szCs w:val="24"/>
                <w:lang w:val="en-US" w:eastAsia="zh-CN" w:bidi="ar"/>
              </w:rPr>
              <w:t>5</w:t>
            </w:r>
            <w:r>
              <w:rPr>
                <w:rFonts w:hint="eastAsia" w:ascii="宋体" w:hAnsi="宋体" w:eastAsia="宋体" w:cs="宋体"/>
                <w:b w:val="0"/>
                <w:bCs w:val="0"/>
                <w:color w:val="auto"/>
                <w:kern w:val="0"/>
                <w:sz w:val="24"/>
                <w:szCs w:val="24"/>
                <w:lang w:val="en-US" w:eastAsia="zh-CN" w:bidi="ar"/>
              </w:rPr>
              <w:t>)</w:t>
            </w:r>
            <w:r>
              <w:rPr>
                <w:rFonts w:hint="default" w:ascii="Times New Roman" w:hAnsi="Times New Roman" w:eastAsia="宋体" w:cs="Times New Roman"/>
                <w:b w:val="0"/>
                <w:bCs w:val="0"/>
                <w:color w:val="auto"/>
                <w:kern w:val="0"/>
                <w:sz w:val="24"/>
                <w:szCs w:val="24"/>
                <w:lang w:val="en-US" w:eastAsia="zh-CN" w:bidi="ar"/>
              </w:rPr>
              <w:t>生态环境分区管控相符性分析</w:t>
            </w:r>
          </w:p>
          <w:p w14:paraId="18231B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根据《宿州</w:t>
            </w:r>
            <w:r>
              <w:rPr>
                <w:rFonts w:hint="eastAsia" w:ascii="宋体" w:hAnsi="宋体" w:eastAsia="宋体" w:cs="宋体"/>
                <w:color w:val="auto"/>
                <w:sz w:val="24"/>
              </w:rPr>
              <w:t>市“三线一单”》</w:t>
            </w:r>
            <w:r>
              <w:rPr>
                <w:rFonts w:hint="default" w:ascii="Times New Roman" w:hAnsi="Times New Roman" w:cs="Times New Roman"/>
                <w:color w:val="auto"/>
                <w:sz w:val="24"/>
              </w:rPr>
              <w:t>，宿州市共划定重点管控单元22个，面积为1641.71平方公里，占全市国土面积的16.52%，一般管控单元5个，面积为7225.23平方公里，占全市国土面积的72.7%。本项目位于宿州市</w:t>
            </w:r>
            <w:r>
              <w:rPr>
                <w:rFonts w:hint="eastAsia" w:ascii="宋体" w:hAnsi="宋体" w:eastAsia="宋体" w:cs="宋体"/>
                <w:color w:val="auto"/>
                <w:sz w:val="24"/>
              </w:rPr>
              <w:t>“三线一单”</w:t>
            </w:r>
            <w:r>
              <w:rPr>
                <w:rFonts w:hint="default" w:ascii="Times New Roman" w:hAnsi="Times New Roman" w:cs="Times New Roman"/>
                <w:color w:val="auto"/>
                <w:sz w:val="24"/>
              </w:rPr>
              <w:t>生态环境分区管控的</w:t>
            </w:r>
            <w:r>
              <w:rPr>
                <w:rFonts w:hint="eastAsia" w:cs="Times New Roman"/>
                <w:color w:val="auto"/>
                <w:sz w:val="24"/>
                <w:lang w:val="en-US" w:eastAsia="zh-CN"/>
              </w:rPr>
              <w:t>重点</w:t>
            </w:r>
            <w:r>
              <w:rPr>
                <w:rFonts w:hint="default" w:ascii="Times New Roman" w:hAnsi="Times New Roman" w:cs="Times New Roman"/>
                <w:color w:val="auto"/>
                <w:sz w:val="24"/>
              </w:rPr>
              <w:t>管控单元内（环境管控单元编码：ZH34130220330）。详见下图。与宿州市分区管控要求分析内容见</w:t>
            </w:r>
            <w:r>
              <w:rPr>
                <w:rFonts w:hint="eastAsia" w:ascii="Times New Roman" w:hAnsi="Times New Roman" w:cs="Times New Roman"/>
                <w:color w:val="auto"/>
                <w:sz w:val="24"/>
                <w:lang w:eastAsia="zh-CN"/>
              </w:rPr>
              <w:t>表</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3</w:t>
            </w:r>
            <w:r>
              <w:rPr>
                <w:rFonts w:hint="default" w:ascii="Times New Roman" w:hAnsi="Times New Roman" w:cs="Times New Roman"/>
                <w:color w:val="auto"/>
                <w:sz w:val="24"/>
              </w:rPr>
              <w:t>。</w:t>
            </w:r>
          </w:p>
          <w:p w14:paraId="3203B10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sz w:val="24"/>
              </w:rPr>
            </w:pPr>
          </w:p>
          <w:p w14:paraId="44F19B6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color w:val="auto"/>
                <w:sz w:val="24"/>
                <w:lang w:val="en-US" w:eastAsia="zh-CN"/>
              </w:rPr>
            </w:pPr>
          </w:p>
          <w:p w14:paraId="0FAD893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Times New Roman"/>
                <w:color w:val="auto"/>
                <w:sz w:val="24"/>
                <w:lang w:val="en-US" w:eastAsia="zh-CN"/>
              </w:rPr>
            </w:pPr>
          </w:p>
          <w:p w14:paraId="7CEA294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lang w:val="en-US" w:eastAsia="zh-CN"/>
              </w:rPr>
            </w:pPr>
          </w:p>
          <w:p w14:paraId="670EE41B">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snapToGrid/>
                <w:color w:val="auto"/>
                <w:spacing w:val="0"/>
                <w:kern w:val="0"/>
                <w:position w:val="0"/>
                <w:sz w:val="24"/>
                <w:szCs w:val="24"/>
                <w:lang w:eastAsia="zh-CN"/>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1223645</wp:posOffset>
                      </wp:positionH>
                      <wp:positionV relativeFrom="paragraph">
                        <wp:posOffset>774700</wp:posOffset>
                      </wp:positionV>
                      <wp:extent cx="1000125" cy="323850"/>
                      <wp:effectExtent l="6350" t="6350" r="269875" b="298450"/>
                      <wp:wrapNone/>
                      <wp:docPr id="3" name="矩形标注 3"/>
                      <wp:cNvGraphicFramePr/>
                      <a:graphic xmlns:a="http://schemas.openxmlformats.org/drawingml/2006/main">
                        <a:graphicData uri="http://schemas.microsoft.com/office/word/2010/wordprocessingShape">
                          <wps:wsp>
                            <wps:cNvSpPr/>
                            <wps:spPr>
                              <a:xfrm>
                                <a:off x="2299335" y="1516380"/>
                                <a:ext cx="1000125" cy="323850"/>
                              </a:xfrm>
                              <a:prstGeom prst="wedgeRectCallout">
                                <a:avLst>
                                  <a:gd name="adj1" fmla="val 71523"/>
                                  <a:gd name="adj2" fmla="val 130196"/>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2A3137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项目所在地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96.35pt;margin-top:61pt;height:25.5pt;width:78.75pt;z-index:251659264;v-text-anchor:middle;mso-width-relative:page;mso-height-relative:page;" fillcolor="#FFFFFF [3212]" filled="t" stroked="t" coordsize="21600,21600" o:gfxdata="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FqsQ92AAAAAsBAAAPAAAAAAAAAAEA&#10;IAAAACIAAABkcnMvZG93bnJldi54bWxQSwECFAAUAAAACACHTuJA1oyOz7oCAABvBQAADgAAAAAA&#10;AAABACAAAAAnAQAAZHJzL2Uyb0RvYy54bWxQSwUGAAAAAAYABgBZAQAAUwYAAAAA&#10;" adj="26249,38922">
                      <v:fill on="t" focussize="0,0"/>
                      <v:stroke weight="1pt" color="#000000 [3213]" miterlimit="8" joinstyle="miter"/>
                      <v:imagedata o:title=""/>
                      <o:lock v:ext="edit" aspectratio="f"/>
                      <v:textbox>
                        <w:txbxContent>
                          <w:p w14:paraId="12A3137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项目所在地</w:t>
                            </w:r>
                          </w:p>
                        </w:txbxContent>
                      </v:textbox>
                    </v:shape>
                  </w:pict>
                </mc:Fallback>
              </mc:AlternateContent>
            </w:r>
            <w:r>
              <w:rPr>
                <w:color w:val="auto"/>
              </w:rPr>
              <w:drawing>
                <wp:inline distT="0" distB="0" distL="114300" distR="114300">
                  <wp:extent cx="4747260" cy="2771775"/>
                  <wp:effectExtent l="0" t="0" r="15240"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4747260" cy="2771775"/>
                          </a:xfrm>
                          <a:prstGeom prst="rect">
                            <a:avLst/>
                          </a:prstGeom>
                          <a:noFill/>
                          <a:ln>
                            <a:noFill/>
                          </a:ln>
                        </pic:spPr>
                      </pic:pic>
                    </a:graphicData>
                  </a:graphic>
                </wp:inline>
              </w:drawing>
            </w:r>
          </w:p>
          <w:p w14:paraId="6296AF8F">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cs="Times New Roman"/>
                <w:b/>
                <w:bCs/>
                <w:color w:val="auto"/>
                <w:sz w:val="24"/>
                <w:szCs w:val="32"/>
                <w:lang w:eastAsia="zh-CN"/>
              </w:rPr>
              <w:t>图</w:t>
            </w:r>
            <w:r>
              <w:rPr>
                <w:rFonts w:hint="default" w:ascii="Times New Roman" w:hAnsi="Times New Roman" w:cs="Times New Roman"/>
                <w:b/>
                <w:bCs/>
                <w:color w:val="auto"/>
                <w:sz w:val="24"/>
                <w:szCs w:val="32"/>
                <w:lang w:val="en-US" w:eastAsia="zh-CN"/>
              </w:rPr>
              <w:t xml:space="preserve">1.1  </w:t>
            </w:r>
            <w:r>
              <w:rPr>
                <w:rFonts w:hint="default" w:ascii="Times New Roman" w:hAnsi="Times New Roman" w:eastAsia="宋体" w:cs="Times New Roman"/>
                <w:b/>
                <w:bCs/>
                <w:color w:val="auto"/>
                <w:kern w:val="0"/>
                <w:sz w:val="24"/>
                <w:szCs w:val="24"/>
                <w:lang w:val="en-US" w:eastAsia="zh-CN" w:bidi="ar"/>
              </w:rPr>
              <w:t>管控单元位置示意图</w:t>
            </w:r>
          </w:p>
          <w:p w14:paraId="216AEE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color w:val="auto"/>
              </w:rPr>
            </w:pPr>
            <w:r>
              <w:rPr>
                <w:rFonts w:hint="eastAsia" w:ascii="宋体" w:hAnsi="宋体" w:eastAsia="宋体" w:cs="宋体"/>
                <w:b/>
                <w:bCs/>
                <w:color w:val="auto"/>
                <w:kern w:val="0"/>
                <w:sz w:val="24"/>
                <w:szCs w:val="24"/>
                <w:lang w:val="en-US" w:eastAsia="zh-CN" w:bidi="ar"/>
              </w:rPr>
              <w:t>表</w:t>
            </w:r>
            <w:r>
              <w:rPr>
                <w:rFonts w:hint="default" w:ascii="Times New Roman" w:hAnsi="Times New Roman" w:eastAsia="宋体" w:cs="Times New Roman"/>
                <w:b/>
                <w:bCs/>
                <w:color w:val="auto"/>
                <w:kern w:val="0"/>
                <w:sz w:val="24"/>
                <w:szCs w:val="24"/>
                <w:lang w:val="en-US" w:eastAsia="zh-CN" w:bidi="ar"/>
              </w:rPr>
              <w:t>1</w:t>
            </w:r>
            <w:r>
              <w:rPr>
                <w:rFonts w:hint="eastAsia" w:ascii="Times New Roman" w:hAnsi="Times New Roman" w:eastAsia="宋体" w:cs="Times New Roman"/>
                <w:b/>
                <w:bCs/>
                <w:color w:val="auto"/>
                <w:kern w:val="0"/>
                <w:sz w:val="24"/>
                <w:szCs w:val="24"/>
                <w:lang w:val="en-US" w:eastAsia="zh-CN" w:bidi="ar"/>
              </w:rPr>
              <w:t>.</w:t>
            </w:r>
            <w:r>
              <w:rPr>
                <w:rFonts w:hint="eastAsia" w:cs="Times New Roman"/>
                <w:b/>
                <w:bCs/>
                <w:color w:val="auto"/>
                <w:kern w:val="0"/>
                <w:sz w:val="24"/>
                <w:szCs w:val="24"/>
                <w:lang w:val="en-US" w:eastAsia="zh-CN" w:bidi="ar"/>
              </w:rPr>
              <w:t>3</w:t>
            </w:r>
            <w:r>
              <w:rPr>
                <w:rFonts w:hint="eastAsia" w:ascii="Times New Roman" w:hAnsi="Times New Roman" w:eastAsia="宋体" w:cs="Times New Roman"/>
                <w:b/>
                <w:bCs/>
                <w:color w:val="auto"/>
                <w:kern w:val="0"/>
                <w:sz w:val="24"/>
                <w:szCs w:val="24"/>
                <w:lang w:val="en-US" w:eastAsia="zh-CN" w:bidi="ar"/>
              </w:rPr>
              <w:t xml:space="preserve"> </w:t>
            </w:r>
            <w:r>
              <w:rPr>
                <w:rFonts w:hint="eastAsia" w:cs="Times New Roman"/>
                <w:b/>
                <w:bCs/>
                <w:color w:val="auto"/>
                <w:kern w:val="0"/>
                <w:sz w:val="24"/>
                <w:szCs w:val="24"/>
                <w:lang w:val="en-US" w:eastAsia="zh-CN" w:bidi="ar"/>
              </w:rPr>
              <w:t xml:space="preserve"> </w:t>
            </w:r>
            <w:r>
              <w:rPr>
                <w:rFonts w:hint="eastAsia" w:ascii="宋体" w:hAnsi="宋体" w:eastAsia="宋体" w:cs="宋体"/>
                <w:b/>
                <w:bCs/>
                <w:color w:val="auto"/>
                <w:kern w:val="0"/>
                <w:sz w:val="24"/>
                <w:szCs w:val="24"/>
                <w:lang w:val="en-US" w:eastAsia="zh-CN" w:bidi="ar"/>
              </w:rPr>
              <w:t>本项目涉及“三线一单”管控单元及管控要求</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19"/>
              <w:gridCol w:w="551"/>
              <w:gridCol w:w="5234"/>
              <w:gridCol w:w="669"/>
            </w:tblGrid>
            <w:tr w14:paraId="78B3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noWrap w:val="0"/>
                  <w:vAlign w:val="center"/>
                </w:tcPr>
                <w:p w14:paraId="120D8051">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413" w:type="pct"/>
                  <w:noWrap w:val="0"/>
                  <w:vAlign w:val="center"/>
                </w:tcPr>
                <w:p w14:paraId="2964C06D">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管控名称</w:t>
                  </w:r>
                </w:p>
              </w:tc>
              <w:tc>
                <w:tcPr>
                  <w:tcW w:w="3856" w:type="pct"/>
                  <w:gridSpan w:val="2"/>
                  <w:noWrap w:val="0"/>
                  <w:vAlign w:val="center"/>
                </w:tcPr>
                <w:p w14:paraId="3BED9454">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管控要求</w:t>
                  </w:r>
                </w:p>
              </w:tc>
              <w:tc>
                <w:tcPr>
                  <w:tcW w:w="446" w:type="pct"/>
                  <w:noWrap w:val="0"/>
                  <w:vAlign w:val="center"/>
                </w:tcPr>
                <w:p w14:paraId="5BB80C3B">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相符性分析</w:t>
                  </w:r>
                </w:p>
              </w:tc>
            </w:tr>
            <w:tr w14:paraId="7FB3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noWrap w:val="0"/>
                  <w:vAlign w:val="center"/>
                </w:tcPr>
                <w:p w14:paraId="675FDC1D">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413" w:type="pct"/>
                  <w:vMerge w:val="restart"/>
                  <w:noWrap w:val="0"/>
                  <w:vAlign w:val="center"/>
                </w:tcPr>
                <w:p w14:paraId="52D7B4B7">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重点管控单元</w:t>
                  </w:r>
                </w:p>
              </w:tc>
              <w:tc>
                <w:tcPr>
                  <w:tcW w:w="367" w:type="pct"/>
                  <w:noWrap w:val="0"/>
                  <w:vAlign w:val="center"/>
                </w:tcPr>
                <w:p w14:paraId="60B2ADFE">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大气环境-受体敏感重点管控区</w:t>
                  </w:r>
                </w:p>
              </w:tc>
              <w:tc>
                <w:tcPr>
                  <w:tcW w:w="3489" w:type="pct"/>
                  <w:noWrap w:val="0"/>
                  <w:vAlign w:val="center"/>
                </w:tcPr>
                <w:p w14:paraId="647BD3BB">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1.在城市城区及其近郊禁止新建、扩建钢铁、有色、石化、水泥、化工等重污染企业。2.禁止新建燃料类煤气发生炉（园区现有企业统一建设的清洁煤制气中心除外）。3.严禁新增钢铁、焦化、电解铝、铸造、水泥和平板玻璃等产能；严格执行钢铁、水泥、平板玻璃等行业产能置换实施办法。4.禁止建设生产和使用高 VOCs 含量的溶剂型涂料、油墨、胶粘剂等项目。5.禁止建设生产和使用高 VOCs 含量的溶剂型涂料、油墨、胶粘剂等项目。6.禁止新增化工园区。原则上禁止新建露天矿山建设项目。7.非电行业新建项目，禁止配套建设自备纯凝、抽凝燃煤电站。8.在城市建成区及居民区、医院、学校等环境敏感区域，严禁现场露天灰土拌合。9.在城市规划区内禁止新建、扩建大气污染严重的建设项目。10.禁止高灰分、高硫分煤炭进入市场。新建煤矿应当同步建设煤炭洗选设施，已建成的煤矿所采煤炭属于高灰分、高硫分的，应当在国家和省规定的期限内建成配套的煤炭洗选设施，使煤炭中的灰分、硫分达到规定的标准。11.禁止在人口集中本项目不涉及禁止或限制行为，符合相关管控要求项目所在地5地区、机场周围、交通干线附近以及当地人民政府划定的区域露天焚烧秸杆、落叶、垃圾等产生烟尘污染的物质。12.在燃气管网和集中供热管网覆盖的区域，不得新建、扩建、改建燃烧煤炭、重油、渣油的供热设施；原有分散的中小型燃煤供热锅炉应当限期拆除。13.禁止在居民住宅楼、未配套设立专用烟道的商住综合楼、商住综合楼内与居住层相邻的商业楼层内新建、改建、扩建产生油烟、异味、废气的饮食服务项目。14.任何单位和个人不得在政府划定的禁止露天烧烤区域内露天烧烤食品或者为露天烧烤食品提供场地。15.在机关、学校、医院、居民住宅区等人口集中地区和其他依法需要特殊保护的区域内，禁止从事下列生产活动：（1）橡胶制品生产、经营性喷漆、制骨胶、制骨粉、屠宰、畜禽养殖、生物发酵等产生恶臭、有毒有害气体的生产经营活动；（2）露天焚烧油毡、沥青、橡胶、塑料、皮革、垃圾或者其他可能产生恶臭、有毒有害气体的活动。16.严禁钢铁、水泥、电解铝、平板玻璃等行业新增产能，对确有必要新建的必须实施等量或减量置换。17.禁止淘汰落后类的产业进入开发区。18.在城市建成区，禁止新建VOCs 高污染企业。19.加大钢铁、铸造、炼焦、建材、电解铝等产能压减力度。20.严格资源节约和环保准入门槛，转入项目必须符合国家产业政策、资源节约和污染物排放强度要求，避免产业转移中的资源浪费和污染扩散。21.对污染治理不规范的露天矿山，依法责令停产整治，整治完成并经相关部门组织验收合格后方可恢复生产。22.加大落后产能淘汰和过剩产能压减力度。严防</w:t>
                  </w:r>
                  <w:r>
                    <w:rPr>
                      <w:rFonts w:hint="eastAsia" w:ascii="宋体" w:hAnsi="宋体" w:eastAsia="宋体" w:cs="宋体"/>
                      <w:color w:val="auto"/>
                      <w:sz w:val="21"/>
                      <w:szCs w:val="21"/>
                      <w:vertAlign w:val="baseline"/>
                      <w:lang w:val="en-US" w:eastAsia="zh-CN"/>
                    </w:rPr>
                    <w:t>“地条钢”</w:t>
                  </w:r>
                  <w:r>
                    <w:rPr>
                      <w:rFonts w:hint="default"/>
                      <w:color w:val="auto"/>
                      <w:sz w:val="21"/>
                      <w:szCs w:val="21"/>
                      <w:vertAlign w:val="baseline"/>
                      <w:lang w:val="en-US" w:eastAsia="zh-CN"/>
                    </w:rPr>
                    <w:t>死灰复燃。</w:t>
                  </w:r>
                </w:p>
              </w:tc>
              <w:tc>
                <w:tcPr>
                  <w:tcW w:w="446" w:type="pct"/>
                  <w:noWrap w:val="0"/>
                  <w:vAlign w:val="center"/>
                </w:tcPr>
                <w:p w14:paraId="5F569900">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本项目不涉及禁止或限制行为，符合相关管控要求</w:t>
                  </w:r>
                </w:p>
              </w:tc>
            </w:tr>
            <w:tr w14:paraId="669D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noWrap w:val="0"/>
                  <w:vAlign w:val="center"/>
                </w:tcPr>
                <w:p w14:paraId="69E3D8DA">
                  <w:pPr>
                    <w:keepNext w:val="0"/>
                    <w:keepLines w:val="0"/>
                    <w:pageBreakBefore w:val="0"/>
                    <w:widowControl/>
                    <w:suppressLineNumbers w:val="0"/>
                    <w:kinsoku/>
                    <w:wordWrap/>
                    <w:overflowPunct/>
                    <w:topLinePunct w:val="0"/>
                    <w:bidi w:val="0"/>
                    <w:snapToGrid/>
                    <w:ind w:firstLine="0" w:firstLineChars="0"/>
                    <w:jc w:val="center"/>
                    <w:textAlignment w:val="auto"/>
                    <w:rPr>
                      <w:rFonts w:hint="default"/>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2</w:t>
                  </w:r>
                </w:p>
              </w:tc>
              <w:tc>
                <w:tcPr>
                  <w:tcW w:w="413" w:type="pct"/>
                  <w:vMerge w:val="continue"/>
                  <w:noWrap w:val="0"/>
                  <w:vAlign w:val="center"/>
                </w:tcPr>
                <w:p w14:paraId="3191CC4A">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color w:val="auto"/>
                      <w:sz w:val="21"/>
                      <w:szCs w:val="21"/>
                      <w:vertAlign w:val="baseline"/>
                      <w:lang w:val="en-US" w:eastAsia="zh-CN"/>
                    </w:rPr>
                  </w:pPr>
                </w:p>
              </w:tc>
              <w:tc>
                <w:tcPr>
                  <w:tcW w:w="367" w:type="pct"/>
                  <w:noWrap w:val="0"/>
                  <w:vAlign w:val="center"/>
                </w:tcPr>
                <w:p w14:paraId="7B9816F4">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水环境</w:t>
                  </w:r>
                  <w:r>
                    <w:rPr>
                      <w:rFonts w:hint="eastAsia"/>
                      <w:color w:val="auto"/>
                      <w:sz w:val="21"/>
                      <w:szCs w:val="21"/>
                      <w:vertAlign w:val="baseline"/>
                      <w:lang w:val="en-US" w:eastAsia="zh-CN"/>
                    </w:rPr>
                    <w:t>工业</w:t>
                  </w:r>
                  <w:r>
                    <w:rPr>
                      <w:rFonts w:hint="default"/>
                      <w:color w:val="auto"/>
                      <w:sz w:val="21"/>
                      <w:szCs w:val="21"/>
                      <w:vertAlign w:val="baseline"/>
                      <w:lang w:val="en-US" w:eastAsia="zh-CN"/>
                    </w:rPr>
                    <w:t>污染重点管控区</w:t>
                  </w:r>
                </w:p>
              </w:tc>
              <w:tc>
                <w:tcPr>
                  <w:tcW w:w="3489" w:type="pct"/>
                  <w:noWrap w:val="0"/>
                  <w:vAlign w:val="center"/>
                </w:tcPr>
                <w:p w14:paraId="3E141843">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default" w:ascii="Times New Roman" w:hAnsi="Times New Roman" w:eastAsia="宋体" w:cs="Times New Roman"/>
                      <w:color w:val="auto"/>
                      <w:sz w:val="21"/>
                      <w:szCs w:val="21"/>
                      <w:highlight w:val="none"/>
                    </w:rPr>
                    <w:t>取缔“十小”企业。全面排查装备水平低、环保设施差的小型工业企业。按照水污染防治法律法规要求，全面排查和取缔不符合国家产业政策的小型造纸、制革、印染、染料、炼焦、炼硫、炼砷、炼油、电镀、农药等严重污染水环境的生产项目</w:t>
                  </w:r>
                  <w:r>
                    <w:rPr>
                      <w:rFonts w:hint="default"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highlight w:val="none"/>
                    </w:rPr>
                    <w:t>严格城市规划蓝线管理，城市规划区范围内应保留一定比例的水域面积，现有水域面积不得减少。新建项目一律不得违规占用水域。</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落实磷石膏综合利用途径，综合利用不畅的可利用现有磷石膏库堆存，不得新建、扩建磷石膏库(暂存场除外)。</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合理确定发展布局、结构和规模。充分考虑水环境承载能力和水资源开发利用效率，以水定城、以水定地、以水定人、以水定产。重大项目原则上布局在优化开发区和重点开发区，并符合城乡规划和土地利用总体规划。</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新建、扩建磷化工项目应布设在依法合规设立的化工园区或具有化工定位的产业园区内，所在化工园区或产业园区应依法开展规划环境影响评价工作，磷化工建设项目应符合园区规划及规划环评要求。</w:t>
                  </w:r>
                </w:p>
              </w:tc>
              <w:tc>
                <w:tcPr>
                  <w:tcW w:w="446" w:type="pct"/>
                  <w:noWrap w:val="0"/>
                  <w:vAlign w:val="center"/>
                </w:tcPr>
                <w:p w14:paraId="191DA463">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本项目不涉及禁止或限制行为，符合相关管控要求</w:t>
                  </w:r>
                </w:p>
              </w:tc>
            </w:tr>
            <w:tr w14:paraId="2482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noWrap w:val="0"/>
                  <w:vAlign w:val="center"/>
                </w:tcPr>
                <w:p w14:paraId="0058E3F6">
                  <w:pPr>
                    <w:pStyle w:val="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ind w:left="0" w:leftChars="0" w:firstLine="0" w:firstLineChars="0"/>
                    <w:jc w:val="both"/>
                    <w:textAlignment w:val="auto"/>
                    <w:rPr>
                      <w:rFonts w:hint="default" w:ascii="Times New Roman" w:hAnsi="Times New Roman" w:eastAsia="宋体" w:cs="Times New Roman"/>
                      <w:color w:val="auto"/>
                      <w:kern w:val="0"/>
                      <w:sz w:val="21"/>
                      <w:szCs w:val="21"/>
                      <w:lang w:val="en-US" w:eastAsia="zh-CN" w:bidi="ar"/>
                    </w:rPr>
                  </w:pPr>
                  <w:r>
                    <w:rPr>
                      <w:rFonts w:hint="eastAsia"/>
                      <w:color w:val="auto"/>
                      <w:sz w:val="21"/>
                      <w:szCs w:val="21"/>
                      <w:vertAlign w:val="baseline"/>
                      <w:lang w:val="en-US" w:eastAsia="zh-CN"/>
                    </w:rPr>
                    <w:t>3</w:t>
                  </w:r>
                </w:p>
              </w:tc>
              <w:tc>
                <w:tcPr>
                  <w:tcW w:w="619" w:type="dxa"/>
                  <w:noWrap w:val="0"/>
                  <w:vAlign w:val="center"/>
                </w:tcPr>
                <w:p w14:paraId="0DE8F55A">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一般管控单元</w:t>
                  </w:r>
                </w:p>
              </w:tc>
              <w:tc>
                <w:tcPr>
                  <w:tcW w:w="551" w:type="dxa"/>
                  <w:noWrap w:val="0"/>
                  <w:vAlign w:val="center"/>
                </w:tcPr>
                <w:p w14:paraId="1B574197">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土壤一般管控区</w:t>
                  </w:r>
                </w:p>
              </w:tc>
              <w:tc>
                <w:tcPr>
                  <w:tcW w:w="5234" w:type="dxa"/>
                  <w:noWrap w:val="0"/>
                  <w:vAlign w:val="center"/>
                </w:tcPr>
                <w:p w14:paraId="0C7C19E0">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color w:val="auto"/>
                      <w:sz w:val="21"/>
                      <w:szCs w:val="21"/>
                      <w:vertAlign w:val="baseline"/>
                      <w:lang w:val="en-US" w:eastAsia="zh-CN"/>
                    </w:rPr>
                    <w:t>依据《中华人民共和国水污染防治法》《水污染防治行动计划》《安徽省水污染防治工作方案》及各市水污染防治工作方案对一般管控区实施管控；依据《安徽省淮河流域水污染防治条例》对淮河流域实施管控。</w:t>
                  </w:r>
                </w:p>
              </w:tc>
              <w:tc>
                <w:tcPr>
                  <w:tcW w:w="669" w:type="dxa"/>
                  <w:noWrap w:val="0"/>
                  <w:vAlign w:val="center"/>
                </w:tcPr>
                <w:p w14:paraId="63732F15">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textAlignment w:val="auto"/>
                    <w:rPr>
                      <w:rFonts w:hint="default"/>
                      <w:color w:val="auto"/>
                      <w:sz w:val="21"/>
                      <w:szCs w:val="21"/>
                      <w:vertAlign w:val="baseline"/>
                      <w:lang w:val="en-US" w:eastAsia="zh-CN"/>
                    </w:rPr>
                  </w:pPr>
                  <w:r>
                    <w:rPr>
                      <w:rFonts w:hint="default"/>
                      <w:color w:val="auto"/>
                      <w:sz w:val="21"/>
                      <w:szCs w:val="21"/>
                      <w:vertAlign w:val="baseline"/>
                      <w:lang w:val="en-US" w:eastAsia="zh-CN"/>
                    </w:rPr>
                    <w:t>本项目不涉及禁止或限制行为，符合相关管控要求</w:t>
                  </w:r>
                </w:p>
              </w:tc>
            </w:tr>
          </w:tbl>
          <w:p w14:paraId="674EF21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Times New Roman" w:hAnsi="Times New Roman" w:eastAsia="宋体" w:cs="Times New Roman"/>
                <w:color w:val="auto"/>
                <w:sz w:val="24"/>
                <w:szCs w:val="24"/>
                <w:highlight w:val="none"/>
                <w:lang w:eastAsia="zh-CN"/>
              </w:rPr>
            </w:pPr>
            <w:r>
              <w:rPr>
                <w:rFonts w:hint="eastAsia" w:ascii="宋体" w:hAnsi="宋体" w:eastAsia="宋体" w:cs="宋体"/>
                <w:color w:val="auto"/>
                <w:kern w:val="0"/>
                <w:sz w:val="24"/>
                <w:szCs w:val="24"/>
                <w:lang w:val="en-US" w:eastAsia="zh-CN" w:bidi="ar"/>
              </w:rPr>
              <w:t>综上所述，本项目建设满足生态保护红线、环境质量底线、资源利用上线，且不在环境准入负面清单中，符合“三线一单与分区管控”要求。</w:t>
            </w:r>
          </w:p>
          <w:p w14:paraId="78154B82">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产业政策符合性</w:t>
            </w:r>
          </w:p>
          <w:p w14:paraId="2A0A0A54">
            <w:pPr>
              <w:widowControl w:val="0"/>
              <w:autoSpaceDE w:val="0"/>
              <w:autoSpaceDN w:val="0"/>
              <w:adjustRightInd w:val="0"/>
              <w:snapToGrid w:val="0"/>
              <w:spacing w:line="360" w:lineRule="auto"/>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val="0"/>
                <w:color w:val="auto"/>
                <w:sz w:val="24"/>
                <w:szCs w:val="24"/>
                <w:lang w:val="en-US" w:eastAsia="zh-CN"/>
              </w:rPr>
              <w:t>根据《产业结构调整指导目录》（</w:t>
            </w:r>
            <w:r>
              <w:rPr>
                <w:rFonts w:hint="eastAsia" w:ascii="Times New Roman" w:hAnsi="Times New Roman" w:eastAsia="宋体" w:cs="Times New Roman"/>
                <w:color w:val="auto"/>
                <w:kern w:val="0"/>
                <w:sz w:val="24"/>
                <w:szCs w:val="24"/>
                <w:highlight w:val="none"/>
                <w:lang w:val="en-US" w:eastAsia="zh-CN" w:bidi="ar-SA"/>
              </w:rPr>
              <w:t>20</w:t>
            </w:r>
            <w:r>
              <w:rPr>
                <w:rFonts w:hint="eastAsia" w:cs="Times New Roman"/>
                <w:color w:val="auto"/>
                <w:kern w:val="0"/>
                <w:sz w:val="24"/>
                <w:szCs w:val="24"/>
                <w:highlight w:val="none"/>
                <w:lang w:val="en-US" w:eastAsia="zh-CN" w:bidi="ar-SA"/>
              </w:rPr>
              <w:t>24</w:t>
            </w:r>
            <w:r>
              <w:rPr>
                <w:rFonts w:hint="eastAsia" w:ascii="Times New Roman" w:hAnsi="Times New Roman" w:eastAsia="宋体" w:cs="Times New Roman"/>
                <w:color w:val="auto"/>
                <w:kern w:val="0"/>
                <w:sz w:val="24"/>
                <w:szCs w:val="24"/>
                <w:highlight w:val="none"/>
                <w:lang w:val="en-US" w:eastAsia="zh-CN" w:bidi="ar-SA"/>
              </w:rPr>
              <w:t>年本</w:t>
            </w:r>
            <w:r>
              <w:rPr>
                <w:rFonts w:hint="eastAsia"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color w:val="auto"/>
                <w:kern w:val="2"/>
                <w:sz w:val="24"/>
                <w:szCs w:val="24"/>
                <w:highlight w:val="none"/>
                <w:lang w:val="en-US" w:eastAsia="zh-CN" w:bidi="ar-SA"/>
              </w:rPr>
              <w:t>，本项目为</w:t>
            </w:r>
            <w:r>
              <w:rPr>
                <w:rFonts w:hint="eastAsia" w:ascii="宋体" w:hAnsi="宋体" w:eastAsia="宋体" w:cs="宋体"/>
                <w:color w:val="auto"/>
                <w:kern w:val="2"/>
                <w:sz w:val="24"/>
                <w:szCs w:val="24"/>
                <w:highlight w:val="none"/>
                <w:lang w:val="en-US" w:eastAsia="zh-CN" w:bidi="ar-SA"/>
              </w:rPr>
              <w:t>轴承制造</w:t>
            </w:r>
            <w:r>
              <w:rPr>
                <w:rFonts w:hint="eastAsia" w:ascii="Times New Roman" w:hAnsi="Times New Roman" w:eastAsia="宋体" w:cs="Times New Roman"/>
                <w:color w:val="auto"/>
                <w:kern w:val="2"/>
                <w:sz w:val="24"/>
                <w:szCs w:val="24"/>
                <w:highlight w:val="none"/>
                <w:lang w:val="en-US" w:eastAsia="zh-CN" w:bidi="ar-SA"/>
              </w:rPr>
              <w:t>，不属于鼓励类、限制类和淘汰类，属于允许类。因此，项目建设符合国家产业政策要求。</w:t>
            </w:r>
          </w:p>
          <w:p w14:paraId="78FBB915">
            <w:pPr>
              <w:adjustRightInd w:val="0"/>
              <w:snapToGrid w:val="0"/>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灵璧县发展与改革委员会</w:t>
            </w:r>
            <w:r>
              <w:rPr>
                <w:rFonts w:ascii="Times New Roman" w:hAnsi="Times New Roman" w:eastAsia="宋体" w:cs="Times New Roman"/>
                <w:color w:val="auto"/>
                <w:sz w:val="24"/>
                <w:highlight w:val="none"/>
              </w:rPr>
              <w:t>对该项目予以备案</w:t>
            </w:r>
            <w:r>
              <w:rPr>
                <w:rFonts w:hint="eastAsia" w:cs="Times New Roman"/>
                <w:color w:val="auto"/>
                <w:sz w:val="24"/>
                <w:highlight w:val="none"/>
                <w:lang w:eastAsia="zh-CN"/>
              </w:rPr>
              <w:t>，</w:t>
            </w:r>
            <w:r>
              <w:rPr>
                <w:rFonts w:ascii="Times New Roman" w:hAnsi="Times New Roman" w:eastAsia="宋体" w:cs="Times New Roman"/>
                <w:color w:val="auto"/>
                <w:sz w:val="24"/>
                <w:highlight w:val="none"/>
              </w:rPr>
              <w:t>项目代码为：</w:t>
            </w:r>
            <w:r>
              <w:rPr>
                <w:rFonts w:hint="eastAsia" w:cs="Times New Roman"/>
                <w:color w:val="auto"/>
                <w:sz w:val="24"/>
                <w:szCs w:val="24"/>
                <w:highlight w:val="none"/>
                <w:lang w:val="en-US" w:eastAsia="zh-CN"/>
              </w:rPr>
              <w:t>2309-341323-04-01-995933</w:t>
            </w:r>
            <w:r>
              <w:rPr>
                <w:rFonts w:ascii="Times New Roman" w:hAnsi="Times New Roman" w:eastAsia="宋体" w:cs="Times New Roman"/>
                <w:color w:val="auto"/>
                <w:sz w:val="24"/>
                <w:highlight w:val="none"/>
              </w:rPr>
              <w:t>。</w:t>
            </w:r>
            <w:r>
              <w:rPr>
                <w:rFonts w:ascii="Times New Roman" w:hAnsi="Times New Roman" w:eastAsia="宋体" w:cs="Times New Roman"/>
                <w:snapToGrid w:val="0"/>
                <w:color w:val="auto"/>
                <w:sz w:val="24"/>
                <w:highlight w:val="none"/>
              </w:rPr>
              <w:t>因此，项目的建设符合地方的产业政策。</w:t>
            </w:r>
          </w:p>
          <w:p w14:paraId="75C746CF">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综上所述，项目的建设符合国家及地方的产业政策要求。</w:t>
            </w:r>
          </w:p>
          <w:p w14:paraId="71679E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w:t>
            </w:r>
            <w:r>
              <w:rPr>
                <w:rFonts w:hint="eastAsia" w:ascii="Times New Roman" w:hAnsi="Times New Roman" w:cs="Times New Roman"/>
                <w:b/>
                <w:bCs/>
                <w:color w:val="auto"/>
                <w:sz w:val="24"/>
                <w:szCs w:val="24"/>
                <w:highlight w:val="none"/>
                <w:lang w:val="en-US" w:eastAsia="zh-CN"/>
              </w:rPr>
              <w:t>、环境相容性分析</w:t>
            </w:r>
          </w:p>
          <w:p w14:paraId="152D83E3">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项目建设地点</w:t>
            </w:r>
            <w:r>
              <w:rPr>
                <w:rFonts w:hint="default" w:ascii="Times New Roman" w:hAnsi="Times New Roman" w:eastAsia="宋体" w:cs="Times New Roman"/>
                <w:color w:val="auto"/>
                <w:sz w:val="24"/>
                <w:szCs w:val="24"/>
                <w:highlight w:val="none"/>
              </w:rPr>
              <w:t>位于</w:t>
            </w:r>
            <w:r>
              <w:rPr>
                <w:rFonts w:hint="default" w:ascii="Times New Roman" w:hAnsi="Times New Roman" w:eastAsia="宋体" w:cs="Times New Roman"/>
                <w:color w:val="auto"/>
                <w:sz w:val="24"/>
                <w:szCs w:val="24"/>
                <w:highlight w:val="none"/>
                <w:u w:val="none"/>
                <w:lang w:eastAsia="zh-CN"/>
              </w:rPr>
              <w:t>安徽</w:t>
            </w:r>
            <w:r>
              <w:rPr>
                <w:rFonts w:hint="default" w:ascii="Times New Roman" w:hAnsi="Times New Roman" w:eastAsia="宋体" w:cs="Times New Roman"/>
                <w:color w:val="auto"/>
                <w:sz w:val="24"/>
                <w:szCs w:val="24"/>
                <w:highlight w:val="none"/>
                <w:u w:val="none"/>
              </w:rPr>
              <w:t>省</w:t>
            </w:r>
            <w:r>
              <w:rPr>
                <w:rFonts w:hint="default" w:ascii="Times New Roman" w:hAnsi="Times New Roman" w:eastAsia="宋体" w:cs="Times New Roman"/>
                <w:color w:val="auto"/>
                <w:sz w:val="24"/>
                <w:szCs w:val="24"/>
                <w:highlight w:val="none"/>
                <w:u w:val="none"/>
                <w:lang w:eastAsia="zh-CN"/>
              </w:rPr>
              <w:t>宿州</w:t>
            </w:r>
            <w:r>
              <w:rPr>
                <w:rFonts w:hint="default" w:ascii="Times New Roman" w:hAnsi="Times New Roman" w:eastAsia="宋体" w:cs="Times New Roman"/>
                <w:color w:val="auto"/>
                <w:sz w:val="24"/>
                <w:szCs w:val="24"/>
                <w:highlight w:val="none"/>
                <w:u w:val="none"/>
              </w:rPr>
              <w:t>市</w:t>
            </w:r>
            <w:r>
              <w:rPr>
                <w:rFonts w:hint="eastAsia" w:eastAsia="宋体" w:cs="Times New Roman"/>
                <w:color w:val="auto"/>
                <w:sz w:val="24"/>
                <w:szCs w:val="24"/>
                <w:highlight w:val="none"/>
                <w:lang w:val="en-US" w:eastAsia="zh-CN"/>
              </w:rPr>
              <w:t>灵璧县北部经济开发区轴承产业基地AB区北侧重点区域</w:t>
            </w:r>
            <w:r>
              <w:rPr>
                <w:rFonts w:hint="default" w:ascii="Times New Roman" w:hAnsi="Times New Roman" w:cs="Times New Roman"/>
                <w:color w:val="auto"/>
                <w:sz w:val="24"/>
                <w:szCs w:val="24"/>
                <w:highlight w:val="none"/>
                <w:lang w:val="en-US" w:eastAsia="zh-CN"/>
              </w:rPr>
              <w:t>。根据现场踏勘，</w:t>
            </w:r>
            <w:r>
              <w:rPr>
                <w:rFonts w:hint="eastAsia" w:ascii="Times New Roman" w:hAnsi="Times New Roman" w:cs="Times New Roman"/>
                <w:color w:val="auto"/>
                <w:sz w:val="24"/>
                <w:szCs w:val="24"/>
                <w:highlight w:val="none"/>
                <w:lang w:val="en-US" w:eastAsia="zh-CN"/>
              </w:rPr>
              <w:t>项目周边入驻企业有</w:t>
            </w:r>
            <w:r>
              <w:rPr>
                <w:rFonts w:hint="eastAsia" w:cs="Times New Roman"/>
                <w:color w:val="auto"/>
                <w:sz w:val="24"/>
                <w:szCs w:val="24"/>
                <w:lang w:val="en-US" w:eastAsia="zh-CN"/>
              </w:rPr>
              <w:t>安徽硕久轴承科技有限公司</w:t>
            </w:r>
            <w:r>
              <w:rPr>
                <w:rFonts w:hint="eastAsia"/>
                <w:lang w:eastAsia="zh-CN"/>
              </w:rPr>
              <w:t>、</w:t>
            </w:r>
            <w:r>
              <w:rPr>
                <w:rFonts w:hint="eastAsia" w:ascii="Times New Roman" w:hAnsi="Times New Roman" w:cs="Times New Roman"/>
                <w:color w:val="auto"/>
                <w:sz w:val="24"/>
                <w:szCs w:val="24"/>
                <w:highlight w:val="none"/>
                <w:lang w:val="en-US" w:eastAsia="zh-CN"/>
              </w:rPr>
              <w:t>宿州佰晟机械科技有限责任公司</w:t>
            </w:r>
            <w:r>
              <w:rPr>
                <w:rFonts w:hint="eastAsia" w:ascii="Times New Roman" w:hAnsi="Times New Roman" w:eastAsia="宋体" w:cs="Times New Roman"/>
                <w:b w:val="0"/>
                <w:bCs w:val="0"/>
                <w:color w:val="auto"/>
                <w:sz w:val="24"/>
                <w:szCs w:val="24"/>
                <w:highlight w:val="none"/>
                <w:lang w:val="en-US" w:eastAsia="zh-CN"/>
              </w:rPr>
              <w:t>等</w:t>
            </w:r>
            <w:r>
              <w:rPr>
                <w:rFonts w:hint="eastAsia" w:ascii="Times New Roman" w:hAnsi="Times New Roman" w:cs="Times New Roman"/>
                <w:color w:val="auto"/>
                <w:sz w:val="24"/>
                <w:szCs w:val="24"/>
                <w:highlight w:val="none"/>
                <w:lang w:val="en-US" w:eastAsia="zh-CN"/>
              </w:rPr>
              <w:t>，周边都为轴承制造及轴承配套企业，对项目产生影响较小</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kern w:val="0"/>
                <w:sz w:val="24"/>
                <w:szCs w:val="24"/>
                <w:highlight w:val="none"/>
                <w:lang w:eastAsia="zh-CN"/>
              </w:rPr>
              <w:t>本</w:t>
            </w:r>
            <w:r>
              <w:rPr>
                <w:rFonts w:hint="eastAsia" w:ascii="Times New Roman" w:hAnsi="Times New Roman" w:eastAsia="宋体" w:cs="Times New Roman"/>
                <w:color w:val="auto"/>
                <w:kern w:val="0"/>
                <w:sz w:val="24"/>
                <w:szCs w:val="24"/>
                <w:highlight w:val="none"/>
                <w:lang w:eastAsia="zh-CN"/>
              </w:rPr>
              <w:t>项目</w:t>
            </w:r>
            <w:r>
              <w:rPr>
                <w:rFonts w:hint="eastAsia" w:ascii="Times New Roman" w:hAnsi="Times New Roman" w:cs="Times New Roman"/>
                <w:color w:val="auto"/>
                <w:sz w:val="24"/>
                <w:szCs w:val="24"/>
                <w:highlight w:val="none"/>
                <w:lang w:eastAsia="zh-CN"/>
              </w:rPr>
              <w:t>年产</w:t>
            </w:r>
            <w:r>
              <w:rPr>
                <w:rFonts w:hint="eastAsia" w:cs="Times New Roman"/>
                <w:color w:val="auto"/>
                <w:sz w:val="24"/>
                <w:szCs w:val="24"/>
                <w:highlight w:val="none"/>
                <w:lang w:val="en-US" w:eastAsia="zh-CN"/>
              </w:rPr>
              <w:t>3亿套轴承</w:t>
            </w:r>
            <w:r>
              <w:rPr>
                <w:rFonts w:hint="eastAsia" w:ascii="Times New Roman" w:hAnsi="Times New Roman" w:cs="Times New Roman"/>
                <w:color w:val="auto"/>
                <w:sz w:val="24"/>
                <w:szCs w:val="24"/>
                <w:highlight w:val="none"/>
                <w:lang w:val="en-US" w:eastAsia="zh-CN"/>
              </w:rPr>
              <w:t>，项目运营期产生污染物均经有效措施处理后达标排放</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对周边产生影响较小</w:t>
            </w:r>
            <w:r>
              <w:rPr>
                <w:rFonts w:hint="default" w:ascii="Times New Roman" w:hAnsi="Times New Roman" w:cs="Times New Roman"/>
                <w:color w:val="auto"/>
                <w:sz w:val="24"/>
                <w:szCs w:val="24"/>
                <w:highlight w:val="none"/>
                <w:lang w:val="en-US" w:eastAsia="zh-CN"/>
              </w:rPr>
              <w:t>。因此本项目选址与周边环境相容。</w:t>
            </w:r>
          </w:p>
          <w:p w14:paraId="0D4D9EB1">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p>
          <w:p w14:paraId="538EBBD5">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p>
          <w:p w14:paraId="025AD670">
            <w:pPr>
              <w:rPr>
                <w:rFonts w:hint="default" w:ascii="Times New Roman" w:hAnsi="Times New Roman" w:cs="Times New Roman"/>
                <w:color w:val="auto"/>
                <w:sz w:val="24"/>
                <w:szCs w:val="24"/>
                <w:highlight w:val="none"/>
                <w:lang w:val="en-US" w:eastAsia="zh-CN"/>
              </w:rPr>
            </w:pPr>
            <w:bookmarkStart w:id="2" w:name="_GoBack"/>
            <w:bookmarkEnd w:id="2"/>
          </w:p>
          <w:p w14:paraId="6224A1A2">
            <w:pPr>
              <w:pStyle w:val="12"/>
              <w:rPr>
                <w:rFonts w:hint="default" w:ascii="Times New Roman" w:hAnsi="Times New Roman" w:cs="Times New Roman"/>
                <w:color w:val="auto"/>
                <w:sz w:val="24"/>
                <w:szCs w:val="24"/>
                <w:highlight w:val="none"/>
                <w:lang w:val="en-US" w:eastAsia="zh-CN"/>
              </w:rPr>
            </w:pPr>
          </w:p>
          <w:p w14:paraId="3221ABD2">
            <w:pPr>
              <w:rPr>
                <w:rFonts w:hint="default"/>
                <w:color w:val="auto"/>
                <w:lang w:val="en-US" w:eastAsia="zh-CN"/>
              </w:rPr>
            </w:pPr>
          </w:p>
          <w:p w14:paraId="14BB87CD">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p>
          <w:p w14:paraId="1DA4B24F">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p>
          <w:p w14:paraId="3603E8F0">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p>
          <w:p w14:paraId="23C163AE">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p>
          <w:p w14:paraId="60F3AC64">
            <w:pPr>
              <w:pStyle w:val="15"/>
              <w:ind w:left="0" w:leftChars="0" w:firstLine="0" w:firstLineChars="0"/>
              <w:rPr>
                <w:rFonts w:hint="default"/>
                <w:color w:val="auto"/>
                <w:lang w:val="en-US" w:eastAsia="zh-CN"/>
              </w:rPr>
            </w:pPr>
          </w:p>
        </w:tc>
      </w:tr>
    </w:tbl>
    <w:p w14:paraId="58321149">
      <w:pPr>
        <w:spacing w:line="360" w:lineRule="auto"/>
        <w:outlineLvl w:val="0"/>
        <w:rPr>
          <w:rFonts w:hint="eastAsia"/>
          <w:color w:val="auto"/>
          <w:highlight w:val="yellow"/>
          <w:lang w:val="en-US" w:eastAsia="zh-CN"/>
        </w:rPr>
        <w:sectPr>
          <w:footerReference r:id="rId3" w:type="default"/>
          <w:pgSz w:w="11906" w:h="16838"/>
          <w:pgMar w:top="1440" w:right="1803" w:bottom="1440" w:left="1803" w:header="851" w:footer="1077" w:gutter="0"/>
          <w:pgBorders>
            <w:top w:val="none" w:sz="0" w:space="0"/>
            <w:left w:val="none" w:sz="0" w:space="0"/>
            <w:bottom w:val="none" w:sz="0" w:space="0"/>
            <w:right w:val="none" w:sz="0" w:space="0"/>
          </w:pgBorders>
          <w:pgNumType w:fmt="decimal"/>
          <w:cols w:space="720" w:num="1"/>
          <w:docGrid w:linePitch="312" w:charSpace="0"/>
        </w:sectPr>
      </w:pPr>
    </w:p>
    <w:p w14:paraId="05D3A522">
      <w:pPr>
        <w:pStyle w:val="2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eastAsia" w:ascii="宋体" w:hAnsi="宋体" w:eastAsia="宋体" w:cs="宋体"/>
          <w:b/>
          <w:bCs/>
          <w:snapToGrid w:val="0"/>
          <w:color w:val="auto"/>
          <w:sz w:val="30"/>
          <w:szCs w:val="30"/>
        </w:rPr>
      </w:pPr>
      <w:r>
        <w:rPr>
          <w:rFonts w:hint="eastAsia" w:ascii="宋体" w:hAnsi="宋体" w:eastAsia="宋体" w:cs="宋体"/>
          <w:b/>
          <w:bCs/>
          <w:snapToGrid w:val="0"/>
          <w:color w:val="auto"/>
          <w:sz w:val="30"/>
          <w:szCs w:val="30"/>
        </w:rPr>
        <w:t>二、建设项目工程分析</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16"/>
        <w:gridCol w:w="8524"/>
      </w:tblGrid>
      <w:tr w14:paraId="38DD5F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67" w:hRule="atLeast"/>
          <w:jc w:val="center"/>
        </w:trPr>
        <w:tc>
          <w:tcPr>
            <w:tcW w:w="516" w:type="dxa"/>
            <w:tcBorders>
              <w:tl2br w:val="nil"/>
              <w:tr2bl w:val="nil"/>
            </w:tcBorders>
            <w:noWrap w:val="0"/>
            <w:vAlign w:val="center"/>
          </w:tcPr>
          <w:p w14:paraId="17453DAC">
            <w:pPr>
              <w:pStyle w:val="21"/>
              <w:adjustRightInd w:val="0"/>
              <w:snapToGrid w:val="0"/>
              <w:spacing w:before="0" w:beforeAutospacing="0" w:after="0" w:afterAutospacing="0"/>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rPr>
              <w:t>建设内容</w:t>
            </w:r>
          </w:p>
        </w:tc>
        <w:tc>
          <w:tcPr>
            <w:tcW w:w="8524" w:type="dxa"/>
            <w:tcBorders>
              <w:tl2br w:val="nil"/>
              <w:tr2bl w:val="nil"/>
            </w:tcBorders>
            <w:noWrap w:val="0"/>
            <w:vAlign w:val="top"/>
          </w:tcPr>
          <w:p w14:paraId="08CC607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1、项目建设基本情况</w:t>
            </w:r>
          </w:p>
          <w:p w14:paraId="1B0F66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sz w:val="24"/>
                <w:lang w:val="en-US" w:eastAsia="zh-CN"/>
              </w:rPr>
            </w:pPr>
            <w:r>
              <w:rPr>
                <w:rFonts w:hint="eastAsia" w:eastAsia="宋体"/>
                <w:color w:val="auto"/>
                <w:sz w:val="24"/>
                <w:lang w:val="en-US" w:eastAsia="zh-CN"/>
              </w:rPr>
              <w:t>（1）环评报告表类别确定</w:t>
            </w:r>
          </w:p>
          <w:p w14:paraId="762260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sz w:val="24"/>
                <w:lang w:val="en-US" w:eastAsia="zh-CN"/>
              </w:rPr>
            </w:pPr>
            <w:r>
              <w:rPr>
                <w:rFonts w:hint="eastAsia" w:eastAsia="宋体"/>
                <w:color w:val="auto"/>
                <w:sz w:val="24"/>
                <w:lang w:val="en-US" w:eastAsia="zh-CN"/>
              </w:rPr>
              <w:t>根据《中华人民共和国环境保护法》、《中华人民共和国环境影响评价法》、《建设项目环境影响评价分类管理名录（2021年版）》（生态环境部令第16号）中的有关规定，本项目属于：三十一、通用设备制造业</w:t>
            </w:r>
            <w:r>
              <w:rPr>
                <w:rFonts w:hint="default"/>
                <w:color w:val="auto"/>
                <w:sz w:val="24"/>
                <w:szCs w:val="24"/>
                <w:lang w:val="en-US" w:eastAsia="zh-CN"/>
              </w:rPr>
              <w:t>-</w:t>
            </w:r>
            <w:r>
              <w:rPr>
                <w:rFonts w:hint="eastAsia"/>
                <w:color w:val="auto"/>
                <w:sz w:val="24"/>
                <w:szCs w:val="24"/>
                <w:lang w:val="en-US" w:eastAsia="zh-CN"/>
              </w:rPr>
              <w:t>69</w:t>
            </w:r>
            <w:r>
              <w:rPr>
                <w:rFonts w:hint="default"/>
                <w:color w:val="auto"/>
                <w:sz w:val="24"/>
                <w:szCs w:val="24"/>
                <w:lang w:val="en-US" w:eastAsia="zh-CN"/>
              </w:rPr>
              <w:t xml:space="preserve"> 轴承、齿轮和传动部件制造345</w:t>
            </w:r>
            <w:r>
              <w:rPr>
                <w:rFonts w:hint="default" w:ascii="Times New Roman" w:hAnsi="Times New Roman" w:eastAsia="宋体" w:cs="Times New Roman"/>
                <w:color w:val="auto"/>
                <w:sz w:val="24"/>
                <w:lang w:val="en-US" w:eastAsia="zh-CN"/>
              </w:rPr>
              <w:t>，本项目</w:t>
            </w:r>
            <w:r>
              <w:rPr>
                <w:rFonts w:hint="eastAsia" w:eastAsia="宋体" w:cs="Times New Roman"/>
                <w:color w:val="auto"/>
                <w:sz w:val="24"/>
                <w:lang w:val="en-US" w:eastAsia="zh-CN"/>
              </w:rPr>
              <w:t>为轴承制造</w:t>
            </w:r>
            <w:r>
              <w:rPr>
                <w:rFonts w:hint="eastAsia" w:cs="Times New Roman"/>
                <w:color w:val="auto"/>
                <w:sz w:val="24"/>
                <w:lang w:val="en-US" w:eastAsia="zh-CN"/>
              </w:rPr>
              <w:t>，没有电镀工序，不使用溶剂型涂料</w:t>
            </w:r>
            <w:r>
              <w:rPr>
                <w:rFonts w:hint="default" w:ascii="Times New Roman" w:hAnsi="Times New Roman" w:eastAsia="宋体" w:cs="Times New Roman"/>
                <w:color w:val="auto"/>
                <w:sz w:val="24"/>
                <w:lang w:val="en-US" w:eastAsia="zh-CN"/>
              </w:rPr>
              <w:t>，应</w:t>
            </w:r>
            <w:r>
              <w:rPr>
                <w:rFonts w:hint="eastAsia" w:eastAsia="宋体"/>
                <w:color w:val="auto"/>
                <w:sz w:val="24"/>
                <w:lang w:val="en-US" w:eastAsia="zh-CN"/>
              </w:rPr>
              <w:t>当编制环境影响报告表。</w:t>
            </w:r>
          </w:p>
          <w:p w14:paraId="34DF91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b/>
                <w:bCs/>
                <w:color w:val="auto"/>
              </w:rPr>
            </w:pPr>
            <w:r>
              <w:rPr>
                <w:rFonts w:hint="eastAsia" w:eastAsia="宋体"/>
                <w:b/>
                <w:bCs/>
                <w:color w:val="auto"/>
                <w:sz w:val="24"/>
                <w:lang w:val="en-US" w:eastAsia="zh-CN"/>
              </w:rPr>
              <w:t xml:space="preserve">表2.1 </w:t>
            </w:r>
            <w:r>
              <w:rPr>
                <w:rFonts w:hint="eastAsia"/>
                <w:b/>
                <w:bCs/>
                <w:color w:val="auto"/>
                <w:sz w:val="24"/>
                <w:lang w:val="en-US" w:eastAsia="zh-CN"/>
              </w:rPr>
              <w:t xml:space="preserve"> </w:t>
            </w:r>
            <w:r>
              <w:rPr>
                <w:rFonts w:hint="eastAsia" w:ascii="宋体" w:hAnsi="宋体" w:eastAsia="宋体" w:cs="宋体"/>
                <w:b/>
                <w:bCs/>
                <w:color w:val="auto"/>
                <w:kern w:val="0"/>
                <w:sz w:val="24"/>
                <w:szCs w:val="24"/>
                <w:lang w:val="en-US" w:eastAsia="zh-CN" w:bidi="ar"/>
              </w:rPr>
              <w:t>环评类别对照表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601"/>
              <w:gridCol w:w="1438"/>
              <w:gridCol w:w="76"/>
              <w:gridCol w:w="1720"/>
              <w:gridCol w:w="937"/>
              <w:gridCol w:w="962"/>
            </w:tblGrid>
            <w:tr w14:paraId="1A91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06" w:type="pct"/>
                  <w:gridSpan w:val="2"/>
                  <w:vMerge w:val="restar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8225B39">
                  <w:pPr>
                    <w:pStyle w:val="15"/>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lang w:val="en-US" w:eastAsia="zh-CN"/>
                    </w:rPr>
                  </w:pPr>
                </w:p>
                <w:p w14:paraId="69D2723B">
                  <w:pPr>
                    <w:keepNext w:val="0"/>
                    <w:keepLines w:val="0"/>
                    <w:pageBreakBefore w:val="0"/>
                    <w:widowControl w:val="0"/>
                    <w:kinsoku/>
                    <w:wordWrap/>
                    <w:overflowPunct/>
                    <w:topLinePunct w:val="0"/>
                    <w:autoSpaceDE/>
                    <w:autoSpaceDN/>
                    <w:bidi w:val="0"/>
                    <w:adjustRightInd/>
                    <w:spacing w:line="240" w:lineRule="auto"/>
                    <w:ind w:left="0" w:leftChars="0" w:firstLine="0"/>
                    <w:jc w:val="center"/>
                    <w:textAlignment w:val="auto"/>
                    <mc:AlternateContent>
                      <mc:Choice Requires="wpsCustomData">
                        <wpsCustomData:diagonalParaType/>
                      </mc:Choice>
                    </mc:AlternateConten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项目类别</w:t>
                  </w:r>
                </w:p>
                <w:p w14:paraId="77890F0B">
                  <w:pPr>
                    <w:pStyle w:val="15"/>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环评类别</w:t>
                  </w:r>
                </w:p>
              </w:tc>
              <w:tc>
                <w:tcPr>
                  <w:tcW w:w="2515" w:type="pct"/>
                  <w:gridSpan w:val="4"/>
                  <w:noWrap w:val="0"/>
                  <w:vAlign w:val="center"/>
                </w:tcPr>
                <w:p w14:paraId="32360D09">
                  <w:pPr>
                    <w:pStyle w:val="15"/>
                    <w:keepNext w:val="0"/>
                    <w:keepLines w:val="0"/>
                    <w:pageBreakBefore w:val="0"/>
                    <w:widowControl w:val="0"/>
                    <w:kinsoku/>
                    <w:wordWrap/>
                    <w:overflowPunct/>
                    <w:topLinePunct w:val="0"/>
                    <w:autoSpaceDE/>
                    <w:autoSpaceDN/>
                    <w:bidi w:val="0"/>
                    <w:adjustRightInd/>
                    <w:spacing w:after="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环境影响评价类别</w:t>
                  </w:r>
                </w:p>
              </w:tc>
              <w:tc>
                <w:tcPr>
                  <w:tcW w:w="577" w:type="pct"/>
                  <w:vMerge w:val="restart"/>
                  <w:noWrap w:val="0"/>
                  <w:vAlign w:val="center"/>
                </w:tcPr>
                <w:p w14:paraId="1C3CD96B">
                  <w:pPr>
                    <w:pStyle w:val="15"/>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项目环评类别判定</w:t>
                  </w:r>
                </w:p>
              </w:tc>
            </w:tr>
            <w:tr w14:paraId="4476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06" w:type="pct"/>
                  <w:gridSpan w:val="2"/>
                  <w:vMerge w:val="continue"/>
                  <w:noWrap w:val="0"/>
                  <w:vAlign w:val="center"/>
                </w:tcPr>
                <w:p w14:paraId="26B5AC6D">
                  <w:pPr>
                    <w:pStyle w:val="15"/>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color w:val="auto"/>
                      <w:sz w:val="21"/>
                      <w:szCs w:val="21"/>
                    </w:rPr>
                  </w:pPr>
                </w:p>
              </w:tc>
              <w:tc>
                <w:tcPr>
                  <w:tcW w:w="867" w:type="pct"/>
                  <w:noWrap w:val="0"/>
                  <w:vAlign w:val="center"/>
                </w:tcPr>
                <w:p w14:paraId="720A0A9D">
                  <w:pPr>
                    <w:pStyle w:val="15"/>
                    <w:keepNext w:val="0"/>
                    <w:keepLines w:val="0"/>
                    <w:pageBreakBefore w:val="0"/>
                    <w:widowControl w:val="0"/>
                    <w:kinsoku/>
                    <w:wordWrap/>
                    <w:overflowPunct/>
                    <w:topLinePunct w:val="0"/>
                    <w:autoSpaceDE/>
                    <w:autoSpaceDN/>
                    <w:bidi w:val="0"/>
                    <w:adjustRightInd/>
                    <w:spacing w:after="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报告书</w:t>
                  </w:r>
                </w:p>
              </w:tc>
              <w:tc>
                <w:tcPr>
                  <w:tcW w:w="1083" w:type="pct"/>
                  <w:gridSpan w:val="2"/>
                  <w:noWrap w:val="0"/>
                  <w:vAlign w:val="center"/>
                </w:tcPr>
                <w:p w14:paraId="0B286199">
                  <w:pPr>
                    <w:pStyle w:val="15"/>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报告表</w:t>
                  </w:r>
                </w:p>
              </w:tc>
              <w:tc>
                <w:tcPr>
                  <w:tcW w:w="564" w:type="pct"/>
                  <w:noWrap w:val="0"/>
                  <w:vAlign w:val="center"/>
                </w:tcPr>
                <w:p w14:paraId="715E48B7">
                  <w:pPr>
                    <w:pStyle w:val="15"/>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登记表</w:t>
                  </w:r>
                </w:p>
              </w:tc>
              <w:tc>
                <w:tcPr>
                  <w:tcW w:w="577" w:type="pct"/>
                  <w:vMerge w:val="continue"/>
                  <w:noWrap w:val="0"/>
                  <w:vAlign w:val="center"/>
                </w:tcPr>
                <w:p w14:paraId="275C610D">
                  <w:pPr>
                    <w:pStyle w:val="15"/>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p>
              </w:tc>
            </w:tr>
            <w:tr w14:paraId="7855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7"/>
                  <w:noWrap w:val="0"/>
                  <w:vAlign w:val="center"/>
                </w:tcPr>
                <w:p w14:paraId="444ED8BE">
                  <w:pPr>
                    <w:keepNext w:val="0"/>
                    <w:keepLines w:val="0"/>
                    <w:pageBreakBefore w:val="0"/>
                    <w:widowControl/>
                    <w:suppressLineNumbers w:val="0"/>
                    <w:kinsoku/>
                    <w:wordWrap/>
                    <w:overflowPunct/>
                    <w:topLinePunct w:val="0"/>
                    <w:autoSpaceDE/>
                    <w:autoSpaceDN/>
                    <w:bidi w:val="0"/>
                    <w:adjustRightInd/>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三十一、通用设备制造业 34</w:t>
                  </w:r>
                </w:p>
              </w:tc>
            </w:tr>
            <w:tr w14:paraId="62B5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338" w:type="pct"/>
                  <w:noWrap w:val="0"/>
                  <w:vAlign w:val="center"/>
                </w:tcPr>
                <w:p w14:paraId="62A54C81">
                  <w:pPr>
                    <w:keepNext w:val="0"/>
                    <w:keepLines w:val="0"/>
                    <w:pageBreakBefore w:val="0"/>
                    <w:widowControl/>
                    <w:suppressLineNumbers w:val="0"/>
                    <w:kinsoku/>
                    <w:wordWrap/>
                    <w:overflowPunct/>
                    <w:topLinePunct w:val="0"/>
                    <w:autoSpaceDE/>
                    <w:autoSpaceDN/>
                    <w:bidi w:val="0"/>
                    <w:adjustRightIn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color w:val="auto"/>
                      <w:kern w:val="0"/>
                      <w:sz w:val="21"/>
                      <w:szCs w:val="21"/>
                      <w:lang w:val="en-US" w:eastAsia="zh-CN" w:bidi="ar"/>
                    </w:rPr>
                    <w:t>69</w:t>
                  </w:r>
                </w:p>
              </w:tc>
              <w:tc>
                <w:tcPr>
                  <w:tcW w:w="1567" w:type="pct"/>
                  <w:noWrap w:val="0"/>
                  <w:vAlign w:val="center"/>
                </w:tcPr>
                <w:p w14:paraId="1579A6AB">
                  <w:pPr>
                    <w:keepNext w:val="0"/>
                    <w:keepLines w:val="0"/>
                    <w:pageBreakBefore w:val="0"/>
                    <w:widowControl/>
                    <w:suppressLineNumbers w:val="0"/>
                    <w:kinsoku/>
                    <w:wordWrap/>
                    <w:overflowPunct/>
                    <w:topLinePunct w:val="0"/>
                    <w:autoSpaceDE/>
                    <w:autoSpaceDN/>
                    <w:bidi w:val="0"/>
                    <w:adjustRightIn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锅炉及原动设备制造341；金属加工机械制造342；物料搬运设备制造343；泵、阀门、压缩机及类似机械制造344；轴承、齿轮和传动部件制造345；烘炉、风机、包装等设备制造346；文化、办公用机械制造347；通用零部件制造348；其他通用设备制造业349</w:t>
                  </w:r>
                </w:p>
              </w:tc>
              <w:tc>
                <w:tcPr>
                  <w:tcW w:w="913" w:type="pct"/>
                  <w:gridSpan w:val="2"/>
                  <w:noWrap w:val="0"/>
                  <w:vAlign w:val="center"/>
                </w:tcPr>
                <w:p w14:paraId="3B086814">
                  <w:pPr>
                    <w:keepNext w:val="0"/>
                    <w:keepLines w:val="0"/>
                    <w:pageBreakBefore w:val="0"/>
                    <w:widowControl/>
                    <w:suppressLineNumbers w:val="0"/>
                    <w:kinsoku/>
                    <w:wordWrap/>
                    <w:overflowPunct/>
                    <w:topLinePunct w:val="0"/>
                    <w:autoSpaceDE/>
                    <w:autoSpaceDN/>
                    <w:bidi w:val="0"/>
                    <w:adjustRightIn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有电镀工艺的；年用溶剂型涂料（含稀释剂）10吨及以上的</w:t>
                  </w:r>
                </w:p>
              </w:tc>
              <w:tc>
                <w:tcPr>
                  <w:tcW w:w="1037" w:type="pct"/>
                  <w:noWrap w:val="0"/>
                  <w:vAlign w:val="center"/>
                </w:tcPr>
                <w:p w14:paraId="690B38A8">
                  <w:pPr>
                    <w:keepNext w:val="0"/>
                    <w:keepLines w:val="0"/>
                    <w:pageBreakBefore w:val="0"/>
                    <w:widowControl/>
                    <w:suppressLineNumbers w:val="0"/>
                    <w:kinsoku/>
                    <w:wordWrap/>
                    <w:overflowPunct/>
                    <w:topLinePunct w:val="0"/>
                    <w:autoSpaceDE/>
                    <w:autoSpaceDN/>
                    <w:bidi w:val="0"/>
                    <w:adjustRightInd/>
                    <w:jc w:val="center"/>
                    <w:textAlignment w:val="auto"/>
                    <w:rPr>
                      <w:rFonts w:hint="default" w:ascii="Times New Roman" w:hAnsi="Times New Roman" w:eastAsia="宋体" w:cs="Times New Roman"/>
                      <w:b w:val="0"/>
                      <w:bCs w:val="0"/>
                      <w:color w:val="auto"/>
                      <w:sz w:val="21"/>
                      <w:szCs w:val="21"/>
                      <w:highlight w:val="lightGray"/>
                      <w:vertAlign w:val="baseline"/>
                      <w:lang w:val="en-US" w:eastAsia="zh-CN"/>
                    </w:rPr>
                  </w:pPr>
                  <w:r>
                    <w:rPr>
                      <w:rFonts w:hint="default" w:ascii="Times New Roman" w:hAnsi="Times New Roman" w:eastAsia="宋体" w:cs="Times New Roman"/>
                      <w:b w:val="0"/>
                      <w:bCs w:val="0"/>
                      <w:color w:val="auto"/>
                      <w:sz w:val="21"/>
                      <w:szCs w:val="21"/>
                      <w:highlight w:val="none"/>
                      <w:shd w:val="clear"/>
                      <w:vertAlign w:val="baseline"/>
                      <w:lang w:val="en-US" w:eastAsia="zh-CN"/>
                    </w:rPr>
                    <w:t>其他（仅分割、焊接、组装的除外；年用非溶剂型低VOCs含量涂料10吨以下的除外）</w:t>
                  </w:r>
                </w:p>
              </w:tc>
              <w:tc>
                <w:tcPr>
                  <w:tcW w:w="564" w:type="pct"/>
                  <w:noWrap w:val="0"/>
                  <w:vAlign w:val="center"/>
                </w:tcPr>
                <w:p w14:paraId="148FA38F">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577" w:type="pct"/>
                  <w:noWrap w:val="0"/>
                  <w:vAlign w:val="center"/>
                </w:tcPr>
                <w:p w14:paraId="371E1D01">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报告表</w:t>
                  </w:r>
                </w:p>
              </w:tc>
            </w:tr>
          </w:tbl>
          <w:p w14:paraId="5FB06B76">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eastAsia="宋体"/>
                <w:color w:val="auto"/>
                <w:sz w:val="24"/>
                <w:lang w:val="en-US" w:eastAsia="zh-CN"/>
              </w:rPr>
            </w:pPr>
            <w:r>
              <w:rPr>
                <w:rFonts w:hint="eastAsia" w:eastAsia="宋体"/>
                <w:color w:val="auto"/>
                <w:sz w:val="24"/>
                <w:lang w:val="en-US" w:eastAsia="zh-CN"/>
              </w:rPr>
              <w:t>（</w:t>
            </w:r>
            <w:r>
              <w:rPr>
                <w:rFonts w:hint="eastAsia"/>
                <w:color w:val="auto"/>
                <w:sz w:val="24"/>
                <w:lang w:val="en-US" w:eastAsia="zh-CN"/>
              </w:rPr>
              <w:t>2</w:t>
            </w:r>
            <w:r>
              <w:rPr>
                <w:rFonts w:hint="eastAsia" w:eastAsia="宋体"/>
                <w:color w:val="auto"/>
                <w:sz w:val="24"/>
                <w:lang w:val="en-US" w:eastAsia="zh-CN"/>
              </w:rPr>
              <w:t>）排污许可管理类别确定</w:t>
            </w:r>
          </w:p>
          <w:p w14:paraId="044391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sz w:val="24"/>
                <w:lang w:val="en-US" w:eastAsia="zh-CN"/>
              </w:rPr>
            </w:pPr>
            <w:r>
              <w:rPr>
                <w:rFonts w:hint="eastAsia" w:eastAsia="宋体"/>
                <w:color w:val="auto"/>
                <w:sz w:val="24"/>
                <w:lang w:val="en-US" w:eastAsia="zh-CN"/>
              </w:rPr>
              <w:t>根据《固定污染源排污许可分类管理名录（2019年版）》（生态环境部令第11号）中的有关规定，本项目属于“二十九、通用设备制造业-</w:t>
            </w:r>
            <w:r>
              <w:rPr>
                <w:rFonts w:hint="eastAsia"/>
                <w:color w:val="auto"/>
                <w:sz w:val="24"/>
                <w:lang w:val="en-US" w:eastAsia="zh-CN"/>
              </w:rPr>
              <w:t>83</w:t>
            </w:r>
            <w:r>
              <w:rPr>
                <w:rFonts w:hint="eastAsia" w:eastAsia="宋体"/>
                <w:color w:val="auto"/>
                <w:sz w:val="24"/>
                <w:lang w:val="en-US" w:eastAsia="zh-CN"/>
              </w:rPr>
              <w:t xml:space="preserve"> 轴承、齿轮和传动部件制造345”</w:t>
            </w:r>
            <w:r>
              <w:rPr>
                <w:color w:val="auto"/>
                <w:kern w:val="0"/>
                <w:sz w:val="24"/>
              </w:rPr>
              <w:t>。</w:t>
            </w:r>
            <w:r>
              <w:rPr>
                <w:rFonts w:hint="eastAsia" w:eastAsia="宋体"/>
                <w:color w:val="auto"/>
                <w:sz w:val="24"/>
                <w:lang w:val="en-US" w:eastAsia="zh-CN"/>
              </w:rPr>
              <w:t>本项目</w:t>
            </w:r>
            <w:r>
              <w:rPr>
                <w:rFonts w:hint="eastAsia" w:eastAsia="宋体" w:cs="Times New Roman"/>
                <w:color w:val="auto"/>
                <w:sz w:val="24"/>
                <w:lang w:val="en-US" w:eastAsia="zh-CN"/>
              </w:rPr>
              <w:t>为轴承制造</w:t>
            </w:r>
            <w:r>
              <w:rPr>
                <w:rFonts w:hint="eastAsia" w:eastAsia="宋体"/>
                <w:color w:val="auto"/>
                <w:sz w:val="24"/>
                <w:lang w:val="en-US" w:eastAsia="zh-CN"/>
              </w:rPr>
              <w:t>，</w:t>
            </w:r>
            <w:r>
              <w:rPr>
                <w:rFonts w:hint="eastAsia"/>
                <w:color w:val="auto"/>
                <w:sz w:val="24"/>
                <w:lang w:val="en-US" w:eastAsia="zh-CN"/>
              </w:rPr>
              <w:t>不</w:t>
            </w:r>
            <w:r>
              <w:rPr>
                <w:rFonts w:hint="eastAsia" w:eastAsia="宋体"/>
                <w:color w:val="auto"/>
                <w:sz w:val="24"/>
                <w:lang w:val="en-US" w:eastAsia="zh-CN"/>
              </w:rPr>
              <w:t>涉及通用工序，故本项目</w:t>
            </w:r>
            <w:r>
              <w:rPr>
                <w:rFonts w:hint="eastAsia"/>
                <w:color w:val="auto"/>
                <w:sz w:val="24"/>
                <w:lang w:val="en-US" w:eastAsia="zh-CN"/>
              </w:rPr>
              <w:t>排污执行</w:t>
            </w:r>
            <w:r>
              <w:rPr>
                <w:rFonts w:hint="eastAsia" w:eastAsia="宋体"/>
                <w:color w:val="auto"/>
                <w:sz w:val="24"/>
                <w:lang w:val="en-US" w:eastAsia="zh-CN"/>
              </w:rPr>
              <w:t>登记管理。</w:t>
            </w:r>
          </w:p>
          <w:p w14:paraId="382EE7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eastAsia="宋体"/>
                <w:b/>
                <w:bCs/>
                <w:color w:val="auto"/>
                <w:sz w:val="24"/>
                <w:lang w:val="en-US" w:eastAsia="zh-CN"/>
              </w:rPr>
            </w:pPr>
            <w:r>
              <w:rPr>
                <w:rFonts w:hint="eastAsia" w:eastAsia="宋体"/>
                <w:b/>
                <w:bCs/>
                <w:color w:val="auto"/>
                <w:sz w:val="24"/>
                <w:lang w:val="en-US" w:eastAsia="zh-CN"/>
              </w:rPr>
              <w:t xml:space="preserve">表2.2 </w:t>
            </w:r>
            <w:r>
              <w:rPr>
                <w:rFonts w:hint="eastAsia"/>
                <w:b/>
                <w:bCs/>
                <w:color w:val="auto"/>
                <w:sz w:val="24"/>
                <w:lang w:val="en-US" w:eastAsia="zh-CN"/>
              </w:rPr>
              <w:t xml:space="preserve"> </w:t>
            </w:r>
            <w:r>
              <w:rPr>
                <w:rFonts w:hint="eastAsia" w:eastAsia="宋体"/>
                <w:b/>
                <w:bCs/>
                <w:color w:val="auto"/>
                <w:sz w:val="24"/>
                <w:lang w:val="en-US" w:eastAsia="zh-CN"/>
              </w:rPr>
              <w:t>排污许可类别对照表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302"/>
              <w:gridCol w:w="1095"/>
              <w:gridCol w:w="1200"/>
              <w:gridCol w:w="1135"/>
              <w:gridCol w:w="982"/>
            </w:tblGrid>
            <w:tr w14:paraId="0D2B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0" w:type="pct"/>
                  <w:vMerge w:val="restart"/>
                  <w:noWrap w:val="0"/>
                  <w:vAlign w:val="center"/>
                </w:tcPr>
                <w:p w14:paraId="5CE95DF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序号</w:t>
                  </w:r>
                </w:p>
              </w:tc>
              <w:tc>
                <w:tcPr>
                  <w:tcW w:w="1990" w:type="pct"/>
                  <w:vMerge w:val="restart"/>
                  <w:noWrap w:val="0"/>
                  <w:vAlign w:val="center"/>
                </w:tcPr>
                <w:p w14:paraId="3E5E20F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行业类别</w:t>
                  </w:r>
                </w:p>
              </w:tc>
              <w:tc>
                <w:tcPr>
                  <w:tcW w:w="2067" w:type="pct"/>
                  <w:gridSpan w:val="3"/>
                  <w:noWrap w:val="0"/>
                  <w:vAlign w:val="center"/>
                </w:tcPr>
                <w:p w14:paraId="5B4F0AF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default" w:eastAsia="宋体"/>
                      <w:b w:val="0"/>
                      <w:bCs w:val="0"/>
                      <w:color w:val="auto"/>
                      <w:sz w:val="21"/>
                      <w:szCs w:val="21"/>
                      <w:vertAlign w:val="baseline"/>
                      <w:lang w:val="en-US" w:eastAsia="zh-CN"/>
                    </w:rPr>
                    <w:t>排污许可管理类别</w:t>
                  </w:r>
                </w:p>
              </w:tc>
              <w:tc>
                <w:tcPr>
                  <w:tcW w:w="591" w:type="pct"/>
                  <w:vMerge w:val="restart"/>
                  <w:noWrap w:val="0"/>
                  <w:vAlign w:val="center"/>
                </w:tcPr>
                <w:p w14:paraId="169022F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default" w:eastAsia="宋体"/>
                      <w:b w:val="0"/>
                      <w:bCs w:val="0"/>
                      <w:color w:val="auto"/>
                      <w:sz w:val="21"/>
                      <w:szCs w:val="21"/>
                      <w:vertAlign w:val="baseline"/>
                      <w:lang w:val="en-US" w:eastAsia="zh-CN"/>
                    </w:rPr>
                    <w:t>排污许可管理类别</w:t>
                  </w:r>
                  <w:r>
                    <w:rPr>
                      <w:rFonts w:hint="eastAsia"/>
                      <w:b w:val="0"/>
                      <w:bCs w:val="0"/>
                      <w:color w:val="auto"/>
                      <w:sz w:val="21"/>
                      <w:szCs w:val="21"/>
                      <w:vertAlign w:val="baseline"/>
                      <w:lang w:val="en-US" w:eastAsia="zh-CN"/>
                    </w:rPr>
                    <w:t>判定</w:t>
                  </w:r>
                </w:p>
              </w:tc>
            </w:tr>
            <w:tr w14:paraId="53DC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0" w:type="pct"/>
                  <w:vMerge w:val="continue"/>
                  <w:noWrap w:val="0"/>
                  <w:vAlign w:val="center"/>
                </w:tcPr>
                <w:p w14:paraId="2508E0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1990" w:type="pct"/>
                  <w:vMerge w:val="continue"/>
                  <w:noWrap w:val="0"/>
                  <w:vAlign w:val="center"/>
                </w:tcPr>
                <w:p w14:paraId="4F9811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tc>
              <w:tc>
                <w:tcPr>
                  <w:tcW w:w="660" w:type="pct"/>
                  <w:noWrap w:val="0"/>
                  <w:vAlign w:val="center"/>
                </w:tcPr>
                <w:p w14:paraId="476B905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重点管理</w:t>
                  </w:r>
                </w:p>
              </w:tc>
              <w:tc>
                <w:tcPr>
                  <w:tcW w:w="723" w:type="pct"/>
                  <w:noWrap w:val="0"/>
                  <w:vAlign w:val="center"/>
                </w:tcPr>
                <w:p w14:paraId="55CAC6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简化管理</w:t>
                  </w:r>
                </w:p>
              </w:tc>
              <w:tc>
                <w:tcPr>
                  <w:tcW w:w="684" w:type="pct"/>
                  <w:noWrap w:val="0"/>
                  <w:vAlign w:val="center"/>
                </w:tcPr>
                <w:p w14:paraId="21A4179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登记管理</w:t>
                  </w:r>
                </w:p>
              </w:tc>
              <w:tc>
                <w:tcPr>
                  <w:tcW w:w="591" w:type="pct"/>
                  <w:vMerge w:val="continue"/>
                  <w:noWrap w:val="0"/>
                  <w:vAlign w:val="center"/>
                </w:tcPr>
                <w:p w14:paraId="70F609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p>
              </w:tc>
            </w:tr>
            <w:tr w14:paraId="1263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14:paraId="49B4F37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二十九、通用设备制造业 34</w:t>
                  </w:r>
                </w:p>
              </w:tc>
            </w:tr>
            <w:tr w14:paraId="7D1C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0" w:type="pct"/>
                  <w:noWrap w:val="0"/>
                  <w:vAlign w:val="center"/>
                </w:tcPr>
                <w:p w14:paraId="35D48EB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83</w:t>
                  </w:r>
                </w:p>
              </w:tc>
              <w:tc>
                <w:tcPr>
                  <w:tcW w:w="1990" w:type="pct"/>
                  <w:noWrap w:val="0"/>
                  <w:vAlign w:val="center"/>
                </w:tcPr>
                <w:p w14:paraId="2A64F4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default" w:eastAsia="宋体"/>
                      <w:b w:val="0"/>
                      <w:bCs w:val="0"/>
                      <w:color w:val="auto"/>
                      <w:sz w:val="21"/>
                      <w:szCs w:val="21"/>
                      <w:vertAlign w:val="baseline"/>
                      <w:lang w:val="en-US" w:eastAsia="zh-CN"/>
                    </w:rPr>
                    <w:t>锅炉及原动设备制造341，金属加工机械制造342，物料搬运设备制造343，泵、阀门、压缩机及类似机械制造344，轴承、齿轮和传动部件制造345，烘炉、风机、包装等设备制造346，文化、办公用机械制造347，通用零部件制造348，其他通用设备制造业349</w:t>
                  </w:r>
                </w:p>
              </w:tc>
              <w:tc>
                <w:tcPr>
                  <w:tcW w:w="660" w:type="pct"/>
                  <w:noWrap w:val="0"/>
                  <w:vAlign w:val="center"/>
                </w:tcPr>
                <w:p w14:paraId="39DBD54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default" w:eastAsia="宋体"/>
                      <w:b w:val="0"/>
                      <w:bCs w:val="0"/>
                      <w:color w:val="auto"/>
                      <w:sz w:val="21"/>
                      <w:szCs w:val="21"/>
                      <w:vertAlign w:val="baseline"/>
                      <w:lang w:val="en-US" w:eastAsia="zh-CN"/>
                    </w:rPr>
                    <w:t>涉及通用工序重点管理的</w:t>
                  </w:r>
                </w:p>
              </w:tc>
              <w:tc>
                <w:tcPr>
                  <w:tcW w:w="723" w:type="pct"/>
                  <w:noWrap w:val="0"/>
                  <w:vAlign w:val="center"/>
                </w:tcPr>
                <w:p w14:paraId="3E05B2F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default" w:eastAsia="宋体"/>
                      <w:b w:val="0"/>
                      <w:bCs w:val="0"/>
                      <w:color w:val="auto"/>
                      <w:sz w:val="21"/>
                      <w:szCs w:val="21"/>
                      <w:vertAlign w:val="baseline"/>
                      <w:lang w:val="en-US" w:eastAsia="zh-CN"/>
                    </w:rPr>
                    <w:t>涉及通用工序简化管理的</w:t>
                  </w:r>
                </w:p>
              </w:tc>
              <w:tc>
                <w:tcPr>
                  <w:tcW w:w="684" w:type="pct"/>
                  <w:noWrap w:val="0"/>
                  <w:vAlign w:val="center"/>
                </w:tcPr>
                <w:p w14:paraId="056EDCB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其他</w:t>
                  </w:r>
                </w:p>
              </w:tc>
              <w:tc>
                <w:tcPr>
                  <w:tcW w:w="591" w:type="pct"/>
                  <w:noWrap w:val="0"/>
                  <w:vAlign w:val="center"/>
                </w:tcPr>
                <w:p w14:paraId="7D41908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登记</w:t>
                  </w:r>
                  <w:r>
                    <w:rPr>
                      <w:rFonts w:hint="default" w:eastAsia="宋体"/>
                      <w:b w:val="0"/>
                      <w:bCs w:val="0"/>
                      <w:color w:val="auto"/>
                      <w:sz w:val="21"/>
                      <w:szCs w:val="21"/>
                      <w:vertAlign w:val="baseline"/>
                      <w:lang w:val="en-US" w:eastAsia="zh-CN"/>
                    </w:rPr>
                    <w:t>管理</w:t>
                  </w:r>
                </w:p>
              </w:tc>
            </w:tr>
          </w:tbl>
          <w:p w14:paraId="713797A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40" w:firstLineChars="100"/>
              <w:jc w:val="both"/>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3</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建设内容</w:t>
            </w:r>
          </w:p>
          <w:p w14:paraId="2ADF5D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项目建设地点位于</w:t>
            </w:r>
            <w:r>
              <w:rPr>
                <w:rFonts w:hint="default" w:ascii="Times New Roman" w:hAnsi="Times New Roman" w:eastAsia="宋体" w:cs="Times New Roman"/>
                <w:b w:val="0"/>
                <w:bCs w:val="0"/>
                <w:color w:val="auto"/>
                <w:sz w:val="24"/>
                <w:szCs w:val="24"/>
                <w:highlight w:val="none"/>
                <w:lang w:eastAsia="zh-CN"/>
              </w:rPr>
              <w:t>安徽</w:t>
            </w:r>
            <w:r>
              <w:rPr>
                <w:rFonts w:hint="default" w:ascii="Times New Roman" w:hAnsi="Times New Roman" w:eastAsia="宋体" w:cs="Times New Roman"/>
                <w:b w:val="0"/>
                <w:bCs w:val="0"/>
                <w:color w:val="auto"/>
                <w:sz w:val="24"/>
                <w:szCs w:val="24"/>
                <w:highlight w:val="none"/>
              </w:rPr>
              <w:t>省</w:t>
            </w:r>
            <w:r>
              <w:rPr>
                <w:rFonts w:hint="default" w:ascii="Times New Roman" w:hAnsi="Times New Roman" w:eastAsia="宋体" w:cs="Times New Roman"/>
                <w:b w:val="0"/>
                <w:bCs w:val="0"/>
                <w:color w:val="auto"/>
                <w:sz w:val="24"/>
                <w:szCs w:val="24"/>
                <w:highlight w:val="none"/>
                <w:lang w:eastAsia="zh-CN"/>
              </w:rPr>
              <w:t>宿州</w:t>
            </w:r>
            <w:r>
              <w:rPr>
                <w:rFonts w:hint="default" w:ascii="Times New Roman" w:hAnsi="Times New Roman" w:eastAsia="宋体" w:cs="Times New Roman"/>
                <w:b w:val="0"/>
                <w:bCs w:val="0"/>
                <w:color w:val="auto"/>
                <w:sz w:val="24"/>
                <w:szCs w:val="24"/>
                <w:highlight w:val="none"/>
              </w:rPr>
              <w:t>市</w:t>
            </w:r>
            <w:r>
              <w:rPr>
                <w:rFonts w:hint="default" w:ascii="Times New Roman" w:hAnsi="Times New Roman" w:eastAsia="宋体" w:cs="Times New Roman"/>
                <w:b w:val="0"/>
                <w:bCs w:val="0"/>
                <w:color w:val="auto"/>
                <w:sz w:val="24"/>
                <w:szCs w:val="24"/>
                <w:highlight w:val="none"/>
                <w:lang w:val="en-US" w:eastAsia="zh-CN"/>
              </w:rPr>
              <w:t>灵璧县北部经济开发区轴承产业基地AB区北侧重点区域</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本项目占地总面积40亩，新建</w:t>
            </w:r>
            <w:r>
              <w:rPr>
                <w:rFonts w:hint="default" w:ascii="Times New Roman" w:hAnsi="Times New Roman" w:eastAsia="宋体" w:cs="Times New Roman"/>
                <w:b w:val="0"/>
                <w:bCs w:val="0"/>
                <w:color w:val="auto"/>
                <w:sz w:val="24"/>
                <w:szCs w:val="24"/>
                <w:highlight w:val="none"/>
                <w:lang w:eastAsia="zh-CN"/>
              </w:rPr>
              <w:t>厂房建筑面积共约</w:t>
            </w:r>
            <w:r>
              <w:rPr>
                <w:rFonts w:hint="default" w:ascii="Times New Roman" w:hAnsi="Times New Roman" w:eastAsia="宋体" w:cs="Times New Roman"/>
                <w:b w:val="0"/>
                <w:bCs w:val="0"/>
                <w:color w:val="auto"/>
                <w:sz w:val="24"/>
                <w:szCs w:val="24"/>
                <w:highlight w:val="none"/>
                <w:lang w:val="en-US" w:eastAsia="zh-CN"/>
              </w:rPr>
              <w:t>36000平方米，项目全厂拟分两期建设，一期购置建设25条轴承套圈生产线，二期购置建设25条轴承套圈生产线，全厂建成后购置自动割管机、高精密平面磨床、高精度无心磨床、轴承套圈数字化车削线等生产设备306台（套），并配套建设变配电、消防系统、排风系统、照明系统等附属工程。</w:t>
            </w:r>
            <w:r>
              <w:rPr>
                <w:rFonts w:hint="default" w:ascii="Times New Roman" w:hAnsi="Times New Roman" w:eastAsia="宋体" w:cs="Times New Roman"/>
                <w:b w:val="0"/>
                <w:bCs w:val="0"/>
                <w:color w:val="auto"/>
                <w:sz w:val="24"/>
                <w:szCs w:val="24"/>
                <w:highlight w:val="none"/>
              </w:rPr>
              <w:t>项目</w:t>
            </w:r>
            <w:r>
              <w:rPr>
                <w:rFonts w:hint="default" w:ascii="Times New Roman" w:hAnsi="Times New Roman" w:eastAsia="宋体" w:cs="Times New Roman"/>
                <w:b w:val="0"/>
                <w:bCs w:val="0"/>
                <w:color w:val="auto"/>
                <w:sz w:val="24"/>
                <w:szCs w:val="24"/>
                <w:highlight w:val="none"/>
                <w:lang w:val="en-US" w:eastAsia="zh-CN"/>
              </w:rPr>
              <w:t>一期</w:t>
            </w:r>
            <w:r>
              <w:rPr>
                <w:rFonts w:hint="default" w:ascii="Times New Roman" w:hAnsi="Times New Roman" w:eastAsia="宋体" w:cs="Times New Roman"/>
                <w:b w:val="0"/>
                <w:bCs w:val="0"/>
                <w:color w:val="auto"/>
                <w:sz w:val="24"/>
                <w:szCs w:val="24"/>
                <w:highlight w:val="none"/>
              </w:rPr>
              <w:t>建成达产后，可达到</w:t>
            </w:r>
            <w:r>
              <w:rPr>
                <w:rFonts w:hint="default" w:ascii="Times New Roman" w:hAnsi="Times New Roman" w:eastAsia="宋体" w:cs="Times New Roman"/>
                <w:b w:val="0"/>
                <w:bCs w:val="0"/>
                <w:color w:val="auto"/>
                <w:sz w:val="24"/>
                <w:szCs w:val="24"/>
                <w:highlight w:val="none"/>
                <w:lang w:val="en-US" w:eastAsia="zh-CN"/>
              </w:rPr>
              <w:t>年产1.5亿套轴承套圈的生产能力</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项目</w:t>
            </w:r>
            <w:r>
              <w:rPr>
                <w:rFonts w:hint="default" w:ascii="Times New Roman" w:hAnsi="Times New Roman" w:eastAsia="宋体" w:cs="Times New Roman"/>
                <w:b w:val="0"/>
                <w:bCs w:val="0"/>
                <w:color w:val="auto"/>
                <w:sz w:val="24"/>
                <w:szCs w:val="24"/>
                <w:highlight w:val="none"/>
                <w:lang w:val="en-US" w:eastAsia="zh-CN"/>
              </w:rPr>
              <w:t>二期</w:t>
            </w:r>
            <w:r>
              <w:rPr>
                <w:rFonts w:hint="default" w:ascii="Times New Roman" w:hAnsi="Times New Roman" w:eastAsia="宋体" w:cs="Times New Roman"/>
                <w:b w:val="0"/>
                <w:bCs w:val="0"/>
                <w:color w:val="auto"/>
                <w:sz w:val="24"/>
                <w:szCs w:val="24"/>
                <w:highlight w:val="none"/>
              </w:rPr>
              <w:t>建成达产后，可达到</w:t>
            </w:r>
            <w:r>
              <w:rPr>
                <w:rFonts w:hint="default" w:ascii="Times New Roman" w:hAnsi="Times New Roman" w:eastAsia="宋体" w:cs="Times New Roman"/>
                <w:b w:val="0"/>
                <w:bCs w:val="0"/>
                <w:color w:val="auto"/>
                <w:sz w:val="24"/>
                <w:szCs w:val="24"/>
                <w:highlight w:val="none"/>
                <w:lang w:val="en-US" w:eastAsia="zh-CN"/>
              </w:rPr>
              <w:t>年产1.5亿套轴承套圈的生产能力</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整体项目</w:t>
            </w:r>
            <w:r>
              <w:rPr>
                <w:rFonts w:hint="default" w:ascii="Times New Roman" w:hAnsi="Times New Roman" w:eastAsia="宋体" w:cs="Times New Roman"/>
                <w:b w:val="0"/>
                <w:bCs w:val="0"/>
                <w:color w:val="auto"/>
                <w:sz w:val="24"/>
                <w:szCs w:val="24"/>
                <w:highlight w:val="none"/>
              </w:rPr>
              <w:t>可达到</w:t>
            </w:r>
            <w:r>
              <w:rPr>
                <w:rFonts w:hint="default" w:ascii="Times New Roman" w:hAnsi="Times New Roman" w:eastAsia="宋体" w:cs="Times New Roman"/>
                <w:b w:val="0"/>
                <w:bCs w:val="0"/>
                <w:color w:val="auto"/>
                <w:sz w:val="24"/>
                <w:szCs w:val="24"/>
                <w:highlight w:val="none"/>
                <w:lang w:val="en-US" w:eastAsia="zh-CN"/>
              </w:rPr>
              <w:t>年产3亿套轴承套圈的生产能力</w:t>
            </w:r>
            <w:r>
              <w:rPr>
                <w:rFonts w:hint="default" w:ascii="Times New Roman" w:hAnsi="Times New Roman" w:eastAsia="宋体" w:cs="Times New Roman"/>
                <w:b w:val="0"/>
                <w:bCs w:val="0"/>
                <w:color w:val="auto"/>
                <w:sz w:val="24"/>
                <w:szCs w:val="24"/>
                <w:highlight w:val="none"/>
              </w:rPr>
              <w:t>。</w:t>
            </w:r>
          </w:p>
          <w:p w14:paraId="1B209C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项目建</w:t>
            </w:r>
            <w:r>
              <w:rPr>
                <w:rFonts w:hint="default" w:ascii="Times New Roman" w:hAnsi="Times New Roman" w:eastAsia="宋体" w:cs="Times New Roman"/>
                <w:b w:val="0"/>
                <w:bCs w:val="0"/>
                <w:color w:val="auto"/>
                <w:sz w:val="24"/>
                <w:szCs w:val="24"/>
              </w:rPr>
              <w:t>设</w:t>
            </w:r>
            <w:r>
              <w:rPr>
                <w:rFonts w:hint="eastAsia" w:ascii="Times New Roman" w:hAnsi="Times New Roman" w:eastAsia="宋体" w:cs="Times New Roman"/>
                <w:b w:val="0"/>
                <w:bCs w:val="0"/>
                <w:color w:val="auto"/>
                <w:sz w:val="24"/>
                <w:szCs w:val="24"/>
                <w:lang w:val="en-US" w:eastAsia="zh-CN"/>
              </w:rPr>
              <w:t>基本情况</w:t>
            </w:r>
            <w:r>
              <w:rPr>
                <w:rFonts w:hint="default" w:ascii="Times New Roman" w:hAnsi="Times New Roman" w:eastAsia="宋体" w:cs="Times New Roman"/>
                <w:color w:val="auto"/>
                <w:sz w:val="24"/>
                <w:szCs w:val="24"/>
              </w:rPr>
              <w:t>一览表见表</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w:t>
            </w:r>
          </w:p>
          <w:p w14:paraId="5E35AB1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w:t>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rPr>
              <w:t xml:space="preserve">  项目建设</w:t>
            </w:r>
            <w:r>
              <w:rPr>
                <w:rFonts w:hint="eastAsia" w:ascii="Times New Roman" w:hAnsi="Times New Roman" w:eastAsia="宋体" w:cs="Times New Roman"/>
                <w:b/>
                <w:bCs/>
                <w:color w:val="auto"/>
                <w:sz w:val="24"/>
                <w:szCs w:val="24"/>
                <w:lang w:val="en-US" w:eastAsia="zh-CN"/>
              </w:rPr>
              <w:t>基本情况</w:t>
            </w:r>
            <w:r>
              <w:rPr>
                <w:rFonts w:hint="default" w:ascii="Times New Roman" w:hAnsi="Times New Roman" w:eastAsia="宋体" w:cs="Times New Roman"/>
                <w:b/>
                <w:bCs/>
                <w:color w:val="auto"/>
                <w:sz w:val="24"/>
                <w:szCs w:val="24"/>
              </w:rPr>
              <w:t>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56"/>
              <w:gridCol w:w="906"/>
              <w:gridCol w:w="4914"/>
              <w:gridCol w:w="1119"/>
            </w:tblGrid>
            <w:tr w14:paraId="29CA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noWrap w:val="0"/>
                  <w:vAlign w:val="center"/>
                </w:tcPr>
                <w:p w14:paraId="37704DEE">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工程类别</w:t>
                  </w:r>
                </w:p>
              </w:tc>
              <w:tc>
                <w:tcPr>
                  <w:tcW w:w="941" w:type="pct"/>
                  <w:gridSpan w:val="2"/>
                  <w:noWrap w:val="0"/>
                  <w:vAlign w:val="center"/>
                </w:tcPr>
                <w:p w14:paraId="1E5976F6">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单项工程</w:t>
                  </w:r>
                </w:p>
              </w:tc>
              <w:tc>
                <w:tcPr>
                  <w:tcW w:w="2962" w:type="pct"/>
                  <w:noWrap w:val="0"/>
                  <w:vAlign w:val="center"/>
                </w:tcPr>
                <w:p w14:paraId="149EC239">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工程内容及规模</w:t>
                  </w:r>
                </w:p>
              </w:tc>
              <w:tc>
                <w:tcPr>
                  <w:tcW w:w="674" w:type="pct"/>
                  <w:noWrap w:val="0"/>
                  <w:vAlign w:val="center"/>
                </w:tcPr>
                <w:p w14:paraId="2926929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14:paraId="6D04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421" w:type="pct"/>
                  <w:vMerge w:val="restart"/>
                  <w:noWrap w:val="0"/>
                  <w:vAlign w:val="center"/>
                </w:tcPr>
                <w:p w14:paraId="642EE3B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主体工程</w:t>
                  </w:r>
                </w:p>
              </w:tc>
              <w:tc>
                <w:tcPr>
                  <w:tcW w:w="941" w:type="pct"/>
                  <w:gridSpan w:val="2"/>
                  <w:vMerge w:val="restart"/>
                  <w:noWrap w:val="0"/>
                  <w:vAlign w:val="center"/>
                </w:tcPr>
                <w:p w14:paraId="4A829725">
                  <w:pPr>
                    <w:pStyle w:val="2"/>
                    <w:jc w:val="center"/>
                    <w:rPr>
                      <w:rFonts w:hint="default" w:ascii="Times New Roman" w:hAnsi="Times New Roman" w:eastAsia="宋体" w:cs="Times New Roman"/>
                      <w:color w:val="auto"/>
                      <w:kern w:val="2"/>
                      <w:sz w:val="21"/>
                      <w:szCs w:val="21"/>
                      <w:lang w:val="en-US" w:eastAsia="zh-CN" w:bidi="ar-SA"/>
                    </w:rPr>
                  </w:pPr>
                  <w:r>
                    <w:rPr>
                      <w:rFonts w:hint="eastAsia" w:cs="Times New Roman"/>
                      <w:b w:val="0"/>
                      <w:bCs w:val="0"/>
                      <w:snapToGrid/>
                      <w:color w:val="auto"/>
                      <w:spacing w:val="0"/>
                      <w:kern w:val="0"/>
                      <w:position w:val="0"/>
                      <w:sz w:val="21"/>
                      <w:szCs w:val="21"/>
                      <w:vertAlign w:val="baseline"/>
                      <w:lang w:val="en-US" w:eastAsia="zh-CN"/>
                    </w:rPr>
                    <w:t>生产车间</w:t>
                  </w:r>
                </w:p>
              </w:tc>
              <w:tc>
                <w:tcPr>
                  <w:tcW w:w="2962" w:type="pct"/>
                  <w:noWrap w:val="0"/>
                  <w:vAlign w:val="center"/>
                </w:tcPr>
                <w:p w14:paraId="461C19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1F，钢结构，</w:t>
                  </w:r>
                  <w:r>
                    <w:rPr>
                      <w:rFonts w:hint="default"/>
                      <w:color w:val="auto"/>
                      <w:sz w:val="21"/>
                      <w:szCs w:val="21"/>
                      <w:lang w:val="en-US" w:eastAsia="zh-CN"/>
                    </w:rPr>
                    <w:t>建筑面积</w:t>
                  </w:r>
                  <w:r>
                    <w:rPr>
                      <w:rFonts w:hint="eastAsia"/>
                      <w:color w:val="auto"/>
                      <w:sz w:val="21"/>
                      <w:szCs w:val="21"/>
                      <w:lang w:val="en-US" w:eastAsia="zh-CN"/>
                    </w:rPr>
                    <w:t>约9000</w:t>
                  </w:r>
                  <w:r>
                    <w:rPr>
                      <w:rFonts w:hint="default"/>
                      <w:color w:val="auto"/>
                      <w:sz w:val="21"/>
                      <w:szCs w:val="21"/>
                      <w:lang w:val="en-US" w:eastAsia="zh-CN"/>
                    </w:rPr>
                    <w:t>m</w:t>
                  </w:r>
                  <w:r>
                    <w:rPr>
                      <w:rFonts w:hint="default"/>
                      <w:color w:val="auto"/>
                      <w:sz w:val="21"/>
                      <w:szCs w:val="21"/>
                      <w:vertAlign w:val="superscript"/>
                      <w:lang w:val="en-US" w:eastAsia="zh-CN"/>
                    </w:rPr>
                    <w:t>2</w:t>
                  </w:r>
                  <w:r>
                    <w:rPr>
                      <w:rFonts w:hint="eastAsia"/>
                      <w:color w:val="auto"/>
                      <w:sz w:val="21"/>
                      <w:szCs w:val="21"/>
                      <w:lang w:val="en-US" w:eastAsia="zh-CN"/>
                    </w:rPr>
                    <w:t>。购置建设25条轴承套圈生产线，</w:t>
                  </w:r>
                  <w:r>
                    <w:rPr>
                      <w:rFonts w:hint="eastAsia" w:cs="Times New Roman"/>
                      <w:color w:val="auto"/>
                      <w:sz w:val="21"/>
                      <w:szCs w:val="21"/>
                      <w:vertAlign w:val="baseline"/>
                      <w:lang w:val="en-US" w:eastAsia="zh-CN"/>
                    </w:rPr>
                    <w:t>设置</w:t>
                  </w:r>
                  <w:r>
                    <w:rPr>
                      <w:rFonts w:hint="eastAsia" w:ascii="宋体" w:hAnsi="宋体" w:eastAsia="宋体" w:cs="宋体"/>
                      <w:color w:val="auto"/>
                      <w:sz w:val="21"/>
                      <w:szCs w:val="21"/>
                      <w:highlight w:val="none"/>
                      <w:lang w:val="en-US" w:eastAsia="zh-CN"/>
                    </w:rPr>
                    <w:t>自动割管机</w:t>
                  </w:r>
                  <w:r>
                    <w:rPr>
                      <w:rFonts w:hint="eastAsia" w:ascii="宋体" w:hAnsi="宋体" w:eastAsia="宋体" w:cs="宋体"/>
                      <w:color w:val="auto"/>
                      <w:sz w:val="21"/>
                      <w:szCs w:val="21"/>
                      <w:highlight w:val="none"/>
                      <w:lang w:eastAsia="zh-CN"/>
                    </w:rPr>
                    <w:t>、高精密平面磨床、高精度无心磨床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空气回火炉、</w:t>
                  </w:r>
                  <w:r>
                    <w:rPr>
                      <w:rFonts w:hint="eastAsia" w:ascii="宋体" w:hAnsi="宋体" w:eastAsia="宋体" w:cs="宋体"/>
                      <w:color w:val="auto"/>
                      <w:sz w:val="21"/>
                      <w:szCs w:val="21"/>
                    </w:rPr>
                    <w:t>轴承套圈数字化车削线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轴承套圈工序检测机</w:t>
                  </w:r>
                  <w:r>
                    <w:rPr>
                      <w:rFonts w:hint="eastAsia" w:ascii="宋体" w:hAnsi="宋体" w:eastAsia="宋体" w:cs="宋体"/>
                      <w:color w:val="auto"/>
                      <w:sz w:val="21"/>
                      <w:szCs w:val="21"/>
                      <w:highlight w:val="none"/>
                      <w:lang w:val="en-US" w:eastAsia="zh-CN"/>
                    </w:rPr>
                    <w:t>等设备</w:t>
                  </w:r>
                  <w:r>
                    <w:rPr>
                      <w:rFonts w:hint="eastAsia" w:ascii="宋体" w:hAnsi="宋体" w:cs="宋体"/>
                      <w:color w:val="auto"/>
                      <w:sz w:val="21"/>
                      <w:szCs w:val="21"/>
                      <w:highlight w:val="none"/>
                      <w:lang w:val="en-US" w:eastAsia="zh-CN"/>
                    </w:rPr>
                    <w:t>，主要用于割料、机加工、检测工序。</w:t>
                  </w:r>
                  <w:r>
                    <w:rPr>
                      <w:rFonts w:hint="default"/>
                      <w:color w:val="auto"/>
                      <w:sz w:val="21"/>
                      <w:szCs w:val="21"/>
                      <w:lang w:val="en-US" w:eastAsia="zh-CN"/>
                    </w:rPr>
                    <w:t>建成后能达到年产</w:t>
                  </w:r>
                  <w:r>
                    <w:rPr>
                      <w:rFonts w:hint="eastAsia"/>
                      <w:color w:val="auto"/>
                      <w:sz w:val="21"/>
                      <w:szCs w:val="21"/>
                      <w:lang w:val="en-US" w:eastAsia="zh-CN"/>
                    </w:rPr>
                    <w:t>1.5亿</w:t>
                  </w:r>
                  <w:r>
                    <w:rPr>
                      <w:rFonts w:hint="default"/>
                      <w:color w:val="auto"/>
                      <w:sz w:val="21"/>
                      <w:szCs w:val="21"/>
                      <w:lang w:val="en-US" w:eastAsia="zh-CN"/>
                    </w:rPr>
                    <w:t>套轴承的生产能力</w:t>
                  </w:r>
                  <w:r>
                    <w:rPr>
                      <w:rFonts w:hint="eastAsia"/>
                      <w:color w:val="auto"/>
                      <w:sz w:val="21"/>
                      <w:szCs w:val="21"/>
                      <w:lang w:val="en-US" w:eastAsia="zh-CN"/>
                    </w:rPr>
                    <w:t>。</w:t>
                  </w:r>
                </w:p>
              </w:tc>
              <w:tc>
                <w:tcPr>
                  <w:tcW w:w="674" w:type="pct"/>
                  <w:noWrap w:val="0"/>
                  <w:vAlign w:val="center"/>
                </w:tcPr>
                <w:p w14:paraId="4D629F9B">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一期建设</w:t>
                  </w:r>
                </w:p>
              </w:tc>
            </w:tr>
            <w:tr w14:paraId="0F2B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421" w:type="pct"/>
                  <w:vMerge w:val="continue"/>
                  <w:noWrap w:val="0"/>
                  <w:vAlign w:val="center"/>
                </w:tcPr>
                <w:p w14:paraId="481063C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p>
              </w:tc>
              <w:tc>
                <w:tcPr>
                  <w:tcW w:w="941" w:type="pct"/>
                  <w:gridSpan w:val="2"/>
                  <w:vMerge w:val="continue"/>
                  <w:noWrap w:val="0"/>
                  <w:vAlign w:val="center"/>
                </w:tcPr>
                <w:p w14:paraId="01DBE912">
                  <w:pPr>
                    <w:pStyle w:val="2"/>
                    <w:jc w:val="center"/>
                    <w:rPr>
                      <w:rFonts w:hint="eastAsia" w:cs="Times New Roman"/>
                      <w:b w:val="0"/>
                      <w:bCs w:val="0"/>
                      <w:snapToGrid/>
                      <w:color w:val="auto"/>
                      <w:spacing w:val="0"/>
                      <w:kern w:val="0"/>
                      <w:position w:val="0"/>
                      <w:sz w:val="21"/>
                      <w:szCs w:val="21"/>
                      <w:vertAlign w:val="baseline"/>
                      <w:lang w:val="en-US" w:eastAsia="zh-CN"/>
                    </w:rPr>
                  </w:pPr>
                </w:p>
              </w:tc>
              <w:tc>
                <w:tcPr>
                  <w:tcW w:w="2962" w:type="pct"/>
                  <w:noWrap w:val="0"/>
                  <w:vAlign w:val="center"/>
                </w:tcPr>
                <w:p w14:paraId="72E782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olor w:val="auto"/>
                      <w:sz w:val="21"/>
                      <w:szCs w:val="21"/>
                      <w:lang w:val="en-US" w:eastAsia="zh-CN"/>
                    </w:rPr>
                  </w:pPr>
                  <w:r>
                    <w:rPr>
                      <w:rFonts w:hint="eastAsia"/>
                      <w:color w:val="auto"/>
                      <w:sz w:val="21"/>
                      <w:szCs w:val="21"/>
                      <w:lang w:val="en-US" w:eastAsia="zh-CN"/>
                    </w:rPr>
                    <w:t>在一期建设基础上再购置建设25条轴承套圈生产线，</w:t>
                  </w:r>
                  <w:r>
                    <w:rPr>
                      <w:rFonts w:hint="eastAsia" w:cs="Times New Roman"/>
                      <w:color w:val="auto"/>
                      <w:sz w:val="21"/>
                      <w:szCs w:val="21"/>
                      <w:vertAlign w:val="baseline"/>
                      <w:lang w:val="en-US" w:eastAsia="zh-CN"/>
                    </w:rPr>
                    <w:t>设置</w:t>
                  </w:r>
                  <w:r>
                    <w:rPr>
                      <w:rFonts w:hint="eastAsia" w:ascii="宋体" w:hAnsi="宋体" w:eastAsia="宋体" w:cs="宋体"/>
                      <w:color w:val="auto"/>
                      <w:sz w:val="21"/>
                      <w:szCs w:val="21"/>
                      <w:highlight w:val="none"/>
                      <w:lang w:val="en-US" w:eastAsia="zh-CN"/>
                    </w:rPr>
                    <w:t>自动割管机</w:t>
                  </w:r>
                  <w:r>
                    <w:rPr>
                      <w:rFonts w:hint="eastAsia" w:ascii="宋体" w:hAnsi="宋体" w:eastAsia="宋体" w:cs="宋体"/>
                      <w:color w:val="auto"/>
                      <w:sz w:val="21"/>
                      <w:szCs w:val="21"/>
                      <w:highlight w:val="none"/>
                      <w:lang w:eastAsia="zh-CN"/>
                    </w:rPr>
                    <w:t>、高精密平面磨床、高精度无心磨床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空气回火炉、</w:t>
                  </w:r>
                  <w:r>
                    <w:rPr>
                      <w:rFonts w:hint="eastAsia" w:ascii="宋体" w:hAnsi="宋体" w:eastAsia="宋体" w:cs="宋体"/>
                      <w:color w:val="auto"/>
                      <w:sz w:val="21"/>
                      <w:szCs w:val="21"/>
                    </w:rPr>
                    <w:t>轴承套圈数字化车削线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轴承套圈工序检测机</w:t>
                  </w:r>
                  <w:r>
                    <w:rPr>
                      <w:rFonts w:hint="eastAsia" w:ascii="宋体" w:hAnsi="宋体" w:eastAsia="宋体" w:cs="宋体"/>
                      <w:color w:val="auto"/>
                      <w:sz w:val="21"/>
                      <w:szCs w:val="21"/>
                      <w:highlight w:val="none"/>
                      <w:lang w:val="en-US" w:eastAsia="zh-CN"/>
                    </w:rPr>
                    <w:t>等设备</w:t>
                  </w:r>
                  <w:r>
                    <w:rPr>
                      <w:rFonts w:hint="eastAsia" w:ascii="宋体" w:hAnsi="宋体" w:cs="宋体"/>
                      <w:color w:val="auto"/>
                      <w:sz w:val="21"/>
                      <w:szCs w:val="21"/>
                      <w:highlight w:val="none"/>
                      <w:lang w:val="en-US" w:eastAsia="zh-CN"/>
                    </w:rPr>
                    <w:t>，主要用于割料、机加工、检测工序。</w:t>
                  </w:r>
                  <w:r>
                    <w:rPr>
                      <w:rFonts w:hint="default"/>
                      <w:color w:val="auto"/>
                      <w:sz w:val="21"/>
                      <w:szCs w:val="21"/>
                      <w:lang w:val="en-US" w:eastAsia="zh-CN"/>
                    </w:rPr>
                    <w:t>建成后能达到年产</w:t>
                  </w:r>
                  <w:r>
                    <w:rPr>
                      <w:rFonts w:hint="eastAsia"/>
                      <w:color w:val="auto"/>
                      <w:sz w:val="21"/>
                      <w:szCs w:val="21"/>
                      <w:lang w:val="en-US" w:eastAsia="zh-CN"/>
                    </w:rPr>
                    <w:t>1.5亿</w:t>
                  </w:r>
                  <w:r>
                    <w:rPr>
                      <w:rFonts w:hint="default"/>
                      <w:color w:val="auto"/>
                      <w:sz w:val="21"/>
                      <w:szCs w:val="21"/>
                      <w:lang w:val="en-US" w:eastAsia="zh-CN"/>
                    </w:rPr>
                    <w:t>套轴承的生产能力</w:t>
                  </w:r>
                  <w:r>
                    <w:rPr>
                      <w:rFonts w:hint="eastAsia"/>
                      <w:color w:val="auto"/>
                      <w:sz w:val="21"/>
                      <w:szCs w:val="21"/>
                      <w:lang w:val="en-US" w:eastAsia="zh-CN"/>
                    </w:rPr>
                    <w:t>。</w:t>
                  </w:r>
                </w:p>
              </w:tc>
              <w:tc>
                <w:tcPr>
                  <w:tcW w:w="674" w:type="pct"/>
                  <w:noWrap w:val="0"/>
                  <w:vAlign w:val="center"/>
                </w:tcPr>
                <w:p w14:paraId="4BB2617E">
                  <w:pPr>
                    <w:keepNext w:val="0"/>
                    <w:keepLines w:val="0"/>
                    <w:pageBreakBefore w:val="0"/>
                    <w:widowControl w:val="0"/>
                    <w:kinsoku/>
                    <w:wordWrap/>
                    <w:overflowPunct/>
                    <w:topLinePunct w:val="0"/>
                    <w:bidi w:val="0"/>
                    <w:adjustRightInd w:val="0"/>
                    <w:snapToGrid w:val="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二期建设</w:t>
                  </w:r>
                </w:p>
              </w:tc>
            </w:tr>
            <w:tr w14:paraId="5CF6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noWrap w:val="0"/>
                  <w:vAlign w:val="center"/>
                </w:tcPr>
                <w:p w14:paraId="67DD2DD0">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辅助工程</w:t>
                  </w:r>
                </w:p>
              </w:tc>
              <w:tc>
                <w:tcPr>
                  <w:tcW w:w="941" w:type="pct"/>
                  <w:gridSpan w:val="2"/>
                  <w:noWrap w:val="0"/>
                  <w:vAlign w:val="center"/>
                </w:tcPr>
                <w:p w14:paraId="1038DED4">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办公室</w:t>
                  </w:r>
                </w:p>
              </w:tc>
              <w:tc>
                <w:tcPr>
                  <w:tcW w:w="2962" w:type="pct"/>
                  <w:noWrap w:val="0"/>
                  <w:vAlign w:val="center"/>
                </w:tcPr>
                <w:p w14:paraId="3180416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办公室位于生产车间西南侧，建筑面积约60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r>
                    <w:rPr>
                      <w:rFonts w:hint="eastAsia"/>
                      <w:color w:val="auto"/>
                      <w:sz w:val="21"/>
                      <w:szCs w:val="21"/>
                      <w:lang w:val="en-US" w:eastAsia="zh-CN"/>
                    </w:rPr>
                    <w:t>，满足员工办公需求。</w:t>
                  </w:r>
                </w:p>
              </w:tc>
              <w:tc>
                <w:tcPr>
                  <w:tcW w:w="674" w:type="pct"/>
                  <w:noWrap w:val="0"/>
                  <w:vAlign w:val="center"/>
                </w:tcPr>
                <w:p w14:paraId="6BEB68B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一期建设</w:t>
                  </w:r>
                </w:p>
              </w:tc>
            </w:tr>
            <w:tr w14:paraId="4B55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vMerge w:val="restart"/>
                  <w:noWrap w:val="0"/>
                  <w:vAlign w:val="center"/>
                </w:tcPr>
                <w:p w14:paraId="4C4F249E">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储运工程</w:t>
                  </w:r>
                </w:p>
              </w:tc>
              <w:tc>
                <w:tcPr>
                  <w:tcW w:w="395" w:type="pct"/>
                  <w:vMerge w:val="restart"/>
                  <w:noWrap w:val="0"/>
                  <w:vAlign w:val="center"/>
                </w:tcPr>
                <w:p w14:paraId="4EAB3C68">
                  <w:pPr>
                    <w:pStyle w:val="2"/>
                    <w:jc w:val="center"/>
                    <w:rPr>
                      <w:rFonts w:hint="default"/>
                      <w:color w:val="auto"/>
                      <w:lang w:val="en-US" w:eastAsia="zh-CN"/>
                    </w:rPr>
                  </w:pPr>
                  <w:r>
                    <w:rPr>
                      <w:rFonts w:hint="eastAsia" w:cs="Times New Roman"/>
                      <w:color w:val="auto"/>
                      <w:sz w:val="21"/>
                      <w:szCs w:val="21"/>
                      <w:lang w:val="en-US" w:eastAsia="zh-CN"/>
                    </w:rPr>
                    <w:t>仓库</w:t>
                  </w:r>
                </w:p>
              </w:tc>
              <w:tc>
                <w:tcPr>
                  <w:tcW w:w="546" w:type="pct"/>
                  <w:noWrap w:val="0"/>
                  <w:vAlign w:val="center"/>
                </w:tcPr>
                <w:p w14:paraId="454C3D87">
                  <w:pPr>
                    <w:pStyle w:val="2"/>
                    <w:jc w:val="center"/>
                    <w:rPr>
                      <w:rFonts w:hint="default" w:cs="Times New Roman"/>
                      <w:color w:val="auto"/>
                      <w:sz w:val="21"/>
                      <w:szCs w:val="21"/>
                      <w:lang w:val="en-US" w:eastAsia="zh-CN"/>
                    </w:rPr>
                  </w:pPr>
                  <w:r>
                    <w:rPr>
                      <w:rFonts w:hint="eastAsia" w:cs="Times New Roman"/>
                      <w:color w:val="auto"/>
                      <w:sz w:val="21"/>
                      <w:szCs w:val="21"/>
                      <w:lang w:val="en-US" w:eastAsia="zh-CN"/>
                    </w:rPr>
                    <w:t>原料区</w:t>
                  </w:r>
                </w:p>
              </w:tc>
              <w:tc>
                <w:tcPr>
                  <w:tcW w:w="2962" w:type="pct"/>
                  <w:noWrap w:val="0"/>
                  <w:vAlign w:val="center"/>
                </w:tcPr>
                <w:p w14:paraId="5CBEF1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lang w:eastAsia="zh-CN"/>
                    </w:rPr>
                  </w:pPr>
                  <w:r>
                    <w:rPr>
                      <w:rFonts w:hint="eastAsia"/>
                      <w:color w:val="auto"/>
                      <w:sz w:val="21"/>
                      <w:szCs w:val="21"/>
                      <w:lang w:val="en-US" w:eastAsia="zh-CN"/>
                    </w:rPr>
                    <w:t>仓库3层，钢结构，总建筑</w:t>
                  </w:r>
                  <w:r>
                    <w:rPr>
                      <w:rFonts w:hint="default"/>
                      <w:color w:val="auto"/>
                      <w:sz w:val="21"/>
                      <w:szCs w:val="21"/>
                    </w:rPr>
                    <w:t>面</w:t>
                  </w:r>
                  <w:r>
                    <w:rPr>
                      <w:rFonts w:hint="eastAsia"/>
                      <w:color w:val="auto"/>
                      <w:sz w:val="21"/>
                      <w:szCs w:val="21"/>
                      <w:lang w:eastAsia="zh-CN"/>
                    </w:rPr>
                    <w:t>积</w:t>
                  </w:r>
                  <w:r>
                    <w:rPr>
                      <w:rFonts w:hint="eastAsia"/>
                      <w:color w:val="auto"/>
                      <w:sz w:val="21"/>
                      <w:szCs w:val="21"/>
                      <w:lang w:val="en-US" w:eastAsia="zh-CN"/>
                    </w:rPr>
                    <w:t>27000</w:t>
                  </w:r>
                  <w:r>
                    <w:rPr>
                      <w:rFonts w:hint="default"/>
                      <w:color w:val="auto"/>
                      <w:sz w:val="21"/>
                      <w:szCs w:val="21"/>
                    </w:rPr>
                    <w:t>m</w:t>
                  </w:r>
                  <w:r>
                    <w:rPr>
                      <w:rFonts w:hint="default"/>
                      <w:color w:val="auto"/>
                      <w:sz w:val="21"/>
                      <w:szCs w:val="21"/>
                      <w:vertAlign w:val="superscript"/>
                    </w:rPr>
                    <w:t>2</w:t>
                  </w:r>
                  <w:r>
                    <w:rPr>
                      <w:rFonts w:hint="default"/>
                      <w:color w:val="auto"/>
                      <w:sz w:val="21"/>
                      <w:szCs w:val="21"/>
                      <w:lang w:eastAsia="zh-CN"/>
                    </w:rPr>
                    <w:t>，</w:t>
                  </w:r>
                  <w:r>
                    <w:rPr>
                      <w:rFonts w:hint="eastAsia"/>
                      <w:color w:val="auto"/>
                      <w:sz w:val="21"/>
                      <w:szCs w:val="21"/>
                      <w:lang w:val="en-US" w:eastAsia="zh-CN"/>
                    </w:rPr>
                    <w:t>原料区位于仓库1层，建筑面积9000</w:t>
                  </w:r>
                  <w:r>
                    <w:rPr>
                      <w:rFonts w:hint="default"/>
                      <w:color w:val="auto"/>
                      <w:sz w:val="21"/>
                      <w:szCs w:val="21"/>
                    </w:rPr>
                    <w:t>m</w:t>
                  </w:r>
                  <w:r>
                    <w:rPr>
                      <w:rFonts w:hint="default"/>
                      <w:color w:val="auto"/>
                      <w:sz w:val="21"/>
                      <w:szCs w:val="21"/>
                      <w:vertAlign w:val="superscript"/>
                    </w:rPr>
                    <w:t>2</w:t>
                  </w:r>
                  <w:r>
                    <w:rPr>
                      <w:rFonts w:hint="eastAsia"/>
                      <w:color w:val="auto"/>
                      <w:sz w:val="21"/>
                      <w:szCs w:val="21"/>
                      <w:lang w:eastAsia="zh-CN"/>
                    </w:rPr>
                    <w:t>，</w:t>
                  </w:r>
                  <w:r>
                    <w:rPr>
                      <w:rFonts w:hint="eastAsia"/>
                      <w:color w:val="auto"/>
                      <w:sz w:val="21"/>
                      <w:szCs w:val="21"/>
                      <w:lang w:val="en-US" w:eastAsia="zh-CN"/>
                    </w:rPr>
                    <w:t>用</w:t>
                  </w:r>
                  <w:r>
                    <w:rPr>
                      <w:rFonts w:hint="default"/>
                      <w:color w:val="auto"/>
                      <w:sz w:val="21"/>
                      <w:szCs w:val="21"/>
                      <w:lang w:eastAsia="zh-CN"/>
                    </w:rPr>
                    <w:t>于存放项目所需原料</w:t>
                  </w:r>
                  <w:r>
                    <w:rPr>
                      <w:rFonts w:hint="eastAsia"/>
                      <w:color w:val="auto"/>
                      <w:sz w:val="21"/>
                      <w:szCs w:val="21"/>
                      <w:lang w:eastAsia="zh-CN"/>
                    </w:rPr>
                    <w:t>。</w:t>
                  </w:r>
                </w:p>
              </w:tc>
              <w:tc>
                <w:tcPr>
                  <w:tcW w:w="674" w:type="pct"/>
                  <w:vMerge w:val="restart"/>
                  <w:noWrap w:val="0"/>
                  <w:vAlign w:val="center"/>
                </w:tcPr>
                <w:p w14:paraId="0AF5A833">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一期建设</w:t>
                  </w:r>
                </w:p>
              </w:tc>
            </w:tr>
            <w:tr w14:paraId="1C4D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21" w:type="pct"/>
                  <w:vMerge w:val="continue"/>
                  <w:noWrap w:val="0"/>
                  <w:vAlign w:val="center"/>
                </w:tcPr>
                <w:p w14:paraId="726D633B">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p>
              </w:tc>
              <w:tc>
                <w:tcPr>
                  <w:tcW w:w="395" w:type="pct"/>
                  <w:vMerge w:val="continue"/>
                  <w:noWrap w:val="0"/>
                  <w:vAlign w:val="center"/>
                </w:tcPr>
                <w:p w14:paraId="57454C27">
                  <w:pPr>
                    <w:keepNext w:val="0"/>
                    <w:keepLines w:val="0"/>
                    <w:pageBreakBefore w:val="0"/>
                    <w:widowControl w:val="0"/>
                    <w:kinsoku/>
                    <w:wordWrap/>
                    <w:overflowPunct/>
                    <w:topLinePunct w:val="0"/>
                    <w:bidi w:val="0"/>
                    <w:adjustRightInd w:val="0"/>
                    <w:snapToGrid w:val="0"/>
                    <w:jc w:val="center"/>
                    <w:textAlignment w:val="auto"/>
                    <w:rPr>
                      <w:rFonts w:hint="eastAsia" w:ascii="Times New Roman" w:hAnsi="Times New Roman" w:eastAsia="宋体" w:cs="Times New Roman"/>
                      <w:color w:val="auto"/>
                      <w:kern w:val="2"/>
                      <w:sz w:val="21"/>
                      <w:szCs w:val="21"/>
                      <w:lang w:val="en-US" w:eastAsia="zh-CN" w:bidi="ar-SA"/>
                    </w:rPr>
                  </w:pPr>
                </w:p>
              </w:tc>
              <w:tc>
                <w:tcPr>
                  <w:tcW w:w="546" w:type="pct"/>
                  <w:noWrap w:val="0"/>
                  <w:vAlign w:val="center"/>
                </w:tcPr>
                <w:p w14:paraId="572AADA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成品区</w:t>
                  </w:r>
                </w:p>
              </w:tc>
              <w:tc>
                <w:tcPr>
                  <w:tcW w:w="2962" w:type="pct"/>
                  <w:noWrap w:val="0"/>
                  <w:vAlign w:val="center"/>
                </w:tcPr>
                <w:p w14:paraId="25F81C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lang w:eastAsia="zh-CN"/>
                    </w:rPr>
                  </w:pPr>
                  <w:r>
                    <w:rPr>
                      <w:rFonts w:hint="eastAsia"/>
                      <w:color w:val="auto"/>
                      <w:sz w:val="21"/>
                      <w:szCs w:val="21"/>
                      <w:lang w:val="en-US" w:eastAsia="zh-CN"/>
                    </w:rPr>
                    <w:t>位于仓库2层和3层，建筑面积18000</w:t>
                  </w:r>
                  <w:r>
                    <w:rPr>
                      <w:rFonts w:hint="default"/>
                      <w:color w:val="auto"/>
                      <w:sz w:val="21"/>
                      <w:szCs w:val="21"/>
                    </w:rPr>
                    <w:t>m</w:t>
                  </w:r>
                  <w:r>
                    <w:rPr>
                      <w:rFonts w:hint="default"/>
                      <w:color w:val="auto"/>
                      <w:sz w:val="21"/>
                      <w:szCs w:val="21"/>
                      <w:vertAlign w:val="superscript"/>
                    </w:rPr>
                    <w:t>2</w:t>
                  </w:r>
                  <w:r>
                    <w:rPr>
                      <w:rFonts w:hint="default"/>
                      <w:color w:val="auto"/>
                      <w:sz w:val="21"/>
                      <w:szCs w:val="21"/>
                      <w:lang w:eastAsia="zh-CN"/>
                    </w:rPr>
                    <w:t>，用于存放项目半成品和成品</w:t>
                  </w:r>
                  <w:r>
                    <w:rPr>
                      <w:rFonts w:hint="eastAsia"/>
                      <w:color w:val="auto"/>
                      <w:sz w:val="21"/>
                      <w:szCs w:val="21"/>
                      <w:lang w:eastAsia="zh-CN"/>
                    </w:rPr>
                    <w:t>。</w:t>
                  </w:r>
                </w:p>
              </w:tc>
              <w:tc>
                <w:tcPr>
                  <w:tcW w:w="674" w:type="pct"/>
                  <w:vMerge w:val="continue"/>
                  <w:noWrap w:val="0"/>
                  <w:vAlign w:val="center"/>
                </w:tcPr>
                <w:p w14:paraId="7AFDAC30">
                  <w:pPr>
                    <w:keepNext w:val="0"/>
                    <w:keepLines w:val="0"/>
                    <w:pageBreakBefore w:val="0"/>
                    <w:widowControl w:val="0"/>
                    <w:kinsoku/>
                    <w:wordWrap/>
                    <w:overflowPunct/>
                    <w:topLinePunct w:val="0"/>
                    <w:bidi w:val="0"/>
                    <w:adjustRightInd w:val="0"/>
                    <w:snapToGrid w:val="0"/>
                    <w:jc w:val="center"/>
                    <w:textAlignment w:val="auto"/>
                    <w:rPr>
                      <w:rFonts w:hint="eastAsia" w:cs="Times New Roman"/>
                      <w:color w:val="auto"/>
                      <w:sz w:val="21"/>
                      <w:szCs w:val="21"/>
                      <w:lang w:val="en-US" w:eastAsia="zh-CN"/>
                    </w:rPr>
                  </w:pPr>
                </w:p>
              </w:tc>
            </w:tr>
            <w:tr w14:paraId="6171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vMerge w:val="restart"/>
                  <w:noWrap w:val="0"/>
                  <w:vAlign w:val="center"/>
                </w:tcPr>
                <w:p w14:paraId="7ED00C55">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rPr>
                    <w:t>工程</w:t>
                  </w:r>
                </w:p>
              </w:tc>
              <w:tc>
                <w:tcPr>
                  <w:tcW w:w="941" w:type="pct"/>
                  <w:gridSpan w:val="2"/>
                  <w:noWrap w:val="0"/>
                  <w:vAlign w:val="center"/>
                </w:tcPr>
                <w:p w14:paraId="30E8F80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给水</w:t>
                  </w:r>
                </w:p>
              </w:tc>
              <w:tc>
                <w:tcPr>
                  <w:tcW w:w="2962" w:type="pct"/>
                  <w:noWrap w:val="0"/>
                  <w:vAlign w:val="center"/>
                </w:tcPr>
                <w:p w14:paraId="2AA11C59">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lang w:val="en-US" w:eastAsia="zh-CN"/>
                    </w:rPr>
                    <w:t>市政供水管网</w:t>
                  </w:r>
                  <w:r>
                    <w:rPr>
                      <w:rFonts w:hint="eastAsia" w:ascii="Times New Roman" w:hAnsi="Times New Roman" w:cs="Times New Roman"/>
                      <w:color w:val="auto"/>
                      <w:lang w:val="en-US" w:eastAsia="zh-CN"/>
                    </w:rPr>
                    <w:t>供给</w:t>
                  </w:r>
                  <w:r>
                    <w:rPr>
                      <w:rFonts w:hint="default" w:ascii="Times New Roman" w:hAnsi="Times New Roman" w:cs="Times New Roman"/>
                      <w:color w:val="auto"/>
                      <w:lang w:val="en-US" w:eastAsia="zh-CN"/>
                    </w:rPr>
                    <w:t>，</w:t>
                  </w:r>
                  <w:r>
                    <w:rPr>
                      <w:rFonts w:hint="eastAsia" w:cs="Times New Roman"/>
                      <w:color w:val="auto"/>
                      <w:lang w:val="en-US" w:eastAsia="zh-CN"/>
                    </w:rPr>
                    <w:t>一期工程</w:t>
                  </w:r>
                  <w:r>
                    <w:rPr>
                      <w:rFonts w:hint="default" w:ascii="Times New Roman" w:hAnsi="Times New Roman" w:cs="Times New Roman"/>
                      <w:color w:val="auto"/>
                      <w:lang w:val="en-US" w:eastAsia="zh-CN"/>
                    </w:rPr>
                    <w:t>供水量为</w:t>
                  </w:r>
                  <w:r>
                    <w:rPr>
                      <w:rFonts w:hint="eastAsia" w:cs="Times New Roman"/>
                      <w:color w:val="auto"/>
                      <w:lang w:val="en-US" w:eastAsia="zh-CN"/>
                    </w:rPr>
                    <w:t>670</w:t>
                  </w:r>
                  <w:r>
                    <w:rPr>
                      <w:rFonts w:hint="default" w:ascii="Times New Roman" w:hAnsi="Times New Roman" w:cs="Times New Roman"/>
                      <w:color w:val="auto"/>
                      <w:sz w:val="21"/>
                      <w:szCs w:val="21"/>
                    </w:rPr>
                    <w:t>t</w:t>
                  </w:r>
                  <w:r>
                    <w:rPr>
                      <w:rFonts w:hint="eastAsia" w:ascii="Times New Roman" w:hAnsi="Times New Roman" w:cs="Times New Roman"/>
                      <w:color w:val="auto"/>
                      <w:sz w:val="21"/>
                      <w:szCs w:val="21"/>
                      <w:lang w:val="en-US" w:eastAsia="zh-CN"/>
                    </w:rPr>
                    <w:t>/a</w:t>
                  </w:r>
                  <w:r>
                    <w:rPr>
                      <w:rFonts w:hint="eastAsia" w:cs="Times New Roman"/>
                      <w:color w:val="auto"/>
                      <w:sz w:val="21"/>
                      <w:szCs w:val="21"/>
                      <w:lang w:val="en-US" w:eastAsia="zh-CN"/>
                    </w:rPr>
                    <w:t>，二期建成后全厂供水量为1340t/a。</w:t>
                  </w:r>
                </w:p>
              </w:tc>
              <w:tc>
                <w:tcPr>
                  <w:tcW w:w="674" w:type="pct"/>
                  <w:vMerge w:val="restart"/>
                  <w:noWrap w:val="0"/>
                  <w:vAlign w:val="center"/>
                </w:tcPr>
                <w:p w14:paraId="63E09F24">
                  <w:pPr>
                    <w:keepNext w:val="0"/>
                    <w:keepLines w:val="0"/>
                    <w:pageBreakBefore w:val="0"/>
                    <w:widowControl w:val="0"/>
                    <w:kinsoku/>
                    <w:wordWrap/>
                    <w:overflowPunct/>
                    <w:topLinePunct w:val="0"/>
                    <w:bidi w:val="0"/>
                    <w:adjustRightInd w:val="0"/>
                    <w:snapToGrid w:val="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一期建设</w:t>
                  </w:r>
                </w:p>
              </w:tc>
            </w:tr>
            <w:tr w14:paraId="71CC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21" w:type="pct"/>
                  <w:vMerge w:val="continue"/>
                  <w:noWrap w:val="0"/>
                  <w:vAlign w:val="center"/>
                </w:tcPr>
                <w:p w14:paraId="1B1354E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p>
              </w:tc>
              <w:tc>
                <w:tcPr>
                  <w:tcW w:w="941" w:type="pct"/>
                  <w:gridSpan w:val="2"/>
                  <w:noWrap w:val="0"/>
                  <w:vAlign w:val="center"/>
                </w:tcPr>
                <w:p w14:paraId="118916E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排水</w:t>
                  </w:r>
                </w:p>
              </w:tc>
              <w:tc>
                <w:tcPr>
                  <w:tcW w:w="2962" w:type="pct"/>
                  <w:noWrap w:val="0"/>
                  <w:vAlign w:val="center"/>
                </w:tcPr>
                <w:p w14:paraId="1EAD997F">
                  <w:pPr>
                    <w:pStyle w:val="11"/>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vertAlign w:val="baseline"/>
                      <w:lang w:eastAsia="zh-CN"/>
                    </w:rPr>
                    <w:t>排水实行雨污分流制。雨水经厂区雨水管网排入市政雨水管网；</w:t>
                  </w:r>
                  <w:r>
                    <w:rPr>
                      <w:rFonts w:hint="eastAsia"/>
                      <w:color w:val="auto"/>
                      <w:lang w:eastAsia="zh-CN"/>
                    </w:rPr>
                    <w:t>无生产废水外排，</w:t>
                  </w:r>
                  <w:r>
                    <w:rPr>
                      <w:rFonts w:hint="eastAsia" w:cs="Times New Roman"/>
                      <w:color w:val="auto"/>
                      <w:sz w:val="21"/>
                      <w:szCs w:val="21"/>
                      <w:vertAlign w:val="baseline"/>
                      <w:lang w:val="en-US" w:eastAsia="zh-CN"/>
                    </w:rPr>
                    <w:t>生活污水经化粪池预处理后通过市政污水管网排入灵璧经济开发区北部污水处理厂处理。</w:t>
                  </w:r>
                </w:p>
              </w:tc>
              <w:tc>
                <w:tcPr>
                  <w:tcW w:w="674" w:type="pct"/>
                  <w:vMerge w:val="continue"/>
                  <w:noWrap w:val="0"/>
                  <w:vAlign w:val="center"/>
                </w:tcPr>
                <w:p w14:paraId="60C1C63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p>
              </w:tc>
            </w:tr>
            <w:tr w14:paraId="52E9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vMerge w:val="continue"/>
                  <w:noWrap w:val="0"/>
                  <w:vAlign w:val="center"/>
                </w:tcPr>
                <w:p w14:paraId="368D95B5">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p>
              </w:tc>
              <w:tc>
                <w:tcPr>
                  <w:tcW w:w="941" w:type="pct"/>
                  <w:gridSpan w:val="2"/>
                  <w:noWrap w:val="0"/>
                  <w:vAlign w:val="center"/>
                </w:tcPr>
                <w:p w14:paraId="7AC50DAB">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供电</w:t>
                  </w:r>
                </w:p>
              </w:tc>
              <w:tc>
                <w:tcPr>
                  <w:tcW w:w="2962" w:type="pct"/>
                  <w:noWrap w:val="0"/>
                  <w:vAlign w:val="center"/>
                </w:tcPr>
                <w:p w14:paraId="09EEAD84">
                  <w:pPr>
                    <w:keepNext w:val="0"/>
                    <w:keepLines w:val="0"/>
                    <w:pageBreakBefore w:val="0"/>
                    <w:widowControl w:val="0"/>
                    <w:kinsoku/>
                    <w:wordWrap/>
                    <w:overflowPunct/>
                    <w:topLinePunct w:val="0"/>
                    <w:bidi w:val="0"/>
                    <w:adjustRightInd w:val="0"/>
                    <w:snapToGrid w:val="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lang w:val="en-US" w:eastAsia="zh-CN"/>
                    </w:rPr>
                    <w:t>市政供电管网</w:t>
                  </w:r>
                  <w:r>
                    <w:rPr>
                      <w:rFonts w:hint="eastAsia" w:cs="Times New Roman"/>
                      <w:color w:val="auto"/>
                      <w:lang w:val="en-US" w:eastAsia="zh-CN"/>
                    </w:rPr>
                    <w:t>供给</w:t>
                  </w:r>
                  <w:r>
                    <w:rPr>
                      <w:rFonts w:hint="default" w:ascii="Times New Roman" w:hAnsi="Times New Roman" w:cs="Times New Roman"/>
                      <w:color w:val="auto"/>
                      <w:lang w:val="en-US" w:eastAsia="zh-CN"/>
                    </w:rPr>
                    <w:t>，</w:t>
                  </w:r>
                  <w:r>
                    <w:rPr>
                      <w:rFonts w:hint="eastAsia" w:cs="Times New Roman"/>
                      <w:color w:val="auto"/>
                      <w:lang w:val="en-US" w:eastAsia="zh-CN"/>
                    </w:rPr>
                    <w:t>一期工程</w:t>
                  </w:r>
                  <w:r>
                    <w:rPr>
                      <w:rFonts w:hint="default" w:ascii="Times New Roman" w:hAnsi="Times New Roman" w:cs="Times New Roman"/>
                      <w:color w:val="auto"/>
                      <w:lang w:val="en-US" w:eastAsia="zh-CN"/>
                    </w:rPr>
                    <w:t>供电量为</w:t>
                  </w:r>
                  <w:r>
                    <w:rPr>
                      <w:rFonts w:hint="eastAsia" w:cs="Times New Roman"/>
                      <w:color w:val="auto"/>
                      <w:kern w:val="0"/>
                      <w:sz w:val="21"/>
                      <w:szCs w:val="21"/>
                      <w:lang w:val="en-US" w:eastAsia="zh-CN"/>
                    </w:rPr>
                    <w:t>150</w:t>
                  </w:r>
                  <w:r>
                    <w:rPr>
                      <w:rFonts w:hint="default" w:ascii="Times New Roman" w:hAnsi="Times New Roman" w:cs="Times New Roman"/>
                      <w:color w:val="auto"/>
                      <w:kern w:val="0"/>
                      <w:sz w:val="21"/>
                      <w:szCs w:val="21"/>
                    </w:rPr>
                    <w:t>万kWh</w:t>
                  </w:r>
                  <w:r>
                    <w:rPr>
                      <w:rFonts w:hint="eastAsia" w:cs="Times New Roman"/>
                      <w:color w:val="auto"/>
                      <w:kern w:val="0"/>
                      <w:sz w:val="21"/>
                      <w:szCs w:val="21"/>
                      <w:lang w:val="en-US" w:eastAsia="zh-CN"/>
                    </w:rPr>
                    <w:t>/a，二期建成后全厂供电量为300</w:t>
                  </w:r>
                  <w:r>
                    <w:rPr>
                      <w:rFonts w:hint="default" w:ascii="Times New Roman" w:hAnsi="Times New Roman" w:cs="Times New Roman"/>
                      <w:color w:val="auto"/>
                      <w:kern w:val="0"/>
                      <w:sz w:val="21"/>
                      <w:szCs w:val="21"/>
                    </w:rPr>
                    <w:t>万kWh</w:t>
                  </w:r>
                  <w:r>
                    <w:rPr>
                      <w:rFonts w:hint="eastAsia" w:cs="Times New Roman"/>
                      <w:color w:val="auto"/>
                      <w:kern w:val="0"/>
                      <w:sz w:val="21"/>
                      <w:szCs w:val="21"/>
                      <w:lang w:val="en-US" w:eastAsia="zh-CN"/>
                    </w:rPr>
                    <w:t>/a</w:t>
                  </w:r>
                  <w:r>
                    <w:rPr>
                      <w:rFonts w:hint="eastAsia" w:cs="Times New Roman"/>
                      <w:color w:val="auto"/>
                      <w:sz w:val="21"/>
                      <w:szCs w:val="21"/>
                      <w:lang w:eastAsia="zh-CN"/>
                    </w:rPr>
                    <w:t>。</w:t>
                  </w:r>
                </w:p>
              </w:tc>
              <w:tc>
                <w:tcPr>
                  <w:tcW w:w="674" w:type="pct"/>
                  <w:vMerge w:val="continue"/>
                  <w:noWrap w:val="0"/>
                  <w:vAlign w:val="center"/>
                </w:tcPr>
                <w:p w14:paraId="0AA3D53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p>
              </w:tc>
            </w:tr>
            <w:tr w14:paraId="34A3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vMerge w:val="continue"/>
                  <w:noWrap w:val="0"/>
                  <w:vAlign w:val="center"/>
                </w:tcPr>
                <w:p w14:paraId="2726637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p>
              </w:tc>
              <w:tc>
                <w:tcPr>
                  <w:tcW w:w="941" w:type="pct"/>
                  <w:gridSpan w:val="2"/>
                  <w:noWrap w:val="0"/>
                  <w:vAlign w:val="center"/>
                </w:tcPr>
                <w:p w14:paraId="4A113AF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消防</w:t>
                  </w:r>
                </w:p>
              </w:tc>
              <w:tc>
                <w:tcPr>
                  <w:tcW w:w="2962" w:type="pct"/>
                  <w:noWrap w:val="0"/>
                  <w:vAlign w:val="center"/>
                </w:tcPr>
                <w:p w14:paraId="58D5617C">
                  <w:pPr>
                    <w:keepNext w:val="0"/>
                    <w:keepLines w:val="0"/>
                    <w:pageBreakBefore w:val="0"/>
                    <w:widowControl w:val="0"/>
                    <w:kinsoku/>
                    <w:wordWrap/>
                    <w:overflowPunct/>
                    <w:topLinePunct w:val="0"/>
                    <w:bidi w:val="0"/>
                    <w:adjustRightInd w:val="0"/>
                    <w:snapToGrid w:val="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按照相关规定设置各类消防设施</w:t>
                  </w:r>
                  <w:r>
                    <w:rPr>
                      <w:rFonts w:hint="eastAsia" w:cs="Times New Roman"/>
                      <w:color w:val="auto"/>
                      <w:sz w:val="21"/>
                      <w:szCs w:val="21"/>
                      <w:lang w:eastAsia="zh-CN"/>
                    </w:rPr>
                    <w:t>。</w:t>
                  </w:r>
                </w:p>
              </w:tc>
              <w:tc>
                <w:tcPr>
                  <w:tcW w:w="674" w:type="pct"/>
                  <w:vMerge w:val="continue"/>
                  <w:noWrap w:val="0"/>
                  <w:vAlign w:val="center"/>
                </w:tcPr>
                <w:p w14:paraId="35316E93">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p>
              </w:tc>
            </w:tr>
            <w:tr w14:paraId="754C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vMerge w:val="restart"/>
                  <w:noWrap w:val="0"/>
                  <w:vAlign w:val="center"/>
                </w:tcPr>
                <w:p w14:paraId="452A8D5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环保工程</w:t>
                  </w:r>
                </w:p>
              </w:tc>
              <w:tc>
                <w:tcPr>
                  <w:tcW w:w="941" w:type="pct"/>
                  <w:gridSpan w:val="2"/>
                  <w:noWrap w:val="0"/>
                  <w:vAlign w:val="center"/>
                </w:tcPr>
                <w:p w14:paraId="53CD42F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废水治理</w:t>
                  </w:r>
                </w:p>
              </w:tc>
              <w:tc>
                <w:tcPr>
                  <w:tcW w:w="2962" w:type="pct"/>
                  <w:noWrap w:val="0"/>
                  <w:vAlign w:val="center"/>
                </w:tcPr>
                <w:p w14:paraId="1F7CEC8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eastAsia"/>
                      <w:color w:val="auto"/>
                      <w:lang w:val="en-US" w:eastAsia="zh-CN"/>
                    </w:rPr>
                    <w:t>本项目</w:t>
                  </w:r>
                  <w:r>
                    <w:rPr>
                      <w:rFonts w:hint="eastAsia"/>
                      <w:color w:val="auto"/>
                      <w:lang w:eastAsia="zh-CN"/>
                    </w:rPr>
                    <w:t>无生产废水外排，</w:t>
                  </w:r>
                  <w:r>
                    <w:rPr>
                      <w:rFonts w:hint="default"/>
                      <w:color w:val="auto"/>
                      <w:sz w:val="21"/>
                      <w:szCs w:val="21"/>
                      <w:lang w:val="en-US" w:eastAsia="zh-CN"/>
                    </w:rPr>
                    <w:t>生活污水</w:t>
                  </w:r>
                  <w:r>
                    <w:rPr>
                      <w:rFonts w:hint="eastAsia" w:cs="Times New Roman"/>
                      <w:color w:val="auto"/>
                      <w:sz w:val="21"/>
                      <w:szCs w:val="21"/>
                      <w:vertAlign w:val="baseline"/>
                      <w:lang w:val="en-US" w:eastAsia="zh-CN"/>
                    </w:rPr>
                    <w:t>经化粪池预处理后通过市政污水管网排入灵璧经济开发区北部污水处理厂处理</w:t>
                  </w:r>
                  <w:r>
                    <w:rPr>
                      <w:rFonts w:hint="default"/>
                      <w:color w:val="auto"/>
                      <w:sz w:val="21"/>
                      <w:szCs w:val="21"/>
                      <w:lang w:val="en-US" w:eastAsia="zh-CN"/>
                    </w:rPr>
                    <w:t>。</w:t>
                  </w:r>
                </w:p>
              </w:tc>
              <w:tc>
                <w:tcPr>
                  <w:tcW w:w="674" w:type="pct"/>
                  <w:noWrap w:val="0"/>
                  <w:vAlign w:val="center"/>
                </w:tcPr>
                <w:p w14:paraId="24EF3529">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一期建设</w:t>
                  </w:r>
                </w:p>
              </w:tc>
            </w:tr>
            <w:tr w14:paraId="3A5B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21" w:type="pct"/>
                  <w:vMerge w:val="continue"/>
                  <w:noWrap w:val="0"/>
                  <w:vAlign w:val="center"/>
                </w:tcPr>
                <w:p w14:paraId="49541CAB">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p>
              </w:tc>
              <w:tc>
                <w:tcPr>
                  <w:tcW w:w="941" w:type="pct"/>
                  <w:gridSpan w:val="2"/>
                  <w:noWrap w:val="0"/>
                  <w:vAlign w:val="center"/>
                </w:tcPr>
                <w:p w14:paraId="63C73401">
                  <w:pPr>
                    <w:keepNext w:val="0"/>
                    <w:keepLines w:val="0"/>
                    <w:pageBreakBefore w:val="0"/>
                    <w:widowControl w:val="0"/>
                    <w:kinsoku/>
                    <w:wordWrap/>
                    <w:overflowPunct/>
                    <w:topLinePunct w:val="0"/>
                    <w:bidi w:val="0"/>
                    <w:adjustRightInd w:val="0"/>
                    <w:snapToGrid w:val="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废气治理</w:t>
                  </w:r>
                </w:p>
              </w:tc>
              <w:tc>
                <w:tcPr>
                  <w:tcW w:w="2962" w:type="pct"/>
                  <w:noWrap w:val="0"/>
                  <w:vAlign w:val="center"/>
                </w:tcPr>
                <w:p w14:paraId="6AEB8792">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Times New Roman" w:hAnsi="Times New Roman" w:eastAsia="宋体" w:cs="Times New Roman"/>
                      <w:color w:val="auto"/>
                      <w:sz w:val="21"/>
                      <w:szCs w:val="21"/>
                      <w:lang w:val="en-US" w:eastAsia="zh-CN"/>
                    </w:rPr>
                  </w:pPr>
                  <w:r>
                    <w:rPr>
                      <w:rFonts w:hint="eastAsia"/>
                      <w:color w:val="auto"/>
                      <w:sz w:val="21"/>
                      <w:szCs w:val="21"/>
                      <w:shd w:val="clear" w:color="auto" w:fill="auto"/>
                      <w:lang w:val="en-US" w:eastAsia="zh-CN"/>
                    </w:rPr>
                    <w:t>项目生产过程中无废气产生</w:t>
                  </w:r>
                </w:p>
              </w:tc>
              <w:tc>
                <w:tcPr>
                  <w:tcW w:w="674" w:type="pct"/>
                  <w:noWrap w:val="0"/>
                  <w:vAlign w:val="center"/>
                </w:tcPr>
                <w:p w14:paraId="6F3AFB56">
                  <w:pPr>
                    <w:keepNext w:val="0"/>
                    <w:keepLines w:val="0"/>
                    <w:pageBreakBefore w:val="0"/>
                    <w:widowControl w:val="0"/>
                    <w:kinsoku/>
                    <w:wordWrap/>
                    <w:overflowPunct/>
                    <w:topLinePunct w:val="0"/>
                    <w:bidi w:val="0"/>
                    <w:adjustRightInd w:val="0"/>
                    <w:snapToGrid w:val="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一期建设</w:t>
                  </w:r>
                </w:p>
              </w:tc>
            </w:tr>
            <w:tr w14:paraId="5BC8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vMerge w:val="continue"/>
                  <w:noWrap w:val="0"/>
                  <w:vAlign w:val="center"/>
                </w:tcPr>
                <w:p w14:paraId="548C1863">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p>
              </w:tc>
              <w:tc>
                <w:tcPr>
                  <w:tcW w:w="941" w:type="pct"/>
                  <w:gridSpan w:val="2"/>
                  <w:noWrap w:val="0"/>
                  <w:vAlign w:val="center"/>
                </w:tcPr>
                <w:p w14:paraId="4033BD69">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噪声治理</w:t>
                  </w:r>
                </w:p>
              </w:tc>
              <w:tc>
                <w:tcPr>
                  <w:tcW w:w="2962" w:type="pct"/>
                  <w:noWrap w:val="0"/>
                  <w:vAlign w:val="center"/>
                </w:tcPr>
                <w:p w14:paraId="32521CD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隔声、消声、减振、设备定期保养等</w:t>
                  </w:r>
                  <w:r>
                    <w:rPr>
                      <w:rFonts w:hint="eastAsia" w:cs="Times New Roman"/>
                      <w:color w:val="auto"/>
                      <w:sz w:val="21"/>
                      <w:szCs w:val="21"/>
                      <w:vertAlign w:val="baseline"/>
                      <w:lang w:val="en-US" w:eastAsia="zh-CN"/>
                    </w:rPr>
                    <w:t>。</w:t>
                  </w:r>
                </w:p>
              </w:tc>
              <w:tc>
                <w:tcPr>
                  <w:tcW w:w="674" w:type="pct"/>
                  <w:noWrap w:val="0"/>
                  <w:vAlign w:val="center"/>
                </w:tcPr>
                <w:p w14:paraId="534E4B31">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一期建设</w:t>
                  </w:r>
                </w:p>
              </w:tc>
            </w:tr>
            <w:tr w14:paraId="34D0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vMerge w:val="continue"/>
                  <w:noWrap w:val="0"/>
                  <w:vAlign w:val="center"/>
                </w:tcPr>
                <w:p w14:paraId="1158D834">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p>
              </w:tc>
              <w:tc>
                <w:tcPr>
                  <w:tcW w:w="941" w:type="pct"/>
                  <w:gridSpan w:val="2"/>
                  <w:vMerge w:val="restart"/>
                  <w:noWrap w:val="0"/>
                  <w:vAlign w:val="center"/>
                </w:tcPr>
                <w:p w14:paraId="0E3A9C8A">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固废治理</w:t>
                  </w:r>
                </w:p>
              </w:tc>
              <w:tc>
                <w:tcPr>
                  <w:tcW w:w="2962" w:type="pct"/>
                  <w:noWrap w:val="0"/>
                  <w:vAlign w:val="center"/>
                </w:tcPr>
                <w:p w14:paraId="100AF0E0">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一般工业固体废物：一般工业固体废物暂存间</w:t>
                  </w:r>
                  <w:r>
                    <w:rPr>
                      <w:rFonts w:hint="default" w:ascii="Times New Roman" w:hAnsi="Times New Roman" w:eastAsia="宋体" w:cs="Times New Roman"/>
                      <w:color w:val="auto"/>
                      <w:sz w:val="21"/>
                      <w:szCs w:val="21"/>
                      <w:lang w:eastAsia="zh-CN"/>
                    </w:rPr>
                    <w:t>，位于</w:t>
                  </w:r>
                  <w:r>
                    <w:rPr>
                      <w:rFonts w:hint="eastAsia" w:cs="Times New Roman"/>
                      <w:color w:val="auto"/>
                      <w:sz w:val="21"/>
                      <w:szCs w:val="21"/>
                      <w:lang w:val="en-US" w:eastAsia="zh-CN"/>
                    </w:rPr>
                    <w:t>生产车间</w:t>
                  </w:r>
                  <w:r>
                    <w:rPr>
                      <w:rFonts w:hint="eastAsia" w:cs="Times New Roman"/>
                      <w:color w:val="auto"/>
                      <w:sz w:val="21"/>
                      <w:szCs w:val="21"/>
                      <w:lang w:eastAsia="zh-CN"/>
                    </w:rPr>
                    <w:t>西北</w:t>
                  </w:r>
                  <w:r>
                    <w:rPr>
                      <w:rFonts w:hint="default" w:ascii="Times New Roman" w:hAnsi="Times New Roman" w:eastAsia="宋体" w:cs="Times New Roman"/>
                      <w:color w:val="auto"/>
                      <w:sz w:val="21"/>
                      <w:szCs w:val="21"/>
                      <w:lang w:eastAsia="zh-CN"/>
                    </w:rPr>
                    <w:t>侧，</w:t>
                  </w:r>
                  <w:r>
                    <w:rPr>
                      <w:rFonts w:hint="eastAsia" w:cs="Times New Roman"/>
                      <w:color w:val="auto"/>
                      <w:sz w:val="21"/>
                      <w:szCs w:val="21"/>
                      <w:lang w:eastAsia="zh-CN"/>
                    </w:rPr>
                    <w:t>建筑</w:t>
                  </w:r>
                  <w:r>
                    <w:rPr>
                      <w:rFonts w:hint="default" w:ascii="Times New Roman" w:hAnsi="Times New Roman" w:eastAsia="宋体" w:cs="Times New Roman"/>
                      <w:color w:val="auto"/>
                      <w:sz w:val="21"/>
                      <w:szCs w:val="21"/>
                      <w:lang w:eastAsia="zh-CN"/>
                    </w:rPr>
                    <w:t>面积</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r>
                    <w:rPr>
                      <w:rFonts w:hint="eastAsia" w:cs="Times New Roman"/>
                      <w:color w:val="auto"/>
                      <w:sz w:val="21"/>
                      <w:szCs w:val="21"/>
                      <w:vertAlign w:val="baseline"/>
                      <w:lang w:val="en-US" w:eastAsia="zh-CN"/>
                    </w:rPr>
                    <w:t>。</w:t>
                  </w:r>
                </w:p>
              </w:tc>
              <w:tc>
                <w:tcPr>
                  <w:tcW w:w="674" w:type="pct"/>
                  <w:vMerge w:val="restart"/>
                  <w:noWrap w:val="0"/>
                  <w:vAlign w:val="center"/>
                </w:tcPr>
                <w:p w14:paraId="2BF06657">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一期建设</w:t>
                  </w:r>
                </w:p>
              </w:tc>
            </w:tr>
            <w:tr w14:paraId="0A3D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vMerge w:val="continue"/>
                  <w:noWrap w:val="0"/>
                  <w:vAlign w:val="center"/>
                </w:tcPr>
                <w:p w14:paraId="1285050E">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rPr>
                  </w:pPr>
                </w:p>
              </w:tc>
              <w:tc>
                <w:tcPr>
                  <w:tcW w:w="941" w:type="pct"/>
                  <w:gridSpan w:val="2"/>
                  <w:vMerge w:val="continue"/>
                  <w:noWrap w:val="0"/>
                  <w:vAlign w:val="center"/>
                </w:tcPr>
                <w:p w14:paraId="61AC7218">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rPr>
                  </w:pPr>
                </w:p>
              </w:tc>
              <w:tc>
                <w:tcPr>
                  <w:tcW w:w="2962" w:type="pct"/>
                  <w:noWrap w:val="0"/>
                  <w:vAlign w:val="center"/>
                </w:tcPr>
                <w:p w14:paraId="28E0C9B4">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危险废物：危险废物暂存间</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位于</w:t>
                  </w:r>
                  <w:r>
                    <w:rPr>
                      <w:rFonts w:hint="default" w:ascii="Times New Roman" w:hAnsi="Times New Roman" w:eastAsia="宋体" w:cs="Times New Roman"/>
                      <w:color w:val="auto"/>
                      <w:sz w:val="21"/>
                      <w:szCs w:val="21"/>
                    </w:rPr>
                    <w:t>一般工业固体废物暂存间</w:t>
                  </w:r>
                  <w:r>
                    <w:rPr>
                      <w:rFonts w:hint="eastAsia" w:cs="Times New Roman"/>
                      <w:color w:val="auto"/>
                      <w:sz w:val="21"/>
                      <w:szCs w:val="21"/>
                      <w:lang w:val="en-US" w:eastAsia="zh-CN"/>
                    </w:rPr>
                    <w:t>北</w:t>
                  </w:r>
                  <w:r>
                    <w:rPr>
                      <w:rFonts w:hint="default" w:ascii="Times New Roman" w:hAnsi="Times New Roman" w:eastAsia="宋体" w:cs="Times New Roman"/>
                      <w:color w:val="auto"/>
                      <w:sz w:val="21"/>
                      <w:szCs w:val="21"/>
                      <w:lang w:eastAsia="zh-CN"/>
                    </w:rPr>
                    <w:t>侧，</w:t>
                  </w:r>
                  <w:r>
                    <w:rPr>
                      <w:rFonts w:hint="eastAsia" w:cs="Times New Roman"/>
                      <w:color w:val="auto"/>
                      <w:sz w:val="21"/>
                      <w:szCs w:val="21"/>
                      <w:lang w:eastAsia="zh-CN"/>
                    </w:rPr>
                    <w:t>建筑</w:t>
                  </w:r>
                  <w:r>
                    <w:rPr>
                      <w:rFonts w:hint="default" w:ascii="Times New Roman" w:hAnsi="Times New Roman" w:eastAsia="宋体" w:cs="Times New Roman"/>
                      <w:color w:val="auto"/>
                      <w:sz w:val="21"/>
                      <w:szCs w:val="21"/>
                      <w:lang w:eastAsia="zh-CN"/>
                    </w:rPr>
                    <w:t>面积</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r>
                    <w:rPr>
                      <w:rFonts w:hint="eastAsia" w:cs="Times New Roman"/>
                      <w:color w:val="auto"/>
                      <w:sz w:val="21"/>
                      <w:szCs w:val="21"/>
                      <w:vertAlign w:val="baseline"/>
                      <w:lang w:val="en-US" w:eastAsia="zh-CN"/>
                    </w:rPr>
                    <w:t>。</w:t>
                  </w:r>
                </w:p>
              </w:tc>
              <w:tc>
                <w:tcPr>
                  <w:tcW w:w="674" w:type="pct"/>
                  <w:vMerge w:val="continue"/>
                  <w:noWrap w:val="0"/>
                  <w:vAlign w:val="center"/>
                </w:tcPr>
                <w:p w14:paraId="1C7F2397">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rPr>
                  </w:pPr>
                </w:p>
              </w:tc>
            </w:tr>
            <w:tr w14:paraId="3063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vMerge w:val="continue"/>
                  <w:noWrap w:val="0"/>
                  <w:vAlign w:val="center"/>
                </w:tcPr>
                <w:p w14:paraId="3784CACC">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rPr>
                  </w:pPr>
                </w:p>
              </w:tc>
              <w:tc>
                <w:tcPr>
                  <w:tcW w:w="941" w:type="pct"/>
                  <w:gridSpan w:val="2"/>
                  <w:vMerge w:val="continue"/>
                  <w:noWrap w:val="0"/>
                  <w:vAlign w:val="center"/>
                </w:tcPr>
                <w:p w14:paraId="4301DAC6">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rPr>
                  </w:pPr>
                </w:p>
              </w:tc>
              <w:tc>
                <w:tcPr>
                  <w:tcW w:w="2962" w:type="pct"/>
                  <w:noWrap w:val="0"/>
                  <w:vAlign w:val="center"/>
                </w:tcPr>
                <w:p w14:paraId="37652715">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生活垃圾：垃圾桶。</w:t>
                  </w:r>
                </w:p>
              </w:tc>
              <w:tc>
                <w:tcPr>
                  <w:tcW w:w="674" w:type="pct"/>
                  <w:vMerge w:val="continue"/>
                  <w:noWrap w:val="0"/>
                  <w:vAlign w:val="center"/>
                </w:tcPr>
                <w:p w14:paraId="701F930C">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rPr>
                  </w:pPr>
                </w:p>
              </w:tc>
            </w:tr>
            <w:tr w14:paraId="28B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vMerge w:val="continue"/>
                  <w:noWrap w:val="0"/>
                  <w:vAlign w:val="center"/>
                </w:tcPr>
                <w:p w14:paraId="082A4CBB">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rPr>
                  </w:pPr>
                </w:p>
              </w:tc>
              <w:tc>
                <w:tcPr>
                  <w:tcW w:w="941" w:type="pct"/>
                  <w:gridSpan w:val="2"/>
                  <w:noWrap w:val="0"/>
                  <w:vAlign w:val="center"/>
                </w:tcPr>
                <w:p w14:paraId="2E55B5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地下水、土壤</w:t>
                  </w:r>
                </w:p>
              </w:tc>
              <w:tc>
                <w:tcPr>
                  <w:tcW w:w="2962" w:type="pct"/>
                  <w:noWrap w:val="0"/>
                  <w:vAlign w:val="center"/>
                </w:tcPr>
                <w:p w14:paraId="7C751782">
                  <w:pPr>
                    <w:pStyle w:val="48"/>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highlight w:val="none"/>
                      <w:lang w:val="en-US" w:eastAsia="zh-CN"/>
                    </w:rPr>
                    <w:t>厂区内危废间需要做重点防渗，其他区域做一般防渗；项目厂房进行地面硬化，采用</w:t>
                  </w:r>
                  <w:r>
                    <w:rPr>
                      <w:rFonts w:hint="default" w:ascii="Times New Roman" w:hAnsi="Times New Roman" w:cs="Times New Roman"/>
                      <w:color w:val="auto"/>
                      <w:sz w:val="21"/>
                      <w:szCs w:val="21"/>
                      <w:highlight w:val="none"/>
                    </w:rPr>
                    <w:t>抗渗混凝土</w:t>
                  </w:r>
                  <w:r>
                    <w:rPr>
                      <w:rFonts w:hint="eastAsia" w:ascii="Times New Roman" w:hAnsi="Times New Roman" w:cs="Times New Roman"/>
                      <w:color w:val="auto"/>
                      <w:sz w:val="21"/>
                      <w:szCs w:val="21"/>
                      <w:highlight w:val="none"/>
                      <w:lang w:val="en-US" w:eastAsia="zh-CN"/>
                    </w:rPr>
                    <w:t>防渗</w:t>
                  </w:r>
                  <w:r>
                    <w:rPr>
                      <w:rFonts w:hint="eastAsia" w:cs="Times New Roman"/>
                      <w:color w:val="auto"/>
                      <w:sz w:val="21"/>
                      <w:szCs w:val="21"/>
                      <w:highlight w:val="none"/>
                      <w:lang w:val="en-US" w:eastAsia="zh-CN"/>
                    </w:rPr>
                    <w:t>，</w:t>
                  </w:r>
                  <w:r>
                    <w:rPr>
                      <w:rFonts w:hint="eastAsia" w:ascii="Times New Roman" w:hAnsi="Times New Roman" w:eastAsia="宋体" w:cs="Times New Roman"/>
                      <w:b w:val="0"/>
                      <w:bCs w:val="0"/>
                      <w:snapToGrid/>
                      <w:color w:val="auto"/>
                      <w:spacing w:val="0"/>
                      <w:kern w:val="0"/>
                      <w:position w:val="0"/>
                      <w:sz w:val="21"/>
                      <w:szCs w:val="21"/>
                      <w:highlight w:val="none"/>
                      <w:lang w:val="en-US" w:eastAsia="zh-CN"/>
                    </w:rPr>
                    <w:t>防渗层渗透系数已达到1.0×10</w:t>
                  </w:r>
                  <w:r>
                    <w:rPr>
                      <w:rFonts w:hint="eastAsia" w:ascii="Times New Roman" w:hAnsi="Times New Roman" w:eastAsia="宋体" w:cs="Times New Roman"/>
                      <w:b w:val="0"/>
                      <w:bCs w:val="0"/>
                      <w:snapToGrid/>
                      <w:color w:val="auto"/>
                      <w:spacing w:val="0"/>
                      <w:kern w:val="0"/>
                      <w:position w:val="0"/>
                      <w:sz w:val="21"/>
                      <w:szCs w:val="21"/>
                      <w:highlight w:val="none"/>
                      <w:vertAlign w:val="superscript"/>
                      <w:lang w:val="en-US" w:eastAsia="zh-CN"/>
                    </w:rPr>
                    <w:t>-7</w:t>
                  </w:r>
                  <w:r>
                    <w:rPr>
                      <w:rFonts w:hint="eastAsia" w:ascii="Times New Roman" w:hAnsi="Times New Roman" w:eastAsia="宋体" w:cs="Times New Roman"/>
                      <w:b w:val="0"/>
                      <w:bCs w:val="0"/>
                      <w:snapToGrid/>
                      <w:color w:val="auto"/>
                      <w:spacing w:val="0"/>
                      <w:kern w:val="0"/>
                      <w:position w:val="0"/>
                      <w:sz w:val="21"/>
                      <w:szCs w:val="21"/>
                      <w:highlight w:val="none"/>
                      <w:lang w:val="en-US" w:eastAsia="zh-CN"/>
                    </w:rPr>
                    <w:t>cm/s</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重点防渗区域采用环氧树脂漆（1.5mm）进行重点防渗，渗透系数≤1×10</w:t>
                  </w:r>
                  <w:r>
                    <w:rPr>
                      <w:rFonts w:hint="default" w:ascii="Times New Roman" w:hAnsi="Times New Roman" w:cs="Times New Roman"/>
                      <w:color w:val="auto"/>
                      <w:sz w:val="21"/>
                      <w:szCs w:val="21"/>
                      <w:highlight w:val="none"/>
                      <w:vertAlign w:val="superscript"/>
                    </w:rPr>
                    <w:t>-</w:t>
                  </w:r>
                  <w:r>
                    <w:rPr>
                      <w:rFonts w:hint="eastAsia" w:cs="Times New Roman"/>
                      <w:color w:val="auto"/>
                      <w:sz w:val="21"/>
                      <w:szCs w:val="21"/>
                      <w:highlight w:val="none"/>
                      <w:vertAlign w:val="superscript"/>
                      <w:lang w:val="en-US" w:eastAsia="zh-CN"/>
                    </w:rPr>
                    <w:t>10</w:t>
                  </w:r>
                  <w:r>
                    <w:rPr>
                      <w:rFonts w:hint="default" w:ascii="Times New Roman" w:hAnsi="Times New Roman" w:cs="Times New Roman"/>
                      <w:color w:val="auto"/>
                      <w:sz w:val="21"/>
                      <w:szCs w:val="21"/>
                      <w:highlight w:val="none"/>
                    </w:rPr>
                    <w:t>cm/s</w:t>
                  </w:r>
                  <w:r>
                    <w:rPr>
                      <w:rFonts w:hint="eastAsia" w:cs="Times New Roman"/>
                      <w:color w:val="auto"/>
                      <w:sz w:val="21"/>
                      <w:szCs w:val="21"/>
                      <w:highlight w:val="none"/>
                      <w:lang w:eastAsia="zh-CN"/>
                    </w:rPr>
                    <w:t>。</w:t>
                  </w:r>
                </w:p>
              </w:tc>
              <w:tc>
                <w:tcPr>
                  <w:tcW w:w="674" w:type="pct"/>
                  <w:noWrap w:val="0"/>
                  <w:vAlign w:val="center"/>
                </w:tcPr>
                <w:p w14:paraId="72F950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lang w:val="en-US" w:eastAsia="zh-CN"/>
                    </w:rPr>
                    <w:t>一期建设</w:t>
                  </w:r>
                </w:p>
              </w:tc>
            </w:tr>
            <w:tr w14:paraId="39CA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1" w:type="pct"/>
                  <w:vMerge w:val="continue"/>
                  <w:noWrap w:val="0"/>
                  <w:vAlign w:val="center"/>
                </w:tcPr>
                <w:p w14:paraId="50EAC182">
                  <w:pPr>
                    <w:pStyle w:val="2"/>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color w:val="auto"/>
                      <w:sz w:val="21"/>
                      <w:szCs w:val="21"/>
                    </w:rPr>
                  </w:pPr>
                </w:p>
              </w:tc>
              <w:tc>
                <w:tcPr>
                  <w:tcW w:w="941" w:type="pct"/>
                  <w:gridSpan w:val="2"/>
                  <w:noWrap w:val="0"/>
                  <w:vAlign w:val="center"/>
                </w:tcPr>
                <w:p w14:paraId="4D24D3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b w:val="0"/>
                      <w:bCs w:val="0"/>
                      <w:color w:val="auto"/>
                      <w:sz w:val="21"/>
                      <w:szCs w:val="21"/>
                      <w:highlight w:val="none"/>
                      <w:lang w:eastAsia="zh-CN"/>
                    </w:rPr>
                    <w:t>风险</w:t>
                  </w:r>
                </w:p>
              </w:tc>
              <w:tc>
                <w:tcPr>
                  <w:tcW w:w="2962" w:type="pct"/>
                  <w:noWrap w:val="0"/>
                  <w:vAlign w:val="center"/>
                </w:tcPr>
                <w:p w14:paraId="2A521F45">
                  <w:pPr>
                    <w:pStyle w:val="48"/>
                    <w:keepNext w:val="0"/>
                    <w:keepLines w:val="0"/>
                    <w:pageBreakBefore w:val="0"/>
                    <w:widowControl w:val="0"/>
                    <w:kinsoku/>
                    <w:wordWrap/>
                    <w:overflowPunct/>
                    <w:topLinePunct w:val="0"/>
                    <w:bidi w:val="0"/>
                    <w:adjustRightInd w:val="0"/>
                    <w:spacing w:line="240" w:lineRule="exact"/>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设置室外消火栓、灭火器、制定风险应急预案等。</w:t>
                  </w:r>
                </w:p>
              </w:tc>
              <w:tc>
                <w:tcPr>
                  <w:tcW w:w="674" w:type="pct"/>
                  <w:noWrap w:val="0"/>
                  <w:vAlign w:val="center"/>
                </w:tcPr>
                <w:p w14:paraId="7E1BCC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一期建设</w:t>
                  </w:r>
                </w:p>
              </w:tc>
            </w:tr>
          </w:tbl>
          <w:p w14:paraId="7405815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ascii="宋体" w:hAnsi="宋体" w:eastAsia="宋体" w:cs="宋体"/>
                <w:b/>
                <w:bCs/>
                <w:color w:val="auto"/>
                <w:sz w:val="24"/>
                <w:szCs w:val="24"/>
                <w:lang w:eastAsia="zh-CN"/>
              </w:rPr>
            </w:pP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项目</w:t>
            </w:r>
            <w:r>
              <w:rPr>
                <w:rFonts w:hint="default" w:ascii="Times New Roman" w:hAnsi="Times New Roman" w:eastAsia="宋体" w:cs="Times New Roman"/>
                <w:b/>
                <w:bCs/>
                <w:color w:val="auto"/>
                <w:sz w:val="24"/>
                <w:szCs w:val="24"/>
                <w:lang w:eastAsia="zh-CN"/>
              </w:rPr>
              <w:t>主要</w:t>
            </w:r>
            <w:r>
              <w:rPr>
                <w:rFonts w:hint="default" w:ascii="Times New Roman" w:hAnsi="Times New Roman" w:eastAsia="宋体" w:cs="Times New Roman"/>
                <w:b/>
                <w:bCs/>
                <w:color w:val="auto"/>
                <w:sz w:val="24"/>
                <w:szCs w:val="24"/>
              </w:rPr>
              <w:t>产品</w:t>
            </w:r>
            <w:r>
              <w:rPr>
                <w:rFonts w:hint="default" w:ascii="Times New Roman" w:hAnsi="Times New Roman" w:eastAsia="宋体" w:cs="Times New Roman"/>
                <w:b/>
                <w:bCs/>
                <w:color w:val="auto"/>
                <w:sz w:val="24"/>
                <w:szCs w:val="24"/>
                <w:lang w:eastAsia="zh-CN"/>
              </w:rPr>
              <w:t>及产能</w:t>
            </w:r>
          </w:p>
          <w:p w14:paraId="6A9CF7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项目</w:t>
            </w:r>
            <w:r>
              <w:rPr>
                <w:rFonts w:hint="default" w:ascii="Times New Roman" w:hAnsi="Times New Roman" w:eastAsia="宋体" w:cs="Times New Roman"/>
                <w:b w:val="0"/>
                <w:bCs w:val="0"/>
                <w:color w:val="auto"/>
                <w:sz w:val="24"/>
                <w:szCs w:val="24"/>
                <w:lang w:eastAsia="zh-CN"/>
              </w:rPr>
              <w:t>主要</w:t>
            </w:r>
            <w:r>
              <w:rPr>
                <w:rFonts w:hint="default" w:ascii="Times New Roman" w:hAnsi="Times New Roman" w:eastAsia="宋体" w:cs="Times New Roman"/>
                <w:b w:val="0"/>
                <w:bCs w:val="0"/>
                <w:color w:val="auto"/>
                <w:sz w:val="24"/>
                <w:szCs w:val="24"/>
              </w:rPr>
              <w:t>产品</w:t>
            </w:r>
            <w:r>
              <w:rPr>
                <w:rFonts w:hint="default" w:ascii="Times New Roman" w:hAnsi="Times New Roman" w:eastAsia="宋体" w:cs="Times New Roman"/>
                <w:b w:val="0"/>
                <w:bCs w:val="0"/>
                <w:color w:val="auto"/>
                <w:sz w:val="24"/>
                <w:szCs w:val="24"/>
                <w:lang w:eastAsia="zh-CN"/>
              </w:rPr>
              <w:t>及产能</w:t>
            </w:r>
            <w:r>
              <w:rPr>
                <w:rFonts w:hint="default" w:ascii="Times New Roman" w:hAnsi="Times New Roman" w:eastAsia="宋体" w:cs="Times New Roman"/>
                <w:color w:val="auto"/>
                <w:sz w:val="24"/>
                <w:szCs w:val="24"/>
              </w:rPr>
              <w:t>见表</w:t>
            </w: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w:t>
            </w:r>
          </w:p>
          <w:p w14:paraId="6268902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rPr>
              <w:t xml:space="preserve">  项目</w:t>
            </w:r>
            <w:r>
              <w:rPr>
                <w:rFonts w:hint="default" w:ascii="Times New Roman" w:hAnsi="Times New Roman" w:eastAsia="宋体" w:cs="Times New Roman"/>
                <w:b/>
                <w:bCs/>
                <w:color w:val="auto"/>
                <w:sz w:val="24"/>
                <w:szCs w:val="24"/>
                <w:lang w:eastAsia="zh-CN"/>
              </w:rPr>
              <w:t>主要</w:t>
            </w:r>
            <w:r>
              <w:rPr>
                <w:rFonts w:hint="default" w:ascii="Times New Roman" w:hAnsi="Times New Roman" w:eastAsia="宋体" w:cs="Times New Roman"/>
                <w:b/>
                <w:bCs/>
                <w:color w:val="auto"/>
                <w:sz w:val="24"/>
                <w:szCs w:val="24"/>
              </w:rPr>
              <w:t>产品</w:t>
            </w:r>
            <w:r>
              <w:rPr>
                <w:rFonts w:hint="default" w:ascii="Times New Roman" w:hAnsi="Times New Roman" w:eastAsia="宋体" w:cs="Times New Roman"/>
                <w:b/>
                <w:bCs/>
                <w:color w:val="auto"/>
                <w:sz w:val="24"/>
                <w:szCs w:val="24"/>
                <w:lang w:eastAsia="zh-CN"/>
              </w:rPr>
              <w:t>及产能</w:t>
            </w:r>
            <w:r>
              <w:rPr>
                <w:rFonts w:hint="default" w:ascii="Times New Roman" w:hAnsi="Times New Roman" w:eastAsia="宋体" w:cs="Times New Roman"/>
                <w:b/>
                <w:bCs/>
                <w:color w:val="auto"/>
                <w:sz w:val="24"/>
                <w:szCs w:val="24"/>
              </w:rPr>
              <w:t>一览表</w:t>
            </w:r>
          </w:p>
          <w:tbl>
            <w:tblPr>
              <w:tblStyle w:val="23"/>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48"/>
              <w:gridCol w:w="2304"/>
              <w:gridCol w:w="1699"/>
              <w:gridCol w:w="1787"/>
            </w:tblGrid>
            <w:tr w14:paraId="4342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41C17F01">
                  <w:pPr>
                    <w:autoSpaceDE w:val="0"/>
                    <w:autoSpaceDN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996" w:type="pct"/>
                  <w:noWrap w:val="0"/>
                  <w:vAlign w:val="center"/>
                </w:tcPr>
                <w:p w14:paraId="2D98D2A4">
                  <w:pPr>
                    <w:autoSpaceDE w:val="0"/>
                    <w:autoSpaceDN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产品名称</w:t>
                  </w:r>
                </w:p>
              </w:tc>
              <w:tc>
                <w:tcPr>
                  <w:tcW w:w="1393" w:type="pct"/>
                  <w:noWrap w:val="0"/>
                  <w:vAlign w:val="center"/>
                </w:tcPr>
                <w:p w14:paraId="6E8CE65A">
                  <w:pPr>
                    <w:autoSpaceDE w:val="0"/>
                    <w:autoSpaceDN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规格</w:t>
                  </w:r>
                </w:p>
              </w:tc>
              <w:tc>
                <w:tcPr>
                  <w:tcW w:w="1027" w:type="pct"/>
                  <w:noWrap w:val="0"/>
                  <w:vAlign w:val="center"/>
                </w:tcPr>
                <w:p w14:paraId="31F8A065">
                  <w:pPr>
                    <w:autoSpaceDE w:val="0"/>
                    <w:autoSpaceDN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产能</w:t>
                  </w:r>
                </w:p>
              </w:tc>
              <w:tc>
                <w:tcPr>
                  <w:tcW w:w="1080" w:type="pct"/>
                  <w:noWrap w:val="0"/>
                  <w:vAlign w:val="center"/>
                </w:tcPr>
                <w:p w14:paraId="0DC94AD9">
                  <w:pPr>
                    <w:autoSpaceDE w:val="0"/>
                    <w:autoSpaceDN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r>
            <w:tr w14:paraId="51C7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noWrap w:val="0"/>
                  <w:vAlign w:val="center"/>
                </w:tcPr>
                <w:p w14:paraId="3C24AD23">
                  <w:pPr>
                    <w:autoSpaceDE w:val="0"/>
                    <w:autoSpaceDN w:val="0"/>
                    <w:jc w:val="center"/>
                    <w:rPr>
                      <w:rFonts w:hint="eastAsia" w:cs="Times New Roman"/>
                      <w:color w:val="auto"/>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一期工程</w:t>
                  </w:r>
                </w:p>
              </w:tc>
            </w:tr>
            <w:tr w14:paraId="33F5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64D5C688">
                  <w:pPr>
                    <w:autoSpaceDE w:val="0"/>
                    <w:autoSpaceDN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996" w:type="pct"/>
                  <w:vMerge w:val="restart"/>
                  <w:noWrap w:val="0"/>
                  <w:vAlign w:val="center"/>
                </w:tcPr>
                <w:p w14:paraId="4A9B67FA">
                  <w:pPr>
                    <w:pStyle w:val="37"/>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轴承</w:t>
                  </w:r>
                  <w:r>
                    <w:rPr>
                      <w:rFonts w:hint="eastAsia" w:ascii="宋体" w:hAnsi="宋体" w:cs="宋体"/>
                      <w:b w:val="0"/>
                      <w:bCs w:val="0"/>
                      <w:color w:val="auto"/>
                      <w:sz w:val="21"/>
                      <w:szCs w:val="21"/>
                      <w:lang w:val="en-US" w:eastAsia="zh-CN"/>
                    </w:rPr>
                    <w:t>套圈</w:t>
                  </w:r>
                </w:p>
              </w:tc>
              <w:tc>
                <w:tcPr>
                  <w:tcW w:w="1393" w:type="pct"/>
                  <w:shd w:val="clear" w:color="auto" w:fill="auto"/>
                  <w:noWrap w:val="0"/>
                  <w:vAlign w:val="center"/>
                </w:tcPr>
                <w:p w14:paraId="767CF548">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6000</w:t>
                  </w:r>
                </w:p>
              </w:tc>
              <w:tc>
                <w:tcPr>
                  <w:tcW w:w="1027" w:type="pct"/>
                  <w:shd w:val="clear" w:color="auto" w:fill="auto"/>
                  <w:noWrap w:val="0"/>
                  <w:vAlign w:val="center"/>
                </w:tcPr>
                <w:p w14:paraId="00D47175">
                  <w:pPr>
                    <w:autoSpaceDE w:val="0"/>
                    <w:autoSpaceDN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48064F38">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072F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57E8BBD2">
                  <w:pPr>
                    <w:autoSpaceDE w:val="0"/>
                    <w:autoSpaceDN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996" w:type="pct"/>
                  <w:vMerge w:val="continue"/>
                  <w:noWrap w:val="0"/>
                  <w:vAlign w:val="center"/>
                </w:tcPr>
                <w:p w14:paraId="02F28EB1">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717803B5">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6200</w:t>
                  </w:r>
                </w:p>
              </w:tc>
              <w:tc>
                <w:tcPr>
                  <w:tcW w:w="1027" w:type="pct"/>
                  <w:shd w:val="clear" w:color="auto" w:fill="auto"/>
                  <w:noWrap w:val="0"/>
                  <w:vAlign w:val="center"/>
                </w:tcPr>
                <w:p w14:paraId="2B41A305">
                  <w:pPr>
                    <w:autoSpaceDE w:val="0"/>
                    <w:autoSpaceDN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5C779CED">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633D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08FD62DE">
                  <w:pPr>
                    <w:autoSpaceDE w:val="0"/>
                    <w:autoSpaceDN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996" w:type="pct"/>
                  <w:vMerge w:val="continue"/>
                  <w:noWrap w:val="0"/>
                  <w:vAlign w:val="center"/>
                </w:tcPr>
                <w:p w14:paraId="519AC6CF">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4E835FDC">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6201</w:t>
                  </w:r>
                </w:p>
              </w:tc>
              <w:tc>
                <w:tcPr>
                  <w:tcW w:w="1027" w:type="pct"/>
                  <w:shd w:val="clear" w:color="auto" w:fill="auto"/>
                  <w:noWrap w:val="0"/>
                  <w:vAlign w:val="center"/>
                </w:tcPr>
                <w:p w14:paraId="75CAC464">
                  <w:pPr>
                    <w:autoSpaceDE w:val="0"/>
                    <w:autoSpaceDN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4270A900">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1C34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2E131FFE">
                  <w:pPr>
                    <w:autoSpaceDE w:val="0"/>
                    <w:autoSpaceDN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996" w:type="pct"/>
                  <w:vMerge w:val="continue"/>
                  <w:noWrap w:val="0"/>
                  <w:vAlign w:val="center"/>
                </w:tcPr>
                <w:p w14:paraId="0AA7DD84">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3C4D7EA3">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6202</w:t>
                  </w:r>
                </w:p>
              </w:tc>
              <w:tc>
                <w:tcPr>
                  <w:tcW w:w="1027" w:type="pct"/>
                  <w:shd w:val="clear" w:color="auto" w:fill="auto"/>
                  <w:noWrap w:val="0"/>
                  <w:vAlign w:val="center"/>
                </w:tcPr>
                <w:p w14:paraId="6EE9F61E">
                  <w:pPr>
                    <w:autoSpaceDE w:val="0"/>
                    <w:autoSpaceDN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50ECDE90">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37BB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585A11FE">
                  <w:pPr>
                    <w:autoSpaceDE w:val="0"/>
                    <w:autoSpaceDN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996" w:type="pct"/>
                  <w:vMerge w:val="continue"/>
                  <w:noWrap w:val="0"/>
                  <w:vAlign w:val="center"/>
                </w:tcPr>
                <w:p w14:paraId="47C0AB53">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21E059C0">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6203</w:t>
                  </w:r>
                </w:p>
              </w:tc>
              <w:tc>
                <w:tcPr>
                  <w:tcW w:w="1027" w:type="pct"/>
                  <w:shd w:val="clear" w:color="auto" w:fill="auto"/>
                  <w:noWrap w:val="0"/>
                  <w:vAlign w:val="center"/>
                </w:tcPr>
                <w:p w14:paraId="72BD4F11">
                  <w:pPr>
                    <w:autoSpaceDE w:val="0"/>
                    <w:autoSpaceDN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4818D227">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295F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743B013A">
                  <w:pPr>
                    <w:autoSpaceDE w:val="0"/>
                    <w:autoSpaceDN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c>
                <w:tcPr>
                  <w:tcW w:w="996" w:type="pct"/>
                  <w:vMerge w:val="continue"/>
                  <w:noWrap w:val="0"/>
                  <w:vAlign w:val="center"/>
                </w:tcPr>
                <w:p w14:paraId="178E8B8E">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64E89DE1">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6204</w:t>
                  </w:r>
                </w:p>
              </w:tc>
              <w:tc>
                <w:tcPr>
                  <w:tcW w:w="1027" w:type="pct"/>
                  <w:shd w:val="clear" w:color="auto" w:fill="auto"/>
                  <w:noWrap w:val="0"/>
                  <w:vAlign w:val="center"/>
                </w:tcPr>
                <w:p w14:paraId="75375B1E">
                  <w:pPr>
                    <w:autoSpaceDE w:val="0"/>
                    <w:autoSpaceDN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752F41E8">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504A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3551CD78">
                  <w:pPr>
                    <w:autoSpaceDE w:val="0"/>
                    <w:autoSpaceDN w:val="0"/>
                    <w:jc w:val="center"/>
                    <w:rPr>
                      <w:rFonts w:hint="default" w:cs="Times New Roman"/>
                      <w:color w:val="auto"/>
                      <w:sz w:val="21"/>
                      <w:szCs w:val="21"/>
                      <w:lang w:val="en-US" w:eastAsia="zh-CN"/>
                    </w:rPr>
                  </w:pPr>
                  <w:r>
                    <w:rPr>
                      <w:rFonts w:hint="eastAsia" w:cs="Times New Roman"/>
                      <w:color w:val="auto"/>
                      <w:sz w:val="21"/>
                      <w:szCs w:val="21"/>
                      <w:lang w:val="en-US" w:eastAsia="zh-CN"/>
                    </w:rPr>
                    <w:t>7</w:t>
                  </w:r>
                </w:p>
              </w:tc>
              <w:tc>
                <w:tcPr>
                  <w:tcW w:w="996" w:type="pct"/>
                  <w:vMerge w:val="continue"/>
                  <w:noWrap w:val="0"/>
                  <w:vAlign w:val="center"/>
                </w:tcPr>
                <w:p w14:paraId="643408A0">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3B9C3179">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6205</w:t>
                  </w:r>
                </w:p>
              </w:tc>
              <w:tc>
                <w:tcPr>
                  <w:tcW w:w="1027" w:type="pct"/>
                  <w:shd w:val="clear" w:color="auto" w:fill="auto"/>
                  <w:noWrap w:val="0"/>
                  <w:vAlign w:val="center"/>
                </w:tcPr>
                <w:p w14:paraId="55B51083">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500202E2">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07BB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6195FB31">
                  <w:pPr>
                    <w:autoSpaceDE w:val="0"/>
                    <w:autoSpaceDN w:val="0"/>
                    <w:jc w:val="center"/>
                    <w:rPr>
                      <w:rFonts w:hint="default" w:cs="Times New Roman"/>
                      <w:color w:val="auto"/>
                      <w:sz w:val="21"/>
                      <w:szCs w:val="21"/>
                      <w:lang w:val="en-US" w:eastAsia="zh-CN"/>
                    </w:rPr>
                  </w:pPr>
                  <w:r>
                    <w:rPr>
                      <w:rFonts w:hint="eastAsia" w:cs="Times New Roman"/>
                      <w:color w:val="auto"/>
                      <w:sz w:val="21"/>
                      <w:szCs w:val="21"/>
                      <w:lang w:val="en-US" w:eastAsia="zh-CN"/>
                    </w:rPr>
                    <w:t>8</w:t>
                  </w:r>
                </w:p>
              </w:tc>
              <w:tc>
                <w:tcPr>
                  <w:tcW w:w="996" w:type="pct"/>
                  <w:vMerge w:val="continue"/>
                  <w:noWrap w:val="0"/>
                  <w:vAlign w:val="center"/>
                </w:tcPr>
                <w:p w14:paraId="360BD522">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7C9D9C11">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6206</w:t>
                  </w:r>
                </w:p>
              </w:tc>
              <w:tc>
                <w:tcPr>
                  <w:tcW w:w="1027" w:type="pct"/>
                  <w:shd w:val="clear" w:color="auto" w:fill="auto"/>
                  <w:noWrap w:val="0"/>
                  <w:vAlign w:val="center"/>
                </w:tcPr>
                <w:p w14:paraId="49570E19">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086BAF79">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4BAB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38346C2D">
                  <w:pPr>
                    <w:autoSpaceDE w:val="0"/>
                    <w:autoSpaceDN w:val="0"/>
                    <w:jc w:val="center"/>
                    <w:rPr>
                      <w:rFonts w:hint="default" w:cs="Times New Roman"/>
                      <w:color w:val="auto"/>
                      <w:sz w:val="21"/>
                      <w:szCs w:val="21"/>
                      <w:lang w:val="en-US" w:eastAsia="zh-CN"/>
                    </w:rPr>
                  </w:pPr>
                  <w:r>
                    <w:rPr>
                      <w:rFonts w:hint="eastAsia" w:cs="Times New Roman"/>
                      <w:color w:val="auto"/>
                      <w:sz w:val="21"/>
                      <w:szCs w:val="21"/>
                      <w:lang w:val="en-US" w:eastAsia="zh-CN"/>
                    </w:rPr>
                    <w:t>9</w:t>
                  </w:r>
                </w:p>
              </w:tc>
              <w:tc>
                <w:tcPr>
                  <w:tcW w:w="996" w:type="pct"/>
                  <w:vMerge w:val="continue"/>
                  <w:noWrap w:val="0"/>
                  <w:vAlign w:val="center"/>
                </w:tcPr>
                <w:p w14:paraId="20076BF8">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736D91CB">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6300</w:t>
                  </w:r>
                </w:p>
              </w:tc>
              <w:tc>
                <w:tcPr>
                  <w:tcW w:w="1027" w:type="pct"/>
                  <w:shd w:val="clear" w:color="auto" w:fill="auto"/>
                  <w:noWrap w:val="0"/>
                  <w:vAlign w:val="center"/>
                </w:tcPr>
                <w:p w14:paraId="7FF9DA7D">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62BBAB9C">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694A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noWrap w:val="0"/>
                  <w:vAlign w:val="center"/>
                </w:tcPr>
                <w:p w14:paraId="19166C12">
                  <w:pPr>
                    <w:autoSpaceDE w:val="0"/>
                    <w:autoSpaceDN w:val="0"/>
                    <w:jc w:val="center"/>
                    <w:rPr>
                      <w:rFonts w:hint="default" w:cs="Times New Roman"/>
                      <w:color w:val="auto"/>
                      <w:sz w:val="21"/>
                      <w:szCs w:val="21"/>
                      <w:lang w:val="en-US" w:eastAsia="zh-CN"/>
                    </w:rPr>
                  </w:pPr>
                  <w:r>
                    <w:rPr>
                      <w:rFonts w:hint="eastAsia" w:cs="Times New Roman"/>
                      <w:color w:val="auto"/>
                      <w:sz w:val="21"/>
                      <w:szCs w:val="21"/>
                      <w:lang w:val="en-US" w:eastAsia="zh-CN"/>
                    </w:rPr>
                    <w:t>10</w:t>
                  </w:r>
                </w:p>
              </w:tc>
              <w:tc>
                <w:tcPr>
                  <w:tcW w:w="996" w:type="pct"/>
                  <w:vMerge w:val="continue"/>
                  <w:noWrap w:val="0"/>
                  <w:vAlign w:val="center"/>
                </w:tcPr>
                <w:p w14:paraId="434A9D04">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090A9FCC">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6301</w:t>
                  </w:r>
                </w:p>
              </w:tc>
              <w:tc>
                <w:tcPr>
                  <w:tcW w:w="1027" w:type="pct"/>
                  <w:shd w:val="clear" w:color="auto" w:fill="auto"/>
                  <w:noWrap w:val="0"/>
                  <w:vAlign w:val="center"/>
                </w:tcPr>
                <w:p w14:paraId="204F5158">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3597E508">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16A3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1" w:type="pct"/>
                  <w:gridSpan w:val="3"/>
                  <w:noWrap w:val="0"/>
                  <w:vAlign w:val="center"/>
                </w:tcPr>
                <w:p w14:paraId="23565423">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总计</w:t>
                  </w:r>
                </w:p>
              </w:tc>
              <w:tc>
                <w:tcPr>
                  <w:tcW w:w="1027" w:type="pct"/>
                  <w:shd w:val="clear" w:color="auto" w:fill="auto"/>
                  <w:noWrap w:val="0"/>
                  <w:vAlign w:val="center"/>
                </w:tcPr>
                <w:p w14:paraId="30B56729">
                  <w:pPr>
                    <w:autoSpaceDE w:val="0"/>
                    <w:autoSpaceDN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15000</w:t>
                  </w:r>
                </w:p>
              </w:tc>
              <w:tc>
                <w:tcPr>
                  <w:tcW w:w="1080" w:type="pct"/>
                  <w:shd w:val="clear" w:color="auto" w:fill="auto"/>
                  <w:noWrap w:val="0"/>
                  <w:vAlign w:val="center"/>
                </w:tcPr>
                <w:p w14:paraId="0EA4E2C4">
                  <w:pPr>
                    <w:autoSpaceDE w:val="0"/>
                    <w:autoSpaceDN w:val="0"/>
                    <w:jc w:val="center"/>
                    <w:rPr>
                      <w:rFonts w:hint="eastAsia" w:cs="Times New Roman"/>
                      <w:color w:val="auto"/>
                      <w:sz w:val="21"/>
                      <w:szCs w:val="21"/>
                      <w:lang w:val="en-US" w:eastAsia="zh-CN"/>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793C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noWrap w:val="0"/>
                  <w:vAlign w:val="center"/>
                </w:tcPr>
                <w:p w14:paraId="09BC457C">
                  <w:pPr>
                    <w:autoSpaceDE w:val="0"/>
                    <w:autoSpaceDN w:val="0"/>
                    <w:jc w:val="center"/>
                    <w:rPr>
                      <w:rFonts w:hint="eastAsia" w:cs="Times New Roman"/>
                      <w:color w:val="auto"/>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二期工程</w:t>
                  </w:r>
                </w:p>
              </w:tc>
            </w:tr>
            <w:tr w14:paraId="0877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shd w:val="clear" w:color="auto" w:fill="auto"/>
                  <w:noWrap w:val="0"/>
                  <w:vAlign w:val="center"/>
                </w:tcPr>
                <w:p w14:paraId="1414FCF8">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c>
                <w:tcPr>
                  <w:tcW w:w="996" w:type="pct"/>
                  <w:vMerge w:val="restart"/>
                  <w:noWrap w:val="0"/>
                  <w:vAlign w:val="center"/>
                </w:tcPr>
                <w:p w14:paraId="61116EEF">
                  <w:pPr>
                    <w:pStyle w:val="37"/>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轴承</w:t>
                  </w:r>
                  <w:r>
                    <w:rPr>
                      <w:rFonts w:hint="eastAsia" w:ascii="宋体" w:hAnsi="宋体" w:cs="宋体"/>
                      <w:b w:val="0"/>
                      <w:bCs w:val="0"/>
                      <w:color w:val="auto"/>
                      <w:sz w:val="21"/>
                      <w:szCs w:val="21"/>
                      <w:lang w:val="en-US" w:eastAsia="zh-CN"/>
                    </w:rPr>
                    <w:t>套圈</w:t>
                  </w:r>
                </w:p>
              </w:tc>
              <w:tc>
                <w:tcPr>
                  <w:tcW w:w="1393" w:type="pct"/>
                  <w:shd w:val="clear" w:color="auto" w:fill="auto"/>
                  <w:noWrap w:val="0"/>
                  <w:vAlign w:val="center"/>
                </w:tcPr>
                <w:p w14:paraId="52F8A9E9">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6000</w:t>
                  </w:r>
                </w:p>
              </w:tc>
              <w:tc>
                <w:tcPr>
                  <w:tcW w:w="1027" w:type="pct"/>
                  <w:shd w:val="clear" w:color="auto" w:fill="auto"/>
                  <w:noWrap w:val="0"/>
                  <w:vAlign w:val="center"/>
                </w:tcPr>
                <w:p w14:paraId="0137F157">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2DE01D35">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716E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shd w:val="clear" w:color="auto" w:fill="auto"/>
                  <w:noWrap w:val="0"/>
                  <w:vAlign w:val="center"/>
                </w:tcPr>
                <w:p w14:paraId="50179F24">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w:t>
                  </w:r>
                </w:p>
              </w:tc>
              <w:tc>
                <w:tcPr>
                  <w:tcW w:w="996" w:type="pct"/>
                  <w:vMerge w:val="continue"/>
                  <w:noWrap w:val="0"/>
                  <w:vAlign w:val="center"/>
                </w:tcPr>
                <w:p w14:paraId="6260497E">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6AAB2FF0">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6200</w:t>
                  </w:r>
                </w:p>
              </w:tc>
              <w:tc>
                <w:tcPr>
                  <w:tcW w:w="1027" w:type="pct"/>
                  <w:shd w:val="clear" w:color="auto" w:fill="auto"/>
                  <w:noWrap w:val="0"/>
                  <w:vAlign w:val="center"/>
                </w:tcPr>
                <w:p w14:paraId="43095D4A">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51AC435B">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40EA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shd w:val="clear" w:color="auto" w:fill="auto"/>
                  <w:noWrap w:val="0"/>
                  <w:vAlign w:val="center"/>
                </w:tcPr>
                <w:p w14:paraId="73CE9652">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w:t>
                  </w:r>
                </w:p>
              </w:tc>
              <w:tc>
                <w:tcPr>
                  <w:tcW w:w="996" w:type="pct"/>
                  <w:vMerge w:val="continue"/>
                  <w:noWrap w:val="0"/>
                  <w:vAlign w:val="center"/>
                </w:tcPr>
                <w:p w14:paraId="25E06A8D">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52056CC1">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6201</w:t>
                  </w:r>
                </w:p>
              </w:tc>
              <w:tc>
                <w:tcPr>
                  <w:tcW w:w="1027" w:type="pct"/>
                  <w:shd w:val="clear" w:color="auto" w:fill="auto"/>
                  <w:noWrap w:val="0"/>
                  <w:vAlign w:val="center"/>
                </w:tcPr>
                <w:p w14:paraId="6C203B70">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36FDB6EB">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1AA3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shd w:val="clear" w:color="auto" w:fill="auto"/>
                  <w:noWrap w:val="0"/>
                  <w:vAlign w:val="center"/>
                </w:tcPr>
                <w:p w14:paraId="0DCB96D5">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w:t>
                  </w:r>
                </w:p>
              </w:tc>
              <w:tc>
                <w:tcPr>
                  <w:tcW w:w="996" w:type="pct"/>
                  <w:vMerge w:val="continue"/>
                  <w:noWrap w:val="0"/>
                  <w:vAlign w:val="center"/>
                </w:tcPr>
                <w:p w14:paraId="596EA4F0">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56F55B03">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6202</w:t>
                  </w:r>
                </w:p>
              </w:tc>
              <w:tc>
                <w:tcPr>
                  <w:tcW w:w="1027" w:type="pct"/>
                  <w:shd w:val="clear" w:color="auto" w:fill="auto"/>
                  <w:noWrap w:val="0"/>
                  <w:vAlign w:val="center"/>
                </w:tcPr>
                <w:p w14:paraId="543FC9D9">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705162FD">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04F9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shd w:val="clear" w:color="auto" w:fill="auto"/>
                  <w:noWrap w:val="0"/>
                  <w:vAlign w:val="center"/>
                </w:tcPr>
                <w:p w14:paraId="53CEDD10">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5</w:t>
                  </w:r>
                </w:p>
              </w:tc>
              <w:tc>
                <w:tcPr>
                  <w:tcW w:w="996" w:type="pct"/>
                  <w:vMerge w:val="continue"/>
                  <w:noWrap w:val="0"/>
                  <w:vAlign w:val="center"/>
                </w:tcPr>
                <w:p w14:paraId="0E61FB1B">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161C1999">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6203</w:t>
                  </w:r>
                </w:p>
              </w:tc>
              <w:tc>
                <w:tcPr>
                  <w:tcW w:w="1027" w:type="pct"/>
                  <w:shd w:val="clear" w:color="auto" w:fill="auto"/>
                  <w:noWrap w:val="0"/>
                  <w:vAlign w:val="center"/>
                </w:tcPr>
                <w:p w14:paraId="04EC1ED4">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0B9E11F6">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6867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shd w:val="clear" w:color="auto" w:fill="auto"/>
                  <w:noWrap w:val="0"/>
                  <w:vAlign w:val="center"/>
                </w:tcPr>
                <w:p w14:paraId="4DD00724">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6</w:t>
                  </w:r>
                </w:p>
              </w:tc>
              <w:tc>
                <w:tcPr>
                  <w:tcW w:w="996" w:type="pct"/>
                  <w:vMerge w:val="continue"/>
                  <w:noWrap w:val="0"/>
                  <w:vAlign w:val="center"/>
                </w:tcPr>
                <w:p w14:paraId="1786523F">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374E1D0A">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6204</w:t>
                  </w:r>
                </w:p>
              </w:tc>
              <w:tc>
                <w:tcPr>
                  <w:tcW w:w="1027" w:type="pct"/>
                  <w:shd w:val="clear" w:color="auto" w:fill="auto"/>
                  <w:noWrap w:val="0"/>
                  <w:vAlign w:val="center"/>
                </w:tcPr>
                <w:p w14:paraId="0CC38EFF">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3084CFE6">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13ED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shd w:val="clear" w:color="auto" w:fill="auto"/>
                  <w:noWrap w:val="0"/>
                  <w:vAlign w:val="center"/>
                </w:tcPr>
                <w:p w14:paraId="5E609474">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7</w:t>
                  </w:r>
                </w:p>
              </w:tc>
              <w:tc>
                <w:tcPr>
                  <w:tcW w:w="996" w:type="pct"/>
                  <w:vMerge w:val="continue"/>
                  <w:noWrap w:val="0"/>
                  <w:vAlign w:val="center"/>
                </w:tcPr>
                <w:p w14:paraId="5A81FBE4">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549542D3">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6205</w:t>
                  </w:r>
                </w:p>
              </w:tc>
              <w:tc>
                <w:tcPr>
                  <w:tcW w:w="1027" w:type="pct"/>
                  <w:shd w:val="clear" w:color="auto" w:fill="auto"/>
                  <w:noWrap w:val="0"/>
                  <w:vAlign w:val="center"/>
                </w:tcPr>
                <w:p w14:paraId="589E6A49">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77A03479">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0750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shd w:val="clear" w:color="auto" w:fill="auto"/>
                  <w:noWrap w:val="0"/>
                  <w:vAlign w:val="center"/>
                </w:tcPr>
                <w:p w14:paraId="7A4ADD0A">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8</w:t>
                  </w:r>
                </w:p>
              </w:tc>
              <w:tc>
                <w:tcPr>
                  <w:tcW w:w="996" w:type="pct"/>
                  <w:vMerge w:val="continue"/>
                  <w:noWrap w:val="0"/>
                  <w:vAlign w:val="center"/>
                </w:tcPr>
                <w:p w14:paraId="1B048DDA">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71B5794C">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6206</w:t>
                  </w:r>
                </w:p>
              </w:tc>
              <w:tc>
                <w:tcPr>
                  <w:tcW w:w="1027" w:type="pct"/>
                  <w:shd w:val="clear" w:color="auto" w:fill="auto"/>
                  <w:noWrap w:val="0"/>
                  <w:vAlign w:val="center"/>
                </w:tcPr>
                <w:p w14:paraId="14DDA53C">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71DAF725">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4BF6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shd w:val="clear" w:color="auto" w:fill="auto"/>
                  <w:noWrap w:val="0"/>
                  <w:vAlign w:val="center"/>
                </w:tcPr>
                <w:p w14:paraId="1E038516">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9</w:t>
                  </w:r>
                </w:p>
              </w:tc>
              <w:tc>
                <w:tcPr>
                  <w:tcW w:w="996" w:type="pct"/>
                  <w:vMerge w:val="continue"/>
                  <w:noWrap w:val="0"/>
                  <w:vAlign w:val="center"/>
                </w:tcPr>
                <w:p w14:paraId="68548310">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2AB40F45">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6300</w:t>
                  </w:r>
                </w:p>
              </w:tc>
              <w:tc>
                <w:tcPr>
                  <w:tcW w:w="1027" w:type="pct"/>
                  <w:shd w:val="clear" w:color="auto" w:fill="auto"/>
                  <w:noWrap w:val="0"/>
                  <w:vAlign w:val="center"/>
                </w:tcPr>
                <w:p w14:paraId="14B18259">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5B5BF7D2">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1684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pct"/>
                  <w:shd w:val="clear" w:color="auto" w:fill="auto"/>
                  <w:noWrap w:val="0"/>
                  <w:vAlign w:val="center"/>
                </w:tcPr>
                <w:p w14:paraId="3FC4B437">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10</w:t>
                  </w:r>
                </w:p>
              </w:tc>
              <w:tc>
                <w:tcPr>
                  <w:tcW w:w="996" w:type="pct"/>
                  <w:vMerge w:val="continue"/>
                  <w:noWrap w:val="0"/>
                  <w:vAlign w:val="center"/>
                </w:tcPr>
                <w:p w14:paraId="0573D746">
                  <w:pPr>
                    <w:pStyle w:val="37"/>
                    <w:rPr>
                      <w:rFonts w:hint="eastAsia" w:ascii="宋体" w:hAnsi="宋体" w:eastAsia="宋体" w:cs="宋体"/>
                      <w:b w:val="0"/>
                      <w:bCs w:val="0"/>
                      <w:color w:val="auto"/>
                      <w:sz w:val="21"/>
                      <w:szCs w:val="21"/>
                      <w:lang w:eastAsia="zh-CN"/>
                    </w:rPr>
                  </w:pPr>
                </w:p>
              </w:tc>
              <w:tc>
                <w:tcPr>
                  <w:tcW w:w="1393" w:type="pct"/>
                  <w:shd w:val="clear" w:color="auto" w:fill="auto"/>
                  <w:noWrap w:val="0"/>
                  <w:vAlign w:val="center"/>
                </w:tcPr>
                <w:p w14:paraId="731BBBA3">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6301</w:t>
                  </w:r>
                </w:p>
              </w:tc>
              <w:tc>
                <w:tcPr>
                  <w:tcW w:w="1027" w:type="pct"/>
                  <w:shd w:val="clear" w:color="auto" w:fill="auto"/>
                  <w:noWrap w:val="0"/>
                  <w:vAlign w:val="center"/>
                </w:tcPr>
                <w:p w14:paraId="089CCAAC">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w:t>
                  </w:r>
                </w:p>
              </w:tc>
              <w:tc>
                <w:tcPr>
                  <w:tcW w:w="1080" w:type="pct"/>
                  <w:shd w:val="clear" w:color="auto" w:fill="auto"/>
                  <w:noWrap w:val="0"/>
                  <w:vAlign w:val="center"/>
                </w:tcPr>
                <w:p w14:paraId="0DE41A7B">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r w14:paraId="671C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1" w:type="pct"/>
                  <w:gridSpan w:val="3"/>
                  <w:shd w:val="clear" w:color="auto" w:fill="auto"/>
                  <w:noWrap w:val="0"/>
                  <w:vAlign w:val="center"/>
                </w:tcPr>
                <w:p w14:paraId="7590F79D">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总计</w:t>
                  </w:r>
                </w:p>
              </w:tc>
              <w:tc>
                <w:tcPr>
                  <w:tcW w:w="1027" w:type="pct"/>
                  <w:shd w:val="clear" w:color="auto" w:fill="auto"/>
                  <w:noWrap w:val="0"/>
                  <w:vAlign w:val="center"/>
                </w:tcPr>
                <w:p w14:paraId="0C336D21">
                  <w:pPr>
                    <w:autoSpaceDE w:val="0"/>
                    <w:autoSpaceDN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15000</w:t>
                  </w:r>
                </w:p>
              </w:tc>
              <w:tc>
                <w:tcPr>
                  <w:tcW w:w="1080" w:type="pct"/>
                  <w:shd w:val="clear" w:color="auto" w:fill="auto"/>
                  <w:noWrap w:val="0"/>
                  <w:vAlign w:val="center"/>
                </w:tcPr>
                <w:p w14:paraId="48B61DD8">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万套</w:t>
                  </w:r>
                  <w:r>
                    <w:rPr>
                      <w:rFonts w:hint="default" w:ascii="Times New Roman" w:hAnsi="Times New Roman" w:eastAsia="宋体" w:cs="Times New Roman"/>
                      <w:color w:val="auto"/>
                      <w:sz w:val="21"/>
                      <w:szCs w:val="21"/>
                      <w:lang w:val="en-US" w:eastAsia="zh-CN"/>
                    </w:rPr>
                    <w:t>/a</w:t>
                  </w:r>
                </w:p>
              </w:tc>
            </w:tr>
          </w:tbl>
          <w:p w14:paraId="52AA4ED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项目</w:t>
            </w:r>
            <w:r>
              <w:rPr>
                <w:rFonts w:hint="default" w:ascii="Times New Roman" w:hAnsi="Times New Roman" w:eastAsia="宋体" w:cs="Times New Roman"/>
                <w:b/>
                <w:bCs/>
                <w:color w:val="auto"/>
                <w:sz w:val="24"/>
                <w:szCs w:val="24"/>
                <w:lang w:eastAsia="zh-CN"/>
              </w:rPr>
              <w:t>主要生产单元、主要工艺、主要生产设施及设施参数</w:t>
            </w:r>
          </w:p>
          <w:p w14:paraId="108DAF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w:t>
            </w:r>
            <w:r>
              <w:rPr>
                <w:rFonts w:hint="eastAsia" w:cs="Times New Roman"/>
                <w:b/>
                <w:bCs/>
                <w:color w:val="auto"/>
                <w:sz w:val="24"/>
                <w:szCs w:val="24"/>
                <w:lang w:val="en-US" w:eastAsia="zh-CN"/>
              </w:rPr>
              <w:t>5</w:t>
            </w:r>
            <w:r>
              <w:rPr>
                <w:rFonts w:hint="default" w:ascii="Times New Roman" w:hAnsi="Times New Roman" w:eastAsia="宋体" w:cs="Times New Roman"/>
                <w:b/>
                <w:bCs/>
                <w:color w:val="auto"/>
                <w:sz w:val="24"/>
                <w:szCs w:val="24"/>
              </w:rPr>
              <w:t xml:space="preserve"> </w:t>
            </w:r>
            <w:r>
              <w:rPr>
                <w:rFonts w:hint="eastAsia"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项目</w:t>
            </w:r>
            <w:r>
              <w:rPr>
                <w:rFonts w:hint="default" w:ascii="Times New Roman" w:hAnsi="Times New Roman" w:eastAsia="宋体" w:cs="Times New Roman"/>
                <w:b/>
                <w:bCs/>
                <w:color w:val="auto"/>
                <w:sz w:val="24"/>
                <w:szCs w:val="24"/>
                <w:lang w:eastAsia="zh-CN"/>
              </w:rPr>
              <w:t>主要生产单元、主要工艺、主要生产设施及设施参数</w:t>
            </w:r>
            <w:r>
              <w:rPr>
                <w:rFonts w:hint="default" w:ascii="Times New Roman" w:hAnsi="Times New Roman" w:eastAsia="宋体" w:cs="Times New Roman"/>
                <w:b/>
                <w:bCs/>
                <w:color w:val="auto"/>
                <w:sz w:val="24"/>
                <w:szCs w:val="24"/>
              </w:rPr>
              <w:t>一览表</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5"/>
              <w:gridCol w:w="1551"/>
              <w:gridCol w:w="1788"/>
              <w:gridCol w:w="1589"/>
              <w:gridCol w:w="1415"/>
            </w:tblGrid>
            <w:tr w14:paraId="7FA00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restart"/>
                  <w:noWrap w:val="0"/>
                  <w:vAlign w:val="center"/>
                </w:tcPr>
                <w:p w14:paraId="7DEF0186">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主要生产单元名称</w:t>
                  </w:r>
                </w:p>
              </w:tc>
              <w:tc>
                <w:tcPr>
                  <w:tcW w:w="934" w:type="pct"/>
                  <w:vMerge w:val="restart"/>
                  <w:noWrap w:val="0"/>
                  <w:vAlign w:val="center"/>
                </w:tcPr>
                <w:p w14:paraId="199BFA0C">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主要工艺</w:t>
                  </w:r>
                </w:p>
              </w:tc>
              <w:tc>
                <w:tcPr>
                  <w:tcW w:w="1077" w:type="pct"/>
                  <w:vMerge w:val="restart"/>
                  <w:noWrap w:val="0"/>
                  <w:vAlign w:val="center"/>
                </w:tcPr>
                <w:p w14:paraId="1605D5B0">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主要生产设施</w:t>
                  </w:r>
                </w:p>
              </w:tc>
              <w:tc>
                <w:tcPr>
                  <w:tcW w:w="957" w:type="pct"/>
                  <w:noWrap w:val="0"/>
                  <w:vAlign w:val="center"/>
                </w:tcPr>
                <w:p w14:paraId="589B9675">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设施参数</w:t>
                  </w:r>
                </w:p>
              </w:tc>
              <w:tc>
                <w:tcPr>
                  <w:tcW w:w="852" w:type="pct"/>
                  <w:vMerge w:val="restart"/>
                  <w:noWrap w:val="0"/>
                  <w:vAlign w:val="center"/>
                </w:tcPr>
                <w:p w14:paraId="3D2444B1">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设备数量</w:t>
                  </w:r>
                  <w:r>
                    <w:rPr>
                      <w:rFonts w:hint="eastAsia" w:cs="Times New Roman"/>
                      <w:color w:val="auto"/>
                      <w:sz w:val="21"/>
                      <w:szCs w:val="21"/>
                      <w:highlight w:val="none"/>
                      <w:lang w:eastAsia="zh-CN"/>
                    </w:rPr>
                    <w:t>（台）</w:t>
                  </w:r>
                </w:p>
              </w:tc>
            </w:tr>
            <w:tr w14:paraId="3B759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continue"/>
                  <w:noWrap w:val="0"/>
                  <w:vAlign w:val="center"/>
                </w:tcPr>
                <w:p w14:paraId="2B1CD5FF">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color w:val="auto"/>
                      <w:highlight w:val="none"/>
                    </w:rPr>
                  </w:pPr>
                </w:p>
              </w:tc>
              <w:tc>
                <w:tcPr>
                  <w:tcW w:w="934" w:type="pct"/>
                  <w:vMerge w:val="continue"/>
                  <w:noWrap w:val="0"/>
                  <w:vAlign w:val="center"/>
                </w:tcPr>
                <w:p w14:paraId="66EB4625">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color w:val="auto"/>
                      <w:highlight w:val="none"/>
                    </w:rPr>
                  </w:pPr>
                </w:p>
              </w:tc>
              <w:tc>
                <w:tcPr>
                  <w:tcW w:w="1077" w:type="pct"/>
                  <w:vMerge w:val="continue"/>
                  <w:noWrap w:val="0"/>
                  <w:vAlign w:val="center"/>
                </w:tcPr>
                <w:p w14:paraId="7F4FE9E7">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color w:val="auto"/>
                      <w:highlight w:val="none"/>
                    </w:rPr>
                  </w:pPr>
                </w:p>
              </w:tc>
              <w:tc>
                <w:tcPr>
                  <w:tcW w:w="957" w:type="pct"/>
                  <w:noWrap w:val="0"/>
                  <w:vAlign w:val="center"/>
                </w:tcPr>
                <w:p w14:paraId="465A7567">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eastAsia="宋体"/>
                      <w:color w:val="auto"/>
                      <w:highlight w:val="none"/>
                      <w:lang w:val="en-US" w:eastAsia="zh-CN"/>
                    </w:rPr>
                  </w:pPr>
                  <w:r>
                    <w:rPr>
                      <w:rFonts w:hint="eastAsia"/>
                      <w:color w:val="auto"/>
                      <w:highlight w:val="none"/>
                      <w:lang w:val="en-US" w:eastAsia="zh-CN"/>
                    </w:rPr>
                    <w:t>型号/规格</w:t>
                  </w:r>
                </w:p>
              </w:tc>
              <w:tc>
                <w:tcPr>
                  <w:tcW w:w="852" w:type="pct"/>
                  <w:vMerge w:val="continue"/>
                  <w:noWrap w:val="0"/>
                  <w:vAlign w:val="center"/>
                </w:tcPr>
                <w:p w14:paraId="591B77D5">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color w:val="auto"/>
                      <w:highlight w:val="none"/>
                    </w:rPr>
                  </w:pPr>
                </w:p>
              </w:tc>
            </w:tr>
            <w:tr w14:paraId="4EDCB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0" w:type="pct"/>
                  <w:gridSpan w:val="5"/>
                  <w:noWrap w:val="0"/>
                  <w:vAlign w:val="center"/>
                </w:tcPr>
                <w:p w14:paraId="4C5BE82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000000" w:themeColor="text1"/>
                      <w:sz w:val="21"/>
                      <w:szCs w:val="21"/>
                      <w:lang w:val="en-US" w:eastAsia="zh-CN"/>
                      <w14:textFill>
                        <w14:solidFill>
                          <w14:schemeClr w14:val="tx1"/>
                        </w14:solidFill>
                      </w14:textFill>
                    </w:rPr>
                    <w:t>一期工程</w:t>
                  </w:r>
                </w:p>
              </w:tc>
            </w:tr>
            <w:tr w14:paraId="5F1DC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restart"/>
                  <w:noWrap w:val="0"/>
                  <w:vAlign w:val="center"/>
                </w:tcPr>
                <w:p w14:paraId="50D94DE2">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割料</w:t>
                  </w:r>
                </w:p>
              </w:tc>
              <w:tc>
                <w:tcPr>
                  <w:tcW w:w="934" w:type="pct"/>
                  <w:vMerge w:val="restart"/>
                  <w:noWrap w:val="0"/>
                  <w:vAlign w:val="center"/>
                </w:tcPr>
                <w:p w14:paraId="7C5A91EF">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割料</w:t>
                  </w:r>
                </w:p>
              </w:tc>
              <w:tc>
                <w:tcPr>
                  <w:tcW w:w="1077" w:type="pct"/>
                  <w:vMerge w:val="restart"/>
                  <w:noWrap w:val="0"/>
                  <w:vAlign w:val="center"/>
                </w:tcPr>
                <w:p w14:paraId="058729E2">
                  <w:pPr>
                    <w:bidi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自动割管机</w:t>
                  </w:r>
                </w:p>
              </w:tc>
              <w:tc>
                <w:tcPr>
                  <w:tcW w:w="957" w:type="pct"/>
                  <w:noWrap w:val="0"/>
                  <w:vAlign w:val="center"/>
                </w:tcPr>
                <w:p w14:paraId="0D15CDE3">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JM40</w:t>
                  </w:r>
                </w:p>
              </w:tc>
              <w:tc>
                <w:tcPr>
                  <w:tcW w:w="852" w:type="pct"/>
                  <w:noWrap w:val="0"/>
                  <w:vAlign w:val="center"/>
                </w:tcPr>
                <w:p w14:paraId="3ECE380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10</w:t>
                  </w:r>
                </w:p>
              </w:tc>
            </w:tr>
            <w:tr w14:paraId="5E3EB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continue"/>
                  <w:noWrap w:val="0"/>
                  <w:vAlign w:val="center"/>
                </w:tcPr>
                <w:p w14:paraId="4E2B3D58">
                  <w:pPr>
                    <w:keepNext w:val="0"/>
                    <w:keepLines w:val="0"/>
                    <w:pageBreakBefore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934" w:type="pct"/>
                  <w:vMerge w:val="continue"/>
                  <w:noWrap w:val="0"/>
                  <w:vAlign w:val="center"/>
                </w:tcPr>
                <w:p w14:paraId="36F906C2">
                  <w:pPr>
                    <w:keepNext w:val="0"/>
                    <w:keepLines w:val="0"/>
                    <w:pageBreakBefore w:val="0"/>
                    <w:kinsoku/>
                    <w:wordWrap/>
                    <w:overflowPunct/>
                    <w:topLinePunct w:val="0"/>
                    <w:bidi w:val="0"/>
                    <w:adjustRightInd w:val="0"/>
                    <w:snapToGrid w:val="0"/>
                    <w:spacing w:line="240" w:lineRule="auto"/>
                    <w:ind w:right="0" w:rightChars="0"/>
                    <w:jc w:val="center"/>
                    <w:rPr>
                      <w:rFonts w:hint="eastAsia" w:ascii="宋体" w:hAnsi="宋体" w:eastAsia="宋体" w:cs="宋体"/>
                      <w:color w:val="auto"/>
                      <w:sz w:val="21"/>
                      <w:szCs w:val="21"/>
                      <w:highlight w:val="none"/>
                      <w:lang w:val="en-US" w:eastAsia="zh-CN"/>
                    </w:rPr>
                  </w:pPr>
                </w:p>
              </w:tc>
              <w:tc>
                <w:tcPr>
                  <w:tcW w:w="1077" w:type="pct"/>
                  <w:vMerge w:val="continue"/>
                  <w:noWrap w:val="0"/>
                  <w:vAlign w:val="center"/>
                </w:tcPr>
                <w:p w14:paraId="400FD871">
                  <w:pPr>
                    <w:widowControl/>
                    <w:jc w:val="center"/>
                    <w:rPr>
                      <w:rFonts w:hint="eastAsia" w:ascii="宋体" w:hAnsi="宋体" w:eastAsia="宋体" w:cs="宋体"/>
                      <w:color w:val="auto"/>
                      <w:kern w:val="2"/>
                      <w:sz w:val="21"/>
                      <w:szCs w:val="21"/>
                      <w:highlight w:val="none"/>
                      <w:lang w:val="en-US" w:eastAsia="zh-CN" w:bidi="ar-SA"/>
                    </w:rPr>
                  </w:pPr>
                </w:p>
              </w:tc>
              <w:tc>
                <w:tcPr>
                  <w:tcW w:w="957" w:type="pct"/>
                  <w:noWrap w:val="0"/>
                  <w:vAlign w:val="center"/>
                </w:tcPr>
                <w:p w14:paraId="30DB87C7">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JM60</w:t>
                  </w:r>
                </w:p>
              </w:tc>
              <w:tc>
                <w:tcPr>
                  <w:tcW w:w="852" w:type="pct"/>
                  <w:noWrap w:val="0"/>
                  <w:vAlign w:val="center"/>
                </w:tcPr>
                <w:p w14:paraId="279358E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10</w:t>
                  </w:r>
                </w:p>
              </w:tc>
            </w:tr>
            <w:tr w14:paraId="71868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restart"/>
                  <w:noWrap w:val="0"/>
                  <w:vAlign w:val="center"/>
                </w:tcPr>
                <w:p w14:paraId="1574C9C6">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机加工</w:t>
                  </w:r>
                </w:p>
              </w:tc>
              <w:tc>
                <w:tcPr>
                  <w:tcW w:w="934" w:type="pct"/>
                  <w:noWrap w:val="0"/>
                  <w:vAlign w:val="center"/>
                </w:tcPr>
                <w:p w14:paraId="4511C90F">
                  <w:pPr>
                    <w:keepNext w:val="0"/>
                    <w:keepLines w:val="0"/>
                    <w:pageBreakBefore w:val="0"/>
                    <w:tabs>
                      <w:tab w:val="left" w:pos="538"/>
                    </w:tabs>
                    <w:kinsoku/>
                    <w:wordWrap/>
                    <w:overflowPunct/>
                    <w:topLinePunct w:val="0"/>
                    <w:bidi w:val="0"/>
                    <w:adjustRightInd w:val="0"/>
                    <w:snapToGrid w:val="0"/>
                    <w:spacing w:line="240" w:lineRule="auto"/>
                    <w:ind w:right="0" w:rightChars="0" w:firstLine="210" w:firstLineChars="1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平面磨床</w:t>
                  </w:r>
                </w:p>
              </w:tc>
              <w:tc>
                <w:tcPr>
                  <w:tcW w:w="1077" w:type="pct"/>
                  <w:noWrap w:val="0"/>
                  <w:vAlign w:val="center"/>
                </w:tcPr>
                <w:p w14:paraId="2007D7BD">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高精密平面磨床</w:t>
                  </w:r>
                </w:p>
              </w:tc>
              <w:tc>
                <w:tcPr>
                  <w:tcW w:w="957" w:type="pct"/>
                  <w:noWrap w:val="0"/>
                  <w:vAlign w:val="center"/>
                </w:tcPr>
                <w:p w14:paraId="557B4D5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MYM7650</w:t>
                  </w:r>
                </w:p>
              </w:tc>
              <w:tc>
                <w:tcPr>
                  <w:tcW w:w="852" w:type="pct"/>
                  <w:noWrap w:val="0"/>
                  <w:vAlign w:val="center"/>
                </w:tcPr>
                <w:p w14:paraId="742795DA">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w:t>
                  </w:r>
                </w:p>
              </w:tc>
            </w:tr>
            <w:tr w14:paraId="667C8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continue"/>
                  <w:noWrap w:val="0"/>
                  <w:vAlign w:val="center"/>
                </w:tcPr>
                <w:p w14:paraId="21E8EEC7">
                  <w:pPr>
                    <w:keepNext w:val="0"/>
                    <w:keepLines w:val="0"/>
                    <w:pageBreakBefore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934" w:type="pct"/>
                  <w:vMerge w:val="restart"/>
                  <w:noWrap w:val="0"/>
                  <w:vAlign w:val="center"/>
                </w:tcPr>
                <w:p w14:paraId="0E349A37">
                  <w:pPr>
                    <w:keepNext w:val="0"/>
                    <w:keepLines w:val="0"/>
                    <w:pageBreakBefore w:val="0"/>
                    <w:kinsoku/>
                    <w:wordWrap/>
                    <w:overflowPunct/>
                    <w:topLinePunct w:val="0"/>
                    <w:bidi w:val="0"/>
                    <w:adjustRightInd w:val="0"/>
                    <w:snapToGrid w:val="0"/>
                    <w:spacing w:line="240" w:lineRule="auto"/>
                    <w:ind w:right="0"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无心磨床</w:t>
                  </w:r>
                </w:p>
              </w:tc>
              <w:tc>
                <w:tcPr>
                  <w:tcW w:w="1077" w:type="pct"/>
                  <w:vMerge w:val="restart"/>
                  <w:noWrap w:val="0"/>
                  <w:vAlign w:val="center"/>
                </w:tcPr>
                <w:p w14:paraId="75ECF9B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高精度无心磨床</w:t>
                  </w:r>
                </w:p>
              </w:tc>
              <w:tc>
                <w:tcPr>
                  <w:tcW w:w="957" w:type="pct"/>
                  <w:noWrap w:val="0"/>
                  <w:vAlign w:val="center"/>
                </w:tcPr>
                <w:p w14:paraId="659B0C9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MGM</w:t>
                  </w:r>
                  <w:r>
                    <w:rPr>
                      <w:rFonts w:hint="eastAsia" w:cs="Times New Roman"/>
                      <w:color w:val="auto"/>
                      <w:sz w:val="21"/>
                      <w:szCs w:val="21"/>
                      <w:lang w:val="en-US" w:eastAsia="zh-CN"/>
                    </w:rPr>
                    <w:t>11100</w:t>
                  </w:r>
                </w:p>
              </w:tc>
              <w:tc>
                <w:tcPr>
                  <w:tcW w:w="852" w:type="pct"/>
                  <w:noWrap w:val="0"/>
                  <w:vAlign w:val="center"/>
                </w:tcPr>
                <w:p w14:paraId="37A4831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w:t>
                  </w:r>
                </w:p>
              </w:tc>
            </w:tr>
            <w:tr w14:paraId="3F94A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continue"/>
                  <w:noWrap w:val="0"/>
                  <w:vAlign w:val="center"/>
                </w:tcPr>
                <w:p w14:paraId="0C3FE9A0">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cs="Times New Roman"/>
                      <w:b w:val="0"/>
                      <w:bCs/>
                      <w:color w:val="auto"/>
                      <w:sz w:val="21"/>
                      <w:szCs w:val="21"/>
                      <w:highlight w:val="none"/>
                      <w:vertAlign w:val="baseline"/>
                      <w:lang w:val="en-US" w:eastAsia="zh-CN"/>
                    </w:rPr>
                  </w:pPr>
                </w:p>
              </w:tc>
              <w:tc>
                <w:tcPr>
                  <w:tcW w:w="934" w:type="pct"/>
                  <w:vMerge w:val="continue"/>
                  <w:noWrap w:val="0"/>
                  <w:vAlign w:val="center"/>
                </w:tcPr>
                <w:p w14:paraId="3FB97F82">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77" w:type="pct"/>
                  <w:vMerge w:val="continue"/>
                  <w:noWrap w:val="0"/>
                  <w:vAlign w:val="center"/>
                </w:tcPr>
                <w:p w14:paraId="33621CE1">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i w:val="0"/>
                      <w:color w:val="auto"/>
                      <w:kern w:val="0"/>
                      <w:sz w:val="21"/>
                      <w:szCs w:val="21"/>
                      <w:highlight w:val="none"/>
                      <w:u w:val="none"/>
                      <w:lang w:val="en-US" w:eastAsia="zh-CN" w:bidi="ar"/>
                    </w:rPr>
                  </w:pPr>
                </w:p>
              </w:tc>
              <w:tc>
                <w:tcPr>
                  <w:tcW w:w="957" w:type="pct"/>
                  <w:noWrap w:val="0"/>
                  <w:vAlign w:val="center"/>
                </w:tcPr>
                <w:p w14:paraId="4A0E05F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MGM</w:t>
                  </w:r>
                  <w:r>
                    <w:rPr>
                      <w:rFonts w:hint="eastAsia" w:cs="Times New Roman"/>
                      <w:color w:val="auto"/>
                      <w:sz w:val="21"/>
                      <w:szCs w:val="21"/>
                      <w:lang w:val="en-US" w:eastAsia="zh-CN"/>
                    </w:rPr>
                    <w:t>11200</w:t>
                  </w:r>
                </w:p>
              </w:tc>
              <w:tc>
                <w:tcPr>
                  <w:tcW w:w="852" w:type="pct"/>
                  <w:noWrap w:val="0"/>
                  <w:vAlign w:val="center"/>
                </w:tcPr>
                <w:p w14:paraId="5693F68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w:t>
                  </w:r>
                </w:p>
              </w:tc>
            </w:tr>
            <w:tr w14:paraId="427A8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continue"/>
                  <w:noWrap w:val="0"/>
                  <w:vAlign w:val="center"/>
                </w:tcPr>
                <w:p w14:paraId="0D35F195">
                  <w:pPr>
                    <w:keepNext w:val="0"/>
                    <w:keepLines w:val="0"/>
                    <w:pageBreakBefore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934" w:type="pct"/>
                  <w:noWrap w:val="0"/>
                  <w:vAlign w:val="center"/>
                </w:tcPr>
                <w:p w14:paraId="03D1C731">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回火</w:t>
                  </w:r>
                </w:p>
              </w:tc>
              <w:tc>
                <w:tcPr>
                  <w:tcW w:w="1077" w:type="pct"/>
                  <w:noWrap w:val="0"/>
                  <w:vAlign w:val="center"/>
                </w:tcPr>
                <w:p w14:paraId="442AA62C">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宋体" w:hAnsi="宋体" w:eastAsia="宋体" w:cs="宋体"/>
                      <w:color w:val="auto"/>
                      <w:sz w:val="21"/>
                      <w:szCs w:val="21"/>
                      <w:lang w:val="en-US" w:eastAsia="zh-CN"/>
                    </w:rPr>
                    <w:t>空气回火炉</w:t>
                  </w:r>
                </w:p>
              </w:tc>
              <w:tc>
                <w:tcPr>
                  <w:tcW w:w="957" w:type="pct"/>
                  <w:noWrap w:val="0"/>
                  <w:vAlign w:val="center"/>
                </w:tcPr>
                <w:p w14:paraId="4A85878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w:t>
                  </w:r>
                </w:p>
              </w:tc>
              <w:tc>
                <w:tcPr>
                  <w:tcW w:w="852" w:type="pct"/>
                  <w:noWrap w:val="0"/>
                  <w:vAlign w:val="center"/>
                </w:tcPr>
                <w:p w14:paraId="26E0D3D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r>
            <w:tr w14:paraId="6B14E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continue"/>
                  <w:noWrap w:val="0"/>
                  <w:vAlign w:val="center"/>
                </w:tcPr>
                <w:p w14:paraId="3AA1F882">
                  <w:pPr>
                    <w:keepNext w:val="0"/>
                    <w:keepLines w:val="0"/>
                    <w:pageBreakBefore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934" w:type="pct"/>
                  <w:noWrap w:val="0"/>
                  <w:vAlign w:val="center"/>
                </w:tcPr>
                <w:p w14:paraId="5A5DE60C">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套圈车削</w:t>
                  </w:r>
                </w:p>
              </w:tc>
              <w:tc>
                <w:tcPr>
                  <w:tcW w:w="1077" w:type="pct"/>
                  <w:noWrap w:val="0"/>
                  <w:vAlign w:val="center"/>
                </w:tcPr>
                <w:p w14:paraId="4160A7D2">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宋体" w:hAnsi="宋体" w:eastAsia="宋体" w:cs="宋体"/>
                      <w:color w:val="auto"/>
                      <w:sz w:val="21"/>
                      <w:szCs w:val="21"/>
                    </w:rPr>
                    <w:t>轴承套圈数字化车削线</w:t>
                  </w:r>
                </w:p>
              </w:tc>
              <w:tc>
                <w:tcPr>
                  <w:tcW w:w="957" w:type="pct"/>
                  <w:noWrap w:val="0"/>
                  <w:vAlign w:val="center"/>
                </w:tcPr>
                <w:p w14:paraId="6E182E8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TMZC92</w:t>
                  </w:r>
                  <w:r>
                    <w:rPr>
                      <w:rFonts w:hint="eastAsia" w:cs="Times New Roman"/>
                      <w:color w:val="auto"/>
                      <w:sz w:val="21"/>
                      <w:szCs w:val="21"/>
                      <w:lang w:val="en-US" w:eastAsia="zh-CN"/>
                    </w:rPr>
                    <w:t>06</w:t>
                  </w:r>
                </w:p>
              </w:tc>
              <w:tc>
                <w:tcPr>
                  <w:tcW w:w="852" w:type="pct"/>
                  <w:noWrap w:val="0"/>
                  <w:vAlign w:val="center"/>
                </w:tcPr>
                <w:p w14:paraId="49C2290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100</w:t>
                  </w:r>
                </w:p>
              </w:tc>
            </w:tr>
            <w:tr w14:paraId="0FD29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noWrap w:val="0"/>
                  <w:vAlign w:val="center"/>
                </w:tcPr>
                <w:p w14:paraId="29ECE51E">
                  <w:pPr>
                    <w:pStyle w:val="1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空气压缩</w:t>
                  </w:r>
                </w:p>
              </w:tc>
              <w:tc>
                <w:tcPr>
                  <w:tcW w:w="934" w:type="pct"/>
                  <w:noWrap w:val="0"/>
                  <w:vAlign w:val="center"/>
                </w:tcPr>
                <w:p w14:paraId="1F1D1B97">
                  <w:pPr>
                    <w:pStyle w:val="1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空气压缩</w:t>
                  </w:r>
                </w:p>
              </w:tc>
              <w:tc>
                <w:tcPr>
                  <w:tcW w:w="1077" w:type="pct"/>
                  <w:noWrap w:val="0"/>
                  <w:vAlign w:val="center"/>
                </w:tcPr>
                <w:p w14:paraId="74DDF2E4">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空气压缩机</w:t>
                  </w:r>
                </w:p>
              </w:tc>
              <w:tc>
                <w:tcPr>
                  <w:tcW w:w="957" w:type="pct"/>
                  <w:noWrap w:val="0"/>
                  <w:vAlign w:val="center"/>
                </w:tcPr>
                <w:p w14:paraId="7A8DD14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w:t>
                  </w:r>
                </w:p>
              </w:tc>
              <w:tc>
                <w:tcPr>
                  <w:tcW w:w="852" w:type="pct"/>
                  <w:noWrap w:val="0"/>
                  <w:vAlign w:val="center"/>
                </w:tcPr>
                <w:p w14:paraId="0C7A902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w:t>
                  </w:r>
                </w:p>
              </w:tc>
            </w:tr>
            <w:tr w14:paraId="6EE75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noWrap w:val="0"/>
                  <w:vAlign w:val="center"/>
                </w:tcPr>
                <w:p w14:paraId="73B8F41C">
                  <w:pPr>
                    <w:pStyle w:val="10"/>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检验</w:t>
                  </w:r>
                </w:p>
              </w:tc>
              <w:tc>
                <w:tcPr>
                  <w:tcW w:w="934" w:type="pct"/>
                  <w:noWrap w:val="0"/>
                  <w:vAlign w:val="center"/>
                </w:tcPr>
                <w:p w14:paraId="48273019">
                  <w:pPr>
                    <w:pStyle w:val="1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检验</w:t>
                  </w:r>
                </w:p>
              </w:tc>
              <w:tc>
                <w:tcPr>
                  <w:tcW w:w="1077" w:type="pct"/>
                  <w:noWrap w:val="0"/>
                  <w:vAlign w:val="center"/>
                </w:tcPr>
                <w:p w14:paraId="4C8CF039">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轴承套圈工序检测机</w:t>
                  </w:r>
                </w:p>
              </w:tc>
              <w:tc>
                <w:tcPr>
                  <w:tcW w:w="957" w:type="pct"/>
                  <w:noWrap w:val="0"/>
                  <w:vAlign w:val="center"/>
                </w:tcPr>
                <w:p w14:paraId="2B88590E">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w:t>
                  </w:r>
                </w:p>
              </w:tc>
              <w:tc>
                <w:tcPr>
                  <w:tcW w:w="852" w:type="pct"/>
                  <w:noWrap w:val="0"/>
                  <w:vAlign w:val="center"/>
                </w:tcPr>
                <w:p w14:paraId="32DEC53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25</w:t>
                  </w:r>
                </w:p>
              </w:tc>
            </w:tr>
            <w:tr w14:paraId="0786C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0" w:type="pct"/>
                  <w:gridSpan w:val="5"/>
                  <w:noWrap w:val="0"/>
                  <w:vAlign w:val="center"/>
                </w:tcPr>
                <w:p w14:paraId="2F8ACFF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000000" w:themeColor="text1"/>
                      <w:sz w:val="21"/>
                      <w:szCs w:val="21"/>
                      <w:lang w:val="en-US" w:eastAsia="zh-CN"/>
                      <w14:textFill>
                        <w14:solidFill>
                          <w14:schemeClr w14:val="tx1"/>
                        </w14:solidFill>
                      </w14:textFill>
                    </w:rPr>
                    <w:t>二期工程</w:t>
                  </w:r>
                </w:p>
              </w:tc>
            </w:tr>
            <w:tr w14:paraId="4305A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restart"/>
                  <w:shd w:val="clear" w:color="auto" w:fill="auto"/>
                  <w:noWrap w:val="0"/>
                  <w:vAlign w:val="center"/>
                </w:tcPr>
                <w:p w14:paraId="3B024D5C">
                  <w:pPr>
                    <w:keepNext w:val="0"/>
                    <w:keepLines w:val="0"/>
                    <w:pageBreakBefore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割料</w:t>
                  </w:r>
                </w:p>
              </w:tc>
              <w:tc>
                <w:tcPr>
                  <w:tcW w:w="934" w:type="pct"/>
                  <w:vMerge w:val="restart"/>
                  <w:shd w:val="clear" w:color="auto" w:fill="auto"/>
                  <w:noWrap w:val="0"/>
                  <w:vAlign w:val="center"/>
                </w:tcPr>
                <w:p w14:paraId="0F6B9458">
                  <w:pPr>
                    <w:keepNext w:val="0"/>
                    <w:keepLines w:val="0"/>
                    <w:pageBreakBefore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割料</w:t>
                  </w:r>
                </w:p>
              </w:tc>
              <w:tc>
                <w:tcPr>
                  <w:tcW w:w="1077" w:type="pct"/>
                  <w:vMerge w:val="restart"/>
                  <w:shd w:val="clear" w:color="auto" w:fill="auto"/>
                  <w:noWrap w:val="0"/>
                  <w:vAlign w:val="center"/>
                </w:tcPr>
                <w:p w14:paraId="68D8AE12">
                  <w:pPr>
                    <w:bidi w:val="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自动割管机</w:t>
                  </w:r>
                </w:p>
              </w:tc>
              <w:tc>
                <w:tcPr>
                  <w:tcW w:w="957" w:type="pct"/>
                  <w:shd w:val="clear" w:color="auto" w:fill="auto"/>
                  <w:noWrap w:val="0"/>
                  <w:vAlign w:val="center"/>
                </w:tcPr>
                <w:p w14:paraId="773607D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JM40</w:t>
                  </w:r>
                </w:p>
              </w:tc>
              <w:tc>
                <w:tcPr>
                  <w:tcW w:w="852" w:type="pct"/>
                  <w:shd w:val="clear" w:color="auto" w:fill="auto"/>
                  <w:noWrap w:val="0"/>
                  <w:vAlign w:val="center"/>
                </w:tcPr>
                <w:p w14:paraId="76698E8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10</w:t>
                  </w:r>
                </w:p>
              </w:tc>
            </w:tr>
            <w:tr w14:paraId="42861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continue"/>
                  <w:noWrap w:val="0"/>
                  <w:vAlign w:val="center"/>
                </w:tcPr>
                <w:p w14:paraId="30D5F7D5">
                  <w:pPr>
                    <w:pStyle w:val="10"/>
                    <w:jc w:val="center"/>
                    <w:rPr>
                      <w:rFonts w:hint="eastAsia" w:ascii="Times New Roman" w:hAnsi="Times New Roman" w:eastAsia="宋体" w:cs="Times New Roman"/>
                      <w:b w:val="0"/>
                      <w:bCs/>
                      <w:color w:val="auto"/>
                      <w:sz w:val="21"/>
                      <w:szCs w:val="21"/>
                      <w:highlight w:val="none"/>
                      <w:vertAlign w:val="baseline"/>
                      <w:lang w:val="en-US" w:eastAsia="zh-CN"/>
                    </w:rPr>
                  </w:pPr>
                </w:p>
              </w:tc>
              <w:tc>
                <w:tcPr>
                  <w:tcW w:w="934" w:type="pct"/>
                  <w:vMerge w:val="continue"/>
                  <w:noWrap w:val="0"/>
                  <w:vAlign w:val="center"/>
                </w:tcPr>
                <w:p w14:paraId="6F2ECB09">
                  <w:pPr>
                    <w:pStyle w:val="10"/>
                    <w:jc w:val="center"/>
                    <w:rPr>
                      <w:rFonts w:hint="eastAsia" w:ascii="Times New Roman" w:hAnsi="Times New Roman" w:cs="Times New Roman"/>
                      <w:b w:val="0"/>
                      <w:bCs/>
                      <w:color w:val="auto"/>
                      <w:sz w:val="21"/>
                      <w:szCs w:val="21"/>
                      <w:highlight w:val="none"/>
                      <w:vertAlign w:val="baseline"/>
                      <w:lang w:val="en-US" w:eastAsia="zh-CN"/>
                    </w:rPr>
                  </w:pPr>
                </w:p>
              </w:tc>
              <w:tc>
                <w:tcPr>
                  <w:tcW w:w="1077" w:type="pct"/>
                  <w:vMerge w:val="continue"/>
                  <w:noWrap w:val="0"/>
                  <w:vAlign w:val="center"/>
                </w:tcPr>
                <w:p w14:paraId="22EE56DC">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sz w:val="21"/>
                      <w:szCs w:val="21"/>
                    </w:rPr>
                  </w:pPr>
                </w:p>
              </w:tc>
              <w:tc>
                <w:tcPr>
                  <w:tcW w:w="957" w:type="pct"/>
                  <w:shd w:val="clear" w:color="auto" w:fill="auto"/>
                  <w:noWrap w:val="0"/>
                  <w:vAlign w:val="center"/>
                </w:tcPr>
                <w:p w14:paraId="2E5BA268">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JM60</w:t>
                  </w:r>
                </w:p>
              </w:tc>
              <w:tc>
                <w:tcPr>
                  <w:tcW w:w="852" w:type="pct"/>
                  <w:shd w:val="clear" w:color="auto" w:fill="auto"/>
                  <w:noWrap w:val="0"/>
                  <w:vAlign w:val="center"/>
                </w:tcPr>
                <w:p w14:paraId="1378F2F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10</w:t>
                  </w:r>
                </w:p>
              </w:tc>
            </w:tr>
            <w:tr w14:paraId="3D35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restart"/>
                  <w:shd w:val="clear" w:color="auto" w:fill="auto"/>
                  <w:noWrap w:val="0"/>
                  <w:vAlign w:val="center"/>
                </w:tcPr>
                <w:p w14:paraId="206B4230">
                  <w:pPr>
                    <w:keepNext w:val="0"/>
                    <w:keepLines w:val="0"/>
                    <w:pageBreakBefore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机加工</w:t>
                  </w:r>
                </w:p>
              </w:tc>
              <w:tc>
                <w:tcPr>
                  <w:tcW w:w="934" w:type="pct"/>
                  <w:shd w:val="clear" w:color="auto" w:fill="auto"/>
                  <w:noWrap w:val="0"/>
                  <w:vAlign w:val="center"/>
                </w:tcPr>
                <w:p w14:paraId="4F6E2F5D">
                  <w:pPr>
                    <w:keepNext w:val="0"/>
                    <w:keepLines w:val="0"/>
                    <w:pageBreakBefore w:val="0"/>
                    <w:tabs>
                      <w:tab w:val="left" w:pos="538"/>
                    </w:tabs>
                    <w:kinsoku/>
                    <w:wordWrap/>
                    <w:overflowPunct/>
                    <w:topLinePunct w:val="0"/>
                    <w:bidi w:val="0"/>
                    <w:adjustRightInd w:val="0"/>
                    <w:snapToGrid w:val="0"/>
                    <w:spacing w:line="240" w:lineRule="auto"/>
                    <w:ind w:right="0" w:rightChars="0" w:firstLine="210" w:firstLineChars="1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平面磨床</w:t>
                  </w:r>
                </w:p>
              </w:tc>
              <w:tc>
                <w:tcPr>
                  <w:tcW w:w="1077" w:type="pct"/>
                  <w:shd w:val="clear" w:color="auto" w:fill="auto"/>
                  <w:noWrap w:val="0"/>
                  <w:vAlign w:val="center"/>
                </w:tcPr>
                <w:p w14:paraId="158F2DAA">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高精密平面磨床</w:t>
                  </w:r>
                </w:p>
              </w:tc>
              <w:tc>
                <w:tcPr>
                  <w:tcW w:w="957" w:type="pct"/>
                  <w:shd w:val="clear" w:color="auto" w:fill="auto"/>
                  <w:noWrap w:val="0"/>
                  <w:vAlign w:val="center"/>
                </w:tcPr>
                <w:p w14:paraId="0A0E7AC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MYM7650</w:t>
                  </w:r>
                </w:p>
              </w:tc>
              <w:tc>
                <w:tcPr>
                  <w:tcW w:w="852" w:type="pct"/>
                  <w:shd w:val="clear" w:color="auto" w:fill="auto"/>
                  <w:noWrap w:val="0"/>
                  <w:vAlign w:val="center"/>
                </w:tcPr>
                <w:p w14:paraId="596EB693">
                  <w:pPr>
                    <w:keepNext w:val="0"/>
                    <w:keepLines w:val="0"/>
                    <w:pageBreakBefore w:val="0"/>
                    <w:widowControl/>
                    <w:suppressLineNumbers w:val="0"/>
                    <w:kinsoku/>
                    <w:wordWrap/>
                    <w:overflowPunct/>
                    <w:topLinePunct w:val="0"/>
                    <w:autoSpaceDE/>
                    <w:autoSpaceDN/>
                    <w:bidi w:val="0"/>
                    <w:snapToGrid/>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w:t>
                  </w:r>
                </w:p>
              </w:tc>
            </w:tr>
            <w:tr w14:paraId="6F0A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continue"/>
                  <w:noWrap w:val="0"/>
                  <w:vAlign w:val="center"/>
                </w:tcPr>
                <w:p w14:paraId="13A7F86C">
                  <w:pPr>
                    <w:pStyle w:val="10"/>
                    <w:jc w:val="center"/>
                    <w:rPr>
                      <w:rFonts w:hint="eastAsia" w:ascii="Times New Roman" w:hAnsi="Times New Roman" w:eastAsia="宋体" w:cs="Times New Roman"/>
                      <w:b w:val="0"/>
                      <w:bCs/>
                      <w:color w:val="auto"/>
                      <w:sz w:val="21"/>
                      <w:szCs w:val="21"/>
                      <w:highlight w:val="none"/>
                      <w:vertAlign w:val="baseline"/>
                      <w:lang w:val="en-US" w:eastAsia="zh-CN"/>
                    </w:rPr>
                  </w:pPr>
                </w:p>
              </w:tc>
              <w:tc>
                <w:tcPr>
                  <w:tcW w:w="934" w:type="pct"/>
                  <w:vMerge w:val="restart"/>
                  <w:shd w:val="clear" w:color="auto" w:fill="auto"/>
                  <w:noWrap w:val="0"/>
                  <w:vAlign w:val="center"/>
                </w:tcPr>
                <w:p w14:paraId="0C44ABDC">
                  <w:pPr>
                    <w:keepNext w:val="0"/>
                    <w:keepLines w:val="0"/>
                    <w:pageBreakBefore w:val="0"/>
                    <w:kinsoku/>
                    <w:wordWrap/>
                    <w:overflowPunct/>
                    <w:topLinePunct w:val="0"/>
                    <w:bidi w:val="0"/>
                    <w:adjustRightInd w:val="0"/>
                    <w:snapToGrid w:val="0"/>
                    <w:spacing w:line="240" w:lineRule="auto"/>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无心磨床</w:t>
                  </w:r>
                </w:p>
              </w:tc>
              <w:tc>
                <w:tcPr>
                  <w:tcW w:w="1077" w:type="pct"/>
                  <w:vMerge w:val="restart"/>
                  <w:shd w:val="clear" w:color="auto" w:fill="auto"/>
                  <w:noWrap w:val="0"/>
                  <w:vAlign w:val="center"/>
                </w:tcPr>
                <w:p w14:paraId="3122107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高精度无心磨床</w:t>
                  </w:r>
                </w:p>
              </w:tc>
              <w:tc>
                <w:tcPr>
                  <w:tcW w:w="957" w:type="pct"/>
                  <w:shd w:val="clear" w:color="auto" w:fill="auto"/>
                  <w:noWrap w:val="0"/>
                  <w:vAlign w:val="center"/>
                </w:tcPr>
                <w:p w14:paraId="0C51208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MGM</w:t>
                  </w:r>
                  <w:r>
                    <w:rPr>
                      <w:rFonts w:hint="eastAsia" w:cs="Times New Roman"/>
                      <w:color w:val="auto"/>
                      <w:sz w:val="21"/>
                      <w:szCs w:val="21"/>
                      <w:lang w:val="en-US" w:eastAsia="zh-CN"/>
                    </w:rPr>
                    <w:t>11100</w:t>
                  </w:r>
                </w:p>
              </w:tc>
              <w:tc>
                <w:tcPr>
                  <w:tcW w:w="852" w:type="pct"/>
                  <w:shd w:val="clear" w:color="auto" w:fill="auto"/>
                  <w:noWrap w:val="0"/>
                  <w:vAlign w:val="center"/>
                </w:tcPr>
                <w:p w14:paraId="3F8D13BB">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w:t>
                  </w:r>
                </w:p>
              </w:tc>
            </w:tr>
            <w:tr w14:paraId="0E22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continue"/>
                  <w:noWrap w:val="0"/>
                  <w:vAlign w:val="center"/>
                </w:tcPr>
                <w:p w14:paraId="7AA5807A">
                  <w:pPr>
                    <w:pStyle w:val="10"/>
                    <w:jc w:val="center"/>
                    <w:rPr>
                      <w:rFonts w:hint="eastAsia" w:ascii="Times New Roman" w:hAnsi="Times New Roman" w:eastAsia="宋体" w:cs="Times New Roman"/>
                      <w:b w:val="0"/>
                      <w:bCs/>
                      <w:color w:val="auto"/>
                      <w:sz w:val="21"/>
                      <w:szCs w:val="21"/>
                      <w:highlight w:val="none"/>
                      <w:vertAlign w:val="baseline"/>
                      <w:lang w:val="en-US" w:eastAsia="zh-CN"/>
                    </w:rPr>
                  </w:pPr>
                </w:p>
              </w:tc>
              <w:tc>
                <w:tcPr>
                  <w:tcW w:w="934" w:type="pct"/>
                  <w:vMerge w:val="continue"/>
                  <w:noWrap w:val="0"/>
                  <w:vAlign w:val="center"/>
                </w:tcPr>
                <w:p w14:paraId="12CB1FFB">
                  <w:pPr>
                    <w:pStyle w:val="10"/>
                    <w:jc w:val="center"/>
                    <w:rPr>
                      <w:rFonts w:hint="eastAsia" w:ascii="Times New Roman" w:hAnsi="Times New Roman" w:cs="Times New Roman"/>
                      <w:b w:val="0"/>
                      <w:bCs/>
                      <w:color w:val="auto"/>
                      <w:sz w:val="21"/>
                      <w:szCs w:val="21"/>
                      <w:highlight w:val="none"/>
                      <w:vertAlign w:val="baseline"/>
                      <w:lang w:val="en-US" w:eastAsia="zh-CN"/>
                    </w:rPr>
                  </w:pPr>
                </w:p>
              </w:tc>
              <w:tc>
                <w:tcPr>
                  <w:tcW w:w="1077" w:type="pct"/>
                  <w:vMerge w:val="continue"/>
                  <w:noWrap w:val="0"/>
                  <w:vAlign w:val="center"/>
                </w:tcPr>
                <w:p w14:paraId="5F0F3957">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sz w:val="21"/>
                      <w:szCs w:val="21"/>
                    </w:rPr>
                  </w:pPr>
                </w:p>
              </w:tc>
              <w:tc>
                <w:tcPr>
                  <w:tcW w:w="957" w:type="pct"/>
                  <w:shd w:val="clear" w:color="auto" w:fill="auto"/>
                  <w:noWrap w:val="0"/>
                  <w:vAlign w:val="center"/>
                </w:tcPr>
                <w:p w14:paraId="4024ED21">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MGM</w:t>
                  </w:r>
                  <w:r>
                    <w:rPr>
                      <w:rFonts w:hint="eastAsia" w:cs="Times New Roman"/>
                      <w:color w:val="auto"/>
                      <w:sz w:val="21"/>
                      <w:szCs w:val="21"/>
                      <w:lang w:val="en-US" w:eastAsia="zh-CN"/>
                    </w:rPr>
                    <w:t>11200</w:t>
                  </w:r>
                </w:p>
              </w:tc>
              <w:tc>
                <w:tcPr>
                  <w:tcW w:w="852" w:type="pct"/>
                  <w:shd w:val="clear" w:color="auto" w:fill="auto"/>
                  <w:noWrap w:val="0"/>
                  <w:vAlign w:val="center"/>
                </w:tcPr>
                <w:p w14:paraId="4136059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w:t>
                  </w:r>
                </w:p>
              </w:tc>
            </w:tr>
            <w:tr w14:paraId="33B9B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continue"/>
                  <w:noWrap w:val="0"/>
                  <w:vAlign w:val="center"/>
                </w:tcPr>
                <w:p w14:paraId="36E20A05">
                  <w:pPr>
                    <w:pStyle w:val="10"/>
                    <w:jc w:val="center"/>
                    <w:rPr>
                      <w:rFonts w:hint="eastAsia" w:ascii="Times New Roman" w:hAnsi="Times New Roman" w:eastAsia="宋体" w:cs="Times New Roman"/>
                      <w:b w:val="0"/>
                      <w:bCs/>
                      <w:color w:val="auto"/>
                      <w:sz w:val="21"/>
                      <w:szCs w:val="21"/>
                      <w:highlight w:val="none"/>
                      <w:vertAlign w:val="baseline"/>
                      <w:lang w:val="en-US" w:eastAsia="zh-CN"/>
                    </w:rPr>
                  </w:pPr>
                </w:p>
              </w:tc>
              <w:tc>
                <w:tcPr>
                  <w:tcW w:w="934" w:type="pct"/>
                  <w:shd w:val="clear" w:color="auto" w:fill="auto"/>
                  <w:noWrap w:val="0"/>
                  <w:vAlign w:val="center"/>
                </w:tcPr>
                <w:p w14:paraId="1BF9889F">
                  <w:pPr>
                    <w:keepNext w:val="0"/>
                    <w:keepLines w:val="0"/>
                    <w:pageBreakBefore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回火</w:t>
                  </w:r>
                </w:p>
              </w:tc>
              <w:tc>
                <w:tcPr>
                  <w:tcW w:w="1077" w:type="pct"/>
                  <w:shd w:val="clear" w:color="auto" w:fill="auto"/>
                  <w:noWrap w:val="0"/>
                  <w:vAlign w:val="center"/>
                </w:tcPr>
                <w:p w14:paraId="340B0A45">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宋体" w:hAnsi="宋体" w:eastAsia="宋体" w:cs="宋体"/>
                      <w:color w:val="auto"/>
                      <w:sz w:val="21"/>
                      <w:szCs w:val="21"/>
                      <w:lang w:val="en-US" w:eastAsia="zh-CN"/>
                    </w:rPr>
                    <w:t>空气回火炉</w:t>
                  </w:r>
                </w:p>
              </w:tc>
              <w:tc>
                <w:tcPr>
                  <w:tcW w:w="957" w:type="pct"/>
                  <w:shd w:val="clear" w:color="auto" w:fill="auto"/>
                  <w:noWrap w:val="0"/>
                  <w:vAlign w:val="center"/>
                </w:tcPr>
                <w:p w14:paraId="32FAE9D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电机</w:t>
                  </w:r>
                </w:p>
              </w:tc>
              <w:tc>
                <w:tcPr>
                  <w:tcW w:w="852" w:type="pct"/>
                  <w:shd w:val="clear" w:color="auto" w:fill="auto"/>
                  <w:noWrap w:val="0"/>
                  <w:vAlign w:val="center"/>
                </w:tcPr>
                <w:p w14:paraId="6C13674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r>
            <w:tr w14:paraId="137BC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vMerge w:val="continue"/>
                  <w:noWrap w:val="0"/>
                  <w:vAlign w:val="center"/>
                </w:tcPr>
                <w:p w14:paraId="08277FA6">
                  <w:pPr>
                    <w:pStyle w:val="10"/>
                    <w:jc w:val="center"/>
                    <w:rPr>
                      <w:rFonts w:hint="eastAsia" w:ascii="Times New Roman" w:hAnsi="Times New Roman" w:eastAsia="宋体" w:cs="Times New Roman"/>
                      <w:b w:val="0"/>
                      <w:bCs/>
                      <w:color w:val="auto"/>
                      <w:sz w:val="21"/>
                      <w:szCs w:val="21"/>
                      <w:highlight w:val="none"/>
                      <w:vertAlign w:val="baseline"/>
                      <w:lang w:val="en-US" w:eastAsia="zh-CN"/>
                    </w:rPr>
                  </w:pPr>
                </w:p>
              </w:tc>
              <w:tc>
                <w:tcPr>
                  <w:tcW w:w="934" w:type="pct"/>
                  <w:shd w:val="clear" w:color="auto" w:fill="auto"/>
                  <w:noWrap w:val="0"/>
                  <w:vAlign w:val="center"/>
                </w:tcPr>
                <w:p w14:paraId="60812B29">
                  <w:pPr>
                    <w:keepNext w:val="0"/>
                    <w:keepLines w:val="0"/>
                    <w:pageBreakBefore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套圈车削</w:t>
                  </w:r>
                </w:p>
              </w:tc>
              <w:tc>
                <w:tcPr>
                  <w:tcW w:w="1077" w:type="pct"/>
                  <w:shd w:val="clear" w:color="auto" w:fill="auto"/>
                  <w:noWrap w:val="0"/>
                  <w:vAlign w:val="center"/>
                </w:tcPr>
                <w:p w14:paraId="11747F42">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宋体" w:hAnsi="宋体" w:eastAsia="宋体" w:cs="宋体"/>
                      <w:color w:val="auto"/>
                      <w:sz w:val="21"/>
                      <w:szCs w:val="21"/>
                    </w:rPr>
                    <w:t>轴承套圈数字化车削线</w:t>
                  </w:r>
                </w:p>
              </w:tc>
              <w:tc>
                <w:tcPr>
                  <w:tcW w:w="957" w:type="pct"/>
                  <w:shd w:val="clear" w:color="auto" w:fill="auto"/>
                  <w:noWrap w:val="0"/>
                  <w:vAlign w:val="center"/>
                </w:tcPr>
                <w:p w14:paraId="34F2DFCA">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TMZC92</w:t>
                  </w:r>
                  <w:r>
                    <w:rPr>
                      <w:rFonts w:hint="eastAsia" w:cs="Times New Roman"/>
                      <w:color w:val="auto"/>
                      <w:sz w:val="21"/>
                      <w:szCs w:val="21"/>
                      <w:lang w:val="en-US" w:eastAsia="zh-CN"/>
                    </w:rPr>
                    <w:t>06</w:t>
                  </w:r>
                </w:p>
              </w:tc>
              <w:tc>
                <w:tcPr>
                  <w:tcW w:w="852" w:type="pct"/>
                  <w:shd w:val="clear" w:color="auto" w:fill="auto"/>
                  <w:noWrap w:val="0"/>
                  <w:vAlign w:val="center"/>
                </w:tcPr>
                <w:p w14:paraId="64B72FD3">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100</w:t>
                  </w:r>
                </w:p>
              </w:tc>
            </w:tr>
            <w:tr w14:paraId="000FE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shd w:val="clear" w:color="auto" w:fill="auto"/>
                  <w:noWrap w:val="0"/>
                  <w:vAlign w:val="center"/>
                </w:tcPr>
                <w:p w14:paraId="3A18EE45">
                  <w:pPr>
                    <w:pStyle w:val="1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空气压缩</w:t>
                  </w:r>
                </w:p>
              </w:tc>
              <w:tc>
                <w:tcPr>
                  <w:tcW w:w="934" w:type="pct"/>
                  <w:shd w:val="clear" w:color="auto" w:fill="auto"/>
                  <w:noWrap w:val="0"/>
                  <w:vAlign w:val="center"/>
                </w:tcPr>
                <w:p w14:paraId="352FF74B">
                  <w:pPr>
                    <w:pStyle w:val="1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cs="Times New Roman"/>
                      <w:b w:val="0"/>
                      <w:bCs/>
                      <w:color w:val="auto"/>
                      <w:sz w:val="21"/>
                      <w:szCs w:val="21"/>
                      <w:highlight w:val="none"/>
                      <w:vertAlign w:val="baseline"/>
                      <w:lang w:val="en-US" w:eastAsia="zh-CN"/>
                    </w:rPr>
                    <w:t>空气压缩</w:t>
                  </w:r>
                </w:p>
              </w:tc>
              <w:tc>
                <w:tcPr>
                  <w:tcW w:w="1077" w:type="pct"/>
                  <w:shd w:val="clear" w:color="auto" w:fill="auto"/>
                  <w:noWrap w:val="0"/>
                  <w:vAlign w:val="center"/>
                </w:tcPr>
                <w:p w14:paraId="2FCA7373">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空气压缩机</w:t>
                  </w:r>
                </w:p>
              </w:tc>
              <w:tc>
                <w:tcPr>
                  <w:tcW w:w="957" w:type="pct"/>
                  <w:shd w:val="clear" w:color="auto" w:fill="auto"/>
                  <w:noWrap w:val="0"/>
                  <w:vAlign w:val="center"/>
                </w:tcPr>
                <w:p w14:paraId="21E65CF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w:t>
                  </w:r>
                </w:p>
              </w:tc>
              <w:tc>
                <w:tcPr>
                  <w:tcW w:w="852" w:type="pct"/>
                  <w:shd w:val="clear" w:color="auto" w:fill="auto"/>
                  <w:noWrap w:val="0"/>
                  <w:vAlign w:val="center"/>
                </w:tcPr>
                <w:p w14:paraId="69151E1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w:t>
                  </w:r>
                </w:p>
              </w:tc>
            </w:tr>
            <w:tr w14:paraId="2EA29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177" w:type="pct"/>
                  <w:shd w:val="clear" w:color="auto" w:fill="auto"/>
                  <w:noWrap w:val="0"/>
                  <w:vAlign w:val="center"/>
                </w:tcPr>
                <w:p w14:paraId="52720222">
                  <w:pPr>
                    <w:pStyle w:val="1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检验</w:t>
                  </w:r>
                </w:p>
              </w:tc>
              <w:tc>
                <w:tcPr>
                  <w:tcW w:w="934" w:type="pct"/>
                  <w:shd w:val="clear" w:color="auto" w:fill="auto"/>
                  <w:noWrap w:val="0"/>
                  <w:vAlign w:val="center"/>
                </w:tcPr>
                <w:p w14:paraId="4D09FEBF">
                  <w:pPr>
                    <w:pStyle w:val="10"/>
                    <w:jc w:val="center"/>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cs="Times New Roman"/>
                      <w:b w:val="0"/>
                      <w:bCs/>
                      <w:color w:val="auto"/>
                      <w:sz w:val="21"/>
                      <w:szCs w:val="21"/>
                      <w:highlight w:val="none"/>
                      <w:vertAlign w:val="baseline"/>
                      <w:lang w:val="en-US" w:eastAsia="zh-CN"/>
                    </w:rPr>
                    <w:t>检验</w:t>
                  </w:r>
                </w:p>
              </w:tc>
              <w:tc>
                <w:tcPr>
                  <w:tcW w:w="1077" w:type="pct"/>
                  <w:shd w:val="clear" w:color="auto" w:fill="auto"/>
                  <w:noWrap w:val="0"/>
                  <w:vAlign w:val="center"/>
                </w:tcPr>
                <w:p w14:paraId="0E8F8087">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轴承套圈工序检测机</w:t>
                  </w:r>
                </w:p>
              </w:tc>
              <w:tc>
                <w:tcPr>
                  <w:tcW w:w="957" w:type="pct"/>
                  <w:shd w:val="clear" w:color="auto" w:fill="auto"/>
                  <w:noWrap w:val="0"/>
                  <w:vAlign w:val="center"/>
                </w:tcPr>
                <w:p w14:paraId="6858AA6F">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w:t>
                  </w:r>
                </w:p>
              </w:tc>
              <w:tc>
                <w:tcPr>
                  <w:tcW w:w="852" w:type="pct"/>
                  <w:shd w:val="clear" w:color="auto" w:fill="auto"/>
                  <w:noWrap w:val="0"/>
                  <w:vAlign w:val="center"/>
                </w:tcPr>
                <w:p w14:paraId="64374584">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25</w:t>
                  </w:r>
                </w:p>
              </w:tc>
            </w:tr>
          </w:tbl>
          <w:p w14:paraId="1FFC2FC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bCs/>
                <w:color w:val="auto"/>
                <w:sz w:val="24"/>
                <w:szCs w:val="24"/>
                <w:lang w:val="en-US" w:eastAsia="zh-CN"/>
              </w:rPr>
              <w:t>4、</w:t>
            </w:r>
            <w:r>
              <w:rPr>
                <w:rFonts w:hint="eastAsia" w:ascii="Times New Roman" w:hAnsi="Times New Roman" w:eastAsia="宋体" w:cs="Times New Roman"/>
                <w:b/>
                <w:bCs/>
                <w:color w:val="auto"/>
                <w:sz w:val="24"/>
                <w:szCs w:val="24"/>
                <w:lang w:eastAsia="zh-CN"/>
              </w:rPr>
              <w:t>项目原辅材料及资源、能源消耗</w:t>
            </w:r>
          </w:p>
          <w:p w14:paraId="6FFFCF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t>项目主要原辅材料及</w:t>
            </w:r>
            <w:r>
              <w:rPr>
                <w:rFonts w:hint="eastAsia" w:ascii="Times New Roman" w:hAnsi="Times New Roman" w:eastAsia="宋体" w:cs="Times New Roman"/>
                <w:b w:val="0"/>
                <w:bCs w:val="0"/>
                <w:color w:val="auto"/>
                <w:sz w:val="24"/>
                <w:szCs w:val="24"/>
                <w:lang w:eastAsia="zh-CN"/>
              </w:rPr>
              <w:t>资源、能源</w:t>
            </w:r>
            <w:r>
              <w:rPr>
                <w:rFonts w:hint="default" w:ascii="Times New Roman" w:hAnsi="Times New Roman" w:eastAsia="宋体" w:cs="Times New Roman"/>
                <w:color w:val="auto"/>
                <w:sz w:val="24"/>
                <w:szCs w:val="24"/>
              </w:rPr>
              <w:t>消耗见表</w:t>
            </w: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w:t>
            </w:r>
          </w:p>
          <w:p w14:paraId="7A7472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w:t>
            </w:r>
            <w:r>
              <w:rPr>
                <w:rFonts w:hint="eastAsia" w:cs="Times New Roman"/>
                <w:b/>
                <w:bCs/>
                <w:color w:val="auto"/>
                <w:sz w:val="24"/>
                <w:szCs w:val="24"/>
                <w:lang w:val="en-US" w:eastAsia="zh-CN"/>
              </w:rPr>
              <w:t>6</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lang w:eastAsia="zh-CN"/>
              </w:rPr>
              <w:t>项目原辅材料及资源、能源消耗</w:t>
            </w:r>
            <w:r>
              <w:rPr>
                <w:rFonts w:hint="default" w:ascii="Times New Roman" w:hAnsi="Times New Roman" w:eastAsia="宋体" w:cs="Times New Roman"/>
                <w:b/>
                <w:bCs/>
                <w:color w:val="auto"/>
                <w:sz w:val="24"/>
                <w:szCs w:val="24"/>
              </w:rPr>
              <w:t>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455"/>
              <w:gridCol w:w="1080"/>
              <w:gridCol w:w="1145"/>
              <w:gridCol w:w="1388"/>
              <w:gridCol w:w="1186"/>
              <w:gridCol w:w="202"/>
              <w:gridCol w:w="1190"/>
            </w:tblGrid>
            <w:tr w14:paraId="2B1A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2" w:type="dxa"/>
                  <w:noWrap w:val="0"/>
                  <w:vAlign w:val="center"/>
                </w:tcPr>
                <w:p w14:paraId="1FA6FDC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序号</w:t>
                  </w:r>
                </w:p>
              </w:tc>
              <w:tc>
                <w:tcPr>
                  <w:tcW w:w="1455" w:type="dxa"/>
                  <w:noWrap w:val="0"/>
                  <w:vAlign w:val="center"/>
                </w:tcPr>
                <w:p w14:paraId="57B928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名称</w:t>
                  </w:r>
                </w:p>
              </w:tc>
              <w:tc>
                <w:tcPr>
                  <w:tcW w:w="1080" w:type="dxa"/>
                  <w:noWrap w:val="0"/>
                  <w:vAlign w:val="center"/>
                </w:tcPr>
                <w:p w14:paraId="0364527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单位</w:t>
                  </w:r>
                </w:p>
              </w:tc>
              <w:tc>
                <w:tcPr>
                  <w:tcW w:w="1145" w:type="dxa"/>
                  <w:noWrap w:val="0"/>
                  <w:vAlign w:val="center"/>
                </w:tcPr>
                <w:p w14:paraId="74FE6FBC">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消耗量</w:t>
                  </w:r>
                </w:p>
                <w:p w14:paraId="333C5868">
                  <w:pPr>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（一期）</w:t>
                  </w:r>
                </w:p>
              </w:tc>
              <w:tc>
                <w:tcPr>
                  <w:tcW w:w="1388" w:type="dxa"/>
                  <w:noWrap w:val="0"/>
                  <w:vAlign w:val="center"/>
                </w:tcPr>
                <w:p w14:paraId="7F56B639">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消耗量</w:t>
                  </w:r>
                </w:p>
                <w:p w14:paraId="5DDB6862">
                  <w:pPr>
                    <w:pStyle w:val="2"/>
                    <w:jc w:val="center"/>
                    <w:rPr>
                      <w:rFonts w:hint="eastAsia"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（二期）</w:t>
                  </w:r>
                </w:p>
              </w:tc>
              <w:tc>
                <w:tcPr>
                  <w:tcW w:w="1388" w:type="dxa"/>
                  <w:gridSpan w:val="2"/>
                  <w:noWrap w:val="0"/>
                  <w:vAlign w:val="center"/>
                </w:tcPr>
                <w:p w14:paraId="701B847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最大存储量</w:t>
                  </w:r>
                </w:p>
              </w:tc>
              <w:tc>
                <w:tcPr>
                  <w:tcW w:w="1190" w:type="dxa"/>
                  <w:noWrap w:val="0"/>
                  <w:vAlign w:val="center"/>
                </w:tcPr>
                <w:p w14:paraId="77BCB8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备注</w:t>
                  </w:r>
                </w:p>
              </w:tc>
            </w:tr>
            <w:tr w14:paraId="68FB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06" w:type="dxa"/>
                  <w:gridSpan w:val="6"/>
                  <w:noWrap w:val="0"/>
                  <w:vAlign w:val="center"/>
                </w:tcPr>
                <w:p w14:paraId="28FA45F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原辅材料消耗</w:t>
                  </w:r>
                </w:p>
              </w:tc>
              <w:tc>
                <w:tcPr>
                  <w:tcW w:w="1392" w:type="dxa"/>
                  <w:gridSpan w:val="2"/>
                  <w:noWrap w:val="0"/>
                  <w:vAlign w:val="center"/>
                </w:tcPr>
                <w:p w14:paraId="5B76BD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p>
              </w:tc>
            </w:tr>
            <w:tr w14:paraId="3294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2" w:type="dxa"/>
                  <w:noWrap w:val="0"/>
                  <w:vAlign w:val="center"/>
                </w:tcPr>
                <w:p w14:paraId="345AFCF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1455" w:type="dxa"/>
                  <w:noWrap w:val="0"/>
                  <w:vAlign w:val="center"/>
                </w:tcPr>
                <w:p w14:paraId="0F23DE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olor w:val="auto"/>
                      <w:kern w:val="2"/>
                      <w:sz w:val="21"/>
                      <w:szCs w:val="21"/>
                      <w:lang w:val="en-US" w:eastAsia="zh-CN" w:bidi="ar-SA"/>
                    </w:rPr>
                  </w:pPr>
                  <w:r>
                    <w:rPr>
                      <w:rFonts w:hint="eastAsia"/>
                      <w:color w:val="auto"/>
                      <w:sz w:val="21"/>
                      <w:szCs w:val="21"/>
                      <w:lang w:eastAsia="zh-CN"/>
                    </w:rPr>
                    <w:t>高碳铬轴承钢管</w:t>
                  </w:r>
                </w:p>
              </w:tc>
              <w:tc>
                <w:tcPr>
                  <w:tcW w:w="1080" w:type="dxa"/>
                  <w:noWrap w:val="0"/>
                  <w:vAlign w:val="center"/>
                </w:tcPr>
                <w:p w14:paraId="431D99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kern w:val="2"/>
                      <w:sz w:val="21"/>
                      <w:szCs w:val="21"/>
                      <w:lang w:val="en-US" w:eastAsia="zh-CN" w:bidi="ar-SA"/>
                    </w:rPr>
                  </w:pPr>
                  <w:r>
                    <w:rPr>
                      <w:rFonts w:hint="eastAsia" w:cs="Times New Roman"/>
                      <w:color w:val="auto"/>
                      <w:sz w:val="21"/>
                      <w:szCs w:val="21"/>
                      <w:vertAlign w:val="baseline"/>
                      <w:lang w:val="en-US" w:eastAsia="zh-CN"/>
                    </w:rPr>
                    <w:t>万件</w:t>
                  </w:r>
                  <w:r>
                    <w:rPr>
                      <w:rFonts w:hint="default" w:ascii="Times New Roman" w:hAnsi="Times New Roman" w:cs="Times New Roman"/>
                      <w:color w:val="auto"/>
                      <w:sz w:val="21"/>
                      <w:szCs w:val="21"/>
                      <w:vertAlign w:val="baseline"/>
                      <w:lang w:val="en-US" w:eastAsia="zh-CN"/>
                    </w:rPr>
                    <w:t>/a</w:t>
                  </w:r>
                </w:p>
              </w:tc>
              <w:tc>
                <w:tcPr>
                  <w:tcW w:w="1145" w:type="dxa"/>
                  <w:noWrap w:val="0"/>
                  <w:vAlign w:val="center"/>
                </w:tcPr>
                <w:p w14:paraId="560D3E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kern w:val="2"/>
                      <w:sz w:val="21"/>
                      <w:szCs w:val="21"/>
                      <w:lang w:val="en-US" w:eastAsia="zh-CN" w:bidi="ar-SA"/>
                    </w:rPr>
                  </w:pPr>
                  <w:r>
                    <w:rPr>
                      <w:rFonts w:hint="eastAsia"/>
                      <w:color w:val="auto"/>
                      <w:kern w:val="2"/>
                      <w:sz w:val="21"/>
                      <w:szCs w:val="21"/>
                      <w:lang w:val="en-US" w:eastAsia="zh-CN" w:bidi="ar-SA"/>
                    </w:rPr>
                    <w:t>4000</w:t>
                  </w:r>
                </w:p>
              </w:tc>
              <w:tc>
                <w:tcPr>
                  <w:tcW w:w="1388" w:type="dxa"/>
                  <w:shd w:val="clear" w:color="auto" w:fill="auto"/>
                  <w:noWrap w:val="0"/>
                  <w:vAlign w:val="center"/>
                </w:tcPr>
                <w:p w14:paraId="30A79C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kern w:val="2"/>
                      <w:sz w:val="21"/>
                      <w:szCs w:val="21"/>
                      <w:lang w:val="en-US" w:eastAsia="zh-CN" w:bidi="ar-SA"/>
                    </w:rPr>
                    <w:t>4000</w:t>
                  </w:r>
                </w:p>
              </w:tc>
              <w:tc>
                <w:tcPr>
                  <w:tcW w:w="1388" w:type="dxa"/>
                  <w:gridSpan w:val="2"/>
                  <w:noWrap w:val="0"/>
                  <w:vAlign w:val="center"/>
                </w:tcPr>
                <w:p w14:paraId="01B7C5A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600万件</w:t>
                  </w:r>
                </w:p>
              </w:tc>
              <w:tc>
                <w:tcPr>
                  <w:tcW w:w="1190" w:type="dxa"/>
                  <w:noWrap w:val="0"/>
                  <w:vAlign w:val="center"/>
                </w:tcPr>
                <w:p w14:paraId="671ECD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kern w:val="2"/>
                      <w:sz w:val="21"/>
                      <w:szCs w:val="21"/>
                      <w:lang w:val="en-US" w:eastAsia="zh-CN" w:bidi="ar-SA"/>
                    </w:rPr>
                  </w:pPr>
                  <w:r>
                    <w:rPr>
                      <w:rFonts w:hint="eastAsia"/>
                      <w:color w:val="auto"/>
                      <w:kern w:val="2"/>
                      <w:sz w:val="21"/>
                      <w:szCs w:val="21"/>
                      <w:lang w:val="en-US" w:eastAsia="zh-CN" w:bidi="ar-SA"/>
                    </w:rPr>
                    <w:t>外购</w:t>
                  </w:r>
                </w:p>
              </w:tc>
            </w:tr>
            <w:tr w14:paraId="0A19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2" w:type="dxa"/>
                  <w:noWrap w:val="0"/>
                  <w:vAlign w:val="center"/>
                </w:tcPr>
                <w:p w14:paraId="220C3E1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2</w:t>
                  </w:r>
                </w:p>
              </w:tc>
              <w:tc>
                <w:tcPr>
                  <w:tcW w:w="1455" w:type="dxa"/>
                  <w:noWrap w:val="0"/>
                  <w:vAlign w:val="center"/>
                </w:tcPr>
                <w:p w14:paraId="4156EB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rPr>
                  </w:pPr>
                  <w:r>
                    <w:rPr>
                      <w:rFonts w:hint="eastAsia"/>
                      <w:color w:val="auto"/>
                      <w:sz w:val="21"/>
                      <w:szCs w:val="21"/>
                      <w:lang w:val="en-US" w:eastAsia="zh-CN"/>
                    </w:rPr>
                    <w:t>抗磨液压油</w:t>
                  </w:r>
                </w:p>
              </w:tc>
              <w:tc>
                <w:tcPr>
                  <w:tcW w:w="1080" w:type="dxa"/>
                  <w:noWrap w:val="0"/>
                  <w:vAlign w:val="center"/>
                </w:tcPr>
                <w:p w14:paraId="774B88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lang w:val="en-US" w:eastAsia="zh-CN"/>
                    </w:rPr>
                  </w:pPr>
                  <w:r>
                    <w:rPr>
                      <w:rFonts w:hint="default" w:ascii="Times New Roman" w:hAnsi="Times New Roman" w:cs="Times New Roman"/>
                      <w:color w:val="auto"/>
                      <w:sz w:val="21"/>
                      <w:szCs w:val="21"/>
                      <w:vertAlign w:val="baseline"/>
                      <w:lang w:val="en-US" w:eastAsia="zh-CN"/>
                    </w:rPr>
                    <w:t>t/a</w:t>
                  </w:r>
                </w:p>
              </w:tc>
              <w:tc>
                <w:tcPr>
                  <w:tcW w:w="1145" w:type="dxa"/>
                  <w:noWrap w:val="0"/>
                  <w:vAlign w:val="center"/>
                </w:tcPr>
                <w:p w14:paraId="492BD0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1.5</w:t>
                  </w:r>
                </w:p>
              </w:tc>
              <w:tc>
                <w:tcPr>
                  <w:tcW w:w="1388" w:type="dxa"/>
                  <w:shd w:val="clear" w:color="auto" w:fill="auto"/>
                  <w:noWrap w:val="0"/>
                  <w:vAlign w:val="center"/>
                </w:tcPr>
                <w:p w14:paraId="56F088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1.5</w:t>
                  </w:r>
                </w:p>
              </w:tc>
              <w:tc>
                <w:tcPr>
                  <w:tcW w:w="1388" w:type="dxa"/>
                  <w:gridSpan w:val="2"/>
                  <w:noWrap w:val="0"/>
                  <w:vAlign w:val="center"/>
                </w:tcPr>
                <w:p w14:paraId="166241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1.5t</w:t>
                  </w:r>
                </w:p>
              </w:tc>
              <w:tc>
                <w:tcPr>
                  <w:tcW w:w="1190" w:type="dxa"/>
                  <w:noWrap w:val="0"/>
                  <w:vAlign w:val="center"/>
                </w:tcPr>
                <w:p w14:paraId="1450FA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kern w:val="2"/>
                      <w:sz w:val="21"/>
                      <w:szCs w:val="21"/>
                      <w:lang w:val="en-US" w:eastAsia="zh-CN" w:bidi="ar-SA"/>
                    </w:rPr>
                    <w:t>外购，</w:t>
                  </w:r>
                  <w:r>
                    <w:rPr>
                      <w:rFonts w:hint="eastAsia"/>
                      <w:color w:val="auto"/>
                      <w:sz w:val="21"/>
                      <w:szCs w:val="21"/>
                      <w:lang w:val="en-US" w:eastAsia="zh-CN"/>
                    </w:rPr>
                    <w:t>160kg/桶</w:t>
                  </w:r>
                </w:p>
              </w:tc>
            </w:tr>
            <w:tr w14:paraId="3E89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2" w:type="dxa"/>
                  <w:noWrap w:val="0"/>
                  <w:vAlign w:val="center"/>
                </w:tcPr>
                <w:p w14:paraId="60FB6C7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w:t>
                  </w:r>
                </w:p>
              </w:tc>
              <w:tc>
                <w:tcPr>
                  <w:tcW w:w="1455" w:type="dxa"/>
                  <w:noWrap w:val="0"/>
                  <w:vAlign w:val="center"/>
                </w:tcPr>
                <w:p w14:paraId="4CFE61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切削液</w:t>
                  </w:r>
                </w:p>
              </w:tc>
              <w:tc>
                <w:tcPr>
                  <w:tcW w:w="1080" w:type="dxa"/>
                  <w:noWrap w:val="0"/>
                  <w:vAlign w:val="center"/>
                </w:tcPr>
                <w:p w14:paraId="12CAE8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lang w:val="en-US" w:eastAsia="zh-CN"/>
                    </w:rPr>
                  </w:pPr>
                  <w:r>
                    <w:rPr>
                      <w:rFonts w:hint="default" w:ascii="Times New Roman" w:hAnsi="Times New Roman" w:cs="Times New Roman"/>
                      <w:color w:val="auto"/>
                      <w:sz w:val="21"/>
                      <w:szCs w:val="21"/>
                      <w:vertAlign w:val="baseline"/>
                      <w:lang w:val="en-US" w:eastAsia="zh-CN"/>
                    </w:rPr>
                    <w:t>t/a</w:t>
                  </w:r>
                </w:p>
              </w:tc>
              <w:tc>
                <w:tcPr>
                  <w:tcW w:w="1145" w:type="dxa"/>
                  <w:noWrap w:val="0"/>
                  <w:vAlign w:val="center"/>
                </w:tcPr>
                <w:p w14:paraId="280DE1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2</w:t>
                  </w:r>
                </w:p>
              </w:tc>
              <w:tc>
                <w:tcPr>
                  <w:tcW w:w="1388" w:type="dxa"/>
                  <w:shd w:val="clear" w:color="auto" w:fill="auto"/>
                  <w:noWrap w:val="0"/>
                  <w:vAlign w:val="center"/>
                </w:tcPr>
                <w:p w14:paraId="4901C5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w:t>
                  </w:r>
                </w:p>
              </w:tc>
              <w:tc>
                <w:tcPr>
                  <w:tcW w:w="1388" w:type="dxa"/>
                  <w:gridSpan w:val="2"/>
                  <w:noWrap w:val="0"/>
                  <w:vAlign w:val="center"/>
                </w:tcPr>
                <w:p w14:paraId="3D378AC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1t</w:t>
                  </w:r>
                </w:p>
              </w:tc>
              <w:tc>
                <w:tcPr>
                  <w:tcW w:w="1190" w:type="dxa"/>
                  <w:noWrap w:val="0"/>
                  <w:vAlign w:val="center"/>
                </w:tcPr>
                <w:p w14:paraId="56C590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olor w:val="auto"/>
                      <w:kern w:val="2"/>
                      <w:sz w:val="21"/>
                      <w:szCs w:val="21"/>
                      <w:lang w:val="en-US" w:eastAsia="zh-CN" w:bidi="ar-SA"/>
                    </w:rPr>
                  </w:pPr>
                  <w:r>
                    <w:rPr>
                      <w:rFonts w:hint="eastAsia"/>
                      <w:color w:val="auto"/>
                      <w:kern w:val="2"/>
                      <w:sz w:val="21"/>
                      <w:szCs w:val="21"/>
                      <w:lang w:val="en-US" w:eastAsia="zh-CN" w:bidi="ar-SA"/>
                    </w:rPr>
                    <w:t>外购，</w:t>
                  </w:r>
                  <w:r>
                    <w:rPr>
                      <w:rFonts w:hint="eastAsia"/>
                      <w:color w:val="auto"/>
                      <w:sz w:val="21"/>
                      <w:szCs w:val="21"/>
                      <w:lang w:val="en-US" w:eastAsia="zh-CN"/>
                    </w:rPr>
                    <w:t>160kg/桶</w:t>
                  </w:r>
                </w:p>
              </w:tc>
            </w:tr>
            <w:tr w14:paraId="7D32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98" w:type="dxa"/>
                  <w:gridSpan w:val="8"/>
                  <w:noWrap w:val="0"/>
                  <w:vAlign w:val="center"/>
                </w:tcPr>
                <w:p w14:paraId="1E8C822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资源、能源消耗</w:t>
                  </w:r>
                </w:p>
              </w:tc>
            </w:tr>
            <w:tr w14:paraId="66CA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2" w:type="dxa"/>
                  <w:noWrap w:val="0"/>
                  <w:vAlign w:val="center"/>
                </w:tcPr>
                <w:p w14:paraId="1683CB5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4</w:t>
                  </w:r>
                </w:p>
              </w:tc>
              <w:tc>
                <w:tcPr>
                  <w:tcW w:w="1455" w:type="dxa"/>
                  <w:noWrap w:val="0"/>
                  <w:vAlign w:val="center"/>
                </w:tcPr>
                <w:p w14:paraId="5AC76E9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水</w:t>
                  </w:r>
                </w:p>
              </w:tc>
              <w:tc>
                <w:tcPr>
                  <w:tcW w:w="1080" w:type="dxa"/>
                  <w:noWrap w:val="0"/>
                  <w:vAlign w:val="center"/>
                </w:tcPr>
                <w:p w14:paraId="1483E6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t/a</w:t>
                  </w:r>
                </w:p>
              </w:tc>
              <w:tc>
                <w:tcPr>
                  <w:tcW w:w="1145" w:type="dxa"/>
                  <w:noWrap w:val="0"/>
                  <w:vAlign w:val="center"/>
                </w:tcPr>
                <w:p w14:paraId="79943E7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670</w:t>
                  </w:r>
                </w:p>
              </w:tc>
              <w:tc>
                <w:tcPr>
                  <w:tcW w:w="1388" w:type="dxa"/>
                  <w:noWrap w:val="0"/>
                  <w:vAlign w:val="center"/>
                </w:tcPr>
                <w:p w14:paraId="766E704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670</w:t>
                  </w:r>
                </w:p>
              </w:tc>
              <w:tc>
                <w:tcPr>
                  <w:tcW w:w="1388" w:type="dxa"/>
                  <w:gridSpan w:val="2"/>
                  <w:noWrap w:val="0"/>
                  <w:vAlign w:val="center"/>
                </w:tcPr>
                <w:p w14:paraId="169ACD4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1190" w:type="dxa"/>
                  <w:noWrap w:val="0"/>
                  <w:vAlign w:val="center"/>
                </w:tcPr>
                <w:p w14:paraId="4FEA6AA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市政给水管网</w:t>
                  </w:r>
                </w:p>
              </w:tc>
            </w:tr>
            <w:tr w14:paraId="18A1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52" w:type="dxa"/>
                  <w:noWrap w:val="0"/>
                  <w:vAlign w:val="center"/>
                </w:tcPr>
                <w:p w14:paraId="7A6A9DE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5</w:t>
                  </w:r>
                </w:p>
              </w:tc>
              <w:tc>
                <w:tcPr>
                  <w:tcW w:w="1455" w:type="dxa"/>
                  <w:noWrap w:val="0"/>
                  <w:vAlign w:val="center"/>
                </w:tcPr>
                <w:p w14:paraId="2D9E7F9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电</w:t>
                  </w:r>
                </w:p>
              </w:tc>
              <w:tc>
                <w:tcPr>
                  <w:tcW w:w="1080" w:type="dxa"/>
                  <w:noWrap w:val="0"/>
                  <w:vAlign w:val="center"/>
                </w:tcPr>
                <w:p w14:paraId="7AE958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万kW·h/a</w:t>
                  </w:r>
                </w:p>
              </w:tc>
              <w:tc>
                <w:tcPr>
                  <w:tcW w:w="1145" w:type="dxa"/>
                  <w:noWrap w:val="0"/>
                  <w:vAlign w:val="center"/>
                </w:tcPr>
                <w:p w14:paraId="72C9539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150</w:t>
                  </w:r>
                </w:p>
              </w:tc>
              <w:tc>
                <w:tcPr>
                  <w:tcW w:w="1388" w:type="dxa"/>
                  <w:noWrap w:val="0"/>
                  <w:vAlign w:val="center"/>
                </w:tcPr>
                <w:p w14:paraId="1F9D287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150</w:t>
                  </w:r>
                </w:p>
              </w:tc>
              <w:tc>
                <w:tcPr>
                  <w:tcW w:w="1388" w:type="dxa"/>
                  <w:gridSpan w:val="2"/>
                  <w:noWrap w:val="0"/>
                  <w:vAlign w:val="center"/>
                </w:tcPr>
                <w:p w14:paraId="69F19DE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1190" w:type="dxa"/>
                  <w:noWrap w:val="0"/>
                  <w:vAlign w:val="center"/>
                </w:tcPr>
                <w:p w14:paraId="7E8D338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市政电网</w:t>
                  </w:r>
                </w:p>
              </w:tc>
            </w:tr>
          </w:tbl>
          <w:p w14:paraId="4B2A44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rPr>
              <w:t>原辅材料</w:t>
            </w:r>
            <w:r>
              <w:rPr>
                <w:rFonts w:hint="eastAsia" w:cs="Times New Roman"/>
                <w:b/>
                <w:bCs/>
                <w:color w:val="auto"/>
                <w:sz w:val="24"/>
                <w:szCs w:val="24"/>
                <w:lang w:val="en-US" w:eastAsia="zh-CN"/>
              </w:rPr>
              <w:t>理化性质</w:t>
            </w:r>
            <w:r>
              <w:rPr>
                <w:rFonts w:hint="default" w:ascii="Times New Roman" w:hAnsi="Times New Roman" w:eastAsia="宋体" w:cs="Times New Roman"/>
                <w:b/>
                <w:bCs/>
                <w:color w:val="auto"/>
                <w:sz w:val="24"/>
                <w:szCs w:val="24"/>
              </w:rPr>
              <w:t>：</w:t>
            </w:r>
          </w:p>
          <w:p w14:paraId="65D6B5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抗磨液压油：</w:t>
            </w:r>
            <w:r>
              <w:rPr>
                <w:rFonts w:hint="eastAsia"/>
                <w:color w:val="auto"/>
                <w:sz w:val="24"/>
                <w:szCs w:val="24"/>
                <w:highlight w:val="none"/>
                <w:lang w:val="en-US" w:eastAsia="zh-CN"/>
              </w:rPr>
              <w:t>抗磨液压油（HM液压油）是从防锈、抗氧液压油基础上发展而来的，它有碱性高锌、碱性低锌、中性高锌型及无灰型等系列产品。可广泛用于工业、航运和移动式的液压及传动系统中，也适用于普通负载的齿轮传动装置、轴承及其他工业机械的润滑。其理化性质见下表2.7。</w:t>
            </w:r>
          </w:p>
          <w:p w14:paraId="28AA22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b/>
                <w:bCs/>
                <w:color w:val="auto"/>
                <w:sz w:val="24"/>
                <w:szCs w:val="24"/>
                <w:highlight w:val="none"/>
                <w:lang w:val="en-US" w:eastAsia="zh-CN"/>
              </w:rPr>
            </w:pPr>
            <w:r>
              <w:rPr>
                <w:rFonts w:hint="eastAsia"/>
                <w:b/>
                <w:bCs/>
                <w:color w:val="auto"/>
                <w:sz w:val="24"/>
                <w:szCs w:val="24"/>
                <w:highlight w:val="none"/>
                <w:lang w:val="en-US" w:eastAsia="zh-CN"/>
              </w:rPr>
              <w:t>表2.7  抗磨液压油理化性质一览表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1395"/>
              <w:gridCol w:w="993"/>
              <w:gridCol w:w="1036"/>
              <w:gridCol w:w="1035"/>
              <w:gridCol w:w="1044"/>
            </w:tblGrid>
            <w:tr w14:paraId="2D58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95" w:type="dxa"/>
                  <w:vMerge w:val="restart"/>
                  <w:noWrap w:val="0"/>
                  <w:vAlign w:val="center"/>
                </w:tcPr>
                <w:p w14:paraId="68FEA9B5">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项目</w:t>
                  </w:r>
                </w:p>
              </w:tc>
              <w:tc>
                <w:tcPr>
                  <w:tcW w:w="1395" w:type="dxa"/>
                  <w:vMerge w:val="restart"/>
                  <w:noWrap w:val="0"/>
                  <w:vAlign w:val="center"/>
                </w:tcPr>
                <w:p w14:paraId="0D384B4A">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单位</w:t>
                  </w:r>
                </w:p>
              </w:tc>
              <w:tc>
                <w:tcPr>
                  <w:tcW w:w="4108" w:type="dxa"/>
                  <w:gridSpan w:val="4"/>
                  <w:noWrap w:val="0"/>
                  <w:vAlign w:val="center"/>
                </w:tcPr>
                <w:p w14:paraId="29BC63AF">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典型数据</w:t>
                  </w:r>
                </w:p>
              </w:tc>
            </w:tr>
            <w:tr w14:paraId="0DF3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95" w:type="dxa"/>
                  <w:vMerge w:val="continue"/>
                  <w:noWrap w:val="0"/>
                  <w:vAlign w:val="center"/>
                </w:tcPr>
                <w:p w14:paraId="77F66ACE">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p>
              </w:tc>
              <w:tc>
                <w:tcPr>
                  <w:tcW w:w="1395" w:type="dxa"/>
                  <w:vMerge w:val="continue"/>
                  <w:noWrap w:val="0"/>
                  <w:vAlign w:val="center"/>
                </w:tcPr>
                <w:p w14:paraId="035C4181">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p>
              </w:tc>
              <w:tc>
                <w:tcPr>
                  <w:tcW w:w="993" w:type="dxa"/>
                  <w:noWrap w:val="0"/>
                  <w:vAlign w:val="center"/>
                </w:tcPr>
                <w:p w14:paraId="24FD7951">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HM32</w:t>
                  </w:r>
                </w:p>
              </w:tc>
              <w:tc>
                <w:tcPr>
                  <w:tcW w:w="1036" w:type="dxa"/>
                  <w:noWrap w:val="0"/>
                  <w:vAlign w:val="center"/>
                </w:tcPr>
                <w:p w14:paraId="640E5A07">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HM46</w:t>
                  </w:r>
                </w:p>
              </w:tc>
              <w:tc>
                <w:tcPr>
                  <w:tcW w:w="1035" w:type="dxa"/>
                  <w:noWrap w:val="0"/>
                  <w:vAlign w:val="center"/>
                </w:tcPr>
                <w:p w14:paraId="64840F24">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HM68</w:t>
                  </w:r>
                </w:p>
              </w:tc>
              <w:tc>
                <w:tcPr>
                  <w:tcW w:w="1044" w:type="dxa"/>
                  <w:noWrap w:val="0"/>
                  <w:vAlign w:val="center"/>
                </w:tcPr>
                <w:p w14:paraId="2761711D">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HM100</w:t>
                  </w:r>
                </w:p>
              </w:tc>
            </w:tr>
            <w:tr w14:paraId="05FC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95" w:type="dxa"/>
                  <w:noWrap w:val="0"/>
                  <w:vAlign w:val="center"/>
                </w:tcPr>
                <w:p w14:paraId="60FE3ACD">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运动粘度，40℃</w:t>
                  </w:r>
                </w:p>
              </w:tc>
              <w:tc>
                <w:tcPr>
                  <w:tcW w:w="1395" w:type="dxa"/>
                  <w:noWrap w:val="0"/>
                  <w:vAlign w:val="center"/>
                </w:tcPr>
                <w:p w14:paraId="62E5F14F">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mm</w:t>
                  </w:r>
                  <w:r>
                    <w:rPr>
                      <w:rFonts w:hint="eastAsia"/>
                      <w:color w:val="auto"/>
                      <w:sz w:val="21"/>
                      <w:szCs w:val="21"/>
                      <w:highlight w:val="none"/>
                      <w:vertAlign w:val="superscript"/>
                      <w:lang w:val="en-US" w:eastAsia="zh-CN"/>
                    </w:rPr>
                    <w:t>2</w:t>
                  </w:r>
                  <w:r>
                    <w:rPr>
                      <w:rFonts w:hint="eastAsia"/>
                      <w:color w:val="auto"/>
                      <w:sz w:val="21"/>
                      <w:szCs w:val="21"/>
                      <w:highlight w:val="none"/>
                      <w:lang w:val="en-US" w:eastAsia="zh-CN"/>
                    </w:rPr>
                    <w:t>/s</w:t>
                  </w:r>
                </w:p>
              </w:tc>
              <w:tc>
                <w:tcPr>
                  <w:tcW w:w="993" w:type="dxa"/>
                  <w:noWrap w:val="0"/>
                  <w:vAlign w:val="center"/>
                </w:tcPr>
                <w:p w14:paraId="61EBFFB8">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32</w:t>
                  </w:r>
                </w:p>
              </w:tc>
              <w:tc>
                <w:tcPr>
                  <w:tcW w:w="1036" w:type="dxa"/>
                  <w:noWrap w:val="0"/>
                  <w:vAlign w:val="center"/>
                </w:tcPr>
                <w:p w14:paraId="693D310E">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46</w:t>
                  </w:r>
                </w:p>
              </w:tc>
              <w:tc>
                <w:tcPr>
                  <w:tcW w:w="1035" w:type="dxa"/>
                  <w:noWrap w:val="0"/>
                  <w:vAlign w:val="center"/>
                </w:tcPr>
                <w:p w14:paraId="6716B412">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68</w:t>
                  </w:r>
                </w:p>
              </w:tc>
              <w:tc>
                <w:tcPr>
                  <w:tcW w:w="1044" w:type="dxa"/>
                  <w:noWrap w:val="0"/>
                  <w:vAlign w:val="center"/>
                </w:tcPr>
                <w:p w14:paraId="780DDA48">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98</w:t>
                  </w:r>
                </w:p>
              </w:tc>
            </w:tr>
            <w:tr w14:paraId="6A31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95" w:type="dxa"/>
                  <w:noWrap w:val="0"/>
                  <w:vAlign w:val="center"/>
                </w:tcPr>
                <w:p w14:paraId="37DAFA84">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粘度指数</w:t>
                  </w:r>
                </w:p>
              </w:tc>
              <w:tc>
                <w:tcPr>
                  <w:tcW w:w="1395" w:type="dxa"/>
                  <w:noWrap w:val="0"/>
                  <w:vAlign w:val="center"/>
                </w:tcPr>
                <w:p w14:paraId="4FBBE517">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993" w:type="dxa"/>
                  <w:noWrap w:val="0"/>
                  <w:vAlign w:val="center"/>
                </w:tcPr>
                <w:p w14:paraId="031BBCB2">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98</w:t>
                  </w:r>
                </w:p>
              </w:tc>
              <w:tc>
                <w:tcPr>
                  <w:tcW w:w="1036" w:type="dxa"/>
                  <w:noWrap w:val="0"/>
                  <w:vAlign w:val="center"/>
                </w:tcPr>
                <w:p w14:paraId="2A22651C">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101</w:t>
                  </w:r>
                </w:p>
              </w:tc>
              <w:tc>
                <w:tcPr>
                  <w:tcW w:w="1035" w:type="dxa"/>
                  <w:noWrap w:val="0"/>
                  <w:vAlign w:val="center"/>
                </w:tcPr>
                <w:p w14:paraId="643F579F">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106</w:t>
                  </w:r>
                </w:p>
              </w:tc>
              <w:tc>
                <w:tcPr>
                  <w:tcW w:w="1044" w:type="dxa"/>
                  <w:noWrap w:val="0"/>
                  <w:vAlign w:val="center"/>
                </w:tcPr>
                <w:p w14:paraId="6DB85718">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100</w:t>
                  </w:r>
                </w:p>
              </w:tc>
            </w:tr>
            <w:tr w14:paraId="0A90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95" w:type="dxa"/>
                  <w:noWrap w:val="0"/>
                  <w:vAlign w:val="center"/>
                </w:tcPr>
                <w:p w14:paraId="6D897783">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闪点（开口）</w:t>
                  </w:r>
                </w:p>
              </w:tc>
              <w:tc>
                <w:tcPr>
                  <w:tcW w:w="1395" w:type="dxa"/>
                  <w:noWrap w:val="0"/>
                  <w:vAlign w:val="center"/>
                </w:tcPr>
                <w:p w14:paraId="29E9BBC4">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993" w:type="dxa"/>
                  <w:noWrap w:val="0"/>
                  <w:vAlign w:val="center"/>
                </w:tcPr>
                <w:p w14:paraId="31EF92AF">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200</w:t>
                  </w:r>
                </w:p>
              </w:tc>
              <w:tc>
                <w:tcPr>
                  <w:tcW w:w="1036" w:type="dxa"/>
                  <w:noWrap w:val="0"/>
                  <w:vAlign w:val="center"/>
                </w:tcPr>
                <w:p w14:paraId="6DA9A748">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202</w:t>
                  </w:r>
                </w:p>
              </w:tc>
              <w:tc>
                <w:tcPr>
                  <w:tcW w:w="1035" w:type="dxa"/>
                  <w:noWrap w:val="0"/>
                  <w:vAlign w:val="center"/>
                </w:tcPr>
                <w:p w14:paraId="78231033">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210</w:t>
                  </w:r>
                </w:p>
              </w:tc>
              <w:tc>
                <w:tcPr>
                  <w:tcW w:w="1044" w:type="dxa"/>
                  <w:noWrap w:val="0"/>
                  <w:vAlign w:val="center"/>
                </w:tcPr>
                <w:p w14:paraId="7E5F4BDC">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210</w:t>
                  </w:r>
                </w:p>
              </w:tc>
            </w:tr>
            <w:tr w14:paraId="2388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95" w:type="dxa"/>
                  <w:noWrap w:val="0"/>
                  <w:vAlign w:val="center"/>
                </w:tcPr>
                <w:p w14:paraId="566013E6">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铜片腐蚀（</w:t>
                  </w:r>
                  <w:r>
                    <w:rPr>
                      <w:rFonts w:hint="default"/>
                      <w:color w:val="auto"/>
                      <w:sz w:val="21"/>
                      <w:szCs w:val="21"/>
                      <w:highlight w:val="none"/>
                      <w:lang w:val="en-US" w:eastAsia="zh-CN"/>
                    </w:rPr>
                    <w:t>100℃</w:t>
                  </w:r>
                  <w:r>
                    <w:rPr>
                      <w:rFonts w:hint="eastAsia"/>
                      <w:color w:val="auto"/>
                      <w:sz w:val="21"/>
                      <w:szCs w:val="21"/>
                      <w:highlight w:val="none"/>
                      <w:lang w:val="en-US" w:eastAsia="zh-CN"/>
                    </w:rPr>
                    <w:t>，</w:t>
                  </w:r>
                  <w:r>
                    <w:rPr>
                      <w:rFonts w:hint="default"/>
                      <w:color w:val="auto"/>
                      <w:sz w:val="21"/>
                      <w:szCs w:val="21"/>
                      <w:highlight w:val="none"/>
                      <w:lang w:val="en-US" w:eastAsia="zh-CN"/>
                    </w:rPr>
                    <w:t>3h）</w:t>
                  </w:r>
                </w:p>
              </w:tc>
              <w:tc>
                <w:tcPr>
                  <w:tcW w:w="1395" w:type="dxa"/>
                  <w:noWrap w:val="0"/>
                  <w:vAlign w:val="center"/>
                </w:tcPr>
                <w:p w14:paraId="4820120E">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级</w:t>
                  </w:r>
                </w:p>
              </w:tc>
              <w:tc>
                <w:tcPr>
                  <w:tcW w:w="993" w:type="dxa"/>
                  <w:noWrap w:val="0"/>
                  <w:vAlign w:val="center"/>
                </w:tcPr>
                <w:p w14:paraId="049D3A18">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36" w:type="dxa"/>
                  <w:noWrap w:val="0"/>
                  <w:vAlign w:val="center"/>
                </w:tcPr>
                <w:p w14:paraId="303D8A9D">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35" w:type="dxa"/>
                  <w:noWrap w:val="0"/>
                  <w:vAlign w:val="center"/>
                </w:tcPr>
                <w:p w14:paraId="0523D637">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44" w:type="dxa"/>
                  <w:noWrap w:val="0"/>
                  <w:vAlign w:val="center"/>
                </w:tcPr>
                <w:p w14:paraId="645A64ED">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w:t>
                  </w:r>
                </w:p>
              </w:tc>
            </w:tr>
            <w:tr w14:paraId="2478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95" w:type="dxa"/>
                  <w:noWrap w:val="0"/>
                  <w:vAlign w:val="center"/>
                </w:tcPr>
                <w:p w14:paraId="6FFBA2DC">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倾点</w:t>
                  </w:r>
                </w:p>
              </w:tc>
              <w:tc>
                <w:tcPr>
                  <w:tcW w:w="1395" w:type="dxa"/>
                  <w:noWrap w:val="0"/>
                  <w:vAlign w:val="center"/>
                </w:tcPr>
                <w:p w14:paraId="0AAE5BEE">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993" w:type="dxa"/>
                  <w:noWrap w:val="0"/>
                  <w:vAlign w:val="center"/>
                </w:tcPr>
                <w:p w14:paraId="194D3499">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-18</w:t>
                  </w:r>
                </w:p>
              </w:tc>
              <w:tc>
                <w:tcPr>
                  <w:tcW w:w="1036" w:type="dxa"/>
                  <w:noWrap w:val="0"/>
                  <w:vAlign w:val="center"/>
                </w:tcPr>
                <w:p w14:paraId="21E5EC78">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1035" w:type="dxa"/>
                  <w:noWrap w:val="0"/>
                  <w:vAlign w:val="center"/>
                </w:tcPr>
                <w:p w14:paraId="07295A32">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1044" w:type="dxa"/>
                  <w:noWrap w:val="0"/>
                  <w:vAlign w:val="center"/>
                </w:tcPr>
                <w:p w14:paraId="255D7FA5">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-10</w:t>
                  </w:r>
                </w:p>
              </w:tc>
            </w:tr>
            <w:tr w14:paraId="4CB7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95" w:type="dxa"/>
                  <w:noWrap w:val="0"/>
                  <w:vAlign w:val="center"/>
                </w:tcPr>
                <w:p w14:paraId="68904B98">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锈蚀实验</w:t>
                  </w:r>
                </w:p>
              </w:tc>
              <w:tc>
                <w:tcPr>
                  <w:tcW w:w="1395" w:type="dxa"/>
                  <w:noWrap w:val="0"/>
                  <w:vAlign w:val="center"/>
                </w:tcPr>
                <w:p w14:paraId="42DF93C8">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993" w:type="dxa"/>
                  <w:noWrap w:val="0"/>
                  <w:vAlign w:val="center"/>
                </w:tcPr>
                <w:p w14:paraId="1853E0E0">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无绣</w:t>
                  </w:r>
                </w:p>
              </w:tc>
              <w:tc>
                <w:tcPr>
                  <w:tcW w:w="1036" w:type="dxa"/>
                  <w:noWrap w:val="0"/>
                  <w:vAlign w:val="center"/>
                </w:tcPr>
                <w:p w14:paraId="3867E03D">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无绣</w:t>
                  </w:r>
                </w:p>
              </w:tc>
              <w:tc>
                <w:tcPr>
                  <w:tcW w:w="1035" w:type="dxa"/>
                  <w:noWrap w:val="0"/>
                  <w:vAlign w:val="center"/>
                </w:tcPr>
                <w:p w14:paraId="61ADBADB">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无绣</w:t>
                  </w:r>
                </w:p>
              </w:tc>
              <w:tc>
                <w:tcPr>
                  <w:tcW w:w="1044" w:type="dxa"/>
                  <w:noWrap w:val="0"/>
                  <w:vAlign w:val="center"/>
                </w:tcPr>
                <w:p w14:paraId="4111840B">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无绣</w:t>
                  </w:r>
                </w:p>
              </w:tc>
            </w:tr>
            <w:tr w14:paraId="21A4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95" w:type="dxa"/>
                  <w:noWrap w:val="0"/>
                  <w:vAlign w:val="center"/>
                </w:tcPr>
                <w:p w14:paraId="2CD601BB">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抗乳化性（40-37-3ml）</w:t>
                  </w:r>
                </w:p>
              </w:tc>
              <w:tc>
                <w:tcPr>
                  <w:tcW w:w="1395" w:type="dxa"/>
                  <w:noWrap w:val="0"/>
                  <w:vAlign w:val="center"/>
                </w:tcPr>
                <w:p w14:paraId="286A14DC">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min</w:t>
                  </w:r>
                </w:p>
              </w:tc>
              <w:tc>
                <w:tcPr>
                  <w:tcW w:w="993" w:type="dxa"/>
                  <w:noWrap w:val="0"/>
                  <w:vAlign w:val="center"/>
                </w:tcPr>
                <w:p w14:paraId="03EE7A41">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1036" w:type="dxa"/>
                  <w:noWrap w:val="0"/>
                  <w:vAlign w:val="center"/>
                </w:tcPr>
                <w:p w14:paraId="7C43E1E3">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1035" w:type="dxa"/>
                  <w:noWrap w:val="0"/>
                  <w:vAlign w:val="center"/>
                </w:tcPr>
                <w:p w14:paraId="08551665">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1044" w:type="dxa"/>
                  <w:noWrap w:val="0"/>
                  <w:vAlign w:val="center"/>
                </w:tcPr>
                <w:p w14:paraId="16CDF502">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15</w:t>
                  </w:r>
                </w:p>
              </w:tc>
            </w:tr>
            <w:tr w14:paraId="7AEB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795" w:type="dxa"/>
                  <w:noWrap w:val="0"/>
                  <w:vAlign w:val="center"/>
                </w:tcPr>
                <w:p w14:paraId="4BC067DE">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污染度（NAS1638）</w:t>
                  </w:r>
                </w:p>
              </w:tc>
              <w:tc>
                <w:tcPr>
                  <w:tcW w:w="1395" w:type="dxa"/>
                  <w:noWrap w:val="0"/>
                  <w:vAlign w:val="center"/>
                </w:tcPr>
                <w:p w14:paraId="6C364643">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级</w:t>
                  </w:r>
                </w:p>
              </w:tc>
              <w:tc>
                <w:tcPr>
                  <w:tcW w:w="993" w:type="dxa"/>
                  <w:noWrap w:val="0"/>
                  <w:vAlign w:val="center"/>
                </w:tcPr>
                <w:p w14:paraId="17D0DFF1">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1036" w:type="dxa"/>
                  <w:noWrap w:val="0"/>
                  <w:vAlign w:val="center"/>
                </w:tcPr>
                <w:p w14:paraId="1666B084">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1035" w:type="dxa"/>
                  <w:noWrap w:val="0"/>
                  <w:vAlign w:val="center"/>
                </w:tcPr>
                <w:p w14:paraId="1AEEFBBE">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1044" w:type="dxa"/>
                  <w:noWrap w:val="0"/>
                  <w:vAlign w:val="center"/>
                </w:tcPr>
                <w:p w14:paraId="5FABC3F8">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7</w:t>
                  </w:r>
                </w:p>
              </w:tc>
            </w:tr>
          </w:tbl>
          <w:p w14:paraId="72D9E53D">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color w:val="auto"/>
                <w:lang w:eastAsia="zh-CN"/>
              </w:rPr>
            </w:pPr>
            <w:r>
              <w:rPr>
                <w:rFonts w:hint="eastAsia" w:cs="Times New Roman"/>
                <w:b/>
                <w:bCs/>
                <w:color w:val="auto"/>
                <w:sz w:val="24"/>
                <w:szCs w:val="24"/>
                <w:highlight w:val="none"/>
                <w:lang w:val="en-US" w:eastAsia="zh-CN"/>
              </w:rPr>
              <w:t>切削液</w:t>
            </w:r>
            <w:r>
              <w:rPr>
                <w:rFonts w:hint="eastAsia" w:ascii="Times New Roman" w:hAnsi="Times New Roman" w:cs="Times New Roman"/>
                <w:b/>
                <w:bCs/>
                <w:color w:val="auto"/>
                <w:sz w:val="24"/>
                <w:szCs w:val="24"/>
                <w:highlight w:val="none"/>
                <w:lang w:val="en-US" w:eastAsia="zh-CN"/>
              </w:rPr>
              <w:t>：</w:t>
            </w:r>
            <w:r>
              <w:rPr>
                <w:rFonts w:hint="eastAsia"/>
                <w:color w:val="auto"/>
                <w:sz w:val="24"/>
                <w:szCs w:val="24"/>
                <w:highlight w:val="none"/>
                <w:lang w:val="en-US" w:eastAsia="zh-CN"/>
              </w:rPr>
              <w:t>琥珀色液体。主要是基础油加上乳化剂进行乳化反应，使原本不溶于水的基础油能够在水里溶解。主要成分：有机醇胺、酯肪酸、精制矿物油、极压剂、界面活性剂、无机盐、防腐剂、非铁腐蚀抑制剂、香料、消泡剂、水分。相对密度（水= 1）1.01g/cm3，引燃温度248℃，沸点300℃以上，不易挥发，性质稳定。主要用途：用于机械的摩擦部分，起润滑、冷却和密封作用。</w:t>
            </w:r>
          </w:p>
          <w:p w14:paraId="3DF02A22">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default"/>
                <w:color w:val="auto"/>
                <w:lang w:eastAsia="zh-CN"/>
              </w:rPr>
            </w:pPr>
            <w:r>
              <w:rPr>
                <w:rFonts w:hint="default" w:ascii="Times New Roman" w:hAnsi="Times New Roman" w:eastAsia="宋体" w:cs="Times New Roman"/>
                <w:b/>
                <w:bCs/>
                <w:color w:val="auto"/>
                <w:sz w:val="24"/>
                <w:szCs w:val="24"/>
                <w:lang w:eastAsia="zh-CN"/>
              </w:rPr>
              <w:t>劳动定员及工作制度</w:t>
            </w:r>
          </w:p>
          <w:p w14:paraId="06EF3D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根据建设单位提供的资料，项目</w:t>
            </w:r>
            <w:r>
              <w:rPr>
                <w:rFonts w:hint="eastAsia" w:cs="Times New Roman"/>
                <w:color w:val="auto"/>
                <w:sz w:val="24"/>
                <w:szCs w:val="24"/>
                <w:lang w:val="en-US" w:eastAsia="zh-CN"/>
              </w:rPr>
              <w:t>一期工程</w:t>
            </w:r>
            <w:r>
              <w:rPr>
                <w:rFonts w:hint="default" w:ascii="Times New Roman" w:hAnsi="Times New Roman" w:cs="Times New Roman"/>
                <w:color w:val="auto"/>
                <w:sz w:val="24"/>
                <w:szCs w:val="24"/>
                <w:lang w:val="en-US" w:eastAsia="zh-CN"/>
              </w:rPr>
              <w:t>劳动定员</w:t>
            </w:r>
            <w:r>
              <w:rPr>
                <w:rFonts w:hint="eastAsia" w:cs="Times New Roman"/>
                <w:color w:val="auto"/>
                <w:sz w:val="24"/>
                <w:szCs w:val="24"/>
                <w:lang w:val="en-US" w:eastAsia="zh-CN"/>
              </w:rPr>
              <w:t>30</w:t>
            </w:r>
            <w:r>
              <w:rPr>
                <w:rFonts w:hint="default" w:ascii="Times New Roman" w:hAnsi="Times New Roman" w:cs="Times New Roman"/>
                <w:color w:val="auto"/>
                <w:sz w:val="24"/>
                <w:szCs w:val="24"/>
                <w:lang w:val="en-US" w:eastAsia="zh-CN"/>
              </w:rPr>
              <w:t>人</w:t>
            </w:r>
            <w:r>
              <w:rPr>
                <w:rFonts w:hint="eastAsia" w:cs="Times New Roman"/>
                <w:color w:val="auto"/>
                <w:sz w:val="24"/>
                <w:szCs w:val="24"/>
                <w:lang w:val="en-US" w:eastAsia="zh-CN"/>
              </w:rPr>
              <w:t>，二期建成后全厂劳动定员共60人，</w:t>
            </w:r>
            <w:r>
              <w:rPr>
                <w:rFonts w:hint="default" w:ascii="Times New Roman" w:hAnsi="Times New Roman" w:cs="Times New Roman"/>
                <w:color w:val="auto"/>
                <w:sz w:val="24"/>
                <w:szCs w:val="24"/>
                <w:lang w:val="en-US" w:eastAsia="zh-CN"/>
              </w:rPr>
              <w:t>年工作日</w:t>
            </w:r>
            <w:r>
              <w:rPr>
                <w:rFonts w:hint="eastAsia" w:cs="Times New Roman"/>
                <w:color w:val="auto"/>
                <w:sz w:val="24"/>
                <w:szCs w:val="24"/>
                <w:lang w:val="en-US" w:eastAsia="zh-CN"/>
              </w:rPr>
              <w:t>300</w:t>
            </w:r>
            <w:r>
              <w:rPr>
                <w:rFonts w:hint="default" w:ascii="Times New Roman" w:hAnsi="Times New Roman" w:cs="Times New Roman"/>
                <w:color w:val="auto"/>
                <w:sz w:val="24"/>
                <w:szCs w:val="24"/>
                <w:lang w:val="en-US" w:eastAsia="zh-CN"/>
              </w:rPr>
              <w:t>天，</w:t>
            </w:r>
            <w:r>
              <w:rPr>
                <w:rFonts w:hint="eastAsia" w:ascii="Times New Roman" w:hAnsi="Times New Roman" w:eastAsia="宋体" w:cs="Times New Roman"/>
                <w:color w:val="auto"/>
                <w:sz w:val="24"/>
                <w:szCs w:val="24"/>
                <w:lang w:val="en-US" w:eastAsia="zh-CN"/>
              </w:rPr>
              <w:t>实行一班制，每班8小时。</w:t>
            </w:r>
            <w:r>
              <w:rPr>
                <w:rFonts w:hint="default" w:ascii="Times New Roman" w:hAnsi="Times New Roman" w:eastAsia="宋体" w:cs="Times New Roman"/>
                <w:color w:val="auto"/>
                <w:sz w:val="24"/>
                <w:szCs w:val="24"/>
              </w:rPr>
              <w:t>厂内</w:t>
            </w:r>
            <w:r>
              <w:rPr>
                <w:rFonts w:hint="eastAsia" w:ascii="Times New Roman" w:hAnsi="Times New Roman" w:eastAsia="宋体" w:cs="Times New Roman"/>
                <w:color w:val="auto"/>
                <w:sz w:val="24"/>
                <w:szCs w:val="24"/>
                <w:lang w:eastAsia="zh-CN"/>
              </w:rPr>
              <w:t>不</w:t>
            </w:r>
            <w:r>
              <w:rPr>
                <w:rFonts w:hint="default" w:ascii="Times New Roman" w:hAnsi="Times New Roman" w:eastAsia="宋体" w:cs="Times New Roman"/>
                <w:color w:val="auto"/>
                <w:sz w:val="24"/>
                <w:szCs w:val="24"/>
              </w:rPr>
              <w:t>提供员工食宿。</w:t>
            </w:r>
          </w:p>
          <w:p w14:paraId="74950E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lang w:eastAsia="zh-CN"/>
              </w:rPr>
            </w:pPr>
            <w:r>
              <w:rPr>
                <w:rFonts w:hint="eastAsia" w:cs="Times New Roman"/>
                <w:b/>
                <w:bCs/>
                <w:color w:val="auto"/>
                <w:sz w:val="24"/>
                <w:szCs w:val="24"/>
                <w:lang w:val="en-US" w:eastAsia="zh-CN"/>
              </w:rPr>
              <w:t>6、</w:t>
            </w:r>
            <w:r>
              <w:rPr>
                <w:rFonts w:hint="default" w:ascii="Times New Roman" w:hAnsi="Times New Roman" w:eastAsia="宋体" w:cs="Times New Roman"/>
                <w:b/>
                <w:bCs/>
                <w:color w:val="auto"/>
                <w:sz w:val="24"/>
                <w:szCs w:val="24"/>
                <w:lang w:eastAsia="zh-CN"/>
              </w:rPr>
              <w:t>厂区平面布置</w:t>
            </w:r>
          </w:p>
          <w:p w14:paraId="29F070C8">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项目整体布置</w:t>
            </w:r>
          </w:p>
          <w:p w14:paraId="1052CB2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项目建设地点位于安徽省宿州市灵璧县北部经济开发区轴承产业基地AB区北侧重点区域</w:t>
            </w:r>
            <w:r>
              <w:rPr>
                <w:rFonts w:hint="eastAsia" w:ascii="Times New Roman" w:hAnsi="Times New Roman" w:eastAsia="宋体" w:cs="Times New Roman"/>
                <w:color w:val="auto"/>
                <w:sz w:val="24"/>
                <w:szCs w:val="24"/>
                <w:lang w:val="en-US" w:eastAsia="zh-CN"/>
              </w:rPr>
              <w:t>，</w:t>
            </w:r>
            <w:r>
              <w:rPr>
                <w:rFonts w:hint="eastAsia" w:ascii="宋体" w:hAnsi="宋体" w:cs="宋体"/>
                <w:color w:val="auto"/>
                <w:kern w:val="0"/>
                <w:sz w:val="24"/>
                <w:szCs w:val="24"/>
                <w:u w:val="none"/>
                <w:lang w:val="en-US" w:eastAsia="zh-CN" w:bidi="ar"/>
              </w:rPr>
              <w:t>一期工程厂区内</w:t>
            </w:r>
            <w:r>
              <w:rPr>
                <w:rFonts w:hint="eastAsia" w:ascii="Times New Roman" w:hAnsi="Times New Roman" w:eastAsia="宋体" w:cs="Times New Roman"/>
                <w:color w:val="auto"/>
                <w:sz w:val="24"/>
                <w:szCs w:val="24"/>
                <w:lang w:val="en-US" w:eastAsia="zh-CN"/>
              </w:rPr>
              <w:t>分为</w:t>
            </w:r>
            <w:r>
              <w:rPr>
                <w:rFonts w:hint="eastAsia"/>
                <w:color w:val="auto"/>
                <w:sz w:val="24"/>
                <w:szCs w:val="24"/>
                <w:highlight w:val="none"/>
                <w:lang w:eastAsia="zh-CN"/>
              </w:rPr>
              <w:t>生产区、</w:t>
            </w:r>
            <w:r>
              <w:rPr>
                <w:rFonts w:hint="eastAsia"/>
                <w:color w:val="auto"/>
                <w:sz w:val="24"/>
                <w:szCs w:val="24"/>
                <w:highlight w:val="none"/>
                <w:lang w:val="en-US" w:eastAsia="zh-CN"/>
              </w:rPr>
              <w:t>包装区、</w:t>
            </w:r>
            <w:r>
              <w:rPr>
                <w:rFonts w:hint="eastAsia"/>
                <w:color w:val="auto"/>
                <w:sz w:val="24"/>
                <w:szCs w:val="24"/>
                <w:highlight w:val="none"/>
                <w:lang w:eastAsia="zh-CN"/>
              </w:rPr>
              <w:t>成品区、办公室等</w:t>
            </w:r>
            <w:r>
              <w:rPr>
                <w:rFonts w:hint="eastAsia" w:cs="Times New Roman"/>
                <w:color w:val="auto"/>
                <w:sz w:val="24"/>
                <w:szCs w:val="24"/>
                <w:lang w:val="en-US" w:eastAsia="zh-CN"/>
              </w:rPr>
              <w:t>功能分区，二期工程厂区内包括生产区。具体见项目厂区平面布置图</w:t>
            </w:r>
            <w:r>
              <w:rPr>
                <w:rFonts w:hint="eastAsia" w:ascii="Times New Roman" w:hAnsi="Times New Roman" w:eastAsia="宋体" w:cs="Times New Roman"/>
                <w:color w:val="auto"/>
                <w:sz w:val="24"/>
                <w:szCs w:val="24"/>
                <w:lang w:val="en-US" w:eastAsia="zh-CN"/>
              </w:rPr>
              <w:t>。</w:t>
            </w:r>
          </w:p>
          <w:p w14:paraId="569D916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（2）项目原料及产品由汽车进行运输。</w:t>
            </w:r>
          </w:p>
          <w:p w14:paraId="5E0F68BE">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（3）平面布置合理性</w:t>
            </w:r>
          </w:p>
          <w:p w14:paraId="3B8758BF">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color w:val="auto"/>
                <w:sz w:val="24"/>
                <w:szCs w:val="24"/>
                <w:lang w:val="en-US" w:eastAsia="zh-CN"/>
              </w:rPr>
              <w:t>项目厂区布置总体来说，结构明朗，流程顺畅，布局紧凑，符合防火、安全卫生、环保、交通、运输、生产工艺流程等需求。总体上做到按功能分区，系统分明，布置整齐。</w:t>
            </w:r>
          </w:p>
        </w:tc>
      </w:tr>
      <w:tr w14:paraId="37F40D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098" w:hRule="atLeast"/>
          <w:jc w:val="center"/>
        </w:trPr>
        <w:tc>
          <w:tcPr>
            <w:tcW w:w="516" w:type="dxa"/>
            <w:tcBorders>
              <w:tl2br w:val="nil"/>
              <w:tr2bl w:val="nil"/>
            </w:tcBorders>
            <w:noWrap w:val="0"/>
            <w:vAlign w:val="center"/>
          </w:tcPr>
          <w:p w14:paraId="610B8889">
            <w:pPr>
              <w:pStyle w:val="21"/>
              <w:adjustRightInd w:val="0"/>
              <w:snapToGrid w:val="0"/>
              <w:spacing w:before="0" w:beforeAutospacing="0" w:after="0" w:afterAutospacing="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工艺流程和产排污环节</w:t>
            </w:r>
          </w:p>
        </w:tc>
        <w:tc>
          <w:tcPr>
            <w:tcW w:w="8524" w:type="dxa"/>
            <w:tcBorders>
              <w:tl2br w:val="nil"/>
              <w:tr2bl w:val="nil"/>
            </w:tcBorders>
            <w:noWrap w:val="0"/>
            <w:vAlign w:val="top"/>
          </w:tcPr>
          <w:p w14:paraId="750229D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lang w:val="en-US" w:eastAsia="zh-CN"/>
              </w:rPr>
            </w:pPr>
            <w:r>
              <w:rPr>
                <w:rFonts w:hint="eastAsia"/>
                <w:b/>
                <w:bCs/>
                <w:color w:val="auto"/>
                <w:sz w:val="24"/>
                <w:szCs w:val="24"/>
                <w:lang w:val="en-US" w:eastAsia="zh-CN"/>
              </w:rPr>
              <w:t>项目一期工程和二期工程</w:t>
            </w:r>
            <w:r>
              <w:rPr>
                <w:rFonts w:hint="eastAsia" w:cs="Times New Roman"/>
                <w:b/>
                <w:bCs/>
                <w:color w:val="auto"/>
                <w:sz w:val="24"/>
                <w:szCs w:val="24"/>
                <w:lang w:val="en-US" w:eastAsia="zh-CN"/>
              </w:rPr>
              <w:t>生产</w:t>
            </w:r>
            <w:r>
              <w:rPr>
                <w:rFonts w:hint="default" w:ascii="Times New Roman" w:hAnsi="Times New Roman" w:eastAsia="宋体" w:cs="Times New Roman"/>
                <w:b/>
                <w:bCs/>
                <w:color w:val="auto"/>
                <w:sz w:val="24"/>
                <w:szCs w:val="24"/>
                <w:lang w:val="en-US" w:eastAsia="zh-CN"/>
              </w:rPr>
              <w:t>工艺</w:t>
            </w:r>
            <w:r>
              <w:rPr>
                <w:rFonts w:hint="eastAsia" w:ascii="Times New Roman" w:hAnsi="Times New Roman" w:eastAsia="宋体" w:cs="Times New Roman"/>
                <w:b/>
                <w:bCs/>
                <w:color w:val="auto"/>
                <w:sz w:val="24"/>
                <w:szCs w:val="24"/>
                <w:lang w:val="en-US" w:eastAsia="zh-CN"/>
              </w:rPr>
              <w:t>相同。</w:t>
            </w:r>
          </w:p>
          <w:p w14:paraId="4B5128D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8"/>
                <w:lang w:val="en-US" w:eastAsia="zh-CN"/>
              </w:rPr>
            </w:pPr>
            <w:r>
              <w:rPr>
                <w:rFonts w:hint="default" w:ascii="Times New Roman" w:hAnsi="Times New Roman" w:eastAsia="宋体" w:cs="Times New Roman"/>
                <w:b/>
                <w:bCs/>
                <w:color w:val="auto"/>
                <w:sz w:val="24"/>
                <w:szCs w:val="24"/>
                <w:lang w:val="en-US" w:eastAsia="zh-CN"/>
              </w:rPr>
              <w:t>项目运营期生产工艺流程及产污节点</w:t>
            </w:r>
            <w:r>
              <w:rPr>
                <w:rFonts w:hint="eastAsia" w:ascii="Times New Roman" w:hAnsi="Times New Roman" w:eastAsia="宋体" w:cs="Times New Roman"/>
                <w:b/>
                <w:bCs/>
                <w:color w:val="auto"/>
                <w:sz w:val="24"/>
                <w:szCs w:val="28"/>
                <w:lang w:val="en-US" w:eastAsia="zh-CN"/>
              </w:rPr>
              <w:t>图见下图：</w:t>
            </w:r>
          </w:p>
          <w:p w14:paraId="42988CAE">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object>
                <v:shape id="_x0000_i1025" o:spt="75" type="#_x0000_t75" style="height:438.5pt;width:392.1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14:paraId="2E0E40F6">
            <w:pPr>
              <w:pStyle w:val="7"/>
              <w:keepNext/>
              <w:keepLines/>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color w:val="auto"/>
                <w:sz w:val="24"/>
              </w:rPr>
            </w:pPr>
            <w:r>
              <w:rPr>
                <w:rFonts w:hint="default" w:ascii="Times New Roman" w:hAnsi="Times New Roman" w:eastAsia="宋体" w:cs="Times New Roman"/>
                <w:b/>
                <w:bCs/>
                <w:color w:val="auto"/>
                <w:sz w:val="24"/>
                <w:szCs w:val="24"/>
                <w:lang w:eastAsia="zh-CN"/>
              </w:rPr>
              <w:t>图</w:t>
            </w:r>
            <w:r>
              <w:rPr>
                <w:rFonts w:hint="default" w:ascii="Times New Roman" w:hAnsi="Times New Roman" w:cs="Times New Roman"/>
                <w:b/>
                <w:bCs/>
                <w:color w:val="auto"/>
                <w:sz w:val="24"/>
                <w:szCs w:val="24"/>
                <w:lang w:val="en-US" w:eastAsia="zh-CN"/>
              </w:rPr>
              <w:t>2.1</w:t>
            </w:r>
            <w:r>
              <w:rPr>
                <w:rFonts w:hint="default" w:ascii="Times New Roman" w:hAnsi="Times New Roman" w:eastAsia="宋体" w:cs="Times New Roman"/>
                <w:b/>
                <w:bCs/>
                <w:color w:val="auto"/>
                <w:sz w:val="24"/>
                <w:szCs w:val="24"/>
                <w:lang w:val="en-US" w:eastAsia="zh-CN"/>
              </w:rPr>
              <w:t xml:space="preserve">  生产工艺流程及产污节点</w:t>
            </w:r>
            <w:r>
              <w:rPr>
                <w:rFonts w:hint="eastAsia" w:ascii="Times New Roman" w:hAnsi="Times New Roman" w:eastAsia="宋体" w:cs="Times New Roman"/>
                <w:b/>
                <w:bCs/>
                <w:color w:val="auto"/>
                <w:sz w:val="24"/>
                <w:szCs w:val="28"/>
                <w:lang w:val="en-US" w:eastAsia="zh-CN"/>
              </w:rPr>
              <w:t>图</w:t>
            </w:r>
          </w:p>
          <w:p w14:paraId="75F863C4">
            <w:pPr>
              <w:keepNext w:val="0"/>
              <w:keepLines w:val="0"/>
              <w:pageBreakBefore w:val="0"/>
              <w:widowControl w:val="0"/>
              <w:kinsoku/>
              <w:wordWrap/>
              <w:overflowPunct/>
              <w:topLinePunct w:val="0"/>
              <w:autoSpaceDE/>
              <w:autoSpaceDN/>
              <w:bidi w:val="0"/>
              <w:adjustRightInd/>
              <w:snapToGrid w:val="0"/>
              <w:spacing w:before="157" w:beforeLines="50" w:beforeAutospacing="0" w:afterAutospacing="0" w:line="360" w:lineRule="auto"/>
              <w:ind w:firstLine="482" w:firstLineChars="200"/>
              <w:textAlignment w:val="auto"/>
              <w:rPr>
                <w:rFonts w:ascii="Times New Roman" w:hAnsi="Times New Roman" w:cs="Times New Roman"/>
                <w:color w:val="auto"/>
                <w:sz w:val="24"/>
              </w:rPr>
            </w:pPr>
            <w:r>
              <w:rPr>
                <w:rFonts w:hint="eastAsia" w:ascii="Times New Roman" w:hAnsi="Times New Roman" w:cs="Times New Roman"/>
                <w:b/>
                <w:bCs/>
                <w:color w:val="auto"/>
                <w:position w:val="6"/>
                <w:sz w:val="24"/>
                <w:szCs w:val="24"/>
                <w:lang w:val="en-US" w:eastAsia="zh-CN"/>
              </w:rPr>
              <w:t>工艺流程简述：</w:t>
            </w:r>
          </w:p>
          <w:p w14:paraId="1E3482A2">
            <w:pPr>
              <w:pStyle w:val="6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color w:val="auto"/>
                <w:sz w:val="24"/>
                <w:szCs w:val="24"/>
                <w:highlight w:val="none"/>
                <w:lang w:val="en-US" w:eastAsia="zh-CN"/>
              </w:rPr>
              <w:t xml:space="preserve"> 割料：本项目以外购回来的钢管为原料进行生产加工。钢管经自动割管机进行割料裁割成需要的尺寸，在此过程中会产生废边角料（废钢屑）和噪声。</w:t>
            </w:r>
          </w:p>
          <w:p w14:paraId="00A3AF99">
            <w:pPr>
              <w:pStyle w:val="6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color w:val="auto"/>
                <w:sz w:val="24"/>
                <w:szCs w:val="24"/>
                <w:highlight w:val="none"/>
                <w:lang w:val="en-US" w:eastAsia="zh-CN"/>
              </w:rPr>
              <w:t xml:space="preserve"> 机加工：经过割料的产品经平面磨床、无心磨床进行初步机加工之后，轴承套圈在磨加工过程中，会产生磨削应力。磨削应力使套圈金属内部的应力重新分布，会导致套圈的精度改变，甚至产生表面龟裂，因此在磨加工后，立即用120℃的温度回火（但需采取措施，避免出现氧化而影响表面粗糙度），可以及时消除磨削应力，进一步稳定组织，提高套圈精度稳定性，这种回火叫附加回火。附加回火的保温时间和回火次数应根据轴承精度等级和零件尺寸来选择：一般为4h一次，2~3次（注：空气炉附加回火如发现有氧化色者，可适当缩短保温时间），空气回火炉使用电能。然后通过轴承套圈数字化车削线进行一系列套圈车削工艺，该自动化工艺包括挖中槽、倒角、防尘槽等工序。在此过程中</w:t>
            </w:r>
            <w:r>
              <w:rPr>
                <w:rFonts w:hint="eastAsia" w:ascii="Times New Roman" w:hAnsi="Times New Roman" w:eastAsia="宋体" w:cs="Times New Roman"/>
                <w:color w:val="auto"/>
                <w:sz w:val="24"/>
                <w:szCs w:val="24"/>
                <w:highlight w:val="none"/>
                <w:lang w:val="en-US" w:eastAsia="zh-CN"/>
              </w:rPr>
              <w:t>会产生废边角料（废钢屑）和噪声。③ 检验：对机加工过后的轴承配件利用轴承套圈漏工序检测机进行检验处理，在此过程中会产生不合格品。</w:t>
            </w:r>
          </w:p>
          <w:p w14:paraId="44F8BC27">
            <w:pPr>
              <w:pStyle w:val="6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color w:val="auto"/>
                <w:sz w:val="24"/>
                <w:szCs w:val="24"/>
                <w:highlight w:val="none"/>
                <w:lang w:val="en-US" w:eastAsia="zh-CN"/>
              </w:rPr>
              <w:t xml:space="preserve"> 包装：经过热处理并检验的产品进行包装，在此过程中会产生废包装材料。</w:t>
            </w:r>
          </w:p>
          <w:p w14:paraId="162AAD79">
            <w:pPr>
              <w:pStyle w:val="6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w:t>
            </w:r>
            <w:r>
              <w:rPr>
                <w:rFonts w:hint="eastAsia"/>
                <w:color w:val="auto"/>
                <w:sz w:val="24"/>
                <w:szCs w:val="24"/>
                <w:highlight w:val="none"/>
                <w:lang w:val="en-US" w:eastAsia="zh-CN"/>
              </w:rPr>
              <w:t xml:space="preserve"> 入库：将包装好的成品运送至成品仓库待售。</w:t>
            </w:r>
          </w:p>
          <w:p w14:paraId="1A5E419B">
            <w:pPr>
              <w:pStyle w:val="6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ascii="Times New Roman" w:hAnsi="Times New Roman" w:cs="Times New Roman"/>
                <w:color w:val="auto"/>
                <w:sz w:val="24"/>
              </w:rPr>
            </w:pPr>
            <w:r>
              <w:rPr>
                <w:rFonts w:ascii="Times New Roman" w:hAnsi="Times New Roman" w:cs="Times New Roman"/>
                <w:color w:val="auto"/>
                <w:sz w:val="24"/>
              </w:rPr>
              <w:t>根据项目生产工艺分析可知，本项目主要污染物如下表：</w:t>
            </w:r>
          </w:p>
          <w:p w14:paraId="27B904F9">
            <w:pPr>
              <w:pageBreakBefore w:val="0"/>
              <w:wordWrap/>
              <w:topLinePunct w:val="0"/>
              <w:bidi w:val="0"/>
              <w:snapToGrid w:val="0"/>
              <w:spacing w:beforeAutospacing="0" w:afterAutospacing="0" w:line="36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表</w:t>
            </w:r>
            <w:r>
              <w:rPr>
                <w:rFonts w:hint="eastAsia" w:ascii="Times New Roman" w:hAnsi="Times New Roman" w:cs="Times New Roman"/>
                <w:b/>
                <w:bCs/>
                <w:color w:val="auto"/>
                <w:sz w:val="24"/>
                <w:szCs w:val="24"/>
                <w:lang w:val="en-US" w:eastAsia="zh-CN"/>
              </w:rPr>
              <w:t>2.</w:t>
            </w:r>
            <w:r>
              <w:rPr>
                <w:rFonts w:hint="eastAsia" w:cs="Times New Roman"/>
                <w:b/>
                <w:bCs/>
                <w:color w:val="auto"/>
                <w:sz w:val="24"/>
                <w:szCs w:val="24"/>
                <w:lang w:val="en-US" w:eastAsia="zh-CN"/>
              </w:rPr>
              <w:t>8</w:t>
            </w:r>
            <w:r>
              <w:rPr>
                <w:rFonts w:ascii="Times New Roman" w:hAnsi="Times New Roman" w:cs="Times New Roman"/>
                <w:b/>
                <w:bCs/>
                <w:color w:val="auto"/>
                <w:sz w:val="24"/>
                <w:szCs w:val="24"/>
              </w:rPr>
              <w:t xml:space="preserve">  运营期主要污染工序一览表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606"/>
              <w:gridCol w:w="1659"/>
              <w:gridCol w:w="1910"/>
              <w:gridCol w:w="1870"/>
            </w:tblGrid>
            <w:tr w14:paraId="66B6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39" w:type="dxa"/>
                  <w:noWrap w:val="0"/>
                  <w:vAlign w:val="center"/>
                </w:tcPr>
                <w:p w14:paraId="16F4BA00">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项目</w:t>
                  </w:r>
                </w:p>
              </w:tc>
              <w:tc>
                <w:tcPr>
                  <w:tcW w:w="1722" w:type="dxa"/>
                  <w:noWrap w:val="0"/>
                  <w:vAlign w:val="center"/>
                </w:tcPr>
                <w:p w14:paraId="7E0A2F42">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产污环节</w:t>
                  </w:r>
                </w:p>
              </w:tc>
              <w:tc>
                <w:tcPr>
                  <w:tcW w:w="1780" w:type="dxa"/>
                  <w:noWrap w:val="0"/>
                  <w:vAlign w:val="center"/>
                </w:tcPr>
                <w:p w14:paraId="4017E826">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主要污染物</w:t>
                  </w:r>
                </w:p>
              </w:tc>
              <w:tc>
                <w:tcPr>
                  <w:tcW w:w="2052" w:type="dxa"/>
                  <w:noWrap w:val="0"/>
                  <w:vAlign w:val="center"/>
                </w:tcPr>
                <w:p w14:paraId="1AD55FDC">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治理措施</w:t>
                  </w:r>
                </w:p>
              </w:tc>
              <w:tc>
                <w:tcPr>
                  <w:tcW w:w="2008" w:type="dxa"/>
                  <w:noWrap w:val="0"/>
                  <w:vAlign w:val="center"/>
                </w:tcPr>
                <w:p w14:paraId="2B4442C2">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污染物去向</w:t>
                  </w:r>
                </w:p>
              </w:tc>
            </w:tr>
            <w:tr w14:paraId="1C04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39" w:type="dxa"/>
                  <w:noWrap w:val="0"/>
                  <w:vAlign w:val="center"/>
                </w:tcPr>
                <w:p w14:paraId="0EE7EE84">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eastAsia="宋体" w:cs="Times New Roman"/>
                      <w:b w:val="0"/>
                      <w:bCs w:val="0"/>
                      <w:color w:val="auto"/>
                      <w:spacing w:val="0"/>
                      <w:kern w:val="0"/>
                      <w:sz w:val="21"/>
                      <w:szCs w:val="22"/>
                      <w:lang w:val="en-US" w:eastAsia="zh-CN" w:bidi="ar-SA"/>
                    </w:rPr>
                  </w:pPr>
                  <w:r>
                    <w:rPr>
                      <w:rFonts w:hint="default" w:ascii="Times New Roman" w:hAnsi="Times New Roman" w:cs="Times New Roman"/>
                      <w:b w:val="0"/>
                      <w:bCs w:val="0"/>
                      <w:color w:val="auto"/>
                      <w:spacing w:val="0"/>
                      <w:kern w:val="0"/>
                      <w:szCs w:val="22"/>
                    </w:rPr>
                    <w:t>废水</w:t>
                  </w:r>
                </w:p>
              </w:tc>
              <w:tc>
                <w:tcPr>
                  <w:tcW w:w="1722" w:type="dxa"/>
                  <w:noWrap w:val="0"/>
                  <w:vAlign w:val="center"/>
                </w:tcPr>
                <w:p w14:paraId="52031873">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员工生活污水</w:t>
                  </w:r>
                </w:p>
              </w:tc>
              <w:tc>
                <w:tcPr>
                  <w:tcW w:w="1780" w:type="dxa"/>
                  <w:noWrap w:val="0"/>
                  <w:vAlign w:val="center"/>
                </w:tcPr>
                <w:p w14:paraId="0822E4AF">
                  <w:pPr>
                    <w:pStyle w:val="48"/>
                    <w:pBdr>
                      <w:top w:val="none" w:color="auto" w:sz="0" w:space="0"/>
                      <w:left w:val="none" w:color="auto" w:sz="0" w:space="0"/>
                      <w:bottom w:val="none" w:color="auto" w:sz="0" w:space="0"/>
                      <w:right w:val="none" w:color="auto" w:sz="0" w:space="0"/>
                    </w:pBdr>
                    <w:adjustRightInd w:val="0"/>
                    <w:snapToGrid w:val="0"/>
                    <w:rPr>
                      <w:rFonts w:hint="eastAsia" w:ascii="Times New Roman" w:hAnsi="Times New Roman" w:eastAsia="宋体" w:cs="Times New Roman"/>
                      <w:b w:val="0"/>
                      <w:bCs w:val="0"/>
                      <w:color w:val="auto"/>
                      <w:spacing w:val="0"/>
                      <w:kern w:val="0"/>
                      <w:szCs w:val="22"/>
                      <w:lang w:eastAsia="zh-CN"/>
                    </w:rPr>
                  </w:pPr>
                  <w:r>
                    <w:rPr>
                      <w:rFonts w:hint="default" w:ascii="Times New Roman" w:hAnsi="Times New Roman" w:cs="Times New Roman"/>
                      <w:b w:val="0"/>
                      <w:bCs w:val="0"/>
                      <w:color w:val="auto"/>
                      <w:spacing w:val="0"/>
                      <w:kern w:val="0"/>
                      <w:szCs w:val="22"/>
                    </w:rPr>
                    <w:t>COD、BOD</w:t>
                  </w:r>
                  <w:r>
                    <w:rPr>
                      <w:rFonts w:hint="default" w:ascii="Times New Roman" w:hAnsi="Times New Roman" w:cs="Times New Roman"/>
                      <w:b w:val="0"/>
                      <w:bCs w:val="0"/>
                      <w:color w:val="auto"/>
                      <w:spacing w:val="0"/>
                      <w:kern w:val="0"/>
                      <w:szCs w:val="22"/>
                      <w:vertAlign w:val="subscript"/>
                    </w:rPr>
                    <w:t>5</w:t>
                  </w:r>
                  <w:r>
                    <w:rPr>
                      <w:rFonts w:hint="default" w:ascii="Times New Roman" w:hAnsi="Times New Roman" w:cs="Times New Roman"/>
                      <w:b w:val="0"/>
                      <w:bCs w:val="0"/>
                      <w:color w:val="auto"/>
                      <w:spacing w:val="0"/>
                      <w:kern w:val="0"/>
                      <w:szCs w:val="22"/>
                    </w:rPr>
                    <w:t>、</w:t>
                  </w:r>
                  <w:r>
                    <w:rPr>
                      <w:rFonts w:hint="eastAsia" w:ascii="Times New Roman" w:hAnsi="Times New Roman" w:cs="Times New Roman"/>
                      <w:b w:val="0"/>
                      <w:bCs w:val="0"/>
                      <w:color w:val="auto"/>
                      <w:spacing w:val="0"/>
                      <w:kern w:val="0"/>
                      <w:szCs w:val="22"/>
                      <w:lang w:val="en-US" w:eastAsia="zh-CN"/>
                    </w:rPr>
                    <w:t>SS、</w:t>
                  </w:r>
                  <w:r>
                    <w:rPr>
                      <w:rFonts w:hint="default" w:ascii="Times New Roman" w:hAnsi="Times New Roman" w:cs="Times New Roman"/>
                      <w:b w:val="0"/>
                      <w:bCs w:val="0"/>
                      <w:color w:val="auto"/>
                      <w:spacing w:val="0"/>
                      <w:kern w:val="0"/>
                      <w:szCs w:val="22"/>
                    </w:rPr>
                    <w:t>NH</w:t>
                  </w:r>
                  <w:r>
                    <w:rPr>
                      <w:rFonts w:hint="default" w:ascii="Times New Roman" w:hAnsi="Times New Roman" w:cs="Times New Roman"/>
                      <w:b w:val="0"/>
                      <w:bCs w:val="0"/>
                      <w:color w:val="auto"/>
                      <w:spacing w:val="0"/>
                      <w:kern w:val="0"/>
                      <w:szCs w:val="22"/>
                      <w:vertAlign w:val="subscript"/>
                    </w:rPr>
                    <w:t>3</w:t>
                  </w:r>
                  <w:r>
                    <w:rPr>
                      <w:rFonts w:hint="default" w:ascii="Times New Roman" w:hAnsi="Times New Roman" w:cs="Times New Roman"/>
                      <w:b w:val="0"/>
                      <w:bCs w:val="0"/>
                      <w:color w:val="auto"/>
                      <w:spacing w:val="0"/>
                      <w:kern w:val="0"/>
                      <w:szCs w:val="22"/>
                    </w:rPr>
                    <w:t>-N</w:t>
                  </w:r>
                </w:p>
              </w:tc>
              <w:tc>
                <w:tcPr>
                  <w:tcW w:w="2052" w:type="dxa"/>
                  <w:noWrap w:val="0"/>
                  <w:vAlign w:val="center"/>
                </w:tcPr>
                <w:p w14:paraId="1C65D888">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化粪池</w:t>
                  </w:r>
                </w:p>
              </w:tc>
              <w:tc>
                <w:tcPr>
                  <w:tcW w:w="2008" w:type="dxa"/>
                  <w:noWrap w:val="0"/>
                  <w:vAlign w:val="center"/>
                </w:tcPr>
                <w:p w14:paraId="4AC97B8C">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排入</w:t>
                  </w:r>
                  <w:r>
                    <w:rPr>
                      <w:rFonts w:hint="default" w:ascii="Times New Roman" w:hAnsi="Times New Roman" w:cs="Times New Roman"/>
                      <w:b w:val="0"/>
                      <w:bCs w:val="0"/>
                      <w:color w:val="auto"/>
                      <w:spacing w:val="0"/>
                      <w:kern w:val="0"/>
                      <w:szCs w:val="22"/>
                      <w:lang w:val="en-US" w:eastAsia="zh-CN"/>
                    </w:rPr>
                    <w:t>灵璧开发区北部新区污水处理厂</w:t>
                  </w:r>
                  <w:r>
                    <w:rPr>
                      <w:rFonts w:hint="default" w:ascii="Times New Roman" w:hAnsi="Times New Roman" w:cs="Times New Roman"/>
                      <w:b w:val="0"/>
                      <w:bCs w:val="0"/>
                      <w:color w:val="auto"/>
                      <w:spacing w:val="0"/>
                      <w:kern w:val="0"/>
                      <w:szCs w:val="22"/>
                    </w:rPr>
                    <w:t>集中处理</w:t>
                  </w:r>
                </w:p>
              </w:tc>
            </w:tr>
            <w:tr w14:paraId="6152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39" w:type="dxa"/>
                  <w:vMerge w:val="restart"/>
                  <w:noWrap w:val="0"/>
                  <w:vAlign w:val="center"/>
                </w:tcPr>
                <w:p w14:paraId="73434529">
                  <w:pPr>
                    <w:pStyle w:val="48"/>
                    <w:pBdr>
                      <w:top w:val="none" w:color="auto" w:sz="0" w:space="0"/>
                      <w:left w:val="none" w:color="auto" w:sz="0" w:space="0"/>
                      <w:bottom w:val="none" w:color="auto" w:sz="0" w:space="0"/>
                      <w:right w:val="none" w:color="auto" w:sz="0" w:space="0"/>
                    </w:pBdr>
                    <w:adjustRightInd w:val="0"/>
                    <w:snapToGrid w:val="0"/>
                    <w:rPr>
                      <w:rFonts w:hint="eastAsia" w:ascii="Times New Roman" w:hAnsi="Times New Roman" w:eastAsia="宋体" w:cs="Times New Roman"/>
                      <w:b w:val="0"/>
                      <w:bCs w:val="0"/>
                      <w:color w:val="auto"/>
                      <w:spacing w:val="0"/>
                      <w:kern w:val="0"/>
                      <w:szCs w:val="22"/>
                      <w:lang w:val="en-US" w:eastAsia="zh-CN"/>
                    </w:rPr>
                  </w:pPr>
                  <w:r>
                    <w:rPr>
                      <w:rFonts w:hint="default" w:ascii="Times New Roman" w:hAnsi="Times New Roman" w:cs="Times New Roman"/>
                      <w:b w:val="0"/>
                      <w:bCs w:val="0"/>
                      <w:color w:val="auto"/>
                      <w:spacing w:val="0"/>
                      <w:kern w:val="0"/>
                      <w:szCs w:val="22"/>
                    </w:rPr>
                    <w:t>固废</w:t>
                  </w:r>
                </w:p>
              </w:tc>
              <w:tc>
                <w:tcPr>
                  <w:tcW w:w="1722" w:type="dxa"/>
                  <w:noWrap w:val="0"/>
                  <w:vAlign w:val="center"/>
                </w:tcPr>
                <w:p w14:paraId="3126F619">
                  <w:pPr>
                    <w:pStyle w:val="48"/>
                    <w:pBdr>
                      <w:top w:val="none" w:color="auto" w:sz="0" w:space="0"/>
                      <w:left w:val="none" w:color="auto" w:sz="0" w:space="0"/>
                      <w:bottom w:val="none" w:color="auto" w:sz="0" w:space="0"/>
                      <w:right w:val="none" w:color="auto" w:sz="0" w:space="0"/>
                    </w:pBdr>
                    <w:adjustRightInd w:val="0"/>
                    <w:snapToGrid w:val="0"/>
                    <w:rPr>
                      <w:rFonts w:hint="eastAsia" w:ascii="Times New Roman" w:hAnsi="Times New Roman" w:eastAsia="宋体" w:cs="Times New Roman"/>
                      <w:b w:val="0"/>
                      <w:bCs w:val="0"/>
                      <w:color w:val="auto"/>
                      <w:spacing w:val="0"/>
                      <w:kern w:val="0"/>
                      <w:szCs w:val="22"/>
                      <w:lang w:eastAsia="zh-CN"/>
                    </w:rPr>
                  </w:pPr>
                  <w:r>
                    <w:rPr>
                      <w:rFonts w:hint="eastAsia" w:cs="Times New Roman"/>
                      <w:b w:val="0"/>
                      <w:bCs w:val="0"/>
                      <w:color w:val="auto"/>
                      <w:spacing w:val="0"/>
                      <w:kern w:val="0"/>
                      <w:szCs w:val="22"/>
                      <w:lang w:eastAsia="zh-CN"/>
                    </w:rPr>
                    <w:t>割料、机加工</w:t>
                  </w:r>
                </w:p>
              </w:tc>
              <w:tc>
                <w:tcPr>
                  <w:tcW w:w="1780" w:type="dxa"/>
                  <w:noWrap w:val="0"/>
                  <w:vAlign w:val="center"/>
                </w:tcPr>
                <w:p w14:paraId="59D64066">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eastAsia" w:ascii="Times New Roman" w:hAnsi="Times New Roman" w:eastAsia="宋体" w:cs="Times New Roman"/>
                      <w:b w:val="0"/>
                      <w:bCs w:val="0"/>
                      <w:color w:val="auto"/>
                      <w:spacing w:val="0"/>
                      <w:kern w:val="0"/>
                      <w:sz w:val="21"/>
                      <w:szCs w:val="22"/>
                      <w:lang w:val="en-US" w:eastAsia="zh-CN" w:bidi="ar-SA"/>
                    </w:rPr>
                  </w:pPr>
                  <w:r>
                    <w:rPr>
                      <w:rFonts w:hint="eastAsia" w:ascii="Times New Roman" w:hAnsi="Times New Roman" w:eastAsia="宋体" w:cs="Times New Roman"/>
                      <w:b w:val="0"/>
                      <w:bCs w:val="0"/>
                      <w:color w:val="auto"/>
                      <w:spacing w:val="0"/>
                      <w:kern w:val="0"/>
                      <w:szCs w:val="22"/>
                      <w:lang w:val="en-US" w:eastAsia="zh-CN"/>
                    </w:rPr>
                    <w:t>废边角料</w:t>
                  </w:r>
                </w:p>
              </w:tc>
              <w:tc>
                <w:tcPr>
                  <w:tcW w:w="4060" w:type="dxa"/>
                  <w:gridSpan w:val="2"/>
                  <w:noWrap w:val="0"/>
                  <w:vAlign w:val="center"/>
                </w:tcPr>
                <w:p w14:paraId="0CFDC691">
                  <w:pPr>
                    <w:pStyle w:val="48"/>
                    <w:pBdr>
                      <w:top w:val="none" w:color="auto" w:sz="0" w:space="0"/>
                      <w:left w:val="none" w:color="auto" w:sz="0" w:space="0"/>
                      <w:bottom w:val="none" w:color="auto" w:sz="0" w:space="0"/>
                      <w:right w:val="none" w:color="auto" w:sz="0" w:space="0"/>
                    </w:pBdr>
                    <w:adjustRightInd w:val="0"/>
                    <w:snapToGrid w:val="0"/>
                    <w:rPr>
                      <w:rFonts w:hint="eastAsia" w:ascii="Times New Roman" w:hAnsi="Times New Roman" w:eastAsia="宋体" w:cs="Times New Roman"/>
                      <w:b w:val="0"/>
                      <w:bCs w:val="0"/>
                      <w:color w:val="auto"/>
                      <w:spacing w:val="0"/>
                      <w:kern w:val="0"/>
                      <w:szCs w:val="22"/>
                      <w:lang w:eastAsia="zh-CN"/>
                    </w:rPr>
                  </w:pPr>
                  <w:r>
                    <w:rPr>
                      <w:rFonts w:hint="eastAsia" w:ascii="Times New Roman" w:hAnsi="Times New Roman" w:eastAsia="宋体" w:cs="Times New Roman"/>
                      <w:b w:val="0"/>
                      <w:bCs w:val="0"/>
                      <w:color w:val="auto"/>
                      <w:spacing w:val="0"/>
                      <w:kern w:val="0"/>
                      <w:szCs w:val="22"/>
                      <w:lang w:eastAsia="zh-CN"/>
                    </w:rPr>
                    <w:t>外售给物资回收公司进行综合利用</w:t>
                  </w:r>
                </w:p>
              </w:tc>
            </w:tr>
            <w:tr w14:paraId="3B5A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39" w:type="dxa"/>
                  <w:vMerge w:val="continue"/>
                  <w:noWrap w:val="0"/>
                  <w:vAlign w:val="center"/>
                </w:tcPr>
                <w:p w14:paraId="360B1D9E">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default" w:ascii="Times New Roman" w:hAnsi="Times New Roman" w:eastAsia="宋体" w:cs="Times New Roman"/>
                      <w:b w:val="0"/>
                      <w:bCs w:val="0"/>
                      <w:color w:val="auto"/>
                      <w:spacing w:val="0"/>
                      <w:kern w:val="0"/>
                      <w:szCs w:val="22"/>
                      <w:lang w:val="en-US" w:eastAsia="zh-CN"/>
                    </w:rPr>
                  </w:pPr>
                </w:p>
              </w:tc>
              <w:tc>
                <w:tcPr>
                  <w:tcW w:w="1722" w:type="dxa"/>
                  <w:noWrap w:val="0"/>
                  <w:vAlign w:val="center"/>
                </w:tcPr>
                <w:p w14:paraId="711879F7">
                  <w:pPr>
                    <w:pStyle w:val="48"/>
                    <w:pBdr>
                      <w:top w:val="none" w:color="auto" w:sz="0" w:space="0"/>
                      <w:left w:val="none" w:color="auto" w:sz="0" w:space="0"/>
                      <w:bottom w:val="none" w:color="auto" w:sz="0" w:space="0"/>
                      <w:right w:val="none" w:color="auto" w:sz="0" w:space="0"/>
                    </w:pBdr>
                    <w:adjustRightInd w:val="0"/>
                    <w:snapToGrid w:val="0"/>
                    <w:rPr>
                      <w:rFonts w:hint="eastAsia" w:ascii="Times New Roman" w:hAnsi="Times New Roman" w:eastAsia="宋体" w:cs="Times New Roman"/>
                      <w:b w:val="0"/>
                      <w:bCs w:val="0"/>
                      <w:color w:val="auto"/>
                      <w:spacing w:val="0"/>
                      <w:kern w:val="0"/>
                      <w:szCs w:val="22"/>
                      <w:lang w:eastAsia="zh-CN"/>
                    </w:rPr>
                  </w:pPr>
                  <w:r>
                    <w:rPr>
                      <w:rFonts w:hint="eastAsia" w:cs="Times New Roman"/>
                      <w:b w:val="0"/>
                      <w:bCs w:val="0"/>
                      <w:color w:val="auto"/>
                      <w:spacing w:val="0"/>
                      <w:kern w:val="0"/>
                      <w:szCs w:val="22"/>
                      <w:lang w:eastAsia="zh-CN"/>
                    </w:rPr>
                    <w:t>检验</w:t>
                  </w:r>
                </w:p>
              </w:tc>
              <w:tc>
                <w:tcPr>
                  <w:tcW w:w="1780" w:type="dxa"/>
                  <w:noWrap w:val="0"/>
                  <w:vAlign w:val="center"/>
                </w:tcPr>
                <w:p w14:paraId="6C31930D">
                  <w:pPr>
                    <w:pStyle w:val="48"/>
                    <w:pBdr>
                      <w:top w:val="none" w:color="auto" w:sz="0" w:space="0"/>
                      <w:left w:val="none" w:color="auto" w:sz="0" w:space="0"/>
                      <w:bottom w:val="none" w:color="auto" w:sz="0" w:space="0"/>
                      <w:right w:val="none" w:color="auto" w:sz="0" w:space="0"/>
                    </w:pBdr>
                    <w:adjustRightInd w:val="0"/>
                    <w:snapToGrid w:val="0"/>
                    <w:rPr>
                      <w:rFonts w:hint="eastAsia" w:cs="Times New Roman"/>
                      <w:b w:val="0"/>
                      <w:bCs w:val="0"/>
                      <w:color w:val="auto"/>
                      <w:spacing w:val="0"/>
                      <w:kern w:val="0"/>
                      <w:szCs w:val="22"/>
                      <w:lang w:eastAsia="zh-CN"/>
                    </w:rPr>
                  </w:pPr>
                  <w:r>
                    <w:rPr>
                      <w:rFonts w:hint="eastAsia" w:cs="Times New Roman"/>
                      <w:b w:val="0"/>
                      <w:bCs w:val="0"/>
                      <w:color w:val="auto"/>
                      <w:spacing w:val="0"/>
                      <w:kern w:val="0"/>
                      <w:szCs w:val="22"/>
                      <w:lang w:eastAsia="zh-CN"/>
                    </w:rPr>
                    <w:t>不合格品</w:t>
                  </w:r>
                </w:p>
              </w:tc>
              <w:tc>
                <w:tcPr>
                  <w:tcW w:w="4060" w:type="dxa"/>
                  <w:gridSpan w:val="2"/>
                  <w:noWrap w:val="0"/>
                  <w:vAlign w:val="center"/>
                </w:tcPr>
                <w:p w14:paraId="59A2183E">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lang w:eastAsia="zh-CN"/>
                    </w:rPr>
                    <w:t>外售给物资回收公司进行综合利用</w:t>
                  </w:r>
                </w:p>
              </w:tc>
            </w:tr>
            <w:tr w14:paraId="5525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39" w:type="dxa"/>
                  <w:vMerge w:val="continue"/>
                  <w:noWrap w:val="0"/>
                  <w:vAlign w:val="center"/>
                </w:tcPr>
                <w:p w14:paraId="3755DBED">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default" w:ascii="Times New Roman" w:hAnsi="Times New Roman" w:eastAsia="宋体" w:cs="Times New Roman"/>
                      <w:b w:val="0"/>
                      <w:bCs w:val="0"/>
                      <w:color w:val="auto"/>
                      <w:spacing w:val="0"/>
                      <w:kern w:val="0"/>
                      <w:szCs w:val="22"/>
                      <w:lang w:val="en-US" w:eastAsia="zh-CN"/>
                    </w:rPr>
                  </w:pPr>
                </w:p>
              </w:tc>
              <w:tc>
                <w:tcPr>
                  <w:tcW w:w="1722" w:type="dxa"/>
                  <w:noWrap w:val="0"/>
                  <w:vAlign w:val="center"/>
                </w:tcPr>
                <w:p w14:paraId="252AC6DD">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eastAsia" w:ascii="Times New Roman" w:hAnsi="Times New Roman" w:eastAsia="宋体" w:cs="Times New Roman"/>
                      <w:b w:val="0"/>
                      <w:bCs w:val="0"/>
                      <w:color w:val="auto"/>
                      <w:spacing w:val="0"/>
                      <w:kern w:val="0"/>
                      <w:sz w:val="21"/>
                      <w:szCs w:val="22"/>
                      <w:lang w:val="en-US" w:eastAsia="zh-CN" w:bidi="ar-SA"/>
                    </w:rPr>
                  </w:pPr>
                  <w:r>
                    <w:rPr>
                      <w:rFonts w:hint="eastAsia" w:cs="Times New Roman"/>
                      <w:b w:val="0"/>
                      <w:bCs w:val="0"/>
                      <w:color w:val="auto"/>
                      <w:spacing w:val="0"/>
                      <w:kern w:val="0"/>
                      <w:szCs w:val="22"/>
                      <w:lang w:eastAsia="zh-CN"/>
                    </w:rPr>
                    <w:t>物料使用</w:t>
                  </w:r>
                </w:p>
              </w:tc>
              <w:tc>
                <w:tcPr>
                  <w:tcW w:w="1780" w:type="dxa"/>
                  <w:noWrap w:val="0"/>
                  <w:vAlign w:val="center"/>
                </w:tcPr>
                <w:p w14:paraId="24962FF6">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eastAsia" w:ascii="Times New Roman" w:hAnsi="Times New Roman" w:eastAsia="宋体" w:cs="Times New Roman"/>
                      <w:b w:val="0"/>
                      <w:bCs w:val="0"/>
                      <w:color w:val="auto"/>
                      <w:spacing w:val="0"/>
                      <w:kern w:val="0"/>
                      <w:sz w:val="21"/>
                      <w:szCs w:val="22"/>
                      <w:lang w:val="en-US" w:eastAsia="zh-CN" w:bidi="ar-SA"/>
                    </w:rPr>
                  </w:pPr>
                  <w:r>
                    <w:rPr>
                      <w:rFonts w:hint="eastAsia" w:cs="Times New Roman"/>
                      <w:b w:val="0"/>
                      <w:bCs w:val="0"/>
                      <w:color w:val="auto"/>
                      <w:spacing w:val="0"/>
                      <w:kern w:val="0"/>
                      <w:szCs w:val="22"/>
                      <w:lang w:eastAsia="zh-CN"/>
                    </w:rPr>
                    <w:t>废油</w:t>
                  </w:r>
                  <w:r>
                    <w:rPr>
                      <w:rFonts w:hint="eastAsia" w:cs="Times New Roman"/>
                      <w:b w:val="0"/>
                      <w:bCs w:val="0"/>
                      <w:color w:val="auto"/>
                      <w:spacing w:val="0"/>
                      <w:kern w:val="0"/>
                      <w:sz w:val="21"/>
                      <w:szCs w:val="22"/>
                      <w:lang w:val="en-US" w:eastAsia="zh-CN" w:bidi="ar-SA"/>
                    </w:rPr>
                    <w:t>桶</w:t>
                  </w:r>
                </w:p>
              </w:tc>
              <w:tc>
                <w:tcPr>
                  <w:tcW w:w="4060" w:type="dxa"/>
                  <w:gridSpan w:val="2"/>
                  <w:noWrap w:val="0"/>
                  <w:vAlign w:val="center"/>
                </w:tcPr>
                <w:p w14:paraId="5EDBB023">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default" w:ascii="Times New Roman" w:hAnsi="Times New Roman" w:eastAsia="宋体" w:cs="Times New Roman"/>
                      <w:b w:val="0"/>
                      <w:bCs w:val="0"/>
                      <w:color w:val="auto"/>
                      <w:spacing w:val="0"/>
                      <w:kern w:val="0"/>
                      <w:sz w:val="21"/>
                      <w:szCs w:val="22"/>
                      <w:lang w:val="en-US" w:eastAsia="zh-CN" w:bidi="ar-SA"/>
                    </w:rPr>
                  </w:pPr>
                  <w:r>
                    <w:rPr>
                      <w:rFonts w:hint="default" w:ascii="Times New Roman" w:hAnsi="Times New Roman" w:cs="Times New Roman"/>
                      <w:b w:val="0"/>
                      <w:bCs w:val="0"/>
                      <w:color w:val="auto"/>
                      <w:spacing w:val="0"/>
                      <w:kern w:val="0"/>
                      <w:szCs w:val="22"/>
                      <w:lang w:val="en-US" w:eastAsia="zh-CN"/>
                    </w:rPr>
                    <w:t>统一收集后交由</w:t>
                  </w:r>
                  <w:r>
                    <w:rPr>
                      <w:rFonts w:hint="eastAsia" w:cs="Times New Roman"/>
                      <w:b w:val="0"/>
                      <w:bCs w:val="0"/>
                      <w:color w:val="auto"/>
                      <w:spacing w:val="0"/>
                      <w:kern w:val="0"/>
                      <w:szCs w:val="22"/>
                      <w:lang w:val="en-US" w:eastAsia="zh-CN"/>
                    </w:rPr>
                    <w:t>原</w:t>
                  </w:r>
                  <w:r>
                    <w:rPr>
                      <w:rFonts w:hint="default" w:ascii="Times New Roman" w:hAnsi="Times New Roman" w:cs="Times New Roman"/>
                      <w:b w:val="0"/>
                      <w:bCs w:val="0"/>
                      <w:color w:val="auto"/>
                      <w:spacing w:val="0"/>
                      <w:kern w:val="0"/>
                      <w:szCs w:val="22"/>
                      <w:lang w:val="en-US" w:eastAsia="zh-CN"/>
                    </w:rPr>
                    <w:t>厂家回收利用</w:t>
                  </w:r>
                </w:p>
              </w:tc>
            </w:tr>
            <w:tr w14:paraId="180E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39" w:type="dxa"/>
                  <w:vMerge w:val="continue"/>
                  <w:noWrap w:val="0"/>
                  <w:vAlign w:val="center"/>
                </w:tcPr>
                <w:p w14:paraId="0D3D3C12">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default" w:ascii="Times New Roman" w:hAnsi="Times New Roman" w:eastAsia="宋体" w:cs="Times New Roman"/>
                      <w:b w:val="0"/>
                      <w:bCs w:val="0"/>
                      <w:color w:val="auto"/>
                      <w:spacing w:val="0"/>
                      <w:kern w:val="0"/>
                      <w:szCs w:val="22"/>
                      <w:lang w:val="en-US" w:eastAsia="zh-CN"/>
                    </w:rPr>
                  </w:pPr>
                </w:p>
              </w:tc>
              <w:tc>
                <w:tcPr>
                  <w:tcW w:w="1722" w:type="dxa"/>
                  <w:noWrap w:val="0"/>
                  <w:vAlign w:val="center"/>
                </w:tcPr>
                <w:p w14:paraId="7CE1EE87">
                  <w:pPr>
                    <w:pStyle w:val="48"/>
                    <w:pBdr>
                      <w:top w:val="none" w:color="auto" w:sz="0" w:space="0"/>
                      <w:left w:val="none" w:color="auto" w:sz="0" w:space="0"/>
                      <w:bottom w:val="none" w:color="auto" w:sz="0" w:space="0"/>
                      <w:right w:val="none" w:color="auto" w:sz="0" w:space="0"/>
                    </w:pBdr>
                    <w:adjustRightInd w:val="0"/>
                    <w:snapToGrid w:val="0"/>
                    <w:rPr>
                      <w:rFonts w:hint="eastAsia" w:cs="Times New Roman"/>
                      <w:b w:val="0"/>
                      <w:bCs w:val="0"/>
                      <w:color w:val="auto"/>
                      <w:spacing w:val="0"/>
                      <w:kern w:val="0"/>
                      <w:szCs w:val="22"/>
                      <w:lang w:eastAsia="zh-CN"/>
                    </w:rPr>
                  </w:pPr>
                  <w:r>
                    <w:rPr>
                      <w:rFonts w:hint="eastAsia" w:cs="Times New Roman"/>
                      <w:b w:val="0"/>
                      <w:bCs w:val="0"/>
                      <w:color w:val="auto"/>
                      <w:spacing w:val="0"/>
                      <w:kern w:val="0"/>
                      <w:szCs w:val="22"/>
                      <w:lang w:eastAsia="zh-CN"/>
                    </w:rPr>
                    <w:t>包装</w:t>
                  </w:r>
                </w:p>
              </w:tc>
              <w:tc>
                <w:tcPr>
                  <w:tcW w:w="1780" w:type="dxa"/>
                  <w:noWrap w:val="0"/>
                  <w:vAlign w:val="center"/>
                </w:tcPr>
                <w:p w14:paraId="57CA908F">
                  <w:pPr>
                    <w:pStyle w:val="48"/>
                    <w:pBdr>
                      <w:top w:val="none" w:color="auto" w:sz="0" w:space="0"/>
                      <w:left w:val="none" w:color="auto" w:sz="0" w:space="0"/>
                      <w:bottom w:val="none" w:color="auto" w:sz="0" w:space="0"/>
                      <w:right w:val="none" w:color="auto" w:sz="0" w:space="0"/>
                    </w:pBdr>
                    <w:adjustRightInd w:val="0"/>
                    <w:snapToGrid w:val="0"/>
                    <w:rPr>
                      <w:rFonts w:hint="eastAsia" w:ascii="Times New Roman" w:hAnsi="Times New Roman" w:eastAsia="宋体" w:cs="Times New Roman"/>
                      <w:b w:val="0"/>
                      <w:bCs w:val="0"/>
                      <w:color w:val="auto"/>
                      <w:spacing w:val="0"/>
                      <w:kern w:val="0"/>
                      <w:szCs w:val="22"/>
                      <w:lang w:eastAsia="zh-CN"/>
                    </w:rPr>
                  </w:pPr>
                  <w:r>
                    <w:rPr>
                      <w:rFonts w:hint="eastAsia" w:cs="Times New Roman"/>
                      <w:b w:val="0"/>
                      <w:bCs w:val="0"/>
                      <w:color w:val="auto"/>
                      <w:spacing w:val="0"/>
                      <w:kern w:val="0"/>
                      <w:szCs w:val="22"/>
                      <w:lang w:eastAsia="zh-CN"/>
                    </w:rPr>
                    <w:t>废包装材料</w:t>
                  </w:r>
                </w:p>
              </w:tc>
              <w:tc>
                <w:tcPr>
                  <w:tcW w:w="4060" w:type="dxa"/>
                  <w:gridSpan w:val="2"/>
                  <w:noWrap w:val="0"/>
                  <w:vAlign w:val="center"/>
                </w:tcPr>
                <w:p w14:paraId="4ABC3F5D">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lang w:eastAsia="zh-CN"/>
                    </w:rPr>
                    <w:t>外售给物资回收公司进行综合利用</w:t>
                  </w:r>
                </w:p>
              </w:tc>
            </w:tr>
            <w:tr w14:paraId="1FF0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39" w:type="dxa"/>
                  <w:vMerge w:val="continue"/>
                  <w:noWrap w:val="0"/>
                  <w:vAlign w:val="center"/>
                </w:tcPr>
                <w:p w14:paraId="5523CE64">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default" w:ascii="Times New Roman" w:hAnsi="Times New Roman" w:eastAsia="宋体" w:cs="Times New Roman"/>
                      <w:b w:val="0"/>
                      <w:bCs w:val="0"/>
                      <w:color w:val="auto"/>
                      <w:spacing w:val="0"/>
                      <w:kern w:val="0"/>
                      <w:szCs w:val="22"/>
                      <w:lang w:val="en-US" w:eastAsia="zh-CN"/>
                    </w:rPr>
                  </w:pPr>
                </w:p>
              </w:tc>
              <w:tc>
                <w:tcPr>
                  <w:tcW w:w="1722" w:type="dxa"/>
                  <w:noWrap w:val="0"/>
                  <w:vAlign w:val="center"/>
                </w:tcPr>
                <w:p w14:paraId="443D2C21">
                  <w:pPr>
                    <w:pStyle w:val="48"/>
                    <w:pBdr>
                      <w:top w:val="none" w:color="auto" w:sz="0" w:space="0"/>
                      <w:left w:val="none" w:color="auto" w:sz="0" w:space="0"/>
                      <w:bottom w:val="none" w:color="auto" w:sz="0" w:space="0"/>
                      <w:right w:val="none" w:color="auto" w:sz="0" w:space="0"/>
                    </w:pBdr>
                    <w:adjustRightInd w:val="0"/>
                    <w:snapToGrid w:val="0"/>
                    <w:rPr>
                      <w:rFonts w:hint="eastAsia" w:ascii="Times New Roman" w:hAnsi="Times New Roman" w:eastAsia="宋体"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机加工</w:t>
                  </w:r>
                </w:p>
              </w:tc>
              <w:tc>
                <w:tcPr>
                  <w:tcW w:w="1780" w:type="dxa"/>
                  <w:noWrap w:val="0"/>
                  <w:vAlign w:val="center"/>
                </w:tcPr>
                <w:p w14:paraId="02C3C6DA">
                  <w:pPr>
                    <w:pStyle w:val="48"/>
                    <w:pBdr>
                      <w:top w:val="none" w:color="auto" w:sz="0" w:space="0"/>
                      <w:left w:val="none" w:color="auto" w:sz="0" w:space="0"/>
                      <w:bottom w:val="none" w:color="auto" w:sz="0" w:space="0"/>
                      <w:right w:val="none" w:color="auto" w:sz="0" w:space="0"/>
                    </w:pBdr>
                    <w:adjustRightInd w:val="0"/>
                    <w:snapToGrid w:val="0"/>
                    <w:rPr>
                      <w:rFonts w:hint="default" w:cs="Times New Roman"/>
                      <w:b w:val="0"/>
                      <w:bCs w:val="0"/>
                      <w:color w:val="auto"/>
                      <w:spacing w:val="0"/>
                      <w:kern w:val="0"/>
                      <w:szCs w:val="22"/>
                      <w:lang w:val="en-US" w:eastAsia="zh-CN"/>
                    </w:rPr>
                  </w:pPr>
                  <w:r>
                    <w:rPr>
                      <w:rFonts w:hint="eastAsia" w:ascii="Times New Roman" w:hAnsi="Times New Roman" w:cs="Times New Roman"/>
                      <w:color w:val="auto"/>
                      <w:szCs w:val="22"/>
                      <w:highlight w:val="none"/>
                      <w:lang w:val="en-US" w:eastAsia="zh-CN"/>
                    </w:rPr>
                    <w:t>废</w:t>
                  </w:r>
                  <w:r>
                    <w:rPr>
                      <w:rFonts w:hint="eastAsia" w:cs="Times New Roman"/>
                      <w:color w:val="auto"/>
                      <w:szCs w:val="22"/>
                      <w:highlight w:val="none"/>
                      <w:lang w:val="en-US" w:eastAsia="zh-CN"/>
                    </w:rPr>
                    <w:t>切削液</w:t>
                  </w:r>
                </w:p>
              </w:tc>
              <w:tc>
                <w:tcPr>
                  <w:tcW w:w="4060" w:type="dxa"/>
                  <w:gridSpan w:val="2"/>
                  <w:noWrap w:val="0"/>
                  <w:vAlign w:val="center"/>
                </w:tcPr>
                <w:p w14:paraId="50AACBDC">
                  <w:pPr>
                    <w:pStyle w:val="48"/>
                    <w:pBdr>
                      <w:top w:val="none" w:color="auto" w:sz="0" w:space="0"/>
                      <w:left w:val="none" w:color="auto" w:sz="0" w:space="0"/>
                      <w:bottom w:val="none" w:color="auto" w:sz="0" w:space="0"/>
                      <w:right w:val="none" w:color="auto" w:sz="0" w:space="0"/>
                    </w:pBdr>
                    <w:adjustRightInd w:val="0"/>
                    <w:snapToGrid w:val="0"/>
                    <w:rPr>
                      <w:rFonts w:hint="eastAsia" w:cs="Times New Roman"/>
                      <w:b w:val="0"/>
                      <w:bCs w:val="0"/>
                      <w:color w:val="auto"/>
                      <w:spacing w:val="0"/>
                      <w:kern w:val="0"/>
                      <w:szCs w:val="22"/>
                      <w:lang w:eastAsia="zh-CN"/>
                    </w:rPr>
                  </w:pPr>
                  <w:r>
                    <w:rPr>
                      <w:rFonts w:hint="eastAsia" w:cs="Times New Roman"/>
                      <w:b w:val="0"/>
                      <w:bCs w:val="0"/>
                      <w:color w:val="auto"/>
                      <w:spacing w:val="0"/>
                      <w:kern w:val="0"/>
                      <w:szCs w:val="22"/>
                      <w:lang w:eastAsia="zh-CN"/>
                    </w:rPr>
                    <w:t>委托有资质单位处置</w:t>
                  </w:r>
                </w:p>
              </w:tc>
            </w:tr>
            <w:tr w14:paraId="2A0B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39" w:type="dxa"/>
                  <w:vMerge w:val="continue"/>
                  <w:noWrap w:val="0"/>
                  <w:vAlign w:val="center"/>
                </w:tcPr>
                <w:p w14:paraId="39E7CECB">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default" w:ascii="Times New Roman" w:hAnsi="Times New Roman" w:eastAsia="宋体" w:cs="Times New Roman"/>
                      <w:b w:val="0"/>
                      <w:bCs w:val="0"/>
                      <w:color w:val="auto"/>
                      <w:spacing w:val="0"/>
                      <w:kern w:val="0"/>
                      <w:szCs w:val="22"/>
                      <w:lang w:val="en-US" w:eastAsia="zh-CN"/>
                    </w:rPr>
                  </w:pPr>
                </w:p>
              </w:tc>
              <w:tc>
                <w:tcPr>
                  <w:tcW w:w="1722" w:type="dxa"/>
                  <w:noWrap w:val="0"/>
                  <w:vAlign w:val="center"/>
                </w:tcPr>
                <w:p w14:paraId="00D5C1DF">
                  <w:pPr>
                    <w:pStyle w:val="48"/>
                    <w:pBdr>
                      <w:top w:val="none" w:color="auto" w:sz="0" w:space="0"/>
                      <w:left w:val="none" w:color="auto" w:sz="0" w:space="0"/>
                      <w:bottom w:val="none" w:color="auto" w:sz="0" w:space="0"/>
                      <w:right w:val="none" w:color="auto" w:sz="0" w:space="0"/>
                    </w:pBdr>
                    <w:adjustRightInd w:val="0"/>
                    <w:snapToGrid w:val="0"/>
                    <w:rPr>
                      <w:rFonts w:hint="eastAsia"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设备运行</w:t>
                  </w:r>
                </w:p>
              </w:tc>
              <w:tc>
                <w:tcPr>
                  <w:tcW w:w="1780" w:type="dxa"/>
                  <w:noWrap w:val="0"/>
                  <w:vAlign w:val="center"/>
                </w:tcPr>
                <w:p w14:paraId="65D7B7AF">
                  <w:pPr>
                    <w:pStyle w:val="48"/>
                    <w:pBdr>
                      <w:top w:val="none" w:color="auto" w:sz="0" w:space="0"/>
                      <w:left w:val="none" w:color="auto" w:sz="0" w:space="0"/>
                      <w:bottom w:val="none" w:color="auto" w:sz="0" w:space="0"/>
                      <w:right w:val="none" w:color="auto" w:sz="0" w:space="0"/>
                    </w:pBdr>
                    <w:adjustRightInd w:val="0"/>
                    <w:snapToGrid w:val="0"/>
                    <w:rPr>
                      <w:rFonts w:hint="eastAsia"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废抗磨液压油</w:t>
                  </w:r>
                </w:p>
              </w:tc>
              <w:tc>
                <w:tcPr>
                  <w:tcW w:w="4060" w:type="dxa"/>
                  <w:gridSpan w:val="2"/>
                  <w:noWrap w:val="0"/>
                  <w:vAlign w:val="center"/>
                </w:tcPr>
                <w:p w14:paraId="1667F3FD">
                  <w:pPr>
                    <w:pStyle w:val="48"/>
                    <w:pBdr>
                      <w:top w:val="none" w:color="auto" w:sz="0" w:space="0"/>
                      <w:left w:val="none" w:color="auto" w:sz="0" w:space="0"/>
                      <w:bottom w:val="none" w:color="auto" w:sz="0" w:space="0"/>
                      <w:right w:val="none" w:color="auto" w:sz="0" w:space="0"/>
                    </w:pBdr>
                    <w:adjustRightInd w:val="0"/>
                    <w:snapToGrid w:val="0"/>
                    <w:rPr>
                      <w:rFonts w:hint="eastAsia" w:cs="Times New Roman"/>
                      <w:b w:val="0"/>
                      <w:bCs w:val="0"/>
                      <w:color w:val="auto"/>
                      <w:spacing w:val="0"/>
                      <w:kern w:val="0"/>
                      <w:szCs w:val="22"/>
                      <w:lang w:eastAsia="zh-CN"/>
                    </w:rPr>
                  </w:pPr>
                  <w:r>
                    <w:rPr>
                      <w:rFonts w:hint="eastAsia" w:cs="Times New Roman"/>
                      <w:b w:val="0"/>
                      <w:bCs w:val="0"/>
                      <w:color w:val="auto"/>
                      <w:spacing w:val="0"/>
                      <w:kern w:val="0"/>
                      <w:szCs w:val="22"/>
                      <w:lang w:eastAsia="zh-CN"/>
                    </w:rPr>
                    <w:t>委托有资质单位处置</w:t>
                  </w:r>
                </w:p>
              </w:tc>
            </w:tr>
            <w:tr w14:paraId="583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39" w:type="dxa"/>
                  <w:vMerge w:val="continue"/>
                  <w:noWrap w:val="0"/>
                  <w:vAlign w:val="center"/>
                </w:tcPr>
                <w:p w14:paraId="0C619DBB">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default" w:ascii="Times New Roman" w:hAnsi="Times New Roman" w:cs="Times New Roman"/>
                      <w:b w:val="0"/>
                      <w:bCs w:val="0"/>
                      <w:color w:val="auto"/>
                      <w:spacing w:val="0"/>
                      <w:kern w:val="0"/>
                      <w:szCs w:val="22"/>
                      <w:lang w:val="en-US"/>
                    </w:rPr>
                  </w:pPr>
                </w:p>
              </w:tc>
              <w:tc>
                <w:tcPr>
                  <w:tcW w:w="1722" w:type="dxa"/>
                  <w:noWrap w:val="0"/>
                  <w:vAlign w:val="center"/>
                </w:tcPr>
                <w:p w14:paraId="75F5B156">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员工生活</w:t>
                  </w:r>
                </w:p>
              </w:tc>
              <w:tc>
                <w:tcPr>
                  <w:tcW w:w="1780" w:type="dxa"/>
                  <w:noWrap w:val="0"/>
                  <w:vAlign w:val="center"/>
                </w:tcPr>
                <w:p w14:paraId="6FF0CBE1">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生活垃圾</w:t>
                  </w:r>
                </w:p>
              </w:tc>
              <w:tc>
                <w:tcPr>
                  <w:tcW w:w="4060" w:type="dxa"/>
                  <w:gridSpan w:val="2"/>
                  <w:noWrap w:val="0"/>
                  <w:vAlign w:val="center"/>
                </w:tcPr>
                <w:p w14:paraId="2BD7C5C2">
                  <w:pPr>
                    <w:pStyle w:val="48"/>
                    <w:pBdr>
                      <w:top w:val="none" w:color="auto" w:sz="0" w:space="0"/>
                      <w:left w:val="none" w:color="auto" w:sz="0" w:space="0"/>
                      <w:bottom w:val="none" w:color="auto" w:sz="0" w:space="0"/>
                      <w:right w:val="none" w:color="auto" w:sz="0" w:space="0"/>
                    </w:pBdr>
                    <w:adjustRightInd w:val="0"/>
                    <w:snapToGrid w:val="0"/>
                    <w:ind w:firstLine="0" w:firstLineChars="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交</w:t>
                  </w:r>
                  <w:r>
                    <w:rPr>
                      <w:rFonts w:hint="default" w:ascii="Times New Roman" w:hAnsi="Times New Roman" w:cs="Times New Roman"/>
                      <w:b w:val="0"/>
                      <w:bCs w:val="0"/>
                      <w:color w:val="auto"/>
                      <w:spacing w:val="0"/>
                      <w:kern w:val="0"/>
                      <w:szCs w:val="22"/>
                      <w:lang w:eastAsia="zh-CN"/>
                    </w:rPr>
                    <w:t>由</w:t>
                  </w:r>
                  <w:r>
                    <w:rPr>
                      <w:rFonts w:hint="default" w:ascii="Times New Roman" w:hAnsi="Times New Roman" w:cs="Times New Roman"/>
                      <w:b w:val="0"/>
                      <w:bCs w:val="0"/>
                      <w:color w:val="auto"/>
                      <w:spacing w:val="0"/>
                      <w:kern w:val="0"/>
                      <w:szCs w:val="22"/>
                    </w:rPr>
                    <w:t>环卫部门</w:t>
                  </w:r>
                  <w:r>
                    <w:rPr>
                      <w:rFonts w:hint="default" w:ascii="Times New Roman" w:hAnsi="Times New Roman" w:cs="Times New Roman"/>
                      <w:b w:val="0"/>
                      <w:bCs w:val="0"/>
                      <w:color w:val="auto"/>
                      <w:spacing w:val="0"/>
                      <w:kern w:val="0"/>
                      <w:szCs w:val="22"/>
                      <w:lang w:eastAsia="zh-CN"/>
                    </w:rPr>
                    <w:t>清运</w:t>
                  </w:r>
                  <w:r>
                    <w:rPr>
                      <w:rFonts w:hint="default" w:ascii="Times New Roman" w:hAnsi="Times New Roman" w:cs="Times New Roman"/>
                      <w:b w:val="0"/>
                      <w:bCs w:val="0"/>
                      <w:color w:val="auto"/>
                      <w:spacing w:val="0"/>
                      <w:kern w:val="0"/>
                      <w:szCs w:val="22"/>
                    </w:rPr>
                    <w:t>处理</w:t>
                  </w:r>
                </w:p>
              </w:tc>
            </w:tr>
            <w:tr w14:paraId="300E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39" w:type="dxa"/>
                  <w:noWrap w:val="0"/>
                  <w:vAlign w:val="center"/>
                </w:tcPr>
                <w:p w14:paraId="717CA7F3">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eastAsia="宋体" w:cs="Times New Roman"/>
                      <w:b w:val="0"/>
                      <w:bCs w:val="0"/>
                      <w:color w:val="auto"/>
                      <w:spacing w:val="0"/>
                      <w:kern w:val="0"/>
                      <w:szCs w:val="22"/>
                      <w:lang w:val="en-US" w:eastAsia="zh-CN"/>
                    </w:rPr>
                  </w:pPr>
                  <w:r>
                    <w:rPr>
                      <w:rFonts w:hint="default" w:ascii="Times New Roman" w:hAnsi="Times New Roman" w:cs="Times New Roman"/>
                      <w:b w:val="0"/>
                      <w:bCs w:val="0"/>
                      <w:color w:val="auto"/>
                      <w:spacing w:val="0"/>
                      <w:kern w:val="0"/>
                      <w:szCs w:val="22"/>
                    </w:rPr>
                    <w:t>噪声</w:t>
                  </w:r>
                </w:p>
              </w:tc>
              <w:tc>
                <w:tcPr>
                  <w:tcW w:w="1722" w:type="dxa"/>
                  <w:noWrap w:val="0"/>
                  <w:vAlign w:val="center"/>
                </w:tcPr>
                <w:p w14:paraId="64714687">
                  <w:pPr>
                    <w:pStyle w:val="48"/>
                    <w:pBdr>
                      <w:top w:val="none" w:color="auto" w:sz="0" w:space="0"/>
                      <w:left w:val="none" w:color="auto" w:sz="0" w:space="0"/>
                      <w:bottom w:val="none" w:color="auto" w:sz="0" w:space="0"/>
                      <w:right w:val="none" w:color="auto" w:sz="0" w:space="0"/>
                    </w:pBdr>
                    <w:adjustRightInd w:val="0"/>
                    <w:snapToGrid w:val="0"/>
                    <w:rPr>
                      <w:rFonts w:hint="eastAsia" w:ascii="Times New Roman" w:hAnsi="Times New Roman" w:eastAsia="宋体" w:cs="Times New Roman"/>
                      <w:b w:val="0"/>
                      <w:bCs w:val="0"/>
                      <w:color w:val="auto"/>
                      <w:spacing w:val="0"/>
                      <w:kern w:val="0"/>
                      <w:szCs w:val="22"/>
                      <w:lang w:eastAsia="zh-CN"/>
                    </w:rPr>
                  </w:pPr>
                  <w:r>
                    <w:rPr>
                      <w:rFonts w:hint="eastAsia" w:ascii="Times New Roman" w:hAnsi="Times New Roman" w:cs="Times New Roman"/>
                      <w:b w:val="0"/>
                      <w:bCs w:val="0"/>
                      <w:color w:val="auto"/>
                      <w:spacing w:val="0"/>
                      <w:kern w:val="0"/>
                      <w:szCs w:val="22"/>
                      <w:lang w:eastAsia="zh-CN"/>
                    </w:rPr>
                    <w:t>机械设备</w:t>
                  </w:r>
                </w:p>
              </w:tc>
              <w:tc>
                <w:tcPr>
                  <w:tcW w:w="1780" w:type="dxa"/>
                  <w:noWrap w:val="0"/>
                  <w:vAlign w:val="center"/>
                </w:tcPr>
                <w:p w14:paraId="61FF8066">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机械噪声</w:t>
                  </w:r>
                </w:p>
              </w:tc>
              <w:tc>
                <w:tcPr>
                  <w:tcW w:w="4060" w:type="dxa"/>
                  <w:gridSpan w:val="2"/>
                  <w:noWrap w:val="0"/>
                  <w:vAlign w:val="center"/>
                </w:tcPr>
                <w:p w14:paraId="5651CA31">
                  <w:pPr>
                    <w:pStyle w:val="48"/>
                    <w:pBdr>
                      <w:top w:val="none" w:color="auto" w:sz="0" w:space="0"/>
                      <w:left w:val="none" w:color="auto" w:sz="0" w:space="0"/>
                      <w:bottom w:val="none" w:color="auto" w:sz="0" w:space="0"/>
                      <w:right w:val="none" w:color="auto" w:sz="0" w:space="0"/>
                    </w:pBdr>
                    <w:adjustRightInd w:val="0"/>
                    <w:snapToGrid w:val="0"/>
                    <w:rPr>
                      <w:rFonts w:hint="default" w:ascii="Times New Roman" w:hAnsi="Times New Roman" w:cs="Times New Roman"/>
                      <w:b w:val="0"/>
                      <w:bCs w:val="0"/>
                      <w:color w:val="auto"/>
                      <w:spacing w:val="0"/>
                      <w:kern w:val="0"/>
                      <w:szCs w:val="22"/>
                    </w:rPr>
                  </w:pPr>
                  <w:r>
                    <w:rPr>
                      <w:rFonts w:hint="default" w:ascii="Times New Roman" w:hAnsi="Times New Roman" w:cs="Times New Roman"/>
                      <w:b w:val="0"/>
                      <w:bCs w:val="0"/>
                      <w:color w:val="auto"/>
                      <w:spacing w:val="0"/>
                      <w:kern w:val="0"/>
                      <w:szCs w:val="22"/>
                    </w:rPr>
                    <w:t>选用低噪声设备、设置减震基础、厂房隔声、距离衰减</w:t>
                  </w:r>
                </w:p>
              </w:tc>
            </w:tr>
          </w:tbl>
          <w:p w14:paraId="01DE9B6C">
            <w:pPr>
              <w:bidi w:val="0"/>
              <w:spacing w:line="360" w:lineRule="auto"/>
              <w:jc w:val="center"/>
              <w:rPr>
                <w:rFonts w:hint="eastAsia" w:ascii="宋体" w:hAnsi="宋体" w:cs="宋体"/>
                <w:color w:val="auto"/>
                <w:sz w:val="24"/>
                <w:szCs w:val="24"/>
                <w:lang w:val="en-US" w:eastAsia="zh-CN"/>
              </w:rPr>
            </w:pPr>
          </w:p>
          <w:p w14:paraId="1FFEFCB9">
            <w:pPr>
              <w:bidi w:val="0"/>
              <w:spacing w:line="360" w:lineRule="auto"/>
              <w:jc w:val="center"/>
              <w:rPr>
                <w:rFonts w:hint="eastAsia" w:ascii="宋体" w:hAnsi="宋体" w:cs="宋体"/>
                <w:color w:val="auto"/>
                <w:sz w:val="24"/>
                <w:szCs w:val="24"/>
                <w:lang w:val="en-US" w:eastAsia="zh-CN"/>
              </w:rPr>
            </w:pPr>
          </w:p>
          <w:p w14:paraId="7B6EAC7B">
            <w:pPr>
              <w:bidi w:val="0"/>
              <w:spacing w:line="360" w:lineRule="auto"/>
              <w:jc w:val="center"/>
              <w:rPr>
                <w:rFonts w:hint="eastAsia" w:ascii="宋体" w:hAnsi="宋体" w:cs="宋体"/>
                <w:color w:val="auto"/>
                <w:sz w:val="24"/>
                <w:szCs w:val="24"/>
                <w:lang w:val="en-US" w:eastAsia="zh-CN"/>
              </w:rPr>
            </w:pPr>
          </w:p>
          <w:p w14:paraId="795F2157">
            <w:pPr>
              <w:bidi w:val="0"/>
              <w:spacing w:line="360" w:lineRule="auto"/>
              <w:jc w:val="center"/>
              <w:rPr>
                <w:rFonts w:hint="eastAsia" w:ascii="宋体" w:hAnsi="宋体" w:cs="宋体"/>
                <w:color w:val="auto"/>
                <w:sz w:val="24"/>
                <w:szCs w:val="24"/>
                <w:lang w:val="en-US" w:eastAsia="zh-CN"/>
              </w:rPr>
            </w:pPr>
          </w:p>
          <w:p w14:paraId="3F475B9A">
            <w:pPr>
              <w:bidi w:val="0"/>
              <w:spacing w:line="360" w:lineRule="auto"/>
              <w:jc w:val="both"/>
              <w:rPr>
                <w:rFonts w:hint="eastAsia" w:ascii="宋体" w:hAnsi="宋体" w:cs="宋体"/>
                <w:color w:val="auto"/>
                <w:sz w:val="24"/>
                <w:szCs w:val="24"/>
                <w:lang w:val="en-US" w:eastAsia="zh-CN"/>
              </w:rPr>
            </w:pPr>
          </w:p>
          <w:p w14:paraId="5BE6C326">
            <w:pPr>
              <w:bidi w:val="0"/>
              <w:spacing w:line="360" w:lineRule="auto"/>
              <w:jc w:val="both"/>
              <w:rPr>
                <w:rFonts w:hint="default" w:ascii="宋体" w:hAnsi="宋体" w:eastAsia="宋体" w:cs="宋体"/>
                <w:color w:val="auto"/>
                <w:sz w:val="24"/>
                <w:szCs w:val="24"/>
                <w:lang w:val="en-US" w:eastAsia="zh-CN"/>
              </w:rPr>
            </w:pPr>
          </w:p>
          <w:p w14:paraId="723B8AAF">
            <w:pPr>
              <w:bidi w:val="0"/>
              <w:spacing w:line="360" w:lineRule="auto"/>
              <w:jc w:val="both"/>
              <w:rPr>
                <w:rFonts w:hint="default" w:ascii="宋体" w:hAnsi="宋体" w:eastAsia="宋体" w:cs="宋体"/>
                <w:color w:val="auto"/>
                <w:sz w:val="24"/>
                <w:szCs w:val="24"/>
                <w:lang w:val="en-US" w:eastAsia="zh-CN"/>
              </w:rPr>
            </w:pPr>
          </w:p>
        </w:tc>
      </w:tr>
      <w:tr w14:paraId="16DDF0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657" w:hRule="atLeast"/>
          <w:jc w:val="center"/>
        </w:trPr>
        <w:tc>
          <w:tcPr>
            <w:tcW w:w="516" w:type="dxa"/>
            <w:tcBorders>
              <w:tl2br w:val="nil"/>
              <w:tr2bl w:val="nil"/>
            </w:tcBorders>
            <w:noWrap w:val="0"/>
            <w:vAlign w:val="center"/>
          </w:tcPr>
          <w:p w14:paraId="7DC3CF10">
            <w:pPr>
              <w:pStyle w:val="21"/>
              <w:adjustRightInd w:val="0"/>
              <w:snapToGrid w:val="0"/>
              <w:spacing w:before="0" w:beforeAutospacing="0" w:after="0" w:afterAutospacing="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rPr>
              <w:t>与项目有关的原有环境污染问题</w:t>
            </w:r>
          </w:p>
        </w:tc>
        <w:tc>
          <w:tcPr>
            <w:tcW w:w="8524" w:type="dxa"/>
            <w:tcBorders>
              <w:tl2br w:val="nil"/>
              <w:tr2bl w:val="nil"/>
            </w:tcBorders>
            <w:noWrap w:val="0"/>
            <w:vAlign w:val="center"/>
          </w:tcPr>
          <w:p w14:paraId="068B63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default" w:ascii="Times New Roman" w:hAnsi="Times New Roman" w:cs="Times New Roman"/>
                <w:color w:val="auto"/>
                <w:sz w:val="24"/>
                <w:szCs w:val="24"/>
                <w:lang w:val="en-US" w:eastAsia="zh-CN"/>
              </w:rPr>
              <w:t>项目为新建项目，</w:t>
            </w:r>
            <w:r>
              <w:rPr>
                <w:rFonts w:hint="eastAsia" w:cs="Times New Roman"/>
                <w:color w:val="auto"/>
                <w:sz w:val="24"/>
                <w:szCs w:val="24"/>
                <w:lang w:val="en-US" w:eastAsia="zh-CN"/>
              </w:rPr>
              <w:t>位于</w:t>
            </w:r>
            <w:r>
              <w:rPr>
                <w:rFonts w:hint="default" w:ascii="Times New Roman" w:hAnsi="Times New Roman" w:eastAsia="宋体" w:cs="Times New Roman"/>
                <w:b w:val="0"/>
                <w:bCs/>
                <w:color w:val="auto"/>
                <w:sz w:val="24"/>
                <w:szCs w:val="24"/>
                <w:lang w:val="en-US" w:eastAsia="zh-CN"/>
              </w:rPr>
              <w:t>安徽省宿州市</w:t>
            </w:r>
            <w:r>
              <w:rPr>
                <w:rFonts w:hint="eastAsia" w:ascii="Times New Roman" w:hAnsi="Times New Roman" w:eastAsia="宋体" w:cs="Times New Roman"/>
                <w:b w:val="0"/>
                <w:bCs/>
                <w:color w:val="auto"/>
                <w:sz w:val="24"/>
                <w:szCs w:val="24"/>
                <w:lang w:val="en-US" w:eastAsia="zh-CN"/>
              </w:rPr>
              <w:t>灵璧县北部经济开发区轴承产业基地AB区北侧重点区域，</w:t>
            </w:r>
            <w:r>
              <w:rPr>
                <w:rFonts w:hint="eastAsia" w:cs="Times New Roman"/>
                <w:b w:val="0"/>
                <w:bCs/>
                <w:color w:val="auto"/>
                <w:sz w:val="24"/>
                <w:szCs w:val="24"/>
                <w:lang w:val="en-US" w:eastAsia="zh-CN"/>
              </w:rPr>
              <w:t>根据现场踏勘，项目所在地为空地</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故</w:t>
            </w:r>
            <w:r>
              <w:rPr>
                <w:rFonts w:hint="default" w:ascii="Times New Roman" w:hAnsi="Times New Roman" w:cs="Times New Roman"/>
                <w:color w:val="auto"/>
                <w:sz w:val="24"/>
                <w:szCs w:val="24"/>
                <w:lang w:val="en-US" w:eastAsia="zh-CN"/>
              </w:rPr>
              <w:t>不存在与本项目相关的原有污染情况及主要环境问题。</w:t>
            </w:r>
          </w:p>
        </w:tc>
      </w:tr>
    </w:tbl>
    <w:p w14:paraId="713710BC">
      <w:pPr>
        <w:pStyle w:val="21"/>
        <w:jc w:val="center"/>
        <w:rPr>
          <w:rFonts w:ascii="黑体" w:hAnsi="黑体" w:eastAsia="黑体"/>
          <w:snapToGrid w:val="0"/>
          <w:color w:val="auto"/>
          <w:sz w:val="36"/>
          <w:szCs w:val="36"/>
        </w:rPr>
        <w:sectPr>
          <w:pgSz w:w="11906" w:h="16838"/>
          <w:pgMar w:top="1440" w:right="1803" w:bottom="1440" w:left="1803" w:header="851" w:footer="851" w:gutter="0"/>
          <w:pgBorders>
            <w:top w:val="none" w:sz="0" w:space="0"/>
            <w:left w:val="none" w:sz="0" w:space="0"/>
            <w:bottom w:val="none" w:sz="0" w:space="0"/>
            <w:right w:val="none" w:sz="0" w:space="0"/>
          </w:pgBorders>
          <w:pgNumType w:fmt="decimal"/>
          <w:cols w:space="720" w:num="1"/>
          <w:docGrid w:linePitch="312" w:charSpace="0"/>
        </w:sectPr>
      </w:pPr>
    </w:p>
    <w:p w14:paraId="103F4AA3">
      <w:pPr>
        <w:pStyle w:val="2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ascii="黑体" w:hAnsi="黑体" w:eastAsia="黑体"/>
          <w:snapToGrid w:val="0"/>
          <w:color w:val="auto"/>
          <w:sz w:val="30"/>
          <w:szCs w:val="30"/>
        </w:rPr>
      </w:pPr>
      <w:r>
        <w:rPr>
          <w:rFonts w:hint="eastAsia" w:ascii="宋体" w:hAnsi="宋体" w:eastAsia="宋体" w:cs="宋体"/>
          <w:b/>
          <w:bCs/>
          <w:snapToGrid w:val="0"/>
          <w:color w:val="auto"/>
          <w:sz w:val="30"/>
          <w:szCs w:val="30"/>
        </w:rPr>
        <w:t>三、区域环境质量现状、环境保护目标及评价标准</w:t>
      </w:r>
    </w:p>
    <w:tbl>
      <w:tblPr>
        <w:tblStyle w:val="23"/>
        <w:tblW w:w="89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476"/>
      </w:tblGrid>
      <w:tr w14:paraId="0FACB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516" w:type="dxa"/>
            <w:tcBorders>
              <w:tl2br w:val="nil"/>
              <w:tr2bl w:val="nil"/>
            </w:tcBorders>
            <w:noWrap w:val="0"/>
            <w:vAlign w:val="center"/>
          </w:tcPr>
          <w:p w14:paraId="072A2A45">
            <w:pPr>
              <w:adjustRightInd w:val="0"/>
              <w:snapToGrid w:val="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区域</w:t>
            </w:r>
          </w:p>
          <w:p w14:paraId="51767A1E">
            <w:pPr>
              <w:adjustRightInd w:val="0"/>
              <w:snapToGrid w:val="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环境</w:t>
            </w:r>
          </w:p>
          <w:p w14:paraId="1B520A57">
            <w:pPr>
              <w:adjustRightInd w:val="0"/>
              <w:snapToGrid w:val="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质量</w:t>
            </w:r>
          </w:p>
          <w:p w14:paraId="6DFDD80E">
            <w:pPr>
              <w:adjustRightInd w:val="0"/>
              <w:snapToGrid w:val="0"/>
              <w:jc w:val="center"/>
              <w:rPr>
                <w:rFonts w:hint="eastAsia" w:ascii="宋体" w:hAnsi="宋体" w:eastAsia="宋体" w:cs="宋体"/>
                <w:color w:val="auto"/>
                <w:kern w:val="0"/>
                <w:szCs w:val="21"/>
              </w:rPr>
            </w:pPr>
            <w:r>
              <w:rPr>
                <w:rFonts w:hint="eastAsia" w:ascii="宋体" w:hAnsi="宋体" w:eastAsia="宋体" w:cs="宋体"/>
                <w:b w:val="0"/>
                <w:bCs w:val="0"/>
                <w:color w:val="auto"/>
                <w:kern w:val="0"/>
                <w:sz w:val="24"/>
                <w:szCs w:val="24"/>
              </w:rPr>
              <w:t>现状</w:t>
            </w:r>
          </w:p>
        </w:tc>
        <w:tc>
          <w:tcPr>
            <w:tcW w:w="8539" w:type="dxa"/>
            <w:tcBorders>
              <w:tl2br w:val="nil"/>
              <w:tr2bl w:val="nil"/>
            </w:tcBorders>
            <w:noWrap w:val="0"/>
            <w:vAlign w:val="center"/>
          </w:tcPr>
          <w:p w14:paraId="6BC4905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1、大气环境</w:t>
            </w:r>
          </w:p>
          <w:p w14:paraId="7A71EF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napToGrid/>
                <w:color w:val="auto"/>
                <w:spacing w:val="0"/>
                <w:kern w:val="0"/>
                <w:position w:val="0"/>
                <w:sz w:val="24"/>
                <w:szCs w:val="24"/>
                <w:highlight w:val="none"/>
                <w:lang w:val="en-US" w:eastAsia="zh-CN"/>
              </w:rPr>
            </w:pPr>
            <w:r>
              <w:rPr>
                <w:rFonts w:hint="default" w:ascii="Times New Roman" w:hAnsi="Times New Roman" w:eastAsia="宋体" w:cs="Times New Roman"/>
                <w:snapToGrid/>
                <w:color w:val="auto"/>
                <w:spacing w:val="0"/>
                <w:kern w:val="0"/>
                <w:position w:val="0"/>
                <w:sz w:val="24"/>
                <w:szCs w:val="24"/>
                <w:highlight w:val="none"/>
                <w:lang w:val="en-US" w:eastAsia="zh-CN"/>
              </w:rPr>
              <w:t>根据《环境影响评价技术导则</w:t>
            </w:r>
            <w:r>
              <w:rPr>
                <w:rFonts w:hint="eastAsia" w:ascii="Times New Roman" w:hAnsi="Times New Roman" w:eastAsia="宋体" w:cs="Times New Roman"/>
                <w:snapToGrid/>
                <w:color w:val="auto"/>
                <w:spacing w:val="0"/>
                <w:kern w:val="0"/>
                <w:position w:val="0"/>
                <w:sz w:val="24"/>
                <w:szCs w:val="24"/>
                <w:highlight w:val="none"/>
                <w:lang w:val="en-US" w:eastAsia="zh-CN"/>
              </w:rPr>
              <w:t xml:space="preserve">  </w:t>
            </w:r>
            <w:r>
              <w:rPr>
                <w:rFonts w:hint="default" w:ascii="Times New Roman" w:hAnsi="Times New Roman" w:eastAsia="宋体" w:cs="Times New Roman"/>
                <w:snapToGrid/>
                <w:color w:val="auto"/>
                <w:spacing w:val="0"/>
                <w:kern w:val="0"/>
                <w:position w:val="0"/>
                <w:sz w:val="24"/>
                <w:szCs w:val="24"/>
                <w:highlight w:val="none"/>
                <w:lang w:val="en-US" w:eastAsia="zh-CN"/>
              </w:rPr>
              <w:t>大气环境》（HJ2.2-2018），项目所在区域达标情况判定优先采用国家或地方生态环境主管部门公开发布的环境质量公告或环境质量报告中的数据或结论。</w:t>
            </w:r>
          </w:p>
          <w:p w14:paraId="1A9E08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napToGrid/>
                <w:color w:val="auto"/>
                <w:spacing w:val="0"/>
                <w:kern w:val="0"/>
                <w:position w:val="0"/>
                <w:sz w:val="24"/>
                <w:szCs w:val="24"/>
                <w:highlight w:val="none"/>
                <w:lang w:val="en-US" w:eastAsia="zh-CN"/>
              </w:rPr>
            </w:pPr>
            <w:r>
              <w:rPr>
                <w:rFonts w:hint="default" w:ascii="Times New Roman" w:hAnsi="Times New Roman" w:eastAsia="宋体" w:cs="Times New Roman"/>
                <w:snapToGrid/>
                <w:color w:val="auto"/>
                <w:spacing w:val="0"/>
                <w:kern w:val="0"/>
                <w:position w:val="0"/>
                <w:sz w:val="24"/>
                <w:szCs w:val="24"/>
                <w:highlight w:val="none"/>
                <w:lang w:val="en-US" w:eastAsia="zh-CN"/>
              </w:rPr>
              <w:t>本次评价选取</w:t>
            </w:r>
            <w:r>
              <w:rPr>
                <w:rFonts w:hint="eastAsia" w:cs="Times New Roman"/>
                <w:snapToGrid/>
                <w:color w:val="auto"/>
                <w:spacing w:val="0"/>
                <w:kern w:val="0"/>
                <w:position w:val="0"/>
                <w:sz w:val="24"/>
                <w:szCs w:val="24"/>
                <w:highlight w:val="none"/>
                <w:lang w:val="en-US" w:eastAsia="zh-CN"/>
              </w:rPr>
              <w:t>2024</w:t>
            </w:r>
            <w:r>
              <w:rPr>
                <w:rFonts w:hint="default" w:ascii="Times New Roman" w:hAnsi="Times New Roman" w:eastAsia="宋体" w:cs="Times New Roman"/>
                <w:snapToGrid/>
                <w:color w:val="auto"/>
                <w:spacing w:val="0"/>
                <w:kern w:val="0"/>
                <w:position w:val="0"/>
                <w:sz w:val="24"/>
                <w:szCs w:val="24"/>
                <w:highlight w:val="none"/>
                <w:lang w:val="en-US" w:eastAsia="zh-CN"/>
              </w:rPr>
              <w:t>年作为评价基准年。根据</w:t>
            </w:r>
            <w:r>
              <w:rPr>
                <w:rFonts w:hint="default" w:ascii="Times New Roman" w:hAnsi="Times New Roman" w:eastAsia="宋体" w:cs="Times New Roman"/>
                <w:color w:val="auto"/>
                <w:sz w:val="24"/>
                <w:szCs w:val="24"/>
                <w:highlight w:val="none"/>
                <w:shd w:val="clear" w:color="auto" w:fill="auto"/>
                <w:lang w:val="en-US" w:eastAsia="zh-CN"/>
              </w:rPr>
              <w:t>《宿州市</w:t>
            </w:r>
            <w:r>
              <w:rPr>
                <w:rFonts w:hint="eastAsia" w:cs="Times New Roman"/>
                <w:color w:val="auto"/>
                <w:sz w:val="24"/>
                <w:szCs w:val="24"/>
                <w:highlight w:val="none"/>
                <w:shd w:val="clear" w:color="auto" w:fill="auto"/>
                <w:lang w:val="en-US" w:eastAsia="zh-CN"/>
              </w:rPr>
              <w:t>2024</w:t>
            </w:r>
            <w:r>
              <w:rPr>
                <w:rFonts w:hint="default" w:ascii="Times New Roman" w:hAnsi="Times New Roman" w:eastAsia="宋体" w:cs="Times New Roman"/>
                <w:color w:val="auto"/>
                <w:sz w:val="24"/>
                <w:szCs w:val="24"/>
                <w:highlight w:val="none"/>
                <w:shd w:val="clear" w:color="auto" w:fill="auto"/>
                <w:lang w:val="en-US" w:eastAsia="zh-CN"/>
              </w:rPr>
              <w:t>年环境质量公报》</w:t>
            </w:r>
            <w:r>
              <w:rPr>
                <w:rFonts w:hint="default" w:ascii="Times New Roman" w:hAnsi="Times New Roman" w:eastAsia="宋体" w:cs="Times New Roman"/>
                <w:snapToGrid/>
                <w:color w:val="auto"/>
                <w:spacing w:val="0"/>
                <w:kern w:val="0"/>
                <w:position w:val="0"/>
                <w:sz w:val="24"/>
                <w:szCs w:val="24"/>
                <w:highlight w:val="none"/>
                <w:lang w:val="en-US" w:eastAsia="zh-CN"/>
              </w:rPr>
              <w:t>，宿州市</w:t>
            </w:r>
            <w:r>
              <w:rPr>
                <w:rFonts w:hint="eastAsia" w:cs="Times New Roman"/>
                <w:snapToGrid/>
                <w:color w:val="auto"/>
                <w:spacing w:val="0"/>
                <w:kern w:val="0"/>
                <w:position w:val="0"/>
                <w:sz w:val="24"/>
                <w:szCs w:val="24"/>
                <w:highlight w:val="none"/>
                <w:lang w:val="en-US" w:eastAsia="zh-CN"/>
              </w:rPr>
              <w:t>2024</w:t>
            </w:r>
            <w:r>
              <w:rPr>
                <w:rFonts w:hint="default" w:ascii="Times New Roman" w:hAnsi="Times New Roman" w:eastAsia="宋体" w:cs="Times New Roman"/>
                <w:snapToGrid/>
                <w:color w:val="auto"/>
                <w:spacing w:val="0"/>
                <w:kern w:val="0"/>
                <w:position w:val="0"/>
                <w:sz w:val="24"/>
                <w:szCs w:val="24"/>
                <w:highlight w:val="none"/>
                <w:lang w:val="en-US" w:eastAsia="zh-CN"/>
              </w:rPr>
              <w:t>年环境空气质量基础污染物监测浓度项目区域空气质量达标判定见表3.1。</w:t>
            </w:r>
          </w:p>
          <w:p w14:paraId="551AA8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napToGrid/>
                <w:color w:val="auto"/>
                <w:spacing w:val="0"/>
                <w:kern w:val="0"/>
                <w:position w:val="0"/>
                <w:sz w:val="24"/>
                <w:szCs w:val="24"/>
                <w:highlight w:val="none"/>
                <w:lang w:val="en-US" w:eastAsia="zh-CN"/>
              </w:rPr>
            </w:pPr>
            <w:r>
              <w:rPr>
                <w:rFonts w:hint="default" w:ascii="Times New Roman" w:hAnsi="Times New Roman" w:eastAsia="宋体" w:cs="Times New Roman"/>
                <w:b/>
                <w:bCs/>
                <w:snapToGrid/>
                <w:color w:val="auto"/>
                <w:spacing w:val="0"/>
                <w:kern w:val="0"/>
                <w:position w:val="0"/>
                <w:sz w:val="24"/>
                <w:szCs w:val="24"/>
                <w:highlight w:val="none"/>
                <w:lang w:val="en-US" w:eastAsia="zh-CN"/>
              </w:rPr>
              <w:t>表3.1  区域空气质量现状评价表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004"/>
              <w:gridCol w:w="1291"/>
              <w:gridCol w:w="1312"/>
              <w:gridCol w:w="1286"/>
              <w:gridCol w:w="1377"/>
            </w:tblGrid>
            <w:tr w14:paraId="0C32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2B95432B">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污染物</w:t>
                  </w:r>
                </w:p>
              </w:tc>
              <w:tc>
                <w:tcPr>
                  <w:tcW w:w="2004" w:type="dxa"/>
                  <w:noWrap w:val="0"/>
                  <w:vAlign w:val="center"/>
                </w:tcPr>
                <w:p w14:paraId="55BE68B6">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评价标准</w:t>
                  </w:r>
                </w:p>
              </w:tc>
              <w:tc>
                <w:tcPr>
                  <w:tcW w:w="1291" w:type="dxa"/>
                  <w:noWrap w:val="0"/>
                  <w:vAlign w:val="center"/>
                </w:tcPr>
                <w:p w14:paraId="4C4BA9CF">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年均浓度（μg/m</w:t>
                  </w:r>
                  <w:r>
                    <w:rPr>
                      <w:rFonts w:hint="eastAsia"/>
                      <w:color w:val="auto"/>
                      <w:sz w:val="21"/>
                      <w:szCs w:val="21"/>
                      <w:vertAlign w:val="superscript"/>
                      <w:lang w:val="en-US" w:eastAsia="zh-CN"/>
                    </w:rPr>
                    <w:t>3</w:t>
                  </w:r>
                  <w:r>
                    <w:rPr>
                      <w:rFonts w:hint="default"/>
                      <w:color w:val="auto"/>
                      <w:sz w:val="21"/>
                      <w:szCs w:val="21"/>
                      <w:lang w:val="en-US" w:eastAsia="zh-CN"/>
                    </w:rPr>
                    <w:t>）</w:t>
                  </w:r>
                </w:p>
              </w:tc>
              <w:tc>
                <w:tcPr>
                  <w:tcW w:w="1312" w:type="dxa"/>
                  <w:noWrap w:val="0"/>
                  <w:vAlign w:val="center"/>
                </w:tcPr>
                <w:p w14:paraId="10790AEB">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标准值（μg/m</w:t>
                  </w:r>
                  <w:r>
                    <w:rPr>
                      <w:rFonts w:hint="eastAsia"/>
                      <w:color w:val="auto"/>
                      <w:sz w:val="21"/>
                      <w:szCs w:val="21"/>
                      <w:vertAlign w:val="superscript"/>
                      <w:lang w:val="en-US" w:eastAsia="zh-CN"/>
                    </w:rPr>
                    <w:t>3</w:t>
                  </w:r>
                  <w:r>
                    <w:rPr>
                      <w:rFonts w:hint="default"/>
                      <w:color w:val="auto"/>
                      <w:sz w:val="21"/>
                      <w:szCs w:val="21"/>
                      <w:lang w:val="en-US" w:eastAsia="zh-CN"/>
                    </w:rPr>
                    <w:t>）</w:t>
                  </w:r>
                </w:p>
              </w:tc>
              <w:tc>
                <w:tcPr>
                  <w:tcW w:w="1286" w:type="dxa"/>
                  <w:noWrap w:val="0"/>
                  <w:vAlign w:val="center"/>
                </w:tcPr>
                <w:p w14:paraId="01AFD851">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占标率%</w:t>
                  </w:r>
                </w:p>
              </w:tc>
              <w:tc>
                <w:tcPr>
                  <w:tcW w:w="1377" w:type="dxa"/>
                  <w:noWrap w:val="0"/>
                  <w:vAlign w:val="center"/>
                </w:tcPr>
                <w:p w14:paraId="394BCDD3">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达标情况</w:t>
                  </w:r>
                </w:p>
              </w:tc>
            </w:tr>
            <w:tr w14:paraId="75C4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38CB75F6">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PM</w:t>
                  </w:r>
                  <w:r>
                    <w:rPr>
                      <w:rFonts w:hint="eastAsia"/>
                      <w:color w:val="auto"/>
                      <w:sz w:val="21"/>
                      <w:szCs w:val="21"/>
                      <w:vertAlign w:val="subscript"/>
                      <w:lang w:val="en-US" w:eastAsia="zh-CN"/>
                    </w:rPr>
                    <w:t>10</w:t>
                  </w:r>
                </w:p>
              </w:tc>
              <w:tc>
                <w:tcPr>
                  <w:tcW w:w="2004" w:type="dxa"/>
                  <w:noWrap w:val="0"/>
                  <w:vAlign w:val="center"/>
                </w:tcPr>
                <w:p w14:paraId="03F1F175">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年平均浓度</w:t>
                  </w:r>
                </w:p>
              </w:tc>
              <w:tc>
                <w:tcPr>
                  <w:tcW w:w="1291" w:type="dxa"/>
                  <w:noWrap w:val="0"/>
                  <w:vAlign w:val="center"/>
                </w:tcPr>
                <w:p w14:paraId="7E971774">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71</w:t>
                  </w:r>
                </w:p>
              </w:tc>
              <w:tc>
                <w:tcPr>
                  <w:tcW w:w="1312" w:type="dxa"/>
                  <w:noWrap w:val="0"/>
                  <w:vAlign w:val="center"/>
                </w:tcPr>
                <w:p w14:paraId="325DA668">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70</w:t>
                  </w:r>
                </w:p>
              </w:tc>
              <w:tc>
                <w:tcPr>
                  <w:tcW w:w="1286" w:type="dxa"/>
                  <w:noWrap w:val="0"/>
                  <w:vAlign w:val="center"/>
                </w:tcPr>
                <w:p w14:paraId="18D1D329">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101.4</w:t>
                  </w:r>
                </w:p>
              </w:tc>
              <w:tc>
                <w:tcPr>
                  <w:tcW w:w="1377" w:type="dxa"/>
                  <w:noWrap w:val="0"/>
                  <w:vAlign w:val="center"/>
                </w:tcPr>
                <w:p w14:paraId="2C62B967">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不达标</w:t>
                  </w:r>
                </w:p>
              </w:tc>
            </w:tr>
            <w:tr w14:paraId="3B48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01F15430">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PM</w:t>
                  </w:r>
                  <w:r>
                    <w:rPr>
                      <w:rFonts w:hint="eastAsia"/>
                      <w:color w:val="auto"/>
                      <w:sz w:val="21"/>
                      <w:szCs w:val="21"/>
                      <w:vertAlign w:val="subscript"/>
                      <w:lang w:val="en-US" w:eastAsia="zh-CN"/>
                    </w:rPr>
                    <w:t>2.5</w:t>
                  </w:r>
                </w:p>
              </w:tc>
              <w:tc>
                <w:tcPr>
                  <w:tcW w:w="2004" w:type="dxa"/>
                  <w:noWrap w:val="0"/>
                  <w:vAlign w:val="center"/>
                </w:tcPr>
                <w:p w14:paraId="5E064AA8">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年平均浓度</w:t>
                  </w:r>
                </w:p>
              </w:tc>
              <w:tc>
                <w:tcPr>
                  <w:tcW w:w="1291" w:type="dxa"/>
                  <w:noWrap w:val="0"/>
                  <w:vAlign w:val="center"/>
                </w:tcPr>
                <w:p w14:paraId="6B47E3F9">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43</w:t>
                  </w:r>
                </w:p>
              </w:tc>
              <w:tc>
                <w:tcPr>
                  <w:tcW w:w="1312" w:type="dxa"/>
                  <w:noWrap w:val="0"/>
                  <w:vAlign w:val="center"/>
                </w:tcPr>
                <w:p w14:paraId="5E45EBFB">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35</w:t>
                  </w:r>
                </w:p>
              </w:tc>
              <w:tc>
                <w:tcPr>
                  <w:tcW w:w="1286" w:type="dxa"/>
                  <w:noWrap w:val="0"/>
                  <w:vAlign w:val="center"/>
                </w:tcPr>
                <w:p w14:paraId="1DAE53D3">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122.9</w:t>
                  </w:r>
                </w:p>
              </w:tc>
              <w:tc>
                <w:tcPr>
                  <w:tcW w:w="1377" w:type="dxa"/>
                  <w:noWrap w:val="0"/>
                  <w:vAlign w:val="center"/>
                </w:tcPr>
                <w:p w14:paraId="092DDC0C">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不达标</w:t>
                  </w:r>
                </w:p>
              </w:tc>
            </w:tr>
            <w:tr w14:paraId="7678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7712716F">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SO</w:t>
                  </w:r>
                  <w:r>
                    <w:rPr>
                      <w:rFonts w:hint="eastAsia"/>
                      <w:color w:val="auto"/>
                      <w:sz w:val="21"/>
                      <w:szCs w:val="21"/>
                      <w:vertAlign w:val="subscript"/>
                      <w:lang w:val="en-US" w:eastAsia="zh-CN"/>
                    </w:rPr>
                    <w:t>2</w:t>
                  </w:r>
                </w:p>
              </w:tc>
              <w:tc>
                <w:tcPr>
                  <w:tcW w:w="2004" w:type="dxa"/>
                  <w:noWrap w:val="0"/>
                  <w:vAlign w:val="center"/>
                </w:tcPr>
                <w:p w14:paraId="4C282B49">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年平均浓度</w:t>
                  </w:r>
                </w:p>
              </w:tc>
              <w:tc>
                <w:tcPr>
                  <w:tcW w:w="1291" w:type="dxa"/>
                  <w:noWrap w:val="0"/>
                  <w:vAlign w:val="center"/>
                </w:tcPr>
                <w:p w14:paraId="275B55F7">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6</w:t>
                  </w:r>
                </w:p>
              </w:tc>
              <w:tc>
                <w:tcPr>
                  <w:tcW w:w="1312" w:type="dxa"/>
                  <w:noWrap w:val="0"/>
                  <w:vAlign w:val="center"/>
                </w:tcPr>
                <w:p w14:paraId="4EA80EC4">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60</w:t>
                  </w:r>
                </w:p>
              </w:tc>
              <w:tc>
                <w:tcPr>
                  <w:tcW w:w="1286" w:type="dxa"/>
                  <w:noWrap w:val="0"/>
                  <w:vAlign w:val="center"/>
                </w:tcPr>
                <w:p w14:paraId="0A0799E1">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10.0</w:t>
                  </w:r>
                </w:p>
              </w:tc>
              <w:tc>
                <w:tcPr>
                  <w:tcW w:w="1377" w:type="dxa"/>
                  <w:noWrap w:val="0"/>
                  <w:vAlign w:val="center"/>
                </w:tcPr>
                <w:p w14:paraId="7E1EB083">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达标</w:t>
                  </w:r>
                </w:p>
              </w:tc>
            </w:tr>
            <w:tr w14:paraId="4330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1F91735E">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NO</w:t>
                  </w:r>
                  <w:r>
                    <w:rPr>
                      <w:rFonts w:hint="eastAsia"/>
                      <w:color w:val="auto"/>
                      <w:sz w:val="21"/>
                      <w:szCs w:val="21"/>
                      <w:vertAlign w:val="subscript"/>
                      <w:lang w:val="en-US" w:eastAsia="zh-CN"/>
                    </w:rPr>
                    <w:t>2</w:t>
                  </w:r>
                </w:p>
              </w:tc>
              <w:tc>
                <w:tcPr>
                  <w:tcW w:w="2004" w:type="dxa"/>
                  <w:noWrap w:val="0"/>
                  <w:vAlign w:val="center"/>
                </w:tcPr>
                <w:p w14:paraId="66D5C788">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年平均浓度</w:t>
                  </w:r>
                </w:p>
              </w:tc>
              <w:tc>
                <w:tcPr>
                  <w:tcW w:w="1291" w:type="dxa"/>
                  <w:noWrap w:val="0"/>
                  <w:vAlign w:val="center"/>
                </w:tcPr>
                <w:p w14:paraId="0075E90C">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18</w:t>
                  </w:r>
                </w:p>
              </w:tc>
              <w:tc>
                <w:tcPr>
                  <w:tcW w:w="1312" w:type="dxa"/>
                  <w:noWrap w:val="0"/>
                  <w:vAlign w:val="center"/>
                </w:tcPr>
                <w:p w14:paraId="773B4670">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40</w:t>
                  </w:r>
                </w:p>
              </w:tc>
              <w:tc>
                <w:tcPr>
                  <w:tcW w:w="1286" w:type="dxa"/>
                  <w:noWrap w:val="0"/>
                  <w:vAlign w:val="center"/>
                </w:tcPr>
                <w:p w14:paraId="2047A135">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45.0</w:t>
                  </w:r>
                </w:p>
              </w:tc>
              <w:tc>
                <w:tcPr>
                  <w:tcW w:w="1377" w:type="dxa"/>
                  <w:noWrap w:val="0"/>
                  <w:vAlign w:val="center"/>
                </w:tcPr>
                <w:p w14:paraId="5241EEBD">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达标</w:t>
                  </w:r>
                </w:p>
              </w:tc>
            </w:tr>
            <w:tr w14:paraId="3840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37480775">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CO</w:t>
                  </w:r>
                </w:p>
              </w:tc>
              <w:tc>
                <w:tcPr>
                  <w:tcW w:w="2004" w:type="dxa"/>
                  <w:noWrap w:val="0"/>
                  <w:vAlign w:val="center"/>
                </w:tcPr>
                <w:p w14:paraId="34F87E5A">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日平均第95百分位质量浓度</w:t>
                  </w:r>
                </w:p>
              </w:tc>
              <w:tc>
                <w:tcPr>
                  <w:tcW w:w="1291" w:type="dxa"/>
                  <w:noWrap w:val="0"/>
                  <w:vAlign w:val="center"/>
                </w:tcPr>
                <w:p w14:paraId="5A3D69C3">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0.9mg/m</w:t>
                  </w:r>
                  <w:r>
                    <w:rPr>
                      <w:rFonts w:hint="eastAsia"/>
                      <w:color w:val="auto"/>
                      <w:sz w:val="21"/>
                      <w:szCs w:val="21"/>
                      <w:vertAlign w:val="superscript"/>
                      <w:lang w:val="en-US" w:eastAsia="zh-CN"/>
                    </w:rPr>
                    <w:t>3</w:t>
                  </w:r>
                </w:p>
              </w:tc>
              <w:tc>
                <w:tcPr>
                  <w:tcW w:w="1312" w:type="dxa"/>
                  <w:noWrap w:val="0"/>
                  <w:vAlign w:val="center"/>
                </w:tcPr>
                <w:p w14:paraId="66FA570B">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4mg/m</w:t>
                  </w:r>
                  <w:r>
                    <w:rPr>
                      <w:rFonts w:hint="eastAsia"/>
                      <w:color w:val="auto"/>
                      <w:sz w:val="21"/>
                      <w:szCs w:val="21"/>
                      <w:vertAlign w:val="superscript"/>
                      <w:lang w:val="en-US" w:eastAsia="zh-CN"/>
                    </w:rPr>
                    <w:t>3</w:t>
                  </w:r>
                </w:p>
              </w:tc>
              <w:tc>
                <w:tcPr>
                  <w:tcW w:w="1286" w:type="dxa"/>
                  <w:noWrap w:val="0"/>
                  <w:vAlign w:val="center"/>
                </w:tcPr>
                <w:p w14:paraId="35C776CD">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22.5</w:t>
                  </w:r>
                </w:p>
              </w:tc>
              <w:tc>
                <w:tcPr>
                  <w:tcW w:w="1377" w:type="dxa"/>
                  <w:noWrap w:val="0"/>
                  <w:vAlign w:val="center"/>
                </w:tcPr>
                <w:p w14:paraId="7081721E">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达标</w:t>
                  </w:r>
                </w:p>
              </w:tc>
            </w:tr>
            <w:tr w14:paraId="1E3B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5BBAC191">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O</w:t>
                  </w:r>
                  <w:r>
                    <w:rPr>
                      <w:rFonts w:hint="eastAsia"/>
                      <w:color w:val="auto"/>
                      <w:sz w:val="21"/>
                      <w:szCs w:val="21"/>
                      <w:vertAlign w:val="subscript"/>
                      <w:lang w:val="en-US" w:eastAsia="zh-CN"/>
                    </w:rPr>
                    <w:t>3</w:t>
                  </w:r>
                </w:p>
              </w:tc>
              <w:tc>
                <w:tcPr>
                  <w:tcW w:w="2004" w:type="dxa"/>
                  <w:noWrap w:val="0"/>
                  <w:vAlign w:val="center"/>
                </w:tcPr>
                <w:p w14:paraId="5CFDA85E">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日最大8小时平均第90百分位质量浓度</w:t>
                  </w:r>
                </w:p>
              </w:tc>
              <w:tc>
                <w:tcPr>
                  <w:tcW w:w="1291" w:type="dxa"/>
                  <w:noWrap w:val="0"/>
                  <w:vAlign w:val="center"/>
                </w:tcPr>
                <w:p w14:paraId="078F7072">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170</w:t>
                  </w:r>
                </w:p>
              </w:tc>
              <w:tc>
                <w:tcPr>
                  <w:tcW w:w="1312" w:type="dxa"/>
                  <w:noWrap w:val="0"/>
                  <w:vAlign w:val="center"/>
                </w:tcPr>
                <w:p w14:paraId="0D6F73A4">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160</w:t>
                  </w:r>
                </w:p>
              </w:tc>
              <w:tc>
                <w:tcPr>
                  <w:tcW w:w="1286" w:type="dxa"/>
                  <w:noWrap w:val="0"/>
                  <w:vAlign w:val="center"/>
                </w:tcPr>
                <w:p w14:paraId="62B58CCE">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106.3</w:t>
                  </w:r>
                </w:p>
              </w:tc>
              <w:tc>
                <w:tcPr>
                  <w:tcW w:w="1377" w:type="dxa"/>
                  <w:noWrap w:val="0"/>
                  <w:vAlign w:val="center"/>
                </w:tcPr>
                <w:p w14:paraId="1D2FEF8B">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不</w:t>
                  </w:r>
                  <w:r>
                    <w:rPr>
                      <w:rFonts w:hint="default"/>
                      <w:color w:val="auto"/>
                      <w:sz w:val="21"/>
                      <w:szCs w:val="21"/>
                      <w:lang w:val="en-US" w:eastAsia="zh-CN"/>
                    </w:rPr>
                    <w:t>达标</w:t>
                  </w:r>
                </w:p>
              </w:tc>
            </w:tr>
          </w:tbl>
          <w:p w14:paraId="0644562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kern w:val="0"/>
                <w:sz w:val="24"/>
                <w:szCs w:val="24"/>
                <w:lang w:val="en-US" w:eastAsia="zh-CN"/>
              </w:rPr>
              <w:t>宿州市</w:t>
            </w:r>
            <w:r>
              <w:rPr>
                <w:rFonts w:hint="eastAsia" w:cs="Times New Roman"/>
                <w:color w:val="auto"/>
                <w:kern w:val="0"/>
                <w:sz w:val="24"/>
                <w:szCs w:val="24"/>
                <w:lang w:val="en-US" w:eastAsia="zh-CN"/>
              </w:rPr>
              <w:t>2024</w:t>
            </w:r>
            <w:r>
              <w:rPr>
                <w:rFonts w:hint="default" w:ascii="Times New Roman" w:hAnsi="Times New Roman" w:eastAsia="宋体" w:cs="Times New Roman"/>
                <w:color w:val="auto"/>
                <w:kern w:val="0"/>
                <w:sz w:val="24"/>
                <w:szCs w:val="24"/>
                <w:lang w:val="en-US" w:eastAsia="zh-CN"/>
              </w:rPr>
              <w:t>年PM</w:t>
            </w:r>
            <w:r>
              <w:rPr>
                <w:rFonts w:hint="default" w:ascii="Times New Roman" w:hAnsi="Times New Roman" w:eastAsia="宋体" w:cs="Times New Roman"/>
                <w:color w:val="auto"/>
                <w:kern w:val="0"/>
                <w:sz w:val="24"/>
                <w:szCs w:val="24"/>
                <w:vertAlign w:val="subscript"/>
                <w:lang w:val="en-US" w:eastAsia="zh-CN"/>
              </w:rPr>
              <w:t>10</w:t>
            </w:r>
            <w:r>
              <w:rPr>
                <w:rFonts w:hint="default" w:ascii="Times New Roman" w:hAnsi="Times New Roman" w:eastAsia="宋体" w:cs="Times New Roman"/>
                <w:color w:val="auto"/>
                <w:kern w:val="0"/>
                <w:sz w:val="24"/>
                <w:szCs w:val="24"/>
                <w:lang w:val="en-US" w:eastAsia="zh-CN"/>
              </w:rPr>
              <w:t>、PM</w:t>
            </w:r>
            <w:r>
              <w:rPr>
                <w:rFonts w:hint="default" w:ascii="Times New Roman" w:hAnsi="Times New Roman" w:eastAsia="宋体" w:cs="Times New Roman"/>
                <w:color w:val="auto"/>
                <w:kern w:val="0"/>
                <w:sz w:val="24"/>
                <w:szCs w:val="24"/>
                <w:vertAlign w:val="subscript"/>
                <w:lang w:val="en-US" w:eastAsia="zh-CN"/>
              </w:rPr>
              <w:t>2.5</w:t>
            </w:r>
            <w:r>
              <w:rPr>
                <w:rFonts w:hint="eastAsia" w:cs="Times New Roman"/>
                <w:color w:val="auto"/>
                <w:kern w:val="0"/>
                <w:sz w:val="24"/>
                <w:szCs w:val="24"/>
                <w:vertAlign w:val="baseline"/>
                <w:lang w:val="en-US" w:eastAsia="zh-CN"/>
              </w:rPr>
              <w:t>、</w:t>
            </w:r>
            <w:r>
              <w:rPr>
                <w:rFonts w:hint="default" w:ascii="Times New Roman" w:hAnsi="Times New Roman" w:eastAsia="宋体" w:cs="Times New Roman"/>
                <w:color w:val="auto"/>
                <w:kern w:val="0"/>
                <w:sz w:val="24"/>
                <w:szCs w:val="24"/>
                <w:lang w:val="en-US" w:eastAsia="zh-CN"/>
              </w:rPr>
              <w:t>SO</w:t>
            </w:r>
            <w:r>
              <w:rPr>
                <w:rFonts w:hint="default" w:ascii="Times New Roman" w:hAnsi="Times New Roman" w:eastAsia="宋体" w:cs="Times New Roman"/>
                <w:color w:val="auto"/>
                <w:kern w:val="0"/>
                <w:sz w:val="24"/>
                <w:szCs w:val="24"/>
                <w:vertAlign w:val="subscript"/>
                <w:lang w:val="en-US" w:eastAsia="zh-CN"/>
              </w:rPr>
              <w:t>2</w:t>
            </w:r>
            <w:r>
              <w:rPr>
                <w:rFonts w:hint="default" w:ascii="Times New Roman" w:hAnsi="Times New Roman" w:eastAsia="宋体" w:cs="Times New Roman"/>
                <w:color w:val="auto"/>
                <w:kern w:val="0"/>
                <w:sz w:val="24"/>
                <w:szCs w:val="24"/>
                <w:lang w:val="en-US" w:eastAsia="zh-CN"/>
              </w:rPr>
              <w:t>、NO</w:t>
            </w:r>
            <w:r>
              <w:rPr>
                <w:rFonts w:hint="default" w:ascii="Times New Roman" w:hAnsi="Times New Roman" w:eastAsia="宋体" w:cs="Times New Roman"/>
                <w:color w:val="auto"/>
                <w:kern w:val="0"/>
                <w:sz w:val="24"/>
                <w:szCs w:val="24"/>
                <w:vertAlign w:val="subscript"/>
                <w:lang w:val="en-US" w:eastAsia="zh-CN"/>
              </w:rPr>
              <w:t>2</w:t>
            </w:r>
            <w:r>
              <w:rPr>
                <w:rFonts w:hint="default" w:ascii="Times New Roman" w:hAnsi="Times New Roman" w:eastAsia="宋体" w:cs="Times New Roman"/>
                <w:color w:val="auto"/>
                <w:kern w:val="0"/>
                <w:sz w:val="24"/>
                <w:szCs w:val="24"/>
                <w:lang w:val="en-US" w:eastAsia="zh-CN"/>
              </w:rPr>
              <w:t>年均浓度分别为</w:t>
            </w:r>
            <w:r>
              <w:rPr>
                <w:rFonts w:hint="eastAsia" w:cs="Times New Roman"/>
                <w:color w:val="auto"/>
                <w:kern w:val="0"/>
                <w:sz w:val="24"/>
                <w:szCs w:val="24"/>
                <w:lang w:val="en-US" w:eastAsia="zh-CN"/>
              </w:rPr>
              <w:t>71</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w:t>
            </w:r>
            <w:r>
              <w:rPr>
                <w:rFonts w:hint="eastAsia" w:cs="Times New Roman"/>
                <w:color w:val="auto"/>
                <w:kern w:val="0"/>
                <w:sz w:val="24"/>
                <w:szCs w:val="24"/>
                <w:lang w:val="en-US" w:eastAsia="zh-CN"/>
              </w:rPr>
              <w:t>43</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w:t>
            </w:r>
            <w:r>
              <w:rPr>
                <w:rFonts w:hint="eastAsia" w:cs="Times New Roman"/>
                <w:color w:val="auto"/>
                <w:kern w:val="0"/>
                <w:sz w:val="24"/>
                <w:szCs w:val="24"/>
                <w:lang w:val="en-US" w:eastAsia="zh-CN"/>
              </w:rPr>
              <w:t>18</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；CO24小时平均第95百分位数为</w:t>
            </w:r>
            <w:r>
              <w:rPr>
                <w:rFonts w:hint="eastAsia" w:cs="Times New Roman"/>
                <w:color w:val="auto"/>
                <w:kern w:val="0"/>
                <w:sz w:val="24"/>
                <w:szCs w:val="24"/>
                <w:lang w:val="en-US" w:eastAsia="zh-CN"/>
              </w:rPr>
              <w:t>0.9</w:t>
            </w:r>
            <w:r>
              <w:rPr>
                <w:rFonts w:hint="default" w:ascii="Times New Roman" w:hAnsi="Times New Roman" w:eastAsia="宋体" w:cs="Times New Roman"/>
                <w:color w:val="auto"/>
                <w:kern w:val="0"/>
                <w:sz w:val="24"/>
                <w:szCs w:val="24"/>
                <w:lang w:val="en-US" w:eastAsia="zh-CN"/>
              </w:rPr>
              <w:t>mg/m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，O</w:t>
            </w:r>
            <w:r>
              <w:rPr>
                <w:rFonts w:hint="default" w:ascii="Times New Roman" w:hAnsi="Times New Roman" w:eastAsia="宋体" w:cs="Times New Roman"/>
                <w:color w:val="auto"/>
                <w:kern w:val="0"/>
                <w:sz w:val="24"/>
                <w:szCs w:val="24"/>
                <w:vertAlign w:val="subscript"/>
                <w:lang w:val="en-US" w:eastAsia="zh-CN"/>
              </w:rPr>
              <w:t>3</w:t>
            </w:r>
            <w:r>
              <w:rPr>
                <w:rFonts w:hint="default" w:ascii="Times New Roman" w:hAnsi="Times New Roman" w:eastAsia="宋体" w:cs="Times New Roman"/>
                <w:color w:val="auto"/>
                <w:kern w:val="0"/>
                <w:sz w:val="24"/>
                <w:szCs w:val="24"/>
                <w:lang w:val="en-US" w:eastAsia="zh-CN"/>
              </w:rPr>
              <w:t>日最大8小时平均第90百分位数为</w:t>
            </w:r>
            <w:r>
              <w:rPr>
                <w:rFonts w:hint="eastAsia" w:cs="Times New Roman"/>
                <w:color w:val="auto"/>
                <w:kern w:val="0"/>
                <w:sz w:val="24"/>
                <w:szCs w:val="24"/>
                <w:lang w:val="en-US" w:eastAsia="zh-CN"/>
              </w:rPr>
              <w:t>170</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；超过《环境空气质量标准》（GB3095-2012）中二级标准限值的污染物为O</w:t>
            </w:r>
            <w:r>
              <w:rPr>
                <w:rFonts w:hint="default" w:ascii="Times New Roman" w:hAnsi="Times New Roman" w:eastAsia="宋体" w:cs="Times New Roman"/>
                <w:color w:val="auto"/>
                <w:kern w:val="0"/>
                <w:sz w:val="24"/>
                <w:szCs w:val="24"/>
                <w:vertAlign w:val="subscript"/>
                <w:lang w:val="en-US" w:eastAsia="zh-CN"/>
              </w:rPr>
              <w:t>3</w:t>
            </w:r>
            <w:r>
              <w:rPr>
                <w:rFonts w:hint="default" w:ascii="Times New Roman" w:hAnsi="Times New Roman" w:eastAsia="宋体" w:cs="Times New Roman"/>
                <w:color w:val="auto"/>
                <w:kern w:val="0"/>
                <w:sz w:val="24"/>
                <w:szCs w:val="24"/>
                <w:lang w:val="en-US" w:eastAsia="zh-CN"/>
              </w:rPr>
              <w:t>、PM</w:t>
            </w:r>
            <w:r>
              <w:rPr>
                <w:rFonts w:hint="default" w:ascii="Times New Roman" w:hAnsi="Times New Roman" w:eastAsia="宋体" w:cs="Times New Roman"/>
                <w:color w:val="auto"/>
                <w:kern w:val="0"/>
                <w:sz w:val="24"/>
                <w:szCs w:val="24"/>
                <w:vertAlign w:val="subscript"/>
                <w:lang w:val="en-US" w:eastAsia="zh-CN"/>
              </w:rPr>
              <w:t>2.5</w:t>
            </w:r>
            <w:r>
              <w:rPr>
                <w:rFonts w:hint="default" w:ascii="Times New Roman" w:hAnsi="Times New Roman" w:eastAsia="宋体" w:cs="Times New Roman"/>
                <w:color w:val="auto"/>
                <w:kern w:val="0"/>
                <w:sz w:val="24"/>
                <w:szCs w:val="24"/>
                <w:lang w:val="en-US" w:eastAsia="zh-CN"/>
              </w:rPr>
              <w:t>、PM</w:t>
            </w:r>
            <w:r>
              <w:rPr>
                <w:rFonts w:hint="eastAsia" w:ascii="Times New Roman" w:hAnsi="Times New Roman" w:eastAsia="宋体" w:cs="Times New Roman"/>
                <w:color w:val="auto"/>
                <w:kern w:val="0"/>
                <w:sz w:val="24"/>
                <w:szCs w:val="24"/>
                <w:vertAlign w:val="subscript"/>
                <w:lang w:val="en-US" w:eastAsia="zh-CN"/>
              </w:rPr>
              <w:t>10</w:t>
            </w:r>
            <w:r>
              <w:rPr>
                <w:rFonts w:hint="eastAsia" w:ascii="Times New Roman" w:hAnsi="Times New Roman" w:eastAsia="宋体" w:cs="Times New Roman"/>
                <w:color w:val="auto"/>
                <w:kern w:val="0"/>
                <w:sz w:val="24"/>
                <w:szCs w:val="24"/>
                <w:vertAlign w:val="baseline"/>
                <w:lang w:val="en-US" w:eastAsia="zh-CN"/>
              </w:rPr>
              <w:t>。</w:t>
            </w:r>
            <w:r>
              <w:rPr>
                <w:rFonts w:hint="default" w:ascii="Times New Roman" w:hAnsi="Times New Roman" w:eastAsia="宋体" w:cs="Times New Roman"/>
                <w:color w:val="auto"/>
                <w:kern w:val="0"/>
                <w:sz w:val="24"/>
                <w:szCs w:val="24"/>
                <w:lang w:val="en-US" w:eastAsia="zh-CN"/>
              </w:rPr>
              <w:t>所以项目所在地为大气环境空气质量不达标区。</w:t>
            </w:r>
          </w:p>
          <w:p w14:paraId="1F981FD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2、</w:t>
            </w:r>
            <w:r>
              <w:rPr>
                <w:rFonts w:hint="eastAsia" w:ascii="Times New Roman" w:hAnsi="Times New Roman" w:eastAsia="宋体" w:cs="Times New Roman"/>
                <w:b/>
                <w:bCs/>
                <w:color w:val="auto"/>
                <w:kern w:val="0"/>
                <w:sz w:val="24"/>
                <w:szCs w:val="24"/>
                <w:highlight w:val="none"/>
                <w:lang w:val="en-US" w:eastAsia="zh-CN"/>
              </w:rPr>
              <w:t>地表</w:t>
            </w:r>
            <w:r>
              <w:rPr>
                <w:rFonts w:hint="default" w:ascii="Times New Roman" w:hAnsi="Times New Roman" w:eastAsia="宋体" w:cs="Times New Roman"/>
                <w:b/>
                <w:bCs/>
                <w:color w:val="auto"/>
                <w:kern w:val="0"/>
                <w:sz w:val="24"/>
                <w:szCs w:val="24"/>
                <w:highlight w:val="none"/>
                <w:lang w:val="en-US" w:eastAsia="zh-CN"/>
              </w:rPr>
              <w:t>水环境</w:t>
            </w:r>
          </w:p>
          <w:p w14:paraId="35013C0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color w:val="auto"/>
                <w:sz w:val="24"/>
                <w:highlight w:val="none"/>
                <w:lang w:eastAsia="zh-CN"/>
              </w:rPr>
            </w:pPr>
            <w:r>
              <w:rPr>
                <w:rFonts w:hint="default" w:ascii="Times New Roman" w:hAnsi="Times New Roman" w:eastAsia="宋体" w:cs="Times New Roman"/>
                <w:color w:val="auto"/>
                <w:sz w:val="24"/>
                <w:szCs w:val="24"/>
                <w:lang w:val="en-US" w:eastAsia="zh-CN"/>
              </w:rPr>
              <w:t>根据宿州市</w:t>
            </w:r>
            <w:r>
              <w:rPr>
                <w:rFonts w:hint="eastAsia" w:cs="Times New Roman"/>
                <w:color w:val="auto"/>
                <w:sz w:val="24"/>
                <w:szCs w:val="24"/>
                <w:lang w:val="en-US" w:eastAsia="zh-CN"/>
              </w:rPr>
              <w:t>2024</w:t>
            </w:r>
            <w:r>
              <w:rPr>
                <w:rFonts w:hint="default" w:ascii="Times New Roman" w:hAnsi="Times New Roman" w:eastAsia="宋体" w:cs="Times New Roman"/>
                <w:color w:val="auto"/>
                <w:sz w:val="24"/>
                <w:szCs w:val="24"/>
                <w:lang w:val="en-US" w:eastAsia="zh-CN"/>
              </w:rPr>
              <w:t>年环境质量状况：</w:t>
            </w:r>
            <w:r>
              <w:rPr>
                <w:rFonts w:hint="default" w:ascii="Times New Roman" w:hAnsi="Times New Roman" w:eastAsia="宋体" w:cs="Times New Roman"/>
                <w:color w:val="auto"/>
                <w:kern w:val="0"/>
                <w:sz w:val="24"/>
                <w:szCs w:val="24"/>
                <w:lang w:val="en-US" w:eastAsia="zh-CN"/>
              </w:rPr>
              <w:t>水环境质量：2024年，宿州市水环境质量稳中向好、稳中趋优。全市13个地表水国家考核断面中10个水质达到Ⅲ类，水质优良比例为76.9%，较上一年同比提升7.7个百分点，超额完成省厅下达的年度力争考核目标；10个地表水省考核断面中5个断面水质为Ⅲ类，水质优良比例为50%，超出省年度考核目标20个百分点。9个县级及以上集中式饮用水水源地水质达标率保持100%，切实保障了市</w:t>
            </w:r>
            <w:r>
              <w:rPr>
                <w:rFonts w:hint="eastAsia" w:ascii="宋体" w:hAnsi="宋体" w:eastAsia="宋体" w:cs="宋体"/>
                <w:color w:val="auto"/>
                <w:kern w:val="0"/>
                <w:sz w:val="24"/>
                <w:szCs w:val="24"/>
                <w:lang w:val="en-US" w:eastAsia="zh-CN"/>
              </w:rPr>
              <w:t>民“水缸子”的安</w:t>
            </w:r>
            <w:r>
              <w:rPr>
                <w:rFonts w:hint="default" w:ascii="Times New Roman" w:hAnsi="Times New Roman" w:eastAsia="宋体" w:cs="Times New Roman"/>
                <w:color w:val="auto"/>
                <w:kern w:val="0"/>
                <w:sz w:val="24"/>
                <w:szCs w:val="24"/>
                <w:lang w:val="en-US" w:eastAsia="zh-CN"/>
              </w:rPr>
              <w:t>全，让群众喝上放心水。</w:t>
            </w:r>
            <w:r>
              <w:rPr>
                <w:rFonts w:hint="eastAsia" w:cs="Times New Roman"/>
                <w:color w:val="auto"/>
                <w:sz w:val="24"/>
                <w:szCs w:val="24"/>
                <w:highlight w:val="none"/>
                <w:lang w:eastAsia="zh-CN"/>
              </w:rPr>
              <w:t>闫河</w:t>
            </w:r>
            <w:r>
              <w:rPr>
                <w:rFonts w:hint="eastAsia" w:ascii="Times New Roman" w:hAnsi="Times New Roman" w:cs="Times New Roman"/>
                <w:color w:val="auto"/>
                <w:sz w:val="24"/>
                <w:highlight w:val="none"/>
                <w:lang w:eastAsia="zh-CN"/>
              </w:rPr>
              <w:t>水环境质量满足《地表水环境质量标准》(GB3838-2002）中</w:t>
            </w:r>
            <w:r>
              <w:rPr>
                <w:rFonts w:hint="default" w:ascii="Times New Roman" w:hAnsi="Times New Roman" w:cs="Times New Roman"/>
                <w:color w:val="auto"/>
                <w:sz w:val="24"/>
                <w:highlight w:val="none"/>
                <w:lang w:eastAsia="zh-CN"/>
              </w:rPr>
              <w:t>Ⅳ</w:t>
            </w:r>
            <w:r>
              <w:rPr>
                <w:rFonts w:hint="eastAsia" w:ascii="Times New Roman" w:hAnsi="Times New Roman" w:cs="Times New Roman"/>
                <w:color w:val="auto"/>
                <w:sz w:val="24"/>
                <w:highlight w:val="none"/>
                <w:lang w:eastAsia="zh-CN"/>
              </w:rPr>
              <w:t>类水质标准要求。</w:t>
            </w:r>
          </w:p>
          <w:p w14:paraId="3D0FBBD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3、声环境</w:t>
            </w:r>
          </w:p>
          <w:p w14:paraId="7E600E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项目</w:t>
            </w:r>
            <w:r>
              <w:rPr>
                <w:rFonts w:hint="default" w:ascii="Times New Roman" w:hAnsi="Times New Roman" w:eastAsia="宋体" w:cs="Times New Roman"/>
                <w:b w:val="0"/>
                <w:bCs w:val="0"/>
                <w:color w:val="auto"/>
                <w:kern w:val="0"/>
                <w:sz w:val="24"/>
                <w:szCs w:val="24"/>
                <w:highlight w:val="none"/>
                <w:lang w:val="en-US" w:eastAsia="zh-CN"/>
              </w:rPr>
              <w:t>厂界外周边50米范围内不存在声环境保护目标</w:t>
            </w:r>
            <w:r>
              <w:rPr>
                <w:rFonts w:hint="eastAsia" w:ascii="Times New Roman" w:hAnsi="Times New Roman" w:eastAsia="宋体" w:cs="Times New Roman"/>
                <w:b w:val="0"/>
                <w:bCs w:val="0"/>
                <w:color w:val="auto"/>
                <w:kern w:val="0"/>
                <w:sz w:val="24"/>
                <w:szCs w:val="24"/>
                <w:highlight w:val="none"/>
                <w:lang w:val="en-US" w:eastAsia="zh-CN"/>
              </w:rPr>
              <w:t>，可不做现状监测</w:t>
            </w:r>
            <w:r>
              <w:rPr>
                <w:rFonts w:hint="eastAsia" w:cs="Times New Roman"/>
                <w:b w:val="0"/>
                <w:bCs w:val="0"/>
                <w:color w:val="auto"/>
                <w:kern w:val="0"/>
                <w:sz w:val="24"/>
                <w:szCs w:val="24"/>
                <w:highlight w:val="none"/>
                <w:lang w:val="en-US" w:eastAsia="zh-CN"/>
              </w:rPr>
              <w:t>。</w:t>
            </w:r>
          </w:p>
          <w:p w14:paraId="77300D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4、生态环境</w:t>
            </w:r>
          </w:p>
          <w:p w14:paraId="11C0C7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本项目位于</w:t>
            </w:r>
            <w:r>
              <w:rPr>
                <w:rFonts w:hint="default" w:ascii="Times New Roman" w:hAnsi="Times New Roman" w:eastAsia="宋体" w:cs="Times New Roman"/>
                <w:color w:val="auto"/>
                <w:sz w:val="24"/>
                <w:szCs w:val="24"/>
                <w:lang w:val="en-US" w:eastAsia="zh-CN"/>
              </w:rPr>
              <w:t>安徽省宿州市灵璧县北部经济开发区轴承产业基地AB区北侧重点区域</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b w:val="0"/>
                <w:bCs/>
                <w:color w:val="auto"/>
                <w:sz w:val="24"/>
                <w:szCs w:val="24"/>
                <w:lang w:eastAsia="zh-CN"/>
              </w:rPr>
              <w:t>该地类属于工业用地</w:t>
            </w:r>
            <w:r>
              <w:rPr>
                <w:rFonts w:hint="eastAsia"/>
                <w:color w:val="auto"/>
                <w:sz w:val="24"/>
                <w:szCs w:val="24"/>
                <w:lang w:val="en-US" w:eastAsia="zh-CN"/>
              </w:rPr>
              <w:t>，</w:t>
            </w:r>
            <w:r>
              <w:rPr>
                <w:rFonts w:hint="default" w:ascii="Times New Roman" w:hAnsi="Times New Roman" w:eastAsia="宋体" w:cs="Times New Roman"/>
                <w:color w:val="auto"/>
                <w:kern w:val="0"/>
                <w:sz w:val="24"/>
                <w:szCs w:val="24"/>
                <w:lang w:val="en-US" w:eastAsia="zh-CN"/>
              </w:rPr>
              <w:t>不存在生态环境保护目标，</w:t>
            </w:r>
            <w:r>
              <w:rPr>
                <w:rFonts w:hint="eastAsia" w:cs="Times New Roman"/>
                <w:color w:val="auto"/>
                <w:kern w:val="0"/>
                <w:sz w:val="24"/>
                <w:szCs w:val="24"/>
                <w:lang w:val="en-US" w:eastAsia="zh-CN"/>
              </w:rPr>
              <w:t>可</w:t>
            </w:r>
            <w:r>
              <w:rPr>
                <w:rFonts w:hint="default" w:ascii="Times New Roman" w:hAnsi="Times New Roman" w:eastAsia="宋体" w:cs="Times New Roman"/>
                <w:color w:val="auto"/>
                <w:kern w:val="0"/>
                <w:sz w:val="24"/>
                <w:szCs w:val="24"/>
                <w:lang w:val="en-US" w:eastAsia="zh-CN"/>
              </w:rPr>
              <w:t>不开展生态现状调查</w:t>
            </w:r>
            <w:r>
              <w:rPr>
                <w:rFonts w:hint="eastAsia"/>
                <w:color w:val="auto"/>
                <w:sz w:val="24"/>
                <w:szCs w:val="24"/>
                <w:lang w:val="en-US" w:eastAsia="zh-CN"/>
              </w:rPr>
              <w:t>。</w:t>
            </w:r>
          </w:p>
          <w:p w14:paraId="139A18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5、电磁辐射</w:t>
            </w:r>
          </w:p>
          <w:p w14:paraId="4E3C4B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left"/>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本项目为</w:t>
            </w:r>
            <w:r>
              <w:rPr>
                <w:rFonts w:hint="default" w:ascii="Times New Roman" w:hAnsi="Times New Roman" w:eastAsia="宋体" w:cs="Times New Roman"/>
                <w:color w:val="auto"/>
                <w:sz w:val="24"/>
                <w:szCs w:val="24"/>
                <w:highlight w:val="none"/>
                <w:lang w:val="en-US" w:eastAsia="zh-CN"/>
              </w:rPr>
              <w:t>轴承加工</w:t>
            </w:r>
            <w:r>
              <w:rPr>
                <w:rFonts w:hint="eastAsia" w:eastAsia="宋体" w:cs="Times New Roman"/>
                <w:color w:val="auto"/>
                <w:sz w:val="24"/>
                <w:szCs w:val="24"/>
                <w:highlight w:val="none"/>
                <w:lang w:val="en-US" w:eastAsia="zh-CN"/>
              </w:rPr>
              <w:t>制造</w:t>
            </w:r>
            <w:r>
              <w:rPr>
                <w:rFonts w:hint="eastAsia" w:ascii="Times New Roman" w:hAnsi="Times New Roman" w:eastAsia="宋体" w:cs="Times New Roman"/>
                <w:color w:val="auto"/>
                <w:sz w:val="24"/>
                <w:szCs w:val="24"/>
                <w:highlight w:val="none"/>
                <w:lang w:val="en-US" w:eastAsia="zh-CN"/>
              </w:rPr>
              <w:t>，不属于</w:t>
            </w:r>
            <w:r>
              <w:rPr>
                <w:rFonts w:hint="eastAsia" w:ascii="Times New Roman" w:hAnsi="Times New Roman" w:eastAsia="宋体" w:cs="Times New Roman"/>
                <w:color w:val="auto"/>
                <w:kern w:val="0"/>
                <w:sz w:val="24"/>
                <w:szCs w:val="24"/>
                <w:highlight w:val="none"/>
                <w:lang w:val="en-US" w:eastAsia="zh-CN"/>
              </w:rPr>
              <w:t>电磁辐射</w:t>
            </w:r>
            <w:r>
              <w:rPr>
                <w:rFonts w:hint="eastAsia" w:cs="Times New Roman"/>
                <w:color w:val="auto"/>
                <w:kern w:val="0"/>
                <w:sz w:val="24"/>
                <w:szCs w:val="24"/>
                <w:highlight w:val="none"/>
                <w:lang w:val="en-US" w:eastAsia="zh-CN"/>
              </w:rPr>
              <w:t>类项目</w:t>
            </w:r>
            <w:r>
              <w:rPr>
                <w:rFonts w:hint="eastAsia" w:ascii="Times New Roman" w:hAnsi="Times New Roman" w:eastAsia="宋体" w:cs="Times New Roman"/>
                <w:color w:val="auto"/>
                <w:kern w:val="0"/>
                <w:sz w:val="24"/>
                <w:szCs w:val="24"/>
                <w:highlight w:val="none"/>
                <w:lang w:val="en-US" w:eastAsia="zh-CN"/>
              </w:rPr>
              <w:t>。</w:t>
            </w:r>
          </w:p>
          <w:p w14:paraId="5EEB38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6、地下水、土壤环境</w:t>
            </w:r>
          </w:p>
          <w:p w14:paraId="4E6D7E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b w:val="0"/>
                <w:bCs/>
                <w:color w:val="auto"/>
                <w:sz w:val="24"/>
                <w:szCs w:val="24"/>
              </w:rPr>
            </w:pPr>
            <w:r>
              <w:rPr>
                <w:rFonts w:hint="default" w:ascii="Times New Roman" w:hAnsi="Times New Roman" w:eastAsia="宋体" w:cs="Times New Roman"/>
                <w:color w:val="auto"/>
                <w:sz w:val="24"/>
                <w:szCs w:val="24"/>
                <w:highlight w:val="none"/>
                <w:lang w:val="en-US" w:eastAsia="zh-CN"/>
              </w:rPr>
              <w:t>项目为</w:t>
            </w:r>
            <w:r>
              <w:rPr>
                <w:rFonts w:hint="eastAsia" w:ascii="Times New Roman" w:hAnsi="Times New Roman" w:eastAsia="宋体" w:cs="Times New Roman"/>
                <w:color w:val="auto"/>
                <w:sz w:val="24"/>
                <w:szCs w:val="24"/>
                <w:highlight w:val="none"/>
                <w:lang w:val="en-US" w:eastAsia="zh-CN"/>
              </w:rPr>
              <w:t>轴承加工制造</w:t>
            </w:r>
            <w:r>
              <w:rPr>
                <w:rFonts w:hint="default" w:ascii="Times New Roman" w:hAnsi="Times New Roman" w:eastAsia="宋体" w:cs="Times New Roman"/>
                <w:color w:val="auto"/>
                <w:sz w:val="24"/>
                <w:szCs w:val="24"/>
                <w:highlight w:val="none"/>
                <w:lang w:val="en-US" w:eastAsia="zh-CN"/>
              </w:rPr>
              <w:t>，厂区经分区防渗后，项目</w:t>
            </w:r>
            <w:r>
              <w:rPr>
                <w:rFonts w:hint="eastAsia" w:ascii="宋体" w:hAnsi="宋体" w:eastAsia="宋体" w:cs="宋体"/>
                <w:color w:val="auto"/>
                <w:kern w:val="0"/>
                <w:sz w:val="24"/>
                <w:szCs w:val="24"/>
                <w:lang w:val="en-US" w:eastAsia="zh-CN" w:bidi="ar"/>
              </w:rPr>
              <w:t>无地下水和土壤污染途径</w:t>
            </w:r>
            <w:r>
              <w:rPr>
                <w:rFonts w:hint="default" w:ascii="Times New Roman" w:hAnsi="Times New Roman" w:eastAsia="宋体" w:cs="Times New Roman"/>
                <w:color w:val="auto"/>
                <w:sz w:val="24"/>
                <w:szCs w:val="24"/>
                <w:highlight w:val="none"/>
                <w:lang w:val="en-US" w:eastAsia="zh-CN"/>
              </w:rPr>
              <w:t>，根据《建设项目环境影响报告表编制技术指南（污染影响类）（试行）》规定</w:t>
            </w:r>
            <w:r>
              <w:rPr>
                <w:rFonts w:hint="eastAsia" w:ascii="宋体" w:hAnsi="宋体" w:eastAsia="宋体" w:cs="宋体"/>
                <w:color w:val="auto"/>
                <w:sz w:val="24"/>
                <w:szCs w:val="24"/>
                <w:highlight w:val="none"/>
                <w:lang w:val="en-US" w:eastAsia="zh-CN"/>
              </w:rPr>
              <w:t>“地下水、土壤环境。原则上不开展环境质量现状调查。”因</w:t>
            </w:r>
            <w:r>
              <w:rPr>
                <w:rFonts w:hint="default" w:ascii="Times New Roman" w:hAnsi="Times New Roman" w:eastAsia="宋体" w:cs="Times New Roman"/>
                <w:color w:val="auto"/>
                <w:sz w:val="24"/>
                <w:szCs w:val="24"/>
                <w:highlight w:val="none"/>
                <w:lang w:val="en-US" w:eastAsia="zh-CN"/>
              </w:rPr>
              <w:t>此可不进行地下水、土壤环境质量现状监测</w:t>
            </w:r>
            <w:r>
              <w:rPr>
                <w:rFonts w:hint="default" w:ascii="Times New Roman" w:hAnsi="Times New Roman" w:eastAsia="宋体" w:cs="Times New Roman"/>
                <w:color w:val="auto"/>
                <w:sz w:val="24"/>
                <w:szCs w:val="24"/>
                <w:highlight w:val="none"/>
              </w:rPr>
              <w:t>。</w:t>
            </w:r>
          </w:p>
          <w:p w14:paraId="0B823065">
            <w:pPr>
              <w:pStyle w:val="12"/>
              <w:rPr>
                <w:rFonts w:hint="default"/>
                <w:lang w:val="en-US" w:eastAsia="zh-CN"/>
              </w:rPr>
            </w:pPr>
          </w:p>
        </w:tc>
      </w:tr>
      <w:tr w14:paraId="7462D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dxa"/>
            <w:tcBorders>
              <w:tl2br w:val="nil"/>
              <w:tr2bl w:val="nil"/>
            </w:tcBorders>
            <w:noWrap w:val="0"/>
            <w:vAlign w:val="center"/>
          </w:tcPr>
          <w:p w14:paraId="203857F4">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环境</w:t>
            </w:r>
          </w:p>
          <w:p w14:paraId="4B90AD89">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保护</w:t>
            </w:r>
          </w:p>
          <w:p w14:paraId="250EE410">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val="0"/>
                <w:bCs w:val="0"/>
                <w:color w:val="auto"/>
                <w:kern w:val="0"/>
                <w:sz w:val="24"/>
                <w:szCs w:val="24"/>
              </w:rPr>
              <w:t>目标</w:t>
            </w:r>
          </w:p>
        </w:tc>
        <w:tc>
          <w:tcPr>
            <w:tcW w:w="8539" w:type="dxa"/>
            <w:tcBorders>
              <w:tl2br w:val="nil"/>
              <w:tr2bl w:val="nil"/>
            </w:tcBorders>
            <w:noWrap w:val="0"/>
            <w:vAlign w:val="center"/>
          </w:tcPr>
          <w:p w14:paraId="2A3D1DF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1、大气环境</w:t>
            </w:r>
          </w:p>
          <w:p w14:paraId="7F3813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olor w:val="auto"/>
                <w:sz w:val="24"/>
                <w:lang w:eastAsia="zh-CN"/>
              </w:rPr>
            </w:pPr>
            <w:r>
              <w:rPr>
                <w:rFonts w:ascii="Times New Roman" w:hAnsi="Times New Roman"/>
                <w:color w:val="auto"/>
                <w:sz w:val="24"/>
              </w:rPr>
              <w:t>厂界500m范围内无自然保护区、风景名胜区、文化区、生态环境敏感区等需要特殊保护的环境敏感点</w:t>
            </w:r>
            <w:r>
              <w:rPr>
                <w:rFonts w:hint="eastAsia" w:ascii="Times New Roman" w:hAnsi="Times New Roman"/>
                <w:color w:val="auto"/>
                <w:sz w:val="24"/>
                <w:lang w:eastAsia="zh-CN"/>
              </w:rPr>
              <w:t>。</w:t>
            </w:r>
          </w:p>
          <w:p w14:paraId="671C589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lang w:val="en-US" w:eastAsia="zh-CN"/>
              </w:rPr>
              <w:t>2、声环境</w:t>
            </w:r>
          </w:p>
          <w:p w14:paraId="7C1CE1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lang w:val="en-US" w:eastAsia="zh-CN"/>
              </w:rPr>
            </w:pPr>
            <w:r>
              <w:rPr>
                <w:rFonts w:hint="eastAsia" w:ascii="Times New Roman" w:hAnsi="Times New Roman" w:eastAsia="宋体" w:cs="Times New Roman"/>
                <w:b w:val="0"/>
                <w:bCs w:val="0"/>
                <w:color w:val="auto"/>
                <w:kern w:val="0"/>
                <w:sz w:val="24"/>
                <w:szCs w:val="24"/>
                <w:lang w:eastAsia="zh-CN"/>
              </w:rPr>
              <w:t>厂界外</w:t>
            </w:r>
            <w:r>
              <w:rPr>
                <w:rFonts w:hint="eastAsia" w:ascii="Times New Roman" w:hAnsi="Times New Roman" w:eastAsia="宋体" w:cs="Times New Roman"/>
                <w:b w:val="0"/>
                <w:bCs w:val="0"/>
                <w:color w:val="auto"/>
                <w:kern w:val="0"/>
                <w:sz w:val="24"/>
                <w:szCs w:val="24"/>
                <w:lang w:val="en-US" w:eastAsia="zh-CN"/>
              </w:rPr>
              <w:t>50m范围内没有声环境保护目标</w:t>
            </w:r>
            <w:r>
              <w:rPr>
                <w:rFonts w:hint="eastAsia" w:cs="Times New Roman"/>
                <w:b w:val="0"/>
                <w:bCs w:val="0"/>
                <w:color w:val="auto"/>
                <w:kern w:val="0"/>
                <w:sz w:val="24"/>
                <w:szCs w:val="24"/>
                <w:lang w:val="en-US" w:eastAsia="zh-CN"/>
              </w:rPr>
              <w:t>。</w:t>
            </w:r>
          </w:p>
          <w:p w14:paraId="6C0CAF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3、地下水环境</w:t>
            </w:r>
          </w:p>
          <w:p w14:paraId="3377C7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kern w:val="0"/>
                <w:sz w:val="24"/>
                <w:szCs w:val="24"/>
                <w:lang w:eastAsia="zh-CN"/>
              </w:rPr>
              <w:t>厂界外</w:t>
            </w:r>
            <w:r>
              <w:rPr>
                <w:rFonts w:hint="eastAsia" w:ascii="Times New Roman" w:hAnsi="Times New Roman" w:eastAsia="宋体" w:cs="Times New Roman"/>
                <w:kern w:val="0"/>
                <w:sz w:val="24"/>
                <w:szCs w:val="24"/>
                <w:lang w:val="en-US" w:eastAsia="zh-CN"/>
              </w:rPr>
              <w:t>500m范围内无地下水集中式引用水水源和热水、矿泉水、温泉等特殊地下水资源。</w:t>
            </w:r>
          </w:p>
          <w:p w14:paraId="430F2B6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kern w:val="0"/>
                <w:sz w:val="24"/>
                <w:szCs w:val="24"/>
                <w:lang w:val="en-US" w:eastAsia="zh-CN"/>
              </w:rPr>
              <w:t>4、生态环境</w:t>
            </w:r>
          </w:p>
          <w:p w14:paraId="718F35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lang w:val="en-US" w:eastAsia="zh-CN"/>
              </w:rPr>
            </w:pPr>
            <w:r>
              <w:rPr>
                <w:rFonts w:hint="eastAsia" w:ascii="Times New Roman" w:hAnsi="Times New Roman" w:eastAsia="宋体" w:cs="Times New Roman"/>
                <w:color w:val="auto"/>
                <w:kern w:val="0"/>
                <w:sz w:val="24"/>
                <w:szCs w:val="24"/>
                <w:lang w:val="en-US" w:eastAsia="zh-CN"/>
              </w:rPr>
              <w:t>本项目位于</w:t>
            </w:r>
            <w:r>
              <w:rPr>
                <w:rFonts w:hint="eastAsia" w:cs="Times New Roman"/>
                <w:color w:val="auto"/>
                <w:sz w:val="24"/>
                <w:szCs w:val="24"/>
                <w:u w:val="none"/>
                <w:lang w:eastAsia="zh-CN"/>
              </w:rPr>
              <w:t>安徽省宿州市灵璧县北部经济开发区轴承产业基地AB区北侧重点区域</w:t>
            </w:r>
            <w:r>
              <w:rPr>
                <w:rFonts w:hint="eastAsia" w:ascii="Times New Roman" w:hAnsi="Times New Roman" w:eastAsia="宋体" w:cs="Times New Roman"/>
                <w:color w:val="auto"/>
                <w:kern w:val="0"/>
                <w:sz w:val="24"/>
                <w:szCs w:val="24"/>
                <w:lang w:val="en-US" w:eastAsia="zh-CN"/>
              </w:rPr>
              <w:t>，属于工业用地，</w:t>
            </w:r>
            <w:r>
              <w:rPr>
                <w:rFonts w:hint="default" w:ascii="Times New Roman" w:hAnsi="Times New Roman" w:eastAsia="宋体" w:cs="Times New Roman"/>
                <w:snapToGrid/>
                <w:color w:val="auto"/>
                <w:spacing w:val="0"/>
                <w:kern w:val="0"/>
                <w:position w:val="0"/>
                <w:sz w:val="24"/>
                <w:szCs w:val="24"/>
                <w:lang w:val="en-US" w:eastAsia="zh-CN"/>
              </w:rPr>
              <w:t>不涉及产业园区外新增用地，</w:t>
            </w:r>
            <w:r>
              <w:rPr>
                <w:rFonts w:hint="default" w:ascii="Times New Roman" w:hAnsi="Times New Roman" w:eastAsia="宋体" w:cs="Times New Roman"/>
                <w:color w:val="auto"/>
                <w:kern w:val="0"/>
                <w:sz w:val="24"/>
                <w:szCs w:val="24"/>
                <w:lang w:val="en-US" w:eastAsia="zh-CN"/>
              </w:rPr>
              <w:t>不存在生态环境保护目标</w:t>
            </w:r>
            <w:r>
              <w:rPr>
                <w:rFonts w:hint="eastAsia" w:ascii="Times New Roman" w:hAnsi="Times New Roman" w:eastAsia="宋体" w:cs="Times New Roman"/>
                <w:color w:val="auto"/>
                <w:kern w:val="0"/>
                <w:sz w:val="24"/>
                <w:szCs w:val="24"/>
                <w:lang w:val="en-US" w:eastAsia="zh-CN"/>
              </w:rPr>
              <w:t>。</w:t>
            </w:r>
          </w:p>
        </w:tc>
      </w:tr>
      <w:tr w14:paraId="33BFE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516" w:type="dxa"/>
            <w:tcBorders>
              <w:tl2br w:val="nil"/>
              <w:tr2bl w:val="nil"/>
            </w:tcBorders>
            <w:noWrap w:val="0"/>
            <w:tcMar>
              <w:left w:w="28" w:type="dxa"/>
              <w:right w:w="28" w:type="dxa"/>
            </w:tcMar>
            <w:vAlign w:val="center"/>
          </w:tcPr>
          <w:p w14:paraId="656AE7D1">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污染</w:t>
            </w:r>
          </w:p>
          <w:p w14:paraId="4C901AC1">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物排</w:t>
            </w:r>
          </w:p>
          <w:p w14:paraId="2AED561D">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放控</w:t>
            </w:r>
          </w:p>
          <w:p w14:paraId="4C04053F">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制标</w:t>
            </w:r>
          </w:p>
          <w:p w14:paraId="36DA6BE9">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val="0"/>
                <w:bCs w:val="0"/>
                <w:color w:val="auto"/>
                <w:kern w:val="0"/>
                <w:sz w:val="24"/>
                <w:szCs w:val="24"/>
              </w:rPr>
              <w:t>准</w:t>
            </w:r>
          </w:p>
        </w:tc>
        <w:tc>
          <w:tcPr>
            <w:tcW w:w="8539" w:type="dxa"/>
            <w:tcBorders>
              <w:tl2br w:val="nil"/>
              <w:tr2bl w:val="nil"/>
            </w:tcBorders>
            <w:noWrap w:val="0"/>
            <w:vAlign w:val="center"/>
          </w:tcPr>
          <w:p w14:paraId="0547F46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1、废水排放标准</w:t>
            </w:r>
          </w:p>
          <w:p w14:paraId="7840E6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生活污水经化粪池预处理后，排水满足《污水综合排放标准》（GB8978-1996）中三级排放标准及</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color w:val="auto"/>
                <w:sz w:val="24"/>
                <w:szCs w:val="24"/>
                <w:lang w:val="en-US" w:eastAsia="zh-CN"/>
              </w:rPr>
              <w:t>的接管限值后，通过污水管网排入</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cs="Times New Roman"/>
                <w:bCs/>
                <w:color w:val="auto"/>
                <w:kern w:val="2"/>
                <w:sz w:val="24"/>
                <w:szCs w:val="24"/>
                <w:highlight w:val="none"/>
                <w:lang w:val="en-US" w:eastAsia="zh-CN" w:bidi="ar-SA"/>
              </w:rPr>
              <w:t>统一处理</w:t>
            </w:r>
            <w:r>
              <w:rPr>
                <w:rFonts w:hint="eastAsia"/>
                <w:color w:val="auto"/>
                <w:sz w:val="24"/>
                <w:szCs w:val="24"/>
                <w:lang w:val="en-US" w:eastAsia="zh-CN"/>
              </w:rPr>
              <w:t>。其标准限值见表3.2。</w:t>
            </w:r>
          </w:p>
          <w:p w14:paraId="394E34F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w:t>
            </w:r>
            <w:r>
              <w:rPr>
                <w:rFonts w:hint="eastAsia" w:ascii="Times New Roman" w:hAnsi="Times New Roman" w:eastAsia="宋体" w:cs="Times New Roman"/>
                <w:b/>
                <w:bCs/>
                <w:color w:val="auto"/>
                <w:sz w:val="24"/>
                <w:szCs w:val="24"/>
                <w:lang w:val="en-US" w:eastAsia="zh-CN"/>
              </w:rPr>
              <w:t>3.</w:t>
            </w:r>
            <w:r>
              <w:rPr>
                <w:rFonts w:hint="eastAsia" w:cs="Times New Roman"/>
                <w:b/>
                <w:bCs/>
                <w:color w:val="auto"/>
                <w:sz w:val="24"/>
                <w:szCs w:val="24"/>
                <w:lang w:val="en-US" w:eastAsia="zh-CN"/>
              </w:rPr>
              <w:t>2</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b/>
                <w:bCs/>
                <w:color w:val="auto"/>
                <w:sz w:val="24"/>
                <w:szCs w:val="24"/>
                <w:lang w:val="en-US" w:eastAsia="zh-CN"/>
              </w:rPr>
              <w:t>项目废水排放标准</w:t>
            </w:r>
            <w:r>
              <w:rPr>
                <w:rFonts w:hint="default" w:ascii="Times New Roman" w:hAnsi="Times New Roman" w:eastAsia="宋体" w:cs="Times New Roman"/>
                <w:b/>
                <w:bCs/>
                <w:color w:val="auto"/>
                <w:sz w:val="24"/>
                <w:szCs w:val="24"/>
                <w:lang w:val="en-US" w:eastAsia="zh-CN"/>
              </w:rPr>
              <w:t xml:space="preserve"> 单位：mg/L（</w:t>
            </w:r>
            <w:r>
              <w:rPr>
                <w:rFonts w:hint="default" w:ascii="Times New Roman" w:hAnsi="Times New Roman" w:eastAsia="宋体" w:cs="Times New Roman"/>
                <w:b/>
                <w:color w:val="auto"/>
                <w:sz w:val="24"/>
                <w:szCs w:val="24"/>
              </w:rPr>
              <w:t>pH无量纲</w:t>
            </w:r>
            <w:r>
              <w:rPr>
                <w:rFonts w:hint="default" w:ascii="Times New Roman" w:hAnsi="Times New Roman" w:eastAsia="宋体" w:cs="Times New Roman"/>
                <w:b/>
                <w:bCs/>
                <w:color w:val="auto"/>
                <w:sz w:val="24"/>
                <w:szCs w:val="24"/>
                <w:lang w:val="en-US" w:eastAsia="zh-CN"/>
              </w:rPr>
              <w:t>）</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1350"/>
              <w:gridCol w:w="1029"/>
              <w:gridCol w:w="1059"/>
              <w:gridCol w:w="1071"/>
              <w:gridCol w:w="1169"/>
            </w:tblGrid>
            <w:tr w14:paraId="2ED8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2" w:type="dxa"/>
                  <w:noWrap w:val="0"/>
                  <w:vAlign w:val="center"/>
                </w:tcPr>
                <w:p w14:paraId="6EFF3E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标准名称</w:t>
                  </w:r>
                </w:p>
              </w:tc>
              <w:tc>
                <w:tcPr>
                  <w:tcW w:w="1350" w:type="dxa"/>
                  <w:noWrap w:val="0"/>
                  <w:vAlign w:val="center"/>
                </w:tcPr>
                <w:p w14:paraId="58FB60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pH</w:t>
                  </w:r>
                </w:p>
              </w:tc>
              <w:tc>
                <w:tcPr>
                  <w:tcW w:w="1029" w:type="dxa"/>
                  <w:noWrap w:val="0"/>
                  <w:vAlign w:val="center"/>
                </w:tcPr>
                <w:p w14:paraId="5E55D5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COD</w:t>
                  </w:r>
                </w:p>
              </w:tc>
              <w:tc>
                <w:tcPr>
                  <w:tcW w:w="1059" w:type="dxa"/>
                  <w:noWrap w:val="0"/>
                  <w:vAlign w:val="center"/>
                </w:tcPr>
                <w:p w14:paraId="49A7AF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BOD</w:t>
                  </w:r>
                  <w:r>
                    <w:rPr>
                      <w:rFonts w:hint="default" w:ascii="Times New Roman" w:hAnsi="Times New Roman" w:cs="Times New Roman"/>
                      <w:b w:val="0"/>
                      <w:bCs w:val="0"/>
                      <w:color w:val="auto"/>
                      <w:sz w:val="21"/>
                      <w:szCs w:val="21"/>
                      <w:vertAlign w:val="subscript"/>
                      <w:lang w:val="en-US" w:eastAsia="zh-CN"/>
                    </w:rPr>
                    <w:t>5</w:t>
                  </w:r>
                </w:p>
              </w:tc>
              <w:tc>
                <w:tcPr>
                  <w:tcW w:w="1071" w:type="dxa"/>
                  <w:noWrap w:val="0"/>
                  <w:vAlign w:val="center"/>
                </w:tcPr>
                <w:p w14:paraId="51A654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SS</w:t>
                  </w:r>
                </w:p>
              </w:tc>
              <w:tc>
                <w:tcPr>
                  <w:tcW w:w="1169" w:type="dxa"/>
                  <w:noWrap w:val="0"/>
                  <w:vAlign w:val="center"/>
                </w:tcPr>
                <w:p w14:paraId="141A8A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NH</w:t>
                  </w:r>
                  <w:r>
                    <w:rPr>
                      <w:rFonts w:hint="default" w:ascii="Times New Roman" w:hAnsi="Times New Roman" w:cs="Times New Roman"/>
                      <w:b w:val="0"/>
                      <w:bCs w:val="0"/>
                      <w:color w:val="auto"/>
                      <w:sz w:val="21"/>
                      <w:szCs w:val="21"/>
                      <w:vertAlign w:val="subscript"/>
                      <w:lang w:val="en-US" w:eastAsia="zh-CN"/>
                    </w:rPr>
                    <w:t>3</w:t>
                  </w:r>
                  <w:r>
                    <w:rPr>
                      <w:rFonts w:hint="default" w:ascii="Times New Roman" w:hAnsi="Times New Roman" w:cs="Times New Roman"/>
                      <w:b w:val="0"/>
                      <w:bCs w:val="0"/>
                      <w:color w:val="auto"/>
                      <w:sz w:val="21"/>
                      <w:szCs w:val="21"/>
                      <w:lang w:val="en-US" w:eastAsia="zh-CN"/>
                    </w:rPr>
                    <w:t>-N</w:t>
                  </w:r>
                </w:p>
              </w:tc>
            </w:tr>
            <w:tr w14:paraId="0DF1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2" w:type="dxa"/>
                  <w:noWrap w:val="0"/>
                  <w:vAlign w:val="center"/>
                </w:tcPr>
                <w:p w14:paraId="410A89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（GB8978-1996）三级标准</w:t>
                  </w:r>
                </w:p>
              </w:tc>
              <w:tc>
                <w:tcPr>
                  <w:tcW w:w="1350" w:type="dxa"/>
                  <w:noWrap w:val="0"/>
                  <w:vAlign w:val="center"/>
                </w:tcPr>
                <w:p w14:paraId="2B72BA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6~9</w:t>
                  </w:r>
                </w:p>
              </w:tc>
              <w:tc>
                <w:tcPr>
                  <w:tcW w:w="1029" w:type="dxa"/>
                  <w:noWrap w:val="0"/>
                  <w:vAlign w:val="center"/>
                </w:tcPr>
                <w:p w14:paraId="721000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500</w:t>
                  </w:r>
                </w:p>
              </w:tc>
              <w:tc>
                <w:tcPr>
                  <w:tcW w:w="1059" w:type="dxa"/>
                  <w:noWrap w:val="0"/>
                  <w:vAlign w:val="center"/>
                </w:tcPr>
                <w:p w14:paraId="1A4D0B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1071" w:type="dxa"/>
                  <w:noWrap w:val="0"/>
                  <w:vAlign w:val="center"/>
                </w:tcPr>
                <w:p w14:paraId="75E2F8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400</w:t>
                  </w:r>
                </w:p>
              </w:tc>
              <w:tc>
                <w:tcPr>
                  <w:tcW w:w="1169" w:type="dxa"/>
                  <w:noWrap w:val="0"/>
                  <w:vAlign w:val="center"/>
                </w:tcPr>
                <w:p w14:paraId="63006D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14:paraId="11AF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2" w:type="dxa"/>
                  <w:noWrap w:val="0"/>
                  <w:vAlign w:val="center"/>
                </w:tcPr>
                <w:p w14:paraId="6B666915">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灵璧经济开发区北部污水处理厂接管</w:t>
                  </w:r>
                  <w:r>
                    <w:rPr>
                      <w:rFonts w:hint="eastAsia" w:cs="Times New Roman"/>
                      <w:color w:val="auto"/>
                      <w:sz w:val="21"/>
                      <w:szCs w:val="21"/>
                      <w:lang w:val="en-US" w:eastAsia="zh-CN"/>
                    </w:rPr>
                    <w:t>限值</w:t>
                  </w:r>
                </w:p>
              </w:tc>
              <w:tc>
                <w:tcPr>
                  <w:tcW w:w="1350" w:type="dxa"/>
                  <w:noWrap w:val="0"/>
                  <w:vAlign w:val="center"/>
                </w:tcPr>
                <w:p w14:paraId="712941A9">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6～9</w:t>
                  </w:r>
                </w:p>
              </w:tc>
              <w:tc>
                <w:tcPr>
                  <w:tcW w:w="1029" w:type="dxa"/>
                  <w:noWrap w:val="0"/>
                  <w:vAlign w:val="center"/>
                </w:tcPr>
                <w:p w14:paraId="4E8DAACD">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Cs/>
                      <w:color w:val="auto"/>
                      <w:sz w:val="21"/>
                      <w:szCs w:val="21"/>
                      <w:lang w:val="en-US" w:eastAsia="zh-CN"/>
                    </w:rPr>
                    <w:t>500</w:t>
                  </w:r>
                </w:p>
              </w:tc>
              <w:tc>
                <w:tcPr>
                  <w:tcW w:w="1059" w:type="dxa"/>
                  <w:noWrap w:val="0"/>
                  <w:vAlign w:val="center"/>
                </w:tcPr>
                <w:p w14:paraId="473679B4">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Cs/>
                      <w:color w:val="auto"/>
                      <w:sz w:val="21"/>
                      <w:szCs w:val="21"/>
                      <w:lang w:val="en-US" w:eastAsia="zh-CN"/>
                    </w:rPr>
                    <w:t>200</w:t>
                  </w:r>
                </w:p>
              </w:tc>
              <w:tc>
                <w:tcPr>
                  <w:tcW w:w="1071" w:type="dxa"/>
                  <w:noWrap w:val="0"/>
                  <w:vAlign w:val="center"/>
                </w:tcPr>
                <w:p w14:paraId="5835D865">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Cs/>
                      <w:color w:val="auto"/>
                      <w:sz w:val="21"/>
                      <w:szCs w:val="21"/>
                    </w:rPr>
                    <w:t>200</w:t>
                  </w:r>
                </w:p>
              </w:tc>
              <w:tc>
                <w:tcPr>
                  <w:tcW w:w="1169" w:type="dxa"/>
                  <w:noWrap w:val="0"/>
                  <w:vAlign w:val="center"/>
                </w:tcPr>
                <w:p w14:paraId="2934D37F">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Cs/>
                      <w:color w:val="auto"/>
                      <w:sz w:val="21"/>
                      <w:szCs w:val="21"/>
                    </w:rPr>
                    <w:t>25</w:t>
                  </w:r>
                </w:p>
              </w:tc>
            </w:tr>
            <w:tr w14:paraId="3D26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2" w:type="dxa"/>
                  <w:noWrap w:val="0"/>
                  <w:vAlign w:val="center"/>
                </w:tcPr>
                <w:p w14:paraId="10E2CA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本项目执行</w:t>
                  </w:r>
                </w:p>
              </w:tc>
              <w:tc>
                <w:tcPr>
                  <w:tcW w:w="1350" w:type="dxa"/>
                  <w:noWrap w:val="0"/>
                  <w:vAlign w:val="center"/>
                </w:tcPr>
                <w:p w14:paraId="234421F7">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6～9</w:t>
                  </w:r>
                </w:p>
              </w:tc>
              <w:tc>
                <w:tcPr>
                  <w:tcW w:w="1029" w:type="dxa"/>
                  <w:noWrap w:val="0"/>
                  <w:vAlign w:val="center"/>
                </w:tcPr>
                <w:p w14:paraId="6C92A6FA">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Cs/>
                      <w:color w:val="auto"/>
                      <w:sz w:val="21"/>
                      <w:szCs w:val="21"/>
                      <w:lang w:val="en-US" w:eastAsia="zh-CN"/>
                    </w:rPr>
                    <w:t>500</w:t>
                  </w:r>
                </w:p>
              </w:tc>
              <w:tc>
                <w:tcPr>
                  <w:tcW w:w="1059" w:type="dxa"/>
                  <w:noWrap w:val="0"/>
                  <w:vAlign w:val="center"/>
                </w:tcPr>
                <w:p w14:paraId="1745F48F">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Cs/>
                      <w:color w:val="auto"/>
                      <w:sz w:val="21"/>
                      <w:szCs w:val="21"/>
                      <w:lang w:val="en-US" w:eastAsia="zh-CN"/>
                    </w:rPr>
                    <w:t>200</w:t>
                  </w:r>
                </w:p>
              </w:tc>
              <w:tc>
                <w:tcPr>
                  <w:tcW w:w="1071" w:type="dxa"/>
                  <w:noWrap w:val="0"/>
                  <w:vAlign w:val="center"/>
                </w:tcPr>
                <w:p w14:paraId="4EA8AAF2">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Cs/>
                      <w:color w:val="auto"/>
                      <w:sz w:val="21"/>
                      <w:szCs w:val="21"/>
                    </w:rPr>
                    <w:t>200</w:t>
                  </w:r>
                </w:p>
              </w:tc>
              <w:tc>
                <w:tcPr>
                  <w:tcW w:w="1169" w:type="dxa"/>
                  <w:noWrap w:val="0"/>
                  <w:vAlign w:val="center"/>
                </w:tcPr>
                <w:p w14:paraId="35C3F5E9">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Cs/>
                      <w:color w:val="auto"/>
                      <w:sz w:val="21"/>
                      <w:szCs w:val="21"/>
                    </w:rPr>
                    <w:t>25</w:t>
                  </w:r>
                </w:p>
              </w:tc>
            </w:tr>
          </w:tbl>
          <w:p w14:paraId="6815D0D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color w:val="auto"/>
                <w:kern w:val="0"/>
                <w:sz w:val="24"/>
                <w:szCs w:val="24"/>
              </w:rPr>
            </w:pPr>
            <w:r>
              <w:rPr>
                <w:rFonts w:hint="eastAsia" w:cs="Times New Roman"/>
                <w:b/>
                <w:bCs/>
                <w:color w:val="auto"/>
                <w:kern w:val="0"/>
                <w:sz w:val="24"/>
                <w:szCs w:val="24"/>
                <w:lang w:val="en-US" w:eastAsia="zh-CN"/>
              </w:rPr>
              <w:t>2</w:t>
            </w:r>
            <w:r>
              <w:rPr>
                <w:rFonts w:hint="default" w:ascii="Times New Roman" w:hAnsi="Times New Roman" w:eastAsia="宋体" w:cs="Times New Roman"/>
                <w:b/>
                <w:bCs/>
                <w:color w:val="auto"/>
                <w:kern w:val="0"/>
                <w:sz w:val="24"/>
                <w:szCs w:val="24"/>
              </w:rPr>
              <w:t>、噪声排放标准</w:t>
            </w:r>
          </w:p>
          <w:p w14:paraId="0F426E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rPr>
              <w:t>评价区域</w:t>
            </w:r>
            <w:r>
              <w:rPr>
                <w:rFonts w:hint="default" w:ascii="Times New Roman" w:hAnsi="Times New Roman" w:cs="Times New Roman"/>
                <w:color w:val="auto"/>
                <w:sz w:val="24"/>
                <w:lang w:val="en-US" w:eastAsia="zh-CN"/>
              </w:rPr>
              <w:t>施工期噪声执行《建筑施工场界环境噪声排放标准》（GB12523-2011）中标准限值要求</w:t>
            </w:r>
            <w:r>
              <w:rPr>
                <w:rFonts w:hint="eastAsia" w:ascii="Times New Roman" w:hAnsi="Times New Roman" w:cs="Times New Roman"/>
                <w:color w:val="auto"/>
                <w:sz w:val="24"/>
                <w:lang w:val="en-US" w:eastAsia="zh-CN"/>
              </w:rPr>
              <w:t>；</w:t>
            </w:r>
            <w:r>
              <w:rPr>
                <w:rFonts w:hint="default" w:ascii="Times New Roman" w:hAnsi="Times New Roman" w:eastAsia="宋体" w:cs="Times New Roman"/>
                <w:color w:val="auto"/>
                <w:sz w:val="24"/>
              </w:rPr>
              <w:t>运营期噪声执行《工业企业厂界环境噪声排放标准》（GB12348-2008）中</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类标准</w:t>
            </w:r>
            <w:r>
              <w:rPr>
                <w:rFonts w:hint="eastAsia" w:cs="Times New Roman"/>
                <w:color w:val="auto"/>
                <w:sz w:val="24"/>
                <w:lang w:eastAsia="zh-CN"/>
              </w:rPr>
              <w:t>；</w:t>
            </w:r>
            <w:r>
              <w:rPr>
                <w:rFonts w:hint="default" w:ascii="Times New Roman" w:hAnsi="Times New Roman" w:eastAsia="宋体" w:cs="Times New Roman"/>
                <w:color w:val="auto"/>
                <w:sz w:val="24"/>
              </w:rPr>
              <w:t>其标准限值见表</w:t>
            </w:r>
            <w:r>
              <w:rPr>
                <w:rFonts w:hint="eastAsia" w:ascii="Times New Roman" w:hAnsi="Times New Roman" w:eastAsia="宋体" w:cs="Times New Roman"/>
                <w:color w:val="auto"/>
                <w:sz w:val="24"/>
                <w:lang w:val="en-US" w:eastAsia="zh-CN"/>
              </w:rPr>
              <w:t>3.</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、3</w:t>
            </w:r>
            <w:r>
              <w:rPr>
                <w:rFonts w:hint="eastAsia" w:cs="Times New Roman"/>
                <w:color w:val="auto"/>
                <w:sz w:val="24"/>
                <w:lang w:val="en-US" w:eastAsia="zh-CN"/>
              </w:rPr>
              <w:t>.4</w:t>
            </w:r>
            <w:r>
              <w:rPr>
                <w:rFonts w:hint="default" w:ascii="Times New Roman" w:hAnsi="Times New Roman" w:eastAsia="宋体" w:cs="Times New Roman"/>
                <w:color w:val="auto"/>
                <w:sz w:val="24"/>
              </w:rPr>
              <w:t>。</w:t>
            </w:r>
          </w:p>
          <w:p w14:paraId="4BFA00D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表</w:t>
            </w:r>
            <w:r>
              <w:rPr>
                <w:rFonts w:hint="eastAsia" w:ascii="Times New Roman" w:hAnsi="Times New Roman" w:cs="Times New Roman"/>
                <w:b/>
                <w:bCs/>
                <w:color w:val="auto"/>
                <w:sz w:val="24"/>
                <w:lang w:val="en-US" w:eastAsia="zh-CN"/>
              </w:rPr>
              <w:t>3.</w:t>
            </w:r>
            <w:r>
              <w:rPr>
                <w:rFonts w:hint="eastAsia" w:cs="Times New Roman"/>
                <w:b/>
                <w:bCs/>
                <w:color w:val="auto"/>
                <w:sz w:val="24"/>
                <w:lang w:val="en-US" w:eastAsia="zh-CN"/>
              </w:rPr>
              <w:t>3</w:t>
            </w:r>
            <w:r>
              <w:rPr>
                <w:rFonts w:hint="eastAsia"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lang w:val="en-US" w:eastAsia="zh-CN"/>
              </w:rPr>
              <w:t xml:space="preserve"> 建筑施工场界噪声排放标准 </w:t>
            </w:r>
            <w:r>
              <w:rPr>
                <w:rFonts w:hint="default" w:ascii="Times New Roman" w:hAnsi="Times New Roman" w:cs="Times New Roman"/>
                <w:b/>
                <w:bCs/>
                <w:color w:val="auto"/>
                <w:sz w:val="24"/>
              </w:rPr>
              <w:t>单位：dB（A）</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4125"/>
            </w:tblGrid>
            <w:tr w14:paraId="5507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8" w:type="dxa"/>
                  <w:noWrap w:val="0"/>
                  <w:vAlign w:val="center"/>
                </w:tcPr>
                <w:p w14:paraId="43A9DF32">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昼间</w:t>
                  </w:r>
                </w:p>
              </w:tc>
              <w:tc>
                <w:tcPr>
                  <w:tcW w:w="4428" w:type="dxa"/>
                  <w:noWrap w:val="0"/>
                  <w:vAlign w:val="center"/>
                </w:tcPr>
                <w:p w14:paraId="0A9633B9">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夜间</w:t>
                  </w:r>
                </w:p>
              </w:tc>
            </w:tr>
            <w:tr w14:paraId="6112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8" w:type="dxa"/>
                  <w:noWrap w:val="0"/>
                  <w:vAlign w:val="center"/>
                </w:tcPr>
                <w:p w14:paraId="3EDB5BE2">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70</w:t>
                  </w:r>
                </w:p>
              </w:tc>
              <w:tc>
                <w:tcPr>
                  <w:tcW w:w="4428" w:type="dxa"/>
                  <w:noWrap w:val="0"/>
                  <w:vAlign w:val="center"/>
                </w:tcPr>
                <w:p w14:paraId="2FDD4FA6">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55</w:t>
                  </w:r>
                </w:p>
              </w:tc>
            </w:tr>
          </w:tbl>
          <w:p w14:paraId="5A72E2C2">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outlineLvl w:val="9"/>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rPr>
              <w:t>表</w:t>
            </w:r>
            <w:r>
              <w:rPr>
                <w:rFonts w:hint="eastAsia" w:ascii="Times New Roman" w:hAnsi="Times New Roman" w:eastAsia="宋体" w:cs="Times New Roman"/>
                <w:b/>
                <w:color w:val="auto"/>
                <w:sz w:val="24"/>
                <w:lang w:val="en-US" w:eastAsia="zh-CN"/>
              </w:rPr>
              <w:t>3.</w:t>
            </w:r>
            <w:r>
              <w:rPr>
                <w:rFonts w:hint="eastAsia" w:cs="Times New Roman"/>
                <w:b/>
                <w:color w:val="auto"/>
                <w:sz w:val="24"/>
                <w:lang w:val="en-US" w:eastAsia="zh-CN"/>
              </w:rPr>
              <w:t xml:space="preserve">4 </w:t>
            </w:r>
            <w:r>
              <w:rPr>
                <w:rFonts w:hint="default"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rPr>
              <w:t>工业企业厂界环境噪声排放标准 单位：dB（A）</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3758"/>
              <w:gridCol w:w="2260"/>
              <w:gridCol w:w="2242"/>
            </w:tblGrid>
            <w:tr w14:paraId="7667A99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061" w:type="dxa"/>
                  <w:tcBorders>
                    <w:top w:val="single" w:color="auto" w:sz="8" w:space="0"/>
                    <w:left w:val="single" w:color="auto" w:sz="8" w:space="0"/>
                    <w:bottom w:val="single" w:color="auto" w:sz="8" w:space="0"/>
                  </w:tcBorders>
                  <w:noWrap w:val="0"/>
                  <w:vAlign w:val="center"/>
                </w:tcPr>
                <w:p w14:paraId="49B3ABDC">
                  <w:pPr>
                    <w:keepNext w:val="0"/>
                    <w:keepLines w:val="0"/>
                    <w:pageBreakBefore w:val="0"/>
                    <w:widowControl w:val="0"/>
                    <w:kinsoku/>
                    <w:wordWrap/>
                    <w:overflowPunct/>
                    <w:topLinePunct w:val="0"/>
                    <w:autoSpaceDE w:val="0"/>
                    <w:autoSpaceDN w:val="0"/>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bCs/>
                      <w:color w:val="auto"/>
                      <w:sz w:val="21"/>
                      <w:szCs w:val="21"/>
                      <w:lang w:val="zh-CN"/>
                    </w:rPr>
                  </w:pPr>
                  <w:r>
                    <w:rPr>
                      <w:rFonts w:hint="default" w:ascii="Times New Roman" w:hAnsi="Times New Roman" w:eastAsia="宋体" w:cs="Times New Roman"/>
                      <w:bCs/>
                      <w:color w:val="auto"/>
                      <w:sz w:val="21"/>
                      <w:szCs w:val="21"/>
                      <w:lang w:val="zh-CN"/>
                    </w:rPr>
                    <w:t>声环境功能区类别</w:t>
                  </w:r>
                </w:p>
              </w:tc>
              <w:tc>
                <w:tcPr>
                  <w:tcW w:w="2436" w:type="dxa"/>
                  <w:tcBorders>
                    <w:top w:val="single" w:color="auto" w:sz="8" w:space="0"/>
                    <w:bottom w:val="single" w:color="auto" w:sz="8" w:space="0"/>
                  </w:tcBorders>
                  <w:noWrap w:val="0"/>
                  <w:vAlign w:val="center"/>
                </w:tcPr>
                <w:p w14:paraId="54CE4077">
                  <w:pPr>
                    <w:keepNext w:val="0"/>
                    <w:keepLines w:val="0"/>
                    <w:pageBreakBefore w:val="0"/>
                    <w:widowControl w:val="0"/>
                    <w:kinsoku/>
                    <w:wordWrap/>
                    <w:overflowPunct/>
                    <w:topLinePunct w:val="0"/>
                    <w:autoSpaceDE w:val="0"/>
                    <w:autoSpaceDN w:val="0"/>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bCs/>
                      <w:color w:val="auto"/>
                      <w:sz w:val="21"/>
                      <w:szCs w:val="21"/>
                      <w:lang w:val="zh-CN"/>
                    </w:rPr>
                  </w:pPr>
                  <w:r>
                    <w:rPr>
                      <w:rFonts w:hint="default" w:ascii="Times New Roman" w:hAnsi="Times New Roman" w:eastAsia="宋体" w:cs="Times New Roman"/>
                      <w:bCs/>
                      <w:color w:val="auto"/>
                      <w:sz w:val="21"/>
                      <w:szCs w:val="21"/>
                      <w:lang w:val="zh-CN"/>
                    </w:rPr>
                    <w:t>昼间</w:t>
                  </w:r>
                </w:p>
              </w:tc>
              <w:tc>
                <w:tcPr>
                  <w:tcW w:w="2415" w:type="dxa"/>
                  <w:tcBorders>
                    <w:top w:val="single" w:color="auto" w:sz="8" w:space="0"/>
                    <w:bottom w:val="single" w:color="auto" w:sz="8" w:space="0"/>
                    <w:right w:val="single" w:color="auto" w:sz="8" w:space="0"/>
                  </w:tcBorders>
                  <w:noWrap w:val="0"/>
                  <w:vAlign w:val="center"/>
                </w:tcPr>
                <w:p w14:paraId="0A881355">
                  <w:pPr>
                    <w:keepNext w:val="0"/>
                    <w:keepLines w:val="0"/>
                    <w:pageBreakBefore w:val="0"/>
                    <w:widowControl w:val="0"/>
                    <w:kinsoku/>
                    <w:wordWrap/>
                    <w:overflowPunct/>
                    <w:topLinePunct w:val="0"/>
                    <w:autoSpaceDE w:val="0"/>
                    <w:autoSpaceDN w:val="0"/>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bCs/>
                      <w:color w:val="auto"/>
                      <w:sz w:val="21"/>
                      <w:szCs w:val="21"/>
                      <w:lang w:val="zh-CN"/>
                    </w:rPr>
                  </w:pPr>
                  <w:r>
                    <w:rPr>
                      <w:rFonts w:hint="default" w:ascii="Times New Roman" w:hAnsi="Times New Roman" w:eastAsia="宋体" w:cs="Times New Roman"/>
                      <w:bCs/>
                      <w:color w:val="auto"/>
                      <w:sz w:val="21"/>
                      <w:szCs w:val="21"/>
                      <w:lang w:val="zh-CN"/>
                    </w:rPr>
                    <w:t>夜间</w:t>
                  </w:r>
                </w:p>
              </w:tc>
            </w:tr>
            <w:tr w14:paraId="3DA7298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061" w:type="dxa"/>
                  <w:tcBorders>
                    <w:top w:val="single" w:color="auto" w:sz="8" w:space="0"/>
                    <w:left w:val="single" w:color="auto" w:sz="8" w:space="0"/>
                    <w:bottom w:val="single" w:color="auto" w:sz="8" w:space="0"/>
                  </w:tcBorders>
                  <w:noWrap w:val="0"/>
                  <w:vAlign w:val="center"/>
                </w:tcPr>
                <w:p w14:paraId="76C0E11E">
                  <w:pPr>
                    <w:keepNext w:val="0"/>
                    <w:keepLines w:val="0"/>
                    <w:pageBreakBefore w:val="0"/>
                    <w:widowControl w:val="0"/>
                    <w:kinsoku/>
                    <w:wordWrap/>
                    <w:overflowPunct/>
                    <w:topLinePunct w:val="0"/>
                    <w:autoSpaceDE w:val="0"/>
                    <w:autoSpaceDN w:val="0"/>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bCs/>
                      <w:color w:val="auto"/>
                      <w:sz w:val="21"/>
                      <w:szCs w:val="21"/>
                      <w:lang w:val="zh-CN"/>
                    </w:rPr>
                  </w:pPr>
                  <w:r>
                    <w:rPr>
                      <w:rFonts w:hint="default"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zh-CN"/>
                    </w:rPr>
                    <w:t>类</w:t>
                  </w:r>
                </w:p>
              </w:tc>
              <w:tc>
                <w:tcPr>
                  <w:tcW w:w="2436" w:type="dxa"/>
                  <w:tcBorders>
                    <w:top w:val="single" w:color="auto" w:sz="8" w:space="0"/>
                    <w:bottom w:val="single" w:color="auto" w:sz="8" w:space="0"/>
                  </w:tcBorders>
                  <w:noWrap w:val="0"/>
                  <w:vAlign w:val="center"/>
                </w:tcPr>
                <w:p w14:paraId="21A5D350">
                  <w:pPr>
                    <w:keepNext w:val="0"/>
                    <w:keepLines w:val="0"/>
                    <w:pageBreakBefore w:val="0"/>
                    <w:widowControl w:val="0"/>
                    <w:kinsoku/>
                    <w:wordWrap/>
                    <w:overflowPunct/>
                    <w:topLinePunct w:val="0"/>
                    <w:autoSpaceDE w:val="0"/>
                    <w:autoSpaceDN w:val="0"/>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65</w:t>
                  </w:r>
                </w:p>
              </w:tc>
              <w:tc>
                <w:tcPr>
                  <w:tcW w:w="2415" w:type="dxa"/>
                  <w:tcBorders>
                    <w:top w:val="single" w:color="auto" w:sz="8" w:space="0"/>
                    <w:bottom w:val="single" w:color="auto" w:sz="8" w:space="0"/>
                    <w:right w:val="single" w:color="auto" w:sz="8" w:space="0"/>
                  </w:tcBorders>
                  <w:noWrap w:val="0"/>
                  <w:vAlign w:val="center"/>
                </w:tcPr>
                <w:p w14:paraId="0DD4AD24">
                  <w:pPr>
                    <w:keepNext w:val="0"/>
                    <w:keepLines w:val="0"/>
                    <w:pageBreakBefore w:val="0"/>
                    <w:widowControl w:val="0"/>
                    <w:kinsoku/>
                    <w:wordWrap/>
                    <w:overflowPunct/>
                    <w:topLinePunct w:val="0"/>
                    <w:autoSpaceDE w:val="0"/>
                    <w:autoSpaceDN w:val="0"/>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55</w:t>
                  </w:r>
                </w:p>
              </w:tc>
            </w:tr>
          </w:tbl>
          <w:p w14:paraId="248723B2">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color w:val="auto"/>
                <w:kern w:val="0"/>
                <w:sz w:val="24"/>
                <w:szCs w:val="24"/>
              </w:rPr>
            </w:pPr>
            <w:r>
              <w:rPr>
                <w:rFonts w:hint="eastAsia" w:cs="Times New Roman"/>
                <w:b/>
                <w:bCs/>
                <w:color w:val="auto"/>
                <w:kern w:val="0"/>
                <w:sz w:val="24"/>
                <w:szCs w:val="24"/>
                <w:lang w:val="en-US" w:eastAsia="zh-CN"/>
              </w:rPr>
              <w:t>3</w:t>
            </w:r>
            <w:r>
              <w:rPr>
                <w:rFonts w:hint="default" w:ascii="Times New Roman" w:hAnsi="Times New Roman" w:eastAsia="宋体" w:cs="Times New Roman"/>
                <w:b/>
                <w:bCs/>
                <w:color w:val="auto"/>
                <w:kern w:val="0"/>
                <w:sz w:val="24"/>
                <w:szCs w:val="24"/>
              </w:rPr>
              <w:t>、固废排放标准</w:t>
            </w:r>
          </w:p>
          <w:p w14:paraId="6299E9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highlight w:val="none"/>
              </w:rPr>
            </w:pPr>
            <w:r>
              <w:rPr>
                <w:rFonts w:ascii="宋体" w:hAnsi="宋体" w:eastAsia="宋体" w:cs="宋体"/>
                <w:color w:val="auto"/>
                <w:sz w:val="24"/>
                <w:szCs w:val="24"/>
              </w:rPr>
              <w:t>一般固体废物的贮存执行《中华人民共和国固体废物污染环境防治法》的贮存要求，参照</w:t>
            </w:r>
            <w:r>
              <w:rPr>
                <w:rFonts w:hint="default" w:ascii="Times New Roman" w:hAnsi="Times New Roman" w:eastAsia="宋体" w:cs="Times New Roman"/>
                <w:snapToGrid/>
                <w:color w:val="auto"/>
                <w:spacing w:val="0"/>
                <w:kern w:val="0"/>
                <w:position w:val="0"/>
                <w:sz w:val="24"/>
                <w:szCs w:val="24"/>
              </w:rPr>
              <w:t>执行《一般工业固体废物贮存</w:t>
            </w:r>
            <w:r>
              <w:rPr>
                <w:rFonts w:hint="eastAsia" w:ascii="Times New Roman" w:hAnsi="Times New Roman" w:eastAsia="宋体" w:cs="Times New Roman"/>
                <w:snapToGrid/>
                <w:color w:val="auto"/>
                <w:spacing w:val="0"/>
                <w:kern w:val="0"/>
                <w:position w:val="0"/>
                <w:sz w:val="24"/>
                <w:szCs w:val="24"/>
                <w:lang w:eastAsia="zh-CN"/>
              </w:rPr>
              <w:t>和填埋污染控制标准</w:t>
            </w:r>
            <w:r>
              <w:rPr>
                <w:rFonts w:hint="default" w:ascii="Times New Roman" w:hAnsi="Times New Roman" w:eastAsia="宋体" w:cs="Times New Roman"/>
                <w:snapToGrid/>
                <w:color w:val="auto"/>
                <w:spacing w:val="0"/>
                <w:kern w:val="0"/>
                <w:position w:val="0"/>
                <w:sz w:val="24"/>
                <w:szCs w:val="24"/>
              </w:rPr>
              <w:t>》（GB18599-20</w:t>
            </w:r>
            <w:r>
              <w:rPr>
                <w:rFonts w:hint="eastAsia" w:ascii="Times New Roman" w:hAnsi="Times New Roman" w:eastAsia="宋体" w:cs="Times New Roman"/>
                <w:snapToGrid/>
                <w:color w:val="auto"/>
                <w:spacing w:val="0"/>
                <w:kern w:val="0"/>
                <w:position w:val="0"/>
                <w:sz w:val="24"/>
                <w:szCs w:val="24"/>
                <w:lang w:val="en-US" w:eastAsia="zh-CN"/>
              </w:rPr>
              <w:t>20</w:t>
            </w:r>
            <w:r>
              <w:rPr>
                <w:rFonts w:hint="default" w:ascii="Times New Roman" w:hAnsi="Times New Roman" w:eastAsia="宋体" w:cs="Times New Roman"/>
                <w:snapToGrid/>
                <w:color w:val="auto"/>
                <w:spacing w:val="0"/>
                <w:kern w:val="0"/>
                <w:position w:val="0"/>
                <w:sz w:val="24"/>
                <w:szCs w:val="24"/>
              </w:rPr>
              <w:t>）中的相关规定。</w:t>
            </w:r>
            <w:r>
              <w:rPr>
                <w:rFonts w:hint="default" w:ascii="Times New Roman" w:hAnsi="Times New Roman" w:eastAsia="宋体" w:cs="Times New Roman"/>
                <w:snapToGrid/>
                <w:color w:val="auto"/>
                <w:spacing w:val="0"/>
                <w:kern w:val="0"/>
                <w:position w:val="0"/>
                <w:sz w:val="24"/>
                <w:szCs w:val="24"/>
                <w:highlight w:val="none"/>
              </w:rPr>
              <w:t>危险废物执行《危险废物贮存污染控制标</w:t>
            </w:r>
            <w:r>
              <w:rPr>
                <w:rFonts w:hint="eastAsia" w:ascii="Times New Roman" w:hAnsi="Times New Roman" w:eastAsia="宋体" w:cs="Times New Roman"/>
                <w:snapToGrid/>
                <w:color w:val="auto"/>
                <w:spacing w:val="0"/>
                <w:kern w:val="0"/>
                <w:position w:val="0"/>
                <w:sz w:val="24"/>
                <w:szCs w:val="24"/>
                <w:highlight w:val="none"/>
                <w:lang w:eastAsia="zh-CN"/>
              </w:rPr>
              <w:t>准》</w:t>
            </w:r>
            <w:r>
              <w:rPr>
                <w:rFonts w:hint="default" w:ascii="Times New Roman" w:hAnsi="Times New Roman" w:eastAsia="宋体" w:cs="Times New Roman"/>
                <w:snapToGrid/>
                <w:color w:val="auto"/>
                <w:spacing w:val="0"/>
                <w:kern w:val="0"/>
                <w:position w:val="0"/>
                <w:sz w:val="24"/>
                <w:szCs w:val="24"/>
                <w:highlight w:val="none"/>
              </w:rPr>
              <w:t>（GB18597-20</w:t>
            </w:r>
            <w:r>
              <w:rPr>
                <w:rFonts w:hint="eastAsia" w:cs="Times New Roman"/>
                <w:snapToGrid/>
                <w:color w:val="auto"/>
                <w:spacing w:val="0"/>
                <w:kern w:val="0"/>
                <w:position w:val="0"/>
                <w:sz w:val="24"/>
                <w:szCs w:val="24"/>
                <w:highlight w:val="none"/>
                <w:lang w:val="en-US" w:eastAsia="zh-CN"/>
              </w:rPr>
              <w:t>23</w:t>
            </w:r>
            <w:r>
              <w:rPr>
                <w:rFonts w:hint="default" w:ascii="Times New Roman" w:hAnsi="Times New Roman" w:eastAsia="宋体" w:cs="Times New Roman"/>
                <w:snapToGrid/>
                <w:color w:val="auto"/>
                <w:spacing w:val="0"/>
                <w:kern w:val="0"/>
                <w:position w:val="0"/>
                <w:sz w:val="24"/>
                <w:szCs w:val="24"/>
                <w:highlight w:val="none"/>
              </w:rPr>
              <w:t>）中的相关规定。</w:t>
            </w:r>
          </w:p>
          <w:p w14:paraId="7FB5104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color w:val="auto"/>
                <w:kern w:val="0"/>
                <w:szCs w:val="21"/>
                <w:lang w:val="en-US" w:eastAsia="zh-CN"/>
              </w:rPr>
            </w:pPr>
          </w:p>
          <w:p w14:paraId="73F50E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color w:val="auto"/>
                <w:kern w:val="0"/>
                <w:szCs w:val="21"/>
                <w:lang w:val="en-US" w:eastAsia="zh-CN"/>
              </w:rPr>
            </w:pPr>
          </w:p>
          <w:p w14:paraId="3727993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color w:val="auto"/>
                <w:kern w:val="0"/>
                <w:szCs w:val="21"/>
                <w:lang w:val="en-US" w:eastAsia="zh-CN"/>
              </w:rPr>
            </w:pPr>
          </w:p>
          <w:p w14:paraId="4DCCCD6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s="Times New Roman"/>
                <w:color w:val="auto"/>
                <w:kern w:val="0"/>
                <w:szCs w:val="21"/>
                <w:lang w:val="en-US" w:eastAsia="zh-CN"/>
              </w:rPr>
            </w:pPr>
          </w:p>
          <w:p w14:paraId="26462B1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kern w:val="0"/>
                <w:szCs w:val="21"/>
                <w:lang w:val="en-US" w:eastAsia="zh-CN"/>
              </w:rPr>
            </w:pPr>
          </w:p>
        </w:tc>
      </w:tr>
      <w:tr w14:paraId="5E44F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39" w:hRule="atLeast"/>
          <w:jc w:val="center"/>
        </w:trPr>
        <w:tc>
          <w:tcPr>
            <w:tcW w:w="516" w:type="dxa"/>
            <w:tcBorders>
              <w:tl2br w:val="nil"/>
              <w:tr2bl w:val="nil"/>
            </w:tcBorders>
            <w:noWrap w:val="0"/>
            <w:vAlign w:val="center"/>
          </w:tcPr>
          <w:p w14:paraId="6DC09674">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总量</w:t>
            </w:r>
          </w:p>
          <w:p w14:paraId="559BC7EF">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控制</w:t>
            </w:r>
          </w:p>
          <w:p w14:paraId="701BADC4">
            <w:pPr>
              <w:adjustRightInd w:val="0"/>
              <w:snapToGrid w:val="0"/>
              <w:jc w:val="center"/>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指标</w:t>
            </w:r>
          </w:p>
        </w:tc>
        <w:tc>
          <w:tcPr>
            <w:tcW w:w="8539" w:type="dxa"/>
            <w:tcBorders>
              <w:tl2br w:val="nil"/>
              <w:tr2bl w:val="nil"/>
            </w:tcBorders>
            <w:noWrap w:val="0"/>
            <w:vAlign w:val="center"/>
          </w:tcPr>
          <w:p w14:paraId="5D30E777">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关于进一步加强建设项目新增大气主要污染物总量指标管理工作的通知》（安徽省环保厅（皖环发【2017】19号）），为进一步加强大气主要污染物源头管控，有效落实《大气污染防治行动计划》、《建设项目主要污染物排放总量指标审核及管理暂行办法》等，确保大气环境质量改善目标任务顺利完成，现就加强建设项目新增大气主要污染物总量指标管理工作通知如下：</w:t>
            </w:r>
          </w:p>
          <w:p w14:paraId="1D741017">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sz w:val="24"/>
                <w:szCs w:val="24"/>
                <w:highlight w:val="none"/>
                <w:lang w:val="en-US" w:eastAsia="zh-CN"/>
              </w:rPr>
              <w:t>自2017年04月起，新增大气主要污染物排放的建设项目环境影响评价文件审批前必须取得的总量指标从两项增加为四项。在二氧化硫（SO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）、氮氧化物（NO</w:t>
            </w:r>
            <w:r>
              <w:rPr>
                <w:rFonts w:hint="eastAsia" w:ascii="Times New Roman" w:hAnsi="Times New Roman" w:eastAsia="宋体" w:cs="Times New Roman"/>
                <w:color w:val="auto"/>
                <w:sz w:val="24"/>
                <w:szCs w:val="24"/>
                <w:highlight w:val="none"/>
                <w:vertAlign w:val="subscript"/>
                <w:lang w:val="en-US" w:eastAsia="zh-CN"/>
              </w:rPr>
              <w:t>X</w:t>
            </w:r>
            <w:r>
              <w:rPr>
                <w:rFonts w:hint="default" w:ascii="Times New Roman" w:hAnsi="Times New Roman" w:eastAsia="宋体" w:cs="Times New Roman"/>
                <w:color w:val="auto"/>
                <w:sz w:val="24"/>
                <w:szCs w:val="24"/>
                <w:highlight w:val="none"/>
                <w:lang w:val="en-US" w:eastAsia="zh-CN"/>
              </w:rPr>
              <w:t>）的基础上增加烟（粉）尘、挥发性有机物（</w:t>
            </w:r>
            <w:r>
              <w:rPr>
                <w:rFonts w:hint="eastAsia" w:ascii="Times New Roman" w:hAnsi="Times New Roman" w:eastAsia="宋体" w:cs="Times New Roman"/>
                <w:color w:val="auto"/>
                <w:sz w:val="24"/>
                <w:szCs w:val="24"/>
                <w:highlight w:val="none"/>
                <w:lang w:val="en-US" w:eastAsia="zh-CN"/>
              </w:rPr>
              <w:t>VOC</w:t>
            </w:r>
            <w:r>
              <w:rPr>
                <w:rFonts w:hint="eastAsia" w:ascii="Times New Roman" w:hAnsi="Times New Roman" w:eastAsia="宋体" w:cs="Times New Roman"/>
                <w:color w:val="auto"/>
                <w:sz w:val="24"/>
                <w:szCs w:val="24"/>
                <w:highlight w:val="none"/>
                <w:vertAlign w:val="subscript"/>
                <w:lang w:val="en-US" w:eastAsia="zh-CN"/>
              </w:rPr>
              <w:t>S</w:t>
            </w:r>
            <w:r>
              <w:rPr>
                <w:rFonts w:hint="default" w:ascii="Times New Roman" w:hAnsi="Times New Roman" w:eastAsia="宋体" w:cs="Times New Roman"/>
                <w:color w:val="auto"/>
                <w:sz w:val="24"/>
                <w:szCs w:val="24"/>
                <w:highlight w:val="none"/>
                <w:lang w:val="en-US" w:eastAsia="zh-CN"/>
              </w:rPr>
              <w:t>）两项指标。</w:t>
            </w:r>
          </w:p>
          <w:p w14:paraId="7C08E7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val="en-US" w:eastAsia="zh-CN"/>
              </w:rPr>
              <w:t>项目运营期无生产废水外排，</w:t>
            </w:r>
            <w:r>
              <w:rPr>
                <w:rFonts w:hint="default" w:ascii="Times New Roman" w:hAnsi="Times New Roman" w:cs="Times New Roman"/>
                <w:color w:val="auto"/>
                <w:sz w:val="24"/>
                <w:szCs w:val="24"/>
                <w:lang w:val="en-US" w:eastAsia="zh-CN"/>
              </w:rPr>
              <w:t>生活污水依</w:t>
            </w:r>
            <w:r>
              <w:rPr>
                <w:rFonts w:hint="eastAsia" w:cs="Times New Roman"/>
                <w:color w:val="auto"/>
                <w:sz w:val="24"/>
                <w:szCs w:val="24"/>
                <w:lang w:val="en-US" w:eastAsia="zh-CN"/>
              </w:rPr>
              <w:t>经</w:t>
            </w:r>
            <w:r>
              <w:rPr>
                <w:rFonts w:hint="default" w:ascii="Times New Roman" w:hAnsi="Times New Roman" w:cs="Times New Roman"/>
                <w:color w:val="auto"/>
                <w:sz w:val="24"/>
                <w:szCs w:val="24"/>
                <w:lang w:val="en-US" w:eastAsia="zh-CN"/>
              </w:rPr>
              <w:t>化粪池预处理后</w:t>
            </w:r>
            <w:r>
              <w:rPr>
                <w:rFonts w:hint="eastAsia" w:cs="Times New Roman"/>
                <w:color w:val="auto"/>
                <w:sz w:val="24"/>
                <w:szCs w:val="24"/>
                <w:lang w:val="en-US" w:eastAsia="zh-CN"/>
              </w:rPr>
              <w:t>通过</w:t>
            </w:r>
            <w:r>
              <w:rPr>
                <w:rFonts w:hint="default" w:ascii="Times New Roman" w:hAnsi="Times New Roman" w:cs="Times New Roman"/>
                <w:color w:val="auto"/>
                <w:sz w:val="24"/>
                <w:szCs w:val="24"/>
                <w:lang w:val="en-US" w:eastAsia="zh-CN"/>
              </w:rPr>
              <w:t>市政污水管网排入</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default" w:ascii="Times New Roman" w:hAnsi="Times New Roman" w:cs="Times New Roman"/>
                <w:color w:val="auto"/>
                <w:sz w:val="24"/>
                <w:szCs w:val="24"/>
                <w:lang w:val="en-US" w:eastAsia="zh-CN"/>
              </w:rPr>
              <w:t>处理。</w:t>
            </w:r>
            <w:r>
              <w:rPr>
                <w:rFonts w:hint="default" w:ascii="Times New Roman" w:hAnsi="Times New Roman" w:cs="Times New Roman"/>
                <w:color w:val="auto"/>
                <w:sz w:val="24"/>
                <w:szCs w:val="24"/>
              </w:rPr>
              <w:t>COD和氨氮总量指标纳入</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default" w:ascii="Times New Roman" w:hAnsi="Times New Roman" w:cs="Times New Roman"/>
                <w:color w:val="auto"/>
                <w:sz w:val="24"/>
                <w:szCs w:val="24"/>
              </w:rPr>
              <w:t>总量内</w:t>
            </w:r>
            <w:r>
              <w:rPr>
                <w:rFonts w:hint="eastAsia" w:cs="Times New Roman"/>
                <w:color w:val="auto"/>
                <w:sz w:val="24"/>
                <w:szCs w:val="24"/>
                <w:lang w:eastAsia="zh-CN"/>
              </w:rPr>
              <w:t>。</w:t>
            </w:r>
          </w:p>
          <w:p w14:paraId="7F728E52">
            <w:pPr>
              <w:pStyle w:val="1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color w:val="auto"/>
                <w:lang w:val="en-US" w:eastAsia="zh-CN"/>
              </w:rPr>
            </w:pPr>
            <w:r>
              <w:rPr>
                <w:rFonts w:hint="default"/>
                <w:color w:val="auto"/>
              </w:rPr>
              <w:t>本项目营运期无废气</w:t>
            </w:r>
            <w:r>
              <w:rPr>
                <w:rFonts w:hint="eastAsia"/>
                <w:color w:val="auto"/>
                <w:lang w:eastAsia="zh-CN"/>
              </w:rPr>
              <w:t>产生</w:t>
            </w:r>
            <w:r>
              <w:rPr>
                <w:rFonts w:hint="default"/>
                <w:color w:val="auto"/>
              </w:rPr>
              <w:t>，无需申请总量。</w:t>
            </w:r>
          </w:p>
        </w:tc>
      </w:tr>
    </w:tbl>
    <w:p w14:paraId="2DB3F44C">
      <w:pPr>
        <w:pStyle w:val="2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i w:val="0"/>
          <w:iCs w:val="0"/>
          <w:snapToGrid w:val="0"/>
          <w:color w:val="auto"/>
          <w:sz w:val="30"/>
          <w:szCs w:val="30"/>
        </w:rPr>
      </w:pPr>
      <w:r>
        <w:rPr>
          <w:rFonts w:hint="default" w:ascii="Times New Roman" w:hAnsi="Times New Roman" w:eastAsia="宋体" w:cs="Times New Roman"/>
          <w:snapToGrid w:val="0"/>
          <w:color w:val="auto"/>
          <w:sz w:val="36"/>
          <w:szCs w:val="36"/>
        </w:rPr>
        <w:br w:type="page"/>
      </w:r>
      <w:r>
        <w:rPr>
          <w:rFonts w:hint="default" w:ascii="Times New Roman" w:hAnsi="Times New Roman" w:eastAsia="宋体" w:cs="Times New Roman"/>
          <w:b/>
          <w:bCs/>
          <w:i w:val="0"/>
          <w:iCs w:val="0"/>
          <w:snapToGrid w:val="0"/>
          <w:color w:val="auto"/>
          <w:sz w:val="30"/>
          <w:szCs w:val="30"/>
        </w:rPr>
        <w:t>四、主要环境影响和保护措施</w:t>
      </w:r>
    </w:p>
    <w:tbl>
      <w:tblPr>
        <w:tblStyle w:val="23"/>
        <w:tblW w:w="89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8493"/>
      </w:tblGrid>
      <w:tr w14:paraId="2F9A9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dxa"/>
            <w:tcBorders>
              <w:tl2br w:val="nil"/>
              <w:tr2bl w:val="nil"/>
            </w:tcBorders>
            <w:noWrap w:val="0"/>
            <w:tcMar>
              <w:left w:w="28" w:type="dxa"/>
              <w:right w:w="28" w:type="dxa"/>
            </w:tcMar>
            <w:vAlign w:val="center"/>
          </w:tcPr>
          <w:p w14:paraId="3C3F4DD6">
            <w:pPr>
              <w:pStyle w:val="21"/>
              <w:adjustRightInd w:val="0"/>
              <w:snapToGrid w:val="0"/>
              <w:spacing w:before="0" w:beforeAutospacing="0" w:after="0" w:afterAutospacing="0"/>
              <w:jc w:val="center"/>
              <w:rPr>
                <w:rFonts w:hint="default" w:ascii="Times New Roman" w:hAnsi="Times New Roman" w:eastAsia="宋体" w:cs="Times New Roman"/>
                <w:b w:val="0"/>
                <w:bCs w:val="0"/>
                <w:color w:val="auto"/>
                <w:kern w:val="2"/>
                <w:sz w:val="24"/>
                <w:szCs w:val="24"/>
              </w:rPr>
            </w:pPr>
            <w:r>
              <w:rPr>
                <w:rFonts w:hint="default" w:ascii="Times New Roman" w:hAnsi="Times New Roman" w:eastAsia="宋体" w:cs="Times New Roman"/>
                <w:b w:val="0"/>
                <w:bCs w:val="0"/>
                <w:color w:val="auto"/>
                <w:kern w:val="2"/>
                <w:sz w:val="24"/>
                <w:szCs w:val="24"/>
              </w:rPr>
              <w:t>施工</w:t>
            </w:r>
          </w:p>
          <w:p w14:paraId="37BEA9B0">
            <w:pPr>
              <w:pStyle w:val="21"/>
              <w:adjustRightInd w:val="0"/>
              <w:snapToGrid w:val="0"/>
              <w:spacing w:before="0" w:beforeAutospacing="0" w:after="0" w:afterAutospacing="0"/>
              <w:jc w:val="center"/>
              <w:rPr>
                <w:rFonts w:hint="default" w:ascii="Times New Roman" w:hAnsi="Times New Roman" w:eastAsia="宋体" w:cs="Times New Roman"/>
                <w:b w:val="0"/>
                <w:bCs w:val="0"/>
                <w:color w:val="auto"/>
                <w:kern w:val="2"/>
                <w:sz w:val="24"/>
                <w:szCs w:val="24"/>
              </w:rPr>
            </w:pPr>
            <w:r>
              <w:rPr>
                <w:rFonts w:hint="default" w:ascii="Times New Roman" w:hAnsi="Times New Roman" w:eastAsia="宋体" w:cs="Times New Roman"/>
                <w:b w:val="0"/>
                <w:bCs w:val="0"/>
                <w:color w:val="auto"/>
                <w:kern w:val="2"/>
                <w:sz w:val="24"/>
                <w:szCs w:val="24"/>
              </w:rPr>
              <w:t>期环</w:t>
            </w:r>
          </w:p>
          <w:p w14:paraId="34B00E30">
            <w:pPr>
              <w:pStyle w:val="21"/>
              <w:adjustRightInd w:val="0"/>
              <w:snapToGrid w:val="0"/>
              <w:spacing w:before="0" w:beforeAutospacing="0" w:after="0" w:afterAutospacing="0"/>
              <w:jc w:val="center"/>
              <w:rPr>
                <w:rFonts w:hint="default" w:ascii="Times New Roman" w:hAnsi="Times New Roman" w:eastAsia="宋体" w:cs="Times New Roman"/>
                <w:b w:val="0"/>
                <w:bCs w:val="0"/>
                <w:color w:val="auto"/>
                <w:kern w:val="2"/>
                <w:sz w:val="24"/>
                <w:szCs w:val="24"/>
              </w:rPr>
            </w:pPr>
            <w:r>
              <w:rPr>
                <w:rFonts w:hint="default" w:ascii="Times New Roman" w:hAnsi="Times New Roman" w:eastAsia="宋体" w:cs="Times New Roman"/>
                <w:b w:val="0"/>
                <w:bCs w:val="0"/>
                <w:color w:val="auto"/>
                <w:kern w:val="2"/>
                <w:sz w:val="24"/>
                <w:szCs w:val="24"/>
              </w:rPr>
              <w:t>境保</w:t>
            </w:r>
          </w:p>
          <w:p w14:paraId="1F85B952">
            <w:pPr>
              <w:pStyle w:val="21"/>
              <w:adjustRightInd w:val="0"/>
              <w:snapToGrid w:val="0"/>
              <w:spacing w:before="0" w:beforeAutospacing="0" w:after="0" w:afterAutospacing="0"/>
              <w:jc w:val="center"/>
              <w:rPr>
                <w:rFonts w:hint="default" w:ascii="Times New Roman" w:hAnsi="Times New Roman" w:eastAsia="宋体" w:cs="Times New Roman"/>
                <w:b w:val="0"/>
                <w:bCs w:val="0"/>
                <w:color w:val="auto"/>
                <w:kern w:val="2"/>
                <w:sz w:val="24"/>
                <w:szCs w:val="24"/>
              </w:rPr>
            </w:pPr>
            <w:r>
              <w:rPr>
                <w:rFonts w:hint="default" w:ascii="Times New Roman" w:hAnsi="Times New Roman" w:eastAsia="宋体" w:cs="Times New Roman"/>
                <w:b w:val="0"/>
                <w:bCs w:val="0"/>
                <w:color w:val="auto"/>
                <w:kern w:val="2"/>
                <w:sz w:val="24"/>
                <w:szCs w:val="24"/>
              </w:rPr>
              <w:t>护措</w:t>
            </w:r>
          </w:p>
          <w:p w14:paraId="6848D45F">
            <w:pPr>
              <w:pStyle w:val="21"/>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b w:val="0"/>
                <w:bCs w:val="0"/>
                <w:color w:val="auto"/>
                <w:kern w:val="2"/>
                <w:sz w:val="24"/>
                <w:szCs w:val="24"/>
              </w:rPr>
              <w:t>施</w:t>
            </w:r>
          </w:p>
        </w:tc>
        <w:tc>
          <w:tcPr>
            <w:tcW w:w="8473" w:type="dxa"/>
            <w:tcBorders>
              <w:tl2br w:val="nil"/>
              <w:tr2bl w:val="nil"/>
            </w:tcBorders>
            <w:noWrap w:val="0"/>
            <w:vAlign w:val="center"/>
          </w:tcPr>
          <w:p w14:paraId="6B95855B">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位于</w:t>
            </w:r>
            <w:r>
              <w:rPr>
                <w:rFonts w:hint="default" w:ascii="Times New Roman" w:hAnsi="Times New Roman" w:eastAsia="宋体" w:cs="Times New Roman"/>
                <w:color w:val="auto"/>
                <w:sz w:val="24"/>
                <w:szCs w:val="24"/>
                <w:lang w:val="en-US" w:eastAsia="zh-CN"/>
              </w:rPr>
              <w:t>安徽省宿州市灵璧县北部经济开发区轴承产业基地AB区北侧重点区域</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lang w:val="en-US" w:eastAsia="zh-CN"/>
              </w:rPr>
              <w:t>拟建设生产车间、仓库、办公室等</w:t>
            </w:r>
            <w:r>
              <w:rPr>
                <w:rFonts w:hint="eastAsia" w:ascii="Times New Roman" w:hAnsi="Times New Roman" w:eastAsia="宋体" w:cs="Times New Roman"/>
                <w:color w:val="auto"/>
                <w:sz w:val="24"/>
                <w:szCs w:val="24"/>
                <w:lang w:val="en-US" w:eastAsia="zh-CN"/>
              </w:rPr>
              <w:t>，厂房建成后进行简单的装修和生产设备的安装。施工期</w:t>
            </w:r>
            <w:r>
              <w:rPr>
                <w:rFonts w:hint="default" w:ascii="Times New Roman" w:hAnsi="Times New Roman" w:eastAsia="宋体" w:cs="Times New Roman"/>
                <w:color w:val="auto"/>
                <w:sz w:val="24"/>
                <w:szCs w:val="24"/>
                <w:lang w:val="en-US" w:eastAsia="zh-CN"/>
              </w:rPr>
              <w:t>产生的环境影响相对营运期而言属于短期和暂时影响，环境影响随着施工期的结束而消失，但仍需采取相应的环保措施降低对周边环境影响。</w:t>
            </w:r>
          </w:p>
          <w:p w14:paraId="6BF23B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kern w:val="2"/>
                <w:sz w:val="24"/>
                <w:szCs w:val="24"/>
                <w:lang w:val="en-US" w:eastAsia="zh-CN" w:bidi="ar"/>
              </w:rPr>
            </w:pPr>
            <w:r>
              <w:rPr>
                <w:rFonts w:hint="eastAsia" w:ascii="Times New Roman" w:hAnsi="Times New Roman" w:eastAsia="宋体" w:cs="Times New Roman"/>
                <w:b/>
                <w:bCs/>
                <w:color w:val="auto"/>
                <w:kern w:val="2"/>
                <w:sz w:val="24"/>
                <w:szCs w:val="24"/>
                <w:lang w:val="en-US" w:eastAsia="zh-CN" w:bidi="ar"/>
              </w:rPr>
              <w:t>1、</w:t>
            </w:r>
            <w:r>
              <w:rPr>
                <w:rFonts w:hint="default" w:ascii="Times New Roman" w:hAnsi="Times New Roman" w:eastAsia="宋体" w:cs="Times New Roman"/>
                <w:b/>
                <w:bCs/>
                <w:color w:val="auto"/>
                <w:kern w:val="2"/>
                <w:sz w:val="24"/>
                <w:szCs w:val="24"/>
                <w:lang w:val="en-US" w:eastAsia="zh-CN" w:bidi="ar"/>
              </w:rPr>
              <w:t>大气环境影响和保护措施</w:t>
            </w:r>
          </w:p>
          <w:p w14:paraId="5F38FD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rPr>
            </w:pPr>
            <w:r>
              <w:rPr>
                <w:rFonts w:hint="eastAsia" w:ascii="宋体" w:hAnsi="宋体" w:cs="宋体"/>
                <w:color w:val="auto"/>
                <w:sz w:val="24"/>
                <w:szCs w:val="24"/>
                <w:lang w:bidi="ar"/>
              </w:rPr>
              <w:t>项目施工期大气污染物主要为建筑材料运输、基础施工产生的扬尘以及运输车辆产生的汽车尾气等，施工期间产生的</w:t>
            </w:r>
            <w:r>
              <w:rPr>
                <w:rFonts w:hint="eastAsia" w:ascii="宋体" w:hAnsi="宋体" w:cs="宋体"/>
                <w:color w:val="auto"/>
                <w:sz w:val="24"/>
                <w:szCs w:val="24"/>
                <w:lang w:val="en-US" w:eastAsia="zh-CN" w:bidi="ar"/>
              </w:rPr>
              <w:t>颗粒物</w:t>
            </w:r>
            <w:r>
              <w:rPr>
                <w:rFonts w:hint="eastAsia" w:ascii="宋体" w:hAnsi="宋体" w:cs="宋体"/>
                <w:color w:val="auto"/>
                <w:sz w:val="24"/>
                <w:szCs w:val="24"/>
                <w:lang w:bidi="ar"/>
              </w:rPr>
              <w:t>污染主要决定于施工作业方式、材料的堆放及风力等因素，其中受风力因素的影响最大。</w:t>
            </w:r>
          </w:p>
          <w:p w14:paraId="0FE3F1F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b/>
                <w:bCs/>
                <w:color w:val="auto"/>
                <w:sz w:val="24"/>
                <w:szCs w:val="24"/>
              </w:rPr>
            </w:pPr>
            <w:r>
              <w:rPr>
                <w:rFonts w:hint="eastAsia" w:ascii="宋体" w:hAnsi="宋体" w:cs="宋体"/>
                <w:b/>
                <w:bCs/>
                <w:color w:val="auto"/>
                <w:sz w:val="24"/>
                <w:szCs w:val="24"/>
                <w:lang w:bidi="ar"/>
              </w:rPr>
              <w:t>施工扬尘</w:t>
            </w:r>
          </w:p>
          <w:p w14:paraId="4E57FA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rPr>
            </w:pPr>
            <w:r>
              <w:rPr>
                <w:rFonts w:hint="eastAsia" w:ascii="宋体" w:hAnsi="宋体" w:cs="宋体"/>
                <w:color w:val="auto"/>
                <w:sz w:val="24"/>
                <w:szCs w:val="24"/>
                <w:lang w:bidi="ar"/>
              </w:rPr>
              <w:t>施工期对大气造成污染的主要是</w:t>
            </w:r>
            <w:r>
              <w:rPr>
                <w:rFonts w:hint="eastAsia" w:ascii="宋体" w:hAnsi="宋体" w:cs="宋体"/>
                <w:color w:val="auto"/>
                <w:sz w:val="24"/>
                <w:szCs w:val="24"/>
                <w:lang w:val="en-US" w:eastAsia="zh-CN" w:bidi="ar"/>
              </w:rPr>
              <w:t>颗粒物</w:t>
            </w:r>
            <w:r>
              <w:rPr>
                <w:rFonts w:hint="eastAsia" w:ascii="宋体" w:hAnsi="宋体" w:cs="宋体"/>
                <w:color w:val="auto"/>
                <w:sz w:val="24"/>
                <w:szCs w:val="24"/>
                <w:lang w:bidi="ar"/>
              </w:rPr>
              <w:t>，应严格按照</w:t>
            </w:r>
            <w:r>
              <w:rPr>
                <w:rFonts w:hint="eastAsia" w:ascii="宋体" w:hAnsi="宋体" w:cs="宋体"/>
                <w:color w:val="auto"/>
                <w:spacing w:val="2"/>
                <w:sz w:val="24"/>
                <w:szCs w:val="24"/>
                <w:lang w:bidi="ar"/>
              </w:rPr>
              <w:t>《安徽省建筑工程施工扬尘污染防治规定》及</w:t>
            </w:r>
            <w:r>
              <w:rPr>
                <w:rFonts w:hint="eastAsia" w:ascii="宋体" w:hAnsi="宋体" w:cs="宋体"/>
                <w:color w:val="auto"/>
                <w:kern w:val="44"/>
                <w:sz w:val="24"/>
                <w:szCs w:val="24"/>
                <w:lang w:bidi="ar"/>
              </w:rPr>
              <w:t>《宿州市建设工程施工扬尘污染治理工作实施方案》</w:t>
            </w:r>
            <w:r>
              <w:rPr>
                <w:rFonts w:hint="eastAsia" w:ascii="宋体" w:hAnsi="宋体" w:cs="宋体"/>
                <w:color w:val="auto"/>
                <w:sz w:val="24"/>
                <w:szCs w:val="24"/>
                <w:lang w:bidi="ar"/>
              </w:rPr>
              <w:t>中相关规定控制施工期</w:t>
            </w:r>
            <w:r>
              <w:rPr>
                <w:rFonts w:hint="eastAsia" w:ascii="宋体" w:hAnsi="宋体" w:cs="宋体"/>
                <w:color w:val="auto"/>
                <w:sz w:val="24"/>
                <w:szCs w:val="24"/>
                <w:lang w:val="en-US" w:eastAsia="zh-CN" w:bidi="ar"/>
              </w:rPr>
              <w:t>颗粒物</w:t>
            </w:r>
            <w:r>
              <w:rPr>
                <w:rFonts w:hint="eastAsia" w:ascii="宋体" w:hAnsi="宋体" w:cs="宋体"/>
                <w:color w:val="auto"/>
                <w:sz w:val="24"/>
                <w:szCs w:val="24"/>
                <w:lang w:bidi="ar"/>
              </w:rPr>
              <w:t>，具体措施如下：</w:t>
            </w:r>
          </w:p>
          <w:p w14:paraId="00FC9F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1）施工现场实行围挡全封闭。主要路段施工现场围挡要严格按照建筑工程施工扬尘污染防治规定要求设立，主要路段围挡高度不得低于2.5米，一般路段围挡高度不得低于1.8米。围挡要进行美化亮化，公益广告不得破损。围档底边应当封闭并设置防溢沉淀井，不得有泥浆外漏。</w:t>
            </w:r>
          </w:p>
          <w:p w14:paraId="63AE51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（2）施工现场内道路、加工区实施混凝土硬化。硬化后的地面，不得有浮土、积土，裸露场地应当采取覆盖或绿化措施，祼土堆积时间超过3个月以上的必须绿化。</w:t>
            </w:r>
          </w:p>
          <w:p w14:paraId="4DF503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（3）施工现场设置洒水降尘设施，安排专人定时洒水降尘。</w:t>
            </w:r>
          </w:p>
          <w:p w14:paraId="0BB75F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（4）施工现场土方开挖后尽快完成回填，不能及时回填的场地，采取覆盖等防尘措施；砂石等散体材料集中堆放并覆盖。</w:t>
            </w:r>
          </w:p>
          <w:p w14:paraId="054F62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（5）渣土等建筑垃圾集中、分类堆放，严密遮盖，采用封闭式管道或装袋清运，严禁高处抛洒。需要运输、处理的，按照市、县政府市容环境治理有关规定和要求办理。</w:t>
            </w:r>
          </w:p>
          <w:p w14:paraId="7F0FC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（6）外脚手架应当设置悬挂密目式安全网封闭，并保持严密整洁。</w:t>
            </w:r>
          </w:p>
          <w:p w14:paraId="75190A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（7）施工现场禁止焚烧沥青、油毡、橡胶、塑料、皮革、垃圾以及其他产生有毒有害烟尘和恶臭气体的物质。</w:t>
            </w:r>
          </w:p>
          <w:p w14:paraId="364DE4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hint="default" w:ascii="Times New Roman" w:hAnsi="Times New Roman" w:cs="Times New Roman"/>
                <w:color w:val="auto"/>
                <w:sz w:val="24"/>
                <w:szCs w:val="24"/>
                <w:lang w:bidi="ar"/>
              </w:rPr>
              <w:t>（8）</w:t>
            </w:r>
            <w:r>
              <w:rPr>
                <w:rFonts w:ascii="Times New Roman" w:hAnsi="Times New Roman"/>
                <w:color w:val="auto"/>
                <w:sz w:val="24"/>
                <w:szCs w:val="24"/>
                <w:lang w:bidi="ar"/>
              </w:rPr>
              <w:t>施工现场必须使用商品混凝土和预拌砂浆，严禁现场搅拌混凝土、配制砂浆作业。</w:t>
            </w:r>
          </w:p>
          <w:p w14:paraId="6A17E8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（9）施工现场大门出口处必须设置自动冲洗设施，并保持设备处于开启使用状态，视频监控装置要实时监控，并保存车辆冲洗影像资料。</w:t>
            </w:r>
          </w:p>
          <w:p w14:paraId="2AA052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（10）建筑面积1万平方米及以上的建筑施工工地现场要安装扬尘在线监测和视频监控装置并与当地住建部门联网，实行施工全过程监控。</w:t>
            </w:r>
          </w:p>
          <w:p w14:paraId="28B97F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（11）施工单位应配备相应降尘设备（雾炮机、洒水车），保证现场防尘使用，在用设备外观必须干净美观。</w:t>
            </w:r>
          </w:p>
          <w:p w14:paraId="7F685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12）喷淋系统设置。塔式起重机安装高压喷淋系统，覆盖整个施工区域，每天不少于4次喷淋作业；外脚手架在首层悬挑周围或者10米高度设置喷淋系统，每隔5米设置一个喷头；道路安装喷淋系统定时洒水减少扬尘。</w:t>
            </w:r>
          </w:p>
          <w:p w14:paraId="718209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（13）施工后期道路排水工程、绿化工程，施工时围挡不得拆除。挖土整平施工时必须进行湿式作业。裸土必须覆盖，渣土及时清运。</w:t>
            </w:r>
          </w:p>
          <w:p w14:paraId="00FCDF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（14）根据《安徽省重污染天气应急预案》启动Ⅲ级（黄色）预警以上或气象预报风速达到五级以上时，不得进行土方挖填和转运、拆除、道路路面鼓风机吹灰等易产生扬尘的作业。</w:t>
            </w:r>
          </w:p>
          <w:p w14:paraId="2CFB7E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lang w:bidi="ar"/>
              </w:rPr>
            </w:pPr>
            <w:r>
              <w:rPr>
                <w:rFonts w:ascii="Times New Roman" w:hAnsi="Times New Roman"/>
                <w:color w:val="auto"/>
                <w:sz w:val="24"/>
                <w:szCs w:val="24"/>
                <w:lang w:bidi="ar"/>
              </w:rPr>
              <w:t>（15）建筑施工现场的施工总承包单位和工程监理单位要定期进行扬尘污染防治专项检查，并形成书面记录。对不能有效整改的项目，工程监理单位有向建设行政主管部门报告的义务。</w:t>
            </w:r>
          </w:p>
          <w:p w14:paraId="5F3953C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尾气</w:t>
            </w:r>
          </w:p>
          <w:p w14:paraId="2EDEF9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尾气污染产生的主要决定因素为燃料油种类、机械性能、作业方式和风力等，其中机械性能、作业方式影响最大。运输车辆和部分施工机械在怠速、减速和加速时产生的污染最为严重。根据同类资料类比分析，在一般气象条件下，平均风速3.8m/s时，建筑工地的CO、N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以及未完全燃烧的碳氢化物THC为其上风向的5.4-6倍，其CO、NO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以及碳氢化物THC影响范围在其下风向可达100m，影响范围内CO、NO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以及碳氢化物THC浓度均值分别为10.03mg/Nm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、0.216m/Nm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和1.05mg/Nm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。CO、NO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浓度值分别为《环境空气质量标准》中二级标准值的2.2倍和2.5倍，碳氢化物THC不超标（我国无该污染物的质量标准，参照以色列居民区大气中有害物质的最大允许浓度2.0mg/Nm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w:t>
            </w:r>
          </w:p>
          <w:p w14:paraId="79DE36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本项目所在地区风速相对较小，只有在大风及干燥天气施工，施工现场及其下风向将有CO、NO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以及碳氢化物 THC 存在。本项目施工期较长，通过密闭施工，设置围栏，在同等气象条件下，其影响距离可缩短30%，即影响范围为70m。</w:t>
            </w:r>
          </w:p>
          <w:p w14:paraId="0B4DE0B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有机溶剂废气</w:t>
            </w:r>
          </w:p>
          <w:p w14:paraId="0DD21A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室内装修阶段对环境产生污染的材料主要是人造板、饰面人造板以及油漆等有机溶剂（主要有溶剂型涂料、溶剂型胶粘剂，水性阻燃剂、防水剂、防腐剂及防虫剂等）等。其主要污染因子为VOCs，此外还有极少量的汽油、丁醇和丙醇等。</w:t>
            </w:r>
          </w:p>
          <w:p w14:paraId="409C1D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lang w:val="en-US" w:eastAsia="zh-CN"/>
              </w:rPr>
              <w:t>根据本项目工程分析，装修阶段约需向周围大气环境排放VOCs，为无组织排放，排放周期短且作业点分散。因此，在装修油漆期间，应加强室内的通风换气，油漆结束完成以后，也应每天进行通风换气一至二个月后才能营业或居住。由于装修时采用的三合板和油漆中含有的甲醛、VOCs等影响环境质量的有毒有害物质挥发时间长，所以项目运营后也要注意室内空气的流畅</w:t>
            </w:r>
            <w:r>
              <w:rPr>
                <w:rFonts w:hint="default" w:ascii="Times New Roman" w:hAnsi="Times New Roman" w:cs="Times New Roman"/>
                <w:color w:val="auto"/>
                <w:sz w:val="24"/>
                <w:szCs w:val="24"/>
                <w:lang w:eastAsia="zh-CN"/>
              </w:rPr>
              <w:t>。</w:t>
            </w:r>
          </w:p>
          <w:p w14:paraId="67356F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b/>
                <w:bCs w:val="0"/>
                <w:color w:val="auto"/>
                <w:kern w:val="2"/>
                <w:sz w:val="24"/>
                <w:szCs w:val="24"/>
                <w:lang w:val="en-US" w:eastAsia="zh-CN" w:bidi="ar"/>
              </w:rPr>
              <w:t>2、水环境影响和保护措施</w:t>
            </w:r>
          </w:p>
          <w:p w14:paraId="6EFBA2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本项目施工期间产生的废水主要为施工废水及施工人员生活污水</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kern w:val="2"/>
                <w:sz w:val="24"/>
                <w:szCs w:val="24"/>
                <w:lang w:val="en-US" w:eastAsia="zh-CN" w:bidi="ar"/>
              </w:rPr>
              <w:t>施工废水不得任意直接排放、应采取现场建造集水池、沉砂池、排水沟等水处理构筑物，对施工期废污水进行收集简单处理后达标排放，施工人员产生的生活</w:t>
            </w:r>
            <w:r>
              <w:rPr>
                <w:rFonts w:hint="eastAsia" w:cs="Times New Roman"/>
                <w:color w:val="auto"/>
                <w:kern w:val="2"/>
                <w:sz w:val="24"/>
                <w:szCs w:val="24"/>
                <w:lang w:val="en-US" w:eastAsia="zh-CN" w:bidi="ar"/>
              </w:rPr>
              <w:t>污水</w:t>
            </w:r>
            <w:r>
              <w:rPr>
                <w:rFonts w:hint="default" w:ascii="Times New Roman" w:hAnsi="Times New Roman" w:eastAsia="宋体" w:cs="Times New Roman"/>
                <w:color w:val="auto"/>
                <w:kern w:val="2"/>
                <w:sz w:val="24"/>
                <w:szCs w:val="24"/>
                <w:lang w:val="en-US" w:eastAsia="zh-CN" w:bidi="ar"/>
              </w:rPr>
              <w:t>经化粪池</w:t>
            </w:r>
            <w:r>
              <w:rPr>
                <w:rFonts w:hint="default" w:ascii="Times New Roman" w:hAnsi="Times New Roman" w:cs="Times New Roman"/>
                <w:color w:val="auto"/>
                <w:kern w:val="2"/>
                <w:sz w:val="24"/>
                <w:szCs w:val="24"/>
                <w:lang w:val="en-US" w:eastAsia="zh-CN" w:bidi="ar"/>
              </w:rPr>
              <w:t>统一处理</w:t>
            </w:r>
            <w:r>
              <w:rPr>
                <w:rFonts w:hint="eastAsia" w:ascii="Times New Roman" w:hAnsi="Times New Roman" w:eastAsia="宋体" w:cs="Times New Roman"/>
                <w:color w:val="auto"/>
                <w:sz w:val="24"/>
                <w:szCs w:val="24"/>
                <w:highlight w:val="none"/>
                <w:lang w:val="en-US" w:eastAsia="zh-CN"/>
              </w:rPr>
              <w:t>进入市政管网</w:t>
            </w:r>
            <w:r>
              <w:rPr>
                <w:rFonts w:hint="default" w:ascii="Times New Roman" w:hAnsi="Times New Roman" w:eastAsia="宋体" w:cs="Times New Roman"/>
                <w:color w:val="auto"/>
                <w:sz w:val="24"/>
                <w:szCs w:val="24"/>
                <w:highlight w:val="none"/>
                <w:lang w:val="en-US" w:eastAsia="zh-CN"/>
              </w:rPr>
              <w:t>。</w:t>
            </w:r>
          </w:p>
          <w:p w14:paraId="095D16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lang w:val="en-US" w:eastAsia="zh-CN" w:bidi="ar"/>
              </w:rPr>
              <w:t>通过采取上述废水治理措施后，项目施工期产生的废水可以得到妥善处理，不会对项目所在区域地表水环境产生影响。</w:t>
            </w:r>
          </w:p>
          <w:p w14:paraId="5D8474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default" w:ascii="Times New Roman" w:hAnsi="Times New Roman" w:eastAsia="宋体" w:cs="Times New Roman"/>
                <w:b/>
                <w:bCs w:val="0"/>
                <w:color w:val="auto"/>
                <w:kern w:val="2"/>
                <w:sz w:val="24"/>
                <w:szCs w:val="24"/>
              </w:rPr>
            </w:pPr>
            <w:r>
              <w:rPr>
                <w:rFonts w:hint="default" w:ascii="Times New Roman" w:hAnsi="Times New Roman" w:eastAsia="宋体" w:cs="Times New Roman"/>
                <w:b/>
                <w:bCs w:val="0"/>
                <w:color w:val="auto"/>
                <w:kern w:val="2"/>
                <w:sz w:val="24"/>
                <w:szCs w:val="24"/>
                <w:lang w:val="en-US" w:eastAsia="zh-CN" w:bidi="ar"/>
              </w:rPr>
              <w:t>3、声环境影响和保护措施</w:t>
            </w:r>
          </w:p>
          <w:p w14:paraId="7EF7CD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项目工程施工噪声源主要包括：工程开挖、构筑物砌筑、场地清理和修理等使用施工机械的固定声源噪声以及施工运输车辆的流动噪声声源。经建筑工程施工工地噪声源强类比调查分析，确定工程的噪声影响主要来源于施工现场（场址区内）的声源噪声。施工期主要工程项目有地基平整、压实、基础开挖、商业用房及其它辅助与公用设施的建设、装修等。在施工过程中，设备产生的噪声可能对作业人员和场址周围环境造成一定影响，噪声源的声压级一般在</w:t>
            </w:r>
            <w:r>
              <w:rPr>
                <w:rFonts w:hint="default" w:ascii="Times New Roman" w:hAnsi="Times New Roman" w:cs="Times New Roman"/>
                <w:color w:val="auto"/>
                <w:kern w:val="2"/>
                <w:sz w:val="24"/>
                <w:szCs w:val="24"/>
                <w:lang w:val="en-US" w:eastAsia="zh-CN" w:bidi="ar"/>
              </w:rPr>
              <w:t>80</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90dB(A)</w:t>
            </w:r>
            <w:r>
              <w:rPr>
                <w:rFonts w:hint="default" w:ascii="Times New Roman" w:hAnsi="Times New Roman" w:eastAsia="宋体" w:cs="Times New Roman"/>
                <w:color w:val="auto"/>
                <w:kern w:val="2"/>
                <w:sz w:val="24"/>
                <w:szCs w:val="24"/>
                <w:lang w:val="en-US" w:eastAsia="zh-CN" w:bidi="ar"/>
              </w:rPr>
              <w:t>左右。施工方应在施工期采取有效的噪声控制措施：</w:t>
            </w:r>
          </w:p>
          <w:p w14:paraId="100498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①</w:t>
            </w:r>
            <w:r>
              <w:rPr>
                <w:rFonts w:hint="eastAsia" w:ascii="Times New Roman" w:hAnsi="Times New Roman" w:eastAsia="宋体" w:cs="Times New Roman"/>
                <w:color w:val="auto"/>
                <w:kern w:val="2"/>
                <w:sz w:val="24"/>
                <w:szCs w:val="24"/>
                <w:lang w:val="en-US" w:eastAsia="zh-CN" w:bidi="ar"/>
              </w:rPr>
              <w:t xml:space="preserve"> </w:t>
            </w:r>
            <w:r>
              <w:rPr>
                <w:rFonts w:hint="default" w:ascii="Times New Roman" w:hAnsi="Times New Roman" w:eastAsia="宋体" w:cs="Times New Roman"/>
                <w:color w:val="auto"/>
                <w:kern w:val="2"/>
                <w:sz w:val="24"/>
                <w:szCs w:val="24"/>
                <w:lang w:val="en-US" w:eastAsia="zh-CN" w:bidi="ar"/>
              </w:rPr>
              <w:t>在设备选型时尽量采用低噪声设备，采用围栏进行施工。</w:t>
            </w:r>
          </w:p>
          <w:p w14:paraId="3183E4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②</w:t>
            </w:r>
            <w:r>
              <w:rPr>
                <w:rFonts w:hint="eastAsia" w:ascii="Times New Roman" w:hAnsi="Times New Roman" w:eastAsia="宋体" w:cs="Times New Roman"/>
                <w:color w:val="auto"/>
                <w:kern w:val="2"/>
                <w:sz w:val="24"/>
                <w:szCs w:val="24"/>
                <w:lang w:val="en-US" w:eastAsia="zh-CN" w:bidi="ar"/>
              </w:rPr>
              <w:t xml:space="preserve"> </w:t>
            </w:r>
            <w:r>
              <w:rPr>
                <w:rFonts w:hint="default" w:ascii="Times New Roman" w:hAnsi="Times New Roman" w:eastAsia="宋体" w:cs="Times New Roman"/>
                <w:color w:val="auto"/>
                <w:kern w:val="2"/>
                <w:sz w:val="24"/>
                <w:szCs w:val="24"/>
                <w:lang w:val="en-US" w:eastAsia="zh-CN" w:bidi="ar"/>
              </w:rPr>
              <w:t>合理安排施工时间，高噪声设备禁止在夜间(</w:t>
            </w:r>
            <w:r>
              <w:rPr>
                <w:rFonts w:hint="default" w:ascii="Times New Roman" w:hAnsi="Times New Roman" w:cs="Times New Roman"/>
                <w:color w:val="auto"/>
                <w:kern w:val="2"/>
                <w:sz w:val="24"/>
                <w:szCs w:val="24"/>
                <w:lang w:val="en-US" w:eastAsia="zh-CN" w:bidi="ar"/>
              </w:rPr>
              <w:t>22：00-6：00</w:t>
            </w:r>
            <w:r>
              <w:rPr>
                <w:rFonts w:hint="default" w:ascii="Times New Roman" w:hAnsi="Times New Roman" w:eastAsia="宋体" w:cs="Times New Roman"/>
                <w:color w:val="auto"/>
                <w:kern w:val="2"/>
                <w:sz w:val="24"/>
                <w:szCs w:val="24"/>
                <w:lang w:val="en-US" w:eastAsia="zh-CN" w:bidi="ar"/>
              </w:rPr>
              <w:t>)进行施工，尤其是要严格控制施工机械噪声值在大于</w:t>
            </w:r>
            <w:r>
              <w:rPr>
                <w:rFonts w:hint="default" w:ascii="Times New Roman" w:hAnsi="Times New Roman" w:cs="Times New Roman"/>
                <w:color w:val="auto"/>
                <w:kern w:val="2"/>
                <w:sz w:val="24"/>
                <w:szCs w:val="24"/>
                <w:lang w:val="en-US" w:eastAsia="zh-CN" w:bidi="ar"/>
              </w:rPr>
              <w:t>85dB</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A</w:t>
            </w:r>
            <w:r>
              <w:rPr>
                <w:rFonts w:hint="default" w:ascii="Times New Roman" w:hAnsi="Times New Roman" w:eastAsia="宋体" w:cs="Times New Roman"/>
                <w:color w:val="auto"/>
                <w:kern w:val="2"/>
                <w:sz w:val="24"/>
                <w:szCs w:val="24"/>
                <w:lang w:val="en-US" w:eastAsia="zh-CN" w:bidi="ar"/>
              </w:rPr>
              <w:t>)的作业。</w:t>
            </w:r>
          </w:p>
          <w:p w14:paraId="2976B3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③</w:t>
            </w:r>
            <w:r>
              <w:rPr>
                <w:rFonts w:hint="eastAsia" w:ascii="Times New Roman" w:hAnsi="Times New Roman" w:eastAsia="宋体" w:cs="Times New Roman"/>
                <w:color w:val="auto"/>
                <w:kern w:val="2"/>
                <w:sz w:val="24"/>
                <w:szCs w:val="24"/>
                <w:lang w:val="en-US" w:eastAsia="zh-CN" w:bidi="ar"/>
              </w:rPr>
              <w:t xml:space="preserve"> </w:t>
            </w:r>
            <w:r>
              <w:rPr>
                <w:rFonts w:hint="default" w:ascii="Times New Roman" w:hAnsi="Times New Roman" w:eastAsia="宋体" w:cs="Times New Roman"/>
                <w:color w:val="auto"/>
                <w:kern w:val="2"/>
                <w:sz w:val="24"/>
                <w:szCs w:val="24"/>
                <w:lang w:val="en-US" w:eastAsia="zh-CN" w:bidi="ar"/>
              </w:rPr>
              <w:t>合理布局施工现场。施工时应将高噪声设备布置在场区中央，同时尽可能避免多台高噪声设备同时作业。</w:t>
            </w:r>
          </w:p>
          <w:p w14:paraId="16E3E1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④</w:t>
            </w:r>
            <w:r>
              <w:rPr>
                <w:rFonts w:hint="eastAsia" w:ascii="Times New Roman" w:hAnsi="Times New Roman" w:eastAsia="宋体" w:cs="Times New Roman"/>
                <w:color w:val="auto"/>
                <w:kern w:val="2"/>
                <w:sz w:val="24"/>
                <w:szCs w:val="24"/>
                <w:lang w:val="en-US" w:eastAsia="zh-CN" w:bidi="ar"/>
              </w:rPr>
              <w:t xml:space="preserve"> </w:t>
            </w:r>
            <w:r>
              <w:rPr>
                <w:rFonts w:hint="default" w:ascii="Times New Roman" w:hAnsi="Times New Roman" w:eastAsia="宋体" w:cs="Times New Roman"/>
                <w:color w:val="auto"/>
                <w:kern w:val="2"/>
                <w:sz w:val="24"/>
                <w:szCs w:val="24"/>
                <w:lang w:val="en-US" w:eastAsia="zh-CN" w:bidi="ar"/>
              </w:rPr>
              <w:t>加强管理，尽量减少人为噪声（如钢管、模板等构件的装卸、搬运等）。</w:t>
            </w:r>
          </w:p>
          <w:p w14:paraId="0FEC9D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由于项目施工工期较短，负面影响只是暂时性的，在采取隔声降噪措施和严格管理下，场界噪声能达到国家《建筑施工场界环境噪声排放标准》（</w:t>
            </w:r>
            <w:r>
              <w:rPr>
                <w:rFonts w:hint="default" w:ascii="Times New Roman" w:hAnsi="Times New Roman" w:cs="Times New Roman"/>
                <w:color w:val="auto"/>
                <w:kern w:val="2"/>
                <w:sz w:val="24"/>
                <w:szCs w:val="24"/>
                <w:lang w:val="en-US" w:eastAsia="zh-CN" w:bidi="ar"/>
              </w:rPr>
              <w:t>GB12523</w:t>
            </w:r>
            <w:r>
              <w:rPr>
                <w:rFonts w:hint="eastAsia" w:cs="Times New Roman"/>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2011</w:t>
            </w:r>
            <w:r>
              <w:rPr>
                <w:rFonts w:hint="default" w:ascii="Times New Roman" w:hAnsi="Times New Roman" w:eastAsia="宋体" w:cs="Times New Roman"/>
                <w:color w:val="auto"/>
                <w:kern w:val="2"/>
                <w:sz w:val="24"/>
                <w:szCs w:val="24"/>
                <w:lang w:val="en-US" w:eastAsia="zh-CN" w:bidi="ar"/>
              </w:rPr>
              <w:t>）的规定，因此在采取以上措施后，施工噪声对周围环境产生的影响较小。</w:t>
            </w:r>
          </w:p>
          <w:p w14:paraId="09D503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default" w:ascii="Times New Roman" w:hAnsi="Times New Roman" w:cs="Times New Roman"/>
                <w:b w:val="0"/>
                <w:bCs/>
                <w:color w:val="auto"/>
                <w:kern w:val="2"/>
                <w:sz w:val="24"/>
                <w:szCs w:val="24"/>
              </w:rPr>
            </w:pPr>
            <w:r>
              <w:rPr>
                <w:rFonts w:hint="default" w:ascii="Times New Roman" w:hAnsi="Times New Roman" w:eastAsia="宋体" w:cs="Times New Roman"/>
                <w:b/>
                <w:bCs w:val="0"/>
                <w:color w:val="auto"/>
                <w:kern w:val="2"/>
                <w:sz w:val="24"/>
                <w:szCs w:val="24"/>
                <w:lang w:val="en-US" w:eastAsia="zh-CN" w:bidi="ar"/>
              </w:rPr>
              <w:t>4、固体废物环境影响和保护措施</w:t>
            </w:r>
          </w:p>
          <w:p w14:paraId="39D2AD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项目施工期产生的固体废物主要有施工场地产生的建筑垃圾和施工人员产生的生活垃圾。施工产生的建筑垃圾应集中堆放，由施工单位运至市政指定建筑废渣专用堆放场，以免影响施工和环境卫生；施工人员产生的生活垃圾应全部及时交由环卫部门进行处置。</w:t>
            </w:r>
          </w:p>
          <w:p w14:paraId="036E76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在落实以上环保措施后，项目产生的固体废物不会对区域环境产生不利影响，但值得注意的是建筑垃圾和生活垃圾应分类收集、分类存放、分类运输和分类处置，不得混装。</w:t>
            </w:r>
          </w:p>
          <w:p w14:paraId="1016C263">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7EAFC102">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4ED8A633">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55F3BA32">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0090E235">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419E07AA">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43275DE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7EE06D9E">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3E289CF6">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426F0F02">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429EE6D3">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7F14844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bCs/>
                <w:color w:val="auto"/>
                <w:spacing w:val="-10"/>
                <w:sz w:val="24"/>
                <w:szCs w:val="24"/>
              </w:rPr>
            </w:pPr>
          </w:p>
          <w:p w14:paraId="502B7FE3">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Cs/>
                <w:color w:val="auto"/>
                <w:spacing w:val="-10"/>
                <w:szCs w:val="21"/>
              </w:rPr>
            </w:pPr>
          </w:p>
          <w:p w14:paraId="40F04C61">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Cs/>
                <w:color w:val="auto"/>
                <w:spacing w:val="-10"/>
                <w:szCs w:val="21"/>
              </w:rPr>
            </w:pPr>
          </w:p>
          <w:p w14:paraId="5184274A">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Cs/>
                <w:color w:val="auto"/>
                <w:spacing w:val="-10"/>
                <w:szCs w:val="21"/>
              </w:rPr>
            </w:pPr>
          </w:p>
          <w:p w14:paraId="266C13D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Cs/>
                <w:color w:val="auto"/>
                <w:spacing w:val="-10"/>
                <w:szCs w:val="21"/>
              </w:rPr>
            </w:pPr>
          </w:p>
          <w:p w14:paraId="5EBB607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Cs/>
                <w:color w:val="auto"/>
                <w:spacing w:val="-10"/>
                <w:szCs w:val="21"/>
              </w:rPr>
            </w:pPr>
          </w:p>
          <w:p w14:paraId="4FF511B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Cs/>
                <w:color w:val="auto"/>
                <w:spacing w:val="-10"/>
                <w:szCs w:val="21"/>
              </w:rPr>
            </w:pPr>
          </w:p>
        </w:tc>
      </w:tr>
      <w:tr w14:paraId="70685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516" w:type="dxa"/>
            <w:tcBorders>
              <w:tl2br w:val="nil"/>
              <w:tr2bl w:val="nil"/>
            </w:tcBorders>
            <w:noWrap w:val="0"/>
            <w:tcMar>
              <w:left w:w="28" w:type="dxa"/>
              <w:right w:w="28" w:type="dxa"/>
            </w:tcMar>
            <w:vAlign w:val="center"/>
          </w:tcPr>
          <w:p w14:paraId="706D76B2">
            <w:pPr>
              <w:pStyle w:val="21"/>
              <w:adjustRightInd w:val="0"/>
              <w:snapToGrid w:val="0"/>
              <w:spacing w:before="0" w:beforeAutospacing="0" w:after="0" w:afterAutospacing="0"/>
              <w:jc w:val="center"/>
              <w:rPr>
                <w:rFonts w:hint="eastAsia" w:cs="宋体"/>
                <w:bCs/>
                <w:color w:val="auto"/>
                <w:kern w:val="2"/>
                <w:sz w:val="24"/>
                <w:szCs w:val="24"/>
              </w:rPr>
            </w:pPr>
            <w:r>
              <w:rPr>
                <w:rFonts w:hint="eastAsia" w:cs="宋体"/>
                <w:bCs/>
                <w:color w:val="auto"/>
                <w:kern w:val="2"/>
                <w:sz w:val="24"/>
                <w:szCs w:val="24"/>
              </w:rPr>
              <w:t>运</w:t>
            </w:r>
          </w:p>
          <w:p w14:paraId="24844734">
            <w:pPr>
              <w:pStyle w:val="21"/>
              <w:adjustRightInd w:val="0"/>
              <w:snapToGrid w:val="0"/>
              <w:spacing w:before="0" w:beforeAutospacing="0" w:after="0" w:afterAutospacing="0"/>
              <w:jc w:val="center"/>
              <w:rPr>
                <w:rFonts w:hint="eastAsia" w:cs="宋体"/>
                <w:bCs/>
                <w:color w:val="auto"/>
                <w:kern w:val="2"/>
                <w:sz w:val="24"/>
                <w:szCs w:val="24"/>
              </w:rPr>
            </w:pPr>
            <w:r>
              <w:rPr>
                <w:rFonts w:hint="eastAsia" w:cs="宋体"/>
                <w:bCs/>
                <w:color w:val="auto"/>
                <w:kern w:val="2"/>
                <w:sz w:val="24"/>
                <w:szCs w:val="24"/>
              </w:rPr>
              <w:t>营</w:t>
            </w:r>
          </w:p>
          <w:p w14:paraId="599A4B39">
            <w:pPr>
              <w:pStyle w:val="21"/>
              <w:adjustRightInd w:val="0"/>
              <w:snapToGrid w:val="0"/>
              <w:spacing w:before="0" w:beforeAutospacing="0" w:after="0" w:afterAutospacing="0"/>
              <w:jc w:val="center"/>
              <w:rPr>
                <w:rFonts w:hint="eastAsia" w:cs="宋体"/>
                <w:bCs/>
                <w:color w:val="auto"/>
                <w:kern w:val="2"/>
                <w:sz w:val="24"/>
                <w:szCs w:val="24"/>
              </w:rPr>
            </w:pPr>
            <w:r>
              <w:rPr>
                <w:rFonts w:hint="eastAsia" w:cs="宋体"/>
                <w:bCs/>
                <w:color w:val="auto"/>
                <w:kern w:val="2"/>
                <w:sz w:val="24"/>
                <w:szCs w:val="24"/>
              </w:rPr>
              <w:t>期</w:t>
            </w:r>
          </w:p>
          <w:p w14:paraId="0C788A1E">
            <w:pPr>
              <w:pStyle w:val="21"/>
              <w:adjustRightInd w:val="0"/>
              <w:snapToGrid w:val="0"/>
              <w:spacing w:before="0" w:beforeAutospacing="0" w:after="0" w:afterAutospacing="0"/>
              <w:jc w:val="center"/>
              <w:rPr>
                <w:rFonts w:hint="eastAsia" w:cs="宋体"/>
                <w:bCs/>
                <w:color w:val="auto"/>
                <w:kern w:val="2"/>
                <w:sz w:val="24"/>
                <w:szCs w:val="24"/>
              </w:rPr>
            </w:pPr>
            <w:r>
              <w:rPr>
                <w:rFonts w:hint="eastAsia" w:cs="宋体"/>
                <w:bCs/>
                <w:color w:val="auto"/>
                <w:kern w:val="2"/>
                <w:sz w:val="24"/>
                <w:szCs w:val="24"/>
              </w:rPr>
              <w:t>环</w:t>
            </w:r>
          </w:p>
          <w:p w14:paraId="686AD9D3">
            <w:pPr>
              <w:pStyle w:val="21"/>
              <w:adjustRightInd w:val="0"/>
              <w:snapToGrid w:val="0"/>
              <w:spacing w:before="0" w:beforeAutospacing="0" w:after="0" w:afterAutospacing="0"/>
              <w:jc w:val="center"/>
              <w:rPr>
                <w:rFonts w:hint="eastAsia" w:cs="宋体"/>
                <w:bCs/>
                <w:color w:val="auto"/>
                <w:kern w:val="2"/>
                <w:sz w:val="24"/>
                <w:szCs w:val="24"/>
              </w:rPr>
            </w:pPr>
            <w:r>
              <w:rPr>
                <w:rFonts w:hint="eastAsia" w:cs="宋体"/>
                <w:bCs/>
                <w:color w:val="auto"/>
                <w:kern w:val="2"/>
                <w:sz w:val="24"/>
                <w:szCs w:val="24"/>
              </w:rPr>
              <w:t>境</w:t>
            </w:r>
          </w:p>
          <w:p w14:paraId="2EC09A8C">
            <w:pPr>
              <w:pStyle w:val="21"/>
              <w:adjustRightInd w:val="0"/>
              <w:snapToGrid w:val="0"/>
              <w:spacing w:before="0" w:beforeAutospacing="0" w:after="0" w:afterAutospacing="0"/>
              <w:jc w:val="center"/>
              <w:rPr>
                <w:rFonts w:hint="eastAsia" w:cs="宋体"/>
                <w:bCs/>
                <w:color w:val="auto"/>
                <w:kern w:val="2"/>
                <w:sz w:val="24"/>
                <w:szCs w:val="24"/>
              </w:rPr>
            </w:pPr>
            <w:r>
              <w:rPr>
                <w:rFonts w:hint="eastAsia" w:cs="宋体"/>
                <w:bCs/>
                <w:color w:val="auto"/>
                <w:kern w:val="2"/>
                <w:sz w:val="24"/>
                <w:szCs w:val="24"/>
              </w:rPr>
              <w:t>影</w:t>
            </w:r>
          </w:p>
          <w:p w14:paraId="06433E5C">
            <w:pPr>
              <w:pStyle w:val="21"/>
              <w:adjustRightInd w:val="0"/>
              <w:snapToGrid w:val="0"/>
              <w:spacing w:before="0" w:beforeAutospacing="0" w:after="0" w:afterAutospacing="0"/>
              <w:jc w:val="center"/>
              <w:rPr>
                <w:rFonts w:hint="eastAsia" w:cs="宋体"/>
                <w:bCs/>
                <w:color w:val="auto"/>
                <w:kern w:val="2"/>
                <w:sz w:val="24"/>
                <w:szCs w:val="24"/>
              </w:rPr>
            </w:pPr>
            <w:r>
              <w:rPr>
                <w:rFonts w:hint="eastAsia" w:cs="宋体"/>
                <w:bCs/>
                <w:color w:val="auto"/>
                <w:kern w:val="2"/>
                <w:sz w:val="24"/>
                <w:szCs w:val="24"/>
              </w:rPr>
              <w:t>响</w:t>
            </w:r>
          </w:p>
          <w:p w14:paraId="75E734D3">
            <w:pPr>
              <w:pStyle w:val="21"/>
              <w:adjustRightInd w:val="0"/>
              <w:snapToGrid w:val="0"/>
              <w:spacing w:before="0" w:beforeAutospacing="0" w:after="0" w:afterAutospacing="0"/>
              <w:jc w:val="center"/>
              <w:rPr>
                <w:rFonts w:hint="eastAsia" w:cs="宋体"/>
                <w:bCs/>
                <w:color w:val="auto"/>
                <w:kern w:val="2"/>
                <w:sz w:val="24"/>
                <w:szCs w:val="24"/>
              </w:rPr>
            </w:pPr>
            <w:r>
              <w:rPr>
                <w:rFonts w:hint="eastAsia" w:cs="宋体"/>
                <w:bCs/>
                <w:color w:val="auto"/>
                <w:kern w:val="2"/>
                <w:sz w:val="24"/>
                <w:szCs w:val="24"/>
              </w:rPr>
              <w:t>和</w:t>
            </w:r>
          </w:p>
          <w:p w14:paraId="4DE61C32">
            <w:pPr>
              <w:pStyle w:val="21"/>
              <w:adjustRightInd w:val="0"/>
              <w:snapToGrid w:val="0"/>
              <w:spacing w:before="0" w:beforeAutospacing="0" w:after="0" w:afterAutospacing="0"/>
              <w:jc w:val="center"/>
              <w:rPr>
                <w:rFonts w:hint="eastAsia" w:cs="宋体"/>
                <w:bCs/>
                <w:color w:val="auto"/>
                <w:kern w:val="2"/>
                <w:sz w:val="24"/>
                <w:szCs w:val="24"/>
              </w:rPr>
            </w:pPr>
            <w:r>
              <w:rPr>
                <w:rFonts w:hint="eastAsia" w:cs="宋体"/>
                <w:bCs/>
                <w:color w:val="auto"/>
                <w:kern w:val="2"/>
                <w:sz w:val="24"/>
                <w:szCs w:val="24"/>
              </w:rPr>
              <w:t>保</w:t>
            </w:r>
          </w:p>
          <w:p w14:paraId="194CF408">
            <w:pPr>
              <w:pStyle w:val="21"/>
              <w:adjustRightInd w:val="0"/>
              <w:snapToGrid w:val="0"/>
              <w:spacing w:before="0" w:beforeAutospacing="0" w:after="0" w:afterAutospacing="0"/>
              <w:jc w:val="center"/>
              <w:rPr>
                <w:rFonts w:hint="eastAsia" w:cs="宋体"/>
                <w:bCs/>
                <w:color w:val="auto"/>
                <w:kern w:val="2"/>
                <w:sz w:val="24"/>
                <w:szCs w:val="24"/>
              </w:rPr>
            </w:pPr>
            <w:r>
              <w:rPr>
                <w:rFonts w:hint="eastAsia" w:cs="宋体"/>
                <w:bCs/>
                <w:color w:val="auto"/>
                <w:kern w:val="2"/>
                <w:sz w:val="24"/>
                <w:szCs w:val="24"/>
              </w:rPr>
              <w:t>护</w:t>
            </w:r>
          </w:p>
          <w:p w14:paraId="597EE2E9">
            <w:pPr>
              <w:pStyle w:val="21"/>
              <w:adjustRightInd w:val="0"/>
              <w:snapToGrid w:val="0"/>
              <w:spacing w:before="0" w:beforeAutospacing="0" w:after="0" w:afterAutospacing="0"/>
              <w:jc w:val="center"/>
              <w:rPr>
                <w:rFonts w:hint="eastAsia" w:cs="宋体"/>
                <w:bCs/>
                <w:color w:val="auto"/>
                <w:kern w:val="2"/>
                <w:sz w:val="24"/>
                <w:szCs w:val="24"/>
              </w:rPr>
            </w:pPr>
            <w:r>
              <w:rPr>
                <w:rFonts w:hint="eastAsia" w:cs="宋体"/>
                <w:bCs/>
                <w:color w:val="auto"/>
                <w:kern w:val="2"/>
                <w:sz w:val="24"/>
                <w:szCs w:val="24"/>
              </w:rPr>
              <w:t>措</w:t>
            </w:r>
          </w:p>
          <w:p w14:paraId="28043749">
            <w:pPr>
              <w:pStyle w:val="21"/>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bCs/>
                <w:color w:val="auto"/>
                <w:kern w:val="2"/>
                <w:sz w:val="24"/>
                <w:szCs w:val="24"/>
              </w:rPr>
              <w:t>施</w:t>
            </w:r>
          </w:p>
          <w:p w14:paraId="77D3F076">
            <w:pPr>
              <w:pStyle w:val="21"/>
              <w:adjustRightInd w:val="0"/>
              <w:snapToGrid w:val="0"/>
              <w:spacing w:before="0" w:beforeAutospacing="0" w:after="0" w:afterAutospacing="0"/>
              <w:jc w:val="center"/>
              <w:rPr>
                <w:rFonts w:hint="default" w:ascii="Times New Roman" w:hAnsi="Times New Roman" w:eastAsia="宋体" w:cs="Times New Roman"/>
                <w:b w:val="0"/>
                <w:bCs w:val="0"/>
                <w:color w:val="auto"/>
                <w:kern w:val="2"/>
                <w:sz w:val="24"/>
                <w:szCs w:val="24"/>
              </w:rPr>
            </w:pPr>
          </w:p>
        </w:tc>
        <w:tc>
          <w:tcPr>
            <w:tcW w:w="8473" w:type="dxa"/>
            <w:tcBorders>
              <w:tl2br w:val="nil"/>
              <w:tr2bl w:val="nil"/>
            </w:tcBorders>
            <w:noWrap w:val="0"/>
            <w:vAlign w:val="center"/>
          </w:tcPr>
          <w:p w14:paraId="5D4C1DE2">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rPr>
                <w:rFonts w:hint="eastAsia"/>
                <w:b/>
                <w:bCs/>
                <w:color w:val="auto"/>
                <w:highlight w:val="none"/>
                <w:lang w:val="en-US" w:eastAsia="zh-CN"/>
              </w:rPr>
            </w:pPr>
            <w:r>
              <w:rPr>
                <w:rFonts w:hint="eastAsia"/>
                <w:b/>
                <w:bCs/>
                <w:color w:val="auto"/>
                <w:highlight w:val="none"/>
                <w:lang w:val="en-US" w:eastAsia="zh-CN"/>
              </w:rPr>
              <w:t>1、废气</w:t>
            </w:r>
          </w:p>
          <w:p w14:paraId="02ABE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本项目产品为</w:t>
            </w:r>
            <w:r>
              <w:rPr>
                <w:rFonts w:hint="eastAsia" w:ascii="Times New Roman" w:hAnsi="Times New Roman" w:eastAsia="宋体" w:cs="Times New Roman"/>
                <w:color w:val="auto"/>
                <w:sz w:val="24"/>
                <w:szCs w:val="24"/>
                <w:highlight w:val="none"/>
                <w:lang w:val="en-US" w:eastAsia="zh-CN"/>
              </w:rPr>
              <w:t>精密轴承</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机加工过程均为油性作业</w:t>
            </w:r>
            <w:r>
              <w:rPr>
                <w:rFonts w:hint="eastAsia" w:cs="Times New Roman"/>
                <w:color w:val="auto"/>
                <w:szCs w:val="24"/>
                <w:lang w:val="en-US" w:eastAsia="zh-CN"/>
              </w:rPr>
              <w:t>，</w:t>
            </w:r>
            <w:r>
              <w:rPr>
                <w:rFonts w:hint="default" w:ascii="Times New Roman" w:hAnsi="Times New Roman" w:eastAsia="宋体" w:cs="Times New Roman"/>
                <w:color w:val="auto"/>
                <w:sz w:val="24"/>
                <w:szCs w:val="24"/>
                <w:highlight w:val="none"/>
                <w:lang w:eastAsia="zh-CN"/>
              </w:rPr>
              <w:t>项目无粉尘产生，</w:t>
            </w:r>
            <w:r>
              <w:rPr>
                <w:rFonts w:hint="eastAsia"/>
                <w:color w:val="auto"/>
                <w:sz w:val="24"/>
                <w:szCs w:val="24"/>
                <w:highlight w:val="none"/>
                <w:lang w:val="en-US" w:eastAsia="zh-CN"/>
              </w:rPr>
              <w:t>则本项目</w:t>
            </w:r>
            <w:r>
              <w:rPr>
                <w:rFonts w:hint="default"/>
                <w:color w:val="auto"/>
                <w:sz w:val="24"/>
                <w:szCs w:val="24"/>
                <w:highlight w:val="none"/>
                <w:lang w:val="en-US" w:eastAsia="zh-CN"/>
              </w:rPr>
              <w:t>轴承套圈</w:t>
            </w:r>
            <w:r>
              <w:rPr>
                <w:rFonts w:hint="eastAsia"/>
                <w:color w:val="auto"/>
                <w:sz w:val="24"/>
                <w:szCs w:val="24"/>
                <w:highlight w:val="none"/>
                <w:lang w:val="en-US" w:eastAsia="zh-CN"/>
              </w:rPr>
              <w:t>生产过程中无废气产生。</w:t>
            </w:r>
          </w:p>
          <w:p w14:paraId="452215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废水</w:t>
            </w:r>
          </w:p>
          <w:p w14:paraId="66DB9D61">
            <w:pPr>
              <w:pStyle w:val="2"/>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8"/>
                <w:highlight w:val="none"/>
                <w:lang w:val="en-US" w:eastAsia="zh-CN" w:bidi="ar-SA"/>
              </w:rPr>
            </w:pPr>
            <w:r>
              <w:rPr>
                <w:rFonts w:hint="default" w:ascii="Times New Roman" w:hAnsi="Times New Roman" w:eastAsia="宋体" w:cs="Times New Roman"/>
                <w:color w:val="auto"/>
                <w:kern w:val="0"/>
                <w:sz w:val="24"/>
                <w:szCs w:val="28"/>
                <w:highlight w:val="none"/>
                <w:lang w:val="en-US" w:eastAsia="zh-CN" w:bidi="ar-SA"/>
              </w:rPr>
              <w:t>本项目生产过程中车间地面</w:t>
            </w:r>
            <w:r>
              <w:rPr>
                <w:rFonts w:hint="eastAsia" w:ascii="Times New Roman" w:hAnsi="Times New Roman" w:eastAsia="宋体" w:cs="Times New Roman"/>
                <w:color w:val="auto"/>
                <w:kern w:val="0"/>
                <w:sz w:val="24"/>
                <w:szCs w:val="28"/>
                <w:highlight w:val="none"/>
                <w:lang w:val="en-US" w:eastAsia="zh-CN" w:bidi="ar-SA"/>
              </w:rPr>
              <w:t>已硬化</w:t>
            </w:r>
            <w:r>
              <w:rPr>
                <w:rFonts w:hint="default" w:ascii="Times New Roman" w:hAnsi="Times New Roman" w:eastAsia="宋体" w:cs="Times New Roman"/>
                <w:color w:val="auto"/>
                <w:kern w:val="0"/>
                <w:sz w:val="24"/>
                <w:szCs w:val="28"/>
                <w:highlight w:val="none"/>
                <w:lang w:val="en-US" w:eastAsia="zh-CN" w:bidi="ar-SA"/>
              </w:rPr>
              <w:t>不需冲洗，用水主要为职工生活用水</w:t>
            </w:r>
            <w:r>
              <w:rPr>
                <w:rFonts w:hint="eastAsia" w:cs="Times New Roman"/>
                <w:color w:val="auto"/>
                <w:kern w:val="0"/>
                <w:sz w:val="24"/>
                <w:szCs w:val="28"/>
                <w:highlight w:val="none"/>
                <w:lang w:val="en-US" w:eastAsia="zh-CN" w:bidi="ar-SA"/>
              </w:rPr>
              <w:t>、</w:t>
            </w:r>
            <w:r>
              <w:rPr>
                <w:rFonts w:hint="eastAsia" w:cs="Times New Roman"/>
                <w:b w:val="0"/>
                <w:i w:val="0"/>
                <w:caps w:val="0"/>
                <w:color w:val="auto"/>
                <w:spacing w:val="0"/>
                <w:sz w:val="24"/>
                <w:szCs w:val="24"/>
                <w:highlight w:val="none"/>
                <w:shd w:val="clear" w:color="auto" w:fill="FFFFFF"/>
                <w:lang w:val="en-US" w:eastAsia="zh-CN"/>
              </w:rPr>
              <w:t>磨削液配比用水</w:t>
            </w:r>
            <w:r>
              <w:rPr>
                <w:rFonts w:hint="default" w:ascii="Times New Roman" w:hAnsi="Times New Roman" w:eastAsia="宋体" w:cs="Times New Roman"/>
                <w:color w:val="auto"/>
                <w:kern w:val="0"/>
                <w:sz w:val="24"/>
                <w:szCs w:val="28"/>
                <w:highlight w:val="none"/>
                <w:lang w:val="en-US" w:eastAsia="zh-CN" w:bidi="ar-SA"/>
              </w:rPr>
              <w:t>，本项目产生的废水主要为生活污水。</w:t>
            </w:r>
          </w:p>
          <w:p w14:paraId="29975356">
            <w:pPr>
              <w:pStyle w:val="40"/>
              <w:keepNext w:val="0"/>
              <w:keepLines w:val="0"/>
              <w:pageBreakBefore w:val="0"/>
              <w:widowControl w:val="0"/>
              <w:tabs>
                <w:tab w:val="left" w:pos="2100"/>
              </w:tabs>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① 生活用水</w:t>
            </w:r>
          </w:p>
          <w:p w14:paraId="64405277">
            <w:pPr>
              <w:pStyle w:val="40"/>
              <w:keepNext w:val="0"/>
              <w:keepLines w:val="0"/>
              <w:pageBreakBefore w:val="0"/>
              <w:widowControl w:val="0"/>
              <w:tabs>
                <w:tab w:val="left" w:pos="2100"/>
              </w:tabs>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项目一期劳动定员</w:t>
            </w:r>
            <w:r>
              <w:rPr>
                <w:rFonts w:hint="eastAsia" w:ascii="Times New Roman" w:hAnsi="Times New Roman" w:eastAsia="宋体" w:cs="Times New Roman"/>
                <w:b w:val="0"/>
                <w:bCs w:val="0"/>
                <w:color w:val="auto"/>
                <w:sz w:val="24"/>
                <w:szCs w:val="24"/>
                <w:highlight w:val="none"/>
                <w:lang w:val="en-US" w:eastAsia="zh-CN"/>
              </w:rPr>
              <w:t>30</w:t>
            </w:r>
            <w:r>
              <w:rPr>
                <w:rFonts w:hint="default" w:ascii="Times New Roman" w:hAnsi="Times New Roman" w:eastAsia="宋体" w:cs="Times New Roman"/>
                <w:b w:val="0"/>
                <w:bCs w:val="0"/>
                <w:color w:val="auto"/>
                <w:sz w:val="24"/>
                <w:szCs w:val="24"/>
                <w:highlight w:val="none"/>
                <w:lang w:val="en-US" w:eastAsia="zh-CN"/>
              </w:rPr>
              <w:t>人，二期建成后总劳动定员</w:t>
            </w:r>
            <w:r>
              <w:rPr>
                <w:rFonts w:hint="eastAsia" w:ascii="Times New Roman" w:hAnsi="Times New Roman" w:eastAsia="宋体" w:cs="Times New Roman"/>
                <w:b w:val="0"/>
                <w:bCs w:val="0"/>
                <w:color w:val="auto"/>
                <w:sz w:val="24"/>
                <w:szCs w:val="24"/>
                <w:highlight w:val="none"/>
                <w:lang w:val="en-US" w:eastAsia="zh-CN"/>
              </w:rPr>
              <w:t>60</w:t>
            </w:r>
            <w:r>
              <w:rPr>
                <w:rFonts w:hint="default" w:ascii="Times New Roman" w:hAnsi="Times New Roman" w:eastAsia="宋体" w:cs="Times New Roman"/>
                <w:b w:val="0"/>
                <w:bCs w:val="0"/>
                <w:color w:val="auto"/>
                <w:sz w:val="24"/>
                <w:szCs w:val="24"/>
                <w:highlight w:val="none"/>
                <w:lang w:val="en-US" w:eastAsia="zh-CN"/>
              </w:rPr>
              <w:t>人，厂区不提供食堂宿舍，年工作300天，</w:t>
            </w:r>
            <w:r>
              <w:rPr>
                <w:rFonts w:hint="default" w:ascii="Times New Roman" w:hAnsi="Times New Roman" w:eastAsia="宋体" w:cs="Times New Roman"/>
                <w:color w:val="auto"/>
                <w:sz w:val="24"/>
                <w:szCs w:val="24"/>
                <w:lang w:eastAsia="zh-CN"/>
              </w:rPr>
              <w:t>根据《宿州市行业用水定额》（DB 3413/T 0001</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2020），用水定额取</w:t>
            </w:r>
            <w:r>
              <w:rPr>
                <w:rFonts w:hint="eastAsia" w:ascii="Times New Roman" w:hAnsi="Times New Roman" w:eastAsia="宋体" w:cs="Times New Roman"/>
                <w:color w:val="auto"/>
                <w:sz w:val="24"/>
                <w:szCs w:val="24"/>
                <w:lang w:val="en-US" w:eastAsia="zh-CN"/>
              </w:rPr>
              <w:t>70</w:t>
            </w:r>
            <w:r>
              <w:rPr>
                <w:rFonts w:hint="default" w:ascii="Times New Roman" w:hAnsi="Times New Roman" w:eastAsia="宋体" w:cs="Times New Roman"/>
                <w:color w:val="auto"/>
                <w:sz w:val="24"/>
                <w:szCs w:val="24"/>
                <w:lang w:eastAsia="zh-CN"/>
              </w:rPr>
              <w:t>L/人d</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则项目一期职工生活用水量为2.1t/d（630t/a），废水产生量按照用水量的80%计算，则产生的生活污水量为1.68t/d（504t/a）；二期建成后全厂职工</w:t>
            </w:r>
            <w:r>
              <w:rPr>
                <w:rFonts w:hint="default" w:ascii="Times New Roman" w:hAnsi="Times New Roman" w:eastAsia="宋体" w:cs="Times New Roman"/>
                <w:b w:val="0"/>
                <w:bCs w:val="0"/>
                <w:color w:val="auto"/>
                <w:sz w:val="24"/>
                <w:szCs w:val="24"/>
                <w:highlight w:val="none"/>
                <w:lang w:val="en-US" w:eastAsia="zh-CN"/>
              </w:rPr>
              <w:t>生活用水量为</w:t>
            </w:r>
            <w:r>
              <w:rPr>
                <w:rFonts w:hint="eastAsia" w:ascii="Times New Roman" w:hAnsi="Times New Roman" w:eastAsia="宋体" w:cs="Times New Roman"/>
                <w:b w:val="0"/>
                <w:bCs w:val="0"/>
                <w:color w:val="auto"/>
                <w:sz w:val="24"/>
                <w:szCs w:val="24"/>
                <w:highlight w:val="none"/>
                <w:lang w:val="en-US" w:eastAsia="zh-CN"/>
              </w:rPr>
              <w:t>4.2</w:t>
            </w:r>
            <w:r>
              <w:rPr>
                <w:rFonts w:hint="default" w:ascii="Times New Roman" w:hAnsi="Times New Roman" w:eastAsia="宋体" w:cs="Times New Roman"/>
                <w:b w:val="0"/>
                <w:bCs w:val="0"/>
                <w:color w:val="auto"/>
                <w:sz w:val="24"/>
                <w:szCs w:val="24"/>
                <w:highlight w:val="none"/>
                <w:lang w:val="en-US" w:eastAsia="zh-CN"/>
              </w:rPr>
              <w:t>t/d（</w:t>
            </w:r>
            <w:r>
              <w:rPr>
                <w:rFonts w:hint="eastAsia" w:ascii="Times New Roman" w:hAnsi="Times New Roman" w:eastAsia="宋体" w:cs="Times New Roman"/>
                <w:b w:val="0"/>
                <w:bCs w:val="0"/>
                <w:color w:val="auto"/>
                <w:sz w:val="24"/>
                <w:szCs w:val="24"/>
                <w:highlight w:val="none"/>
                <w:lang w:val="en-US" w:eastAsia="zh-CN"/>
              </w:rPr>
              <w:t>1260</w:t>
            </w:r>
            <w:r>
              <w:rPr>
                <w:rFonts w:hint="default" w:ascii="Times New Roman" w:hAnsi="Times New Roman" w:eastAsia="宋体" w:cs="Times New Roman"/>
                <w:b w:val="0"/>
                <w:bCs w:val="0"/>
                <w:color w:val="auto"/>
                <w:sz w:val="24"/>
                <w:szCs w:val="24"/>
                <w:highlight w:val="none"/>
                <w:lang w:val="en-US" w:eastAsia="zh-CN"/>
              </w:rPr>
              <w:t>t/a），生活污水产生量按生活用水量的80%计，则污水总产生量约为</w:t>
            </w:r>
            <w:r>
              <w:rPr>
                <w:rFonts w:hint="eastAsia" w:ascii="Times New Roman" w:hAnsi="Times New Roman" w:eastAsia="宋体" w:cs="Times New Roman"/>
                <w:b w:val="0"/>
                <w:bCs w:val="0"/>
                <w:color w:val="auto"/>
                <w:sz w:val="24"/>
                <w:szCs w:val="24"/>
                <w:highlight w:val="none"/>
                <w:lang w:val="en-US" w:eastAsia="zh-CN"/>
              </w:rPr>
              <w:t>3.36</w:t>
            </w:r>
            <w:r>
              <w:rPr>
                <w:rFonts w:hint="default" w:ascii="Times New Roman" w:hAnsi="Times New Roman" w:eastAsia="宋体" w:cs="Times New Roman"/>
                <w:b w:val="0"/>
                <w:bCs w:val="0"/>
                <w:color w:val="auto"/>
                <w:sz w:val="24"/>
                <w:szCs w:val="24"/>
                <w:highlight w:val="none"/>
                <w:lang w:val="en-US" w:eastAsia="zh-CN"/>
              </w:rPr>
              <w:t>t/d（</w:t>
            </w:r>
            <w:r>
              <w:rPr>
                <w:rFonts w:hint="eastAsia" w:ascii="Times New Roman" w:hAnsi="Times New Roman" w:eastAsia="宋体" w:cs="Times New Roman"/>
                <w:b w:val="0"/>
                <w:bCs w:val="0"/>
                <w:color w:val="auto"/>
                <w:sz w:val="24"/>
                <w:szCs w:val="24"/>
                <w:highlight w:val="none"/>
                <w:lang w:val="en-US" w:eastAsia="zh-CN"/>
              </w:rPr>
              <w:t>1008</w:t>
            </w:r>
            <w:r>
              <w:rPr>
                <w:rFonts w:hint="default" w:ascii="Times New Roman" w:hAnsi="Times New Roman" w:eastAsia="宋体" w:cs="Times New Roman"/>
                <w:b w:val="0"/>
                <w:bCs w:val="0"/>
                <w:color w:val="auto"/>
                <w:sz w:val="24"/>
                <w:szCs w:val="24"/>
                <w:highlight w:val="none"/>
                <w:lang w:val="en-US" w:eastAsia="zh-CN"/>
              </w:rPr>
              <w:t>t/a）</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本项目生活污水中主要污染指标浓度选取为：COD300mg/L、BOD</w:t>
            </w:r>
            <w:r>
              <w:rPr>
                <w:rFonts w:hint="default" w:ascii="Times New Roman" w:hAnsi="Times New Roman" w:eastAsia="宋体" w:cs="Times New Roman"/>
                <w:b w:val="0"/>
                <w:bCs w:val="0"/>
                <w:color w:val="auto"/>
                <w:sz w:val="24"/>
                <w:szCs w:val="24"/>
                <w:highlight w:val="none"/>
                <w:vertAlign w:val="subscript"/>
                <w:lang w:val="en-US" w:eastAsia="zh-CN"/>
              </w:rPr>
              <w:t>5</w:t>
            </w:r>
            <w:r>
              <w:rPr>
                <w:rFonts w:hint="default" w:ascii="Times New Roman" w:hAnsi="Times New Roman" w:eastAsia="宋体" w:cs="Times New Roman"/>
                <w:b w:val="0"/>
                <w:bCs w:val="0"/>
                <w:color w:val="auto"/>
                <w:sz w:val="24"/>
                <w:szCs w:val="24"/>
                <w:highlight w:val="none"/>
                <w:lang w:val="en-US" w:eastAsia="zh-CN"/>
              </w:rPr>
              <w:t>1</w:t>
            </w:r>
            <w:r>
              <w:rPr>
                <w:rFonts w:hint="eastAsia" w:ascii="Times New Roman" w:hAnsi="Times New Roman" w:eastAsia="宋体"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z w:val="24"/>
                <w:szCs w:val="24"/>
                <w:highlight w:val="none"/>
                <w:lang w:val="en-US" w:eastAsia="zh-CN"/>
              </w:rPr>
              <w:t>0mg/L、SS200mg/L、NH</w:t>
            </w:r>
            <w:r>
              <w:rPr>
                <w:rFonts w:hint="default" w:ascii="Times New Roman" w:hAnsi="Times New Roman" w:eastAsia="宋体" w:cs="Times New Roman"/>
                <w:b w:val="0"/>
                <w:bCs w:val="0"/>
                <w:color w:val="auto"/>
                <w:sz w:val="24"/>
                <w:szCs w:val="24"/>
                <w:highlight w:val="none"/>
                <w:vertAlign w:val="subscript"/>
                <w:lang w:val="en-US" w:eastAsia="zh-CN"/>
              </w:rPr>
              <w:t>3</w:t>
            </w:r>
            <w:r>
              <w:rPr>
                <w:rFonts w:hint="default" w:ascii="Times New Roman" w:hAnsi="Times New Roman" w:eastAsia="宋体" w:cs="Times New Roman"/>
                <w:b w:val="0"/>
                <w:bCs w:val="0"/>
                <w:color w:val="auto"/>
                <w:sz w:val="24"/>
                <w:szCs w:val="24"/>
                <w:highlight w:val="none"/>
                <w:lang w:val="en-US" w:eastAsia="zh-CN"/>
              </w:rPr>
              <w:t>-N2</w:t>
            </w:r>
            <w:r>
              <w:rPr>
                <w:rFonts w:hint="eastAsia"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lang w:val="en-US" w:eastAsia="zh-CN"/>
              </w:rPr>
              <w:t>mg/L。</w:t>
            </w:r>
            <w:r>
              <w:rPr>
                <w:rFonts w:hint="default" w:ascii="Times New Roman" w:hAnsi="Times New Roman" w:eastAsia="宋体" w:cs="Times New Roman"/>
                <w:color w:val="auto"/>
                <w:kern w:val="0"/>
                <w:sz w:val="24"/>
                <w:szCs w:val="28"/>
                <w:highlight w:val="none"/>
                <w:lang w:val="en-US" w:eastAsia="zh-CN" w:bidi="ar-SA"/>
              </w:rPr>
              <w:t>生活污水</w:t>
            </w:r>
            <w:r>
              <w:rPr>
                <w:rFonts w:hint="eastAsia" w:ascii="Times New Roman" w:hAnsi="Times New Roman" w:eastAsia="宋体" w:cs="Times New Roman"/>
                <w:color w:val="auto"/>
                <w:sz w:val="24"/>
                <w:szCs w:val="24"/>
                <w:highlight w:val="none"/>
                <w:lang w:val="en-US" w:eastAsia="zh-CN"/>
              </w:rPr>
              <w:t>经</w:t>
            </w:r>
            <w:r>
              <w:rPr>
                <w:rFonts w:hint="default" w:ascii="Times New Roman" w:hAnsi="Times New Roman" w:eastAsia="宋体" w:cs="Times New Roman"/>
                <w:color w:val="auto"/>
                <w:sz w:val="24"/>
                <w:szCs w:val="24"/>
                <w:highlight w:val="none"/>
                <w:lang w:val="en-US" w:eastAsia="zh-CN"/>
              </w:rPr>
              <w:t>化粪池预处理</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达到《污水综合排放标准》（GB8978-1996）中三级排放标准及灵璧经济开发区北部污水处理厂的接管</w:t>
            </w:r>
            <w:r>
              <w:rPr>
                <w:rFonts w:hint="eastAsia" w:ascii="Times New Roman" w:hAnsi="Times New Roman" w:eastAsia="宋体" w:cs="Times New Roman"/>
                <w:color w:val="auto"/>
                <w:sz w:val="24"/>
                <w:szCs w:val="24"/>
                <w:highlight w:val="none"/>
                <w:lang w:val="en-US" w:eastAsia="zh-CN"/>
              </w:rPr>
              <w:t>限值后，通过</w:t>
            </w:r>
            <w:r>
              <w:rPr>
                <w:rFonts w:hint="default" w:ascii="Times New Roman" w:hAnsi="Times New Roman" w:eastAsia="宋体" w:cs="Times New Roman"/>
                <w:color w:val="auto"/>
                <w:sz w:val="24"/>
                <w:szCs w:val="24"/>
                <w:highlight w:val="none"/>
                <w:lang w:val="en-US" w:eastAsia="zh-CN"/>
              </w:rPr>
              <w:t>市政污水管网排入灵璧经济开发区北部污水处理厂</w:t>
            </w:r>
            <w:r>
              <w:rPr>
                <w:rFonts w:hint="eastAsia" w:ascii="Times New Roman" w:hAnsi="Times New Roman" w:eastAsia="宋体" w:cs="Times New Roman"/>
                <w:color w:val="auto"/>
                <w:sz w:val="24"/>
                <w:szCs w:val="22"/>
                <w:highlight w:val="none"/>
                <w:lang w:eastAsia="zh-CN"/>
              </w:rPr>
              <w:t>处理</w:t>
            </w:r>
            <w:r>
              <w:rPr>
                <w:rFonts w:hint="default" w:ascii="Times New Roman" w:hAnsi="Times New Roman" w:eastAsia="宋体" w:cs="Times New Roman"/>
                <w:color w:val="auto"/>
                <w:sz w:val="24"/>
                <w:szCs w:val="24"/>
                <w:highlight w:val="none"/>
                <w:lang w:val="en-US" w:eastAsia="zh-CN"/>
              </w:rPr>
              <w:t>。</w:t>
            </w:r>
          </w:p>
          <w:p w14:paraId="01E52DC7">
            <w:pPr>
              <w:pStyle w:val="40"/>
              <w:keepNext w:val="0"/>
              <w:keepLines w:val="0"/>
              <w:pageBreakBefore w:val="0"/>
              <w:widowControl w:val="0"/>
              <w:tabs>
                <w:tab w:val="left" w:pos="2100"/>
              </w:tabs>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②</w:t>
            </w:r>
            <w:r>
              <w:rPr>
                <w:rFonts w:hint="eastAsia" w:ascii="Times New Roman" w:hAnsi="Times New Roman" w:eastAsia="宋体" w:cs="Times New Roman"/>
                <w:b w:val="0"/>
                <w:bCs w:val="0"/>
                <w:color w:val="auto"/>
                <w:sz w:val="24"/>
                <w:szCs w:val="24"/>
                <w:highlight w:val="none"/>
                <w:lang w:val="en-US" w:eastAsia="zh-CN"/>
              </w:rPr>
              <w:t>切削液</w:t>
            </w:r>
            <w:r>
              <w:rPr>
                <w:rFonts w:hint="default" w:ascii="Times New Roman" w:hAnsi="Times New Roman" w:eastAsia="宋体" w:cs="Times New Roman"/>
                <w:b w:val="0"/>
                <w:bCs w:val="0"/>
                <w:color w:val="auto"/>
                <w:sz w:val="24"/>
                <w:szCs w:val="24"/>
                <w:highlight w:val="none"/>
                <w:lang w:val="en-US" w:eastAsia="zh-CN"/>
              </w:rPr>
              <w:t>配比用水</w:t>
            </w:r>
          </w:p>
          <w:p w14:paraId="4871C112">
            <w:pPr>
              <w:pStyle w:val="40"/>
              <w:keepNext w:val="0"/>
              <w:keepLines w:val="0"/>
              <w:pageBreakBefore w:val="0"/>
              <w:widowControl w:val="0"/>
              <w:tabs>
                <w:tab w:val="left" w:pos="2100"/>
              </w:tabs>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w:t>
            </w:r>
            <w:r>
              <w:rPr>
                <w:rFonts w:hint="eastAsia" w:ascii="Times New Roman" w:hAnsi="Times New Roman" w:eastAsia="宋体" w:cs="Times New Roman"/>
                <w:b w:val="0"/>
                <w:bCs w:val="0"/>
                <w:color w:val="auto"/>
                <w:sz w:val="24"/>
                <w:szCs w:val="24"/>
                <w:highlight w:val="none"/>
                <w:lang w:val="en-US" w:eastAsia="zh-CN"/>
              </w:rPr>
              <w:t>机</w:t>
            </w:r>
            <w:r>
              <w:rPr>
                <w:rFonts w:hint="default" w:ascii="Times New Roman" w:hAnsi="Times New Roman" w:eastAsia="宋体" w:cs="Times New Roman"/>
                <w:b w:val="0"/>
                <w:bCs w:val="0"/>
                <w:color w:val="auto"/>
                <w:sz w:val="24"/>
                <w:szCs w:val="24"/>
                <w:highlight w:val="none"/>
                <w:lang w:val="en-US" w:eastAsia="zh-CN"/>
              </w:rPr>
              <w:t>加工过程采用</w:t>
            </w:r>
            <w:r>
              <w:rPr>
                <w:rFonts w:hint="eastAsia" w:ascii="Times New Roman" w:hAnsi="Times New Roman" w:eastAsia="宋体" w:cs="Times New Roman"/>
                <w:b w:val="0"/>
                <w:bCs w:val="0"/>
                <w:color w:val="auto"/>
                <w:sz w:val="24"/>
                <w:szCs w:val="24"/>
                <w:highlight w:val="none"/>
                <w:lang w:val="en-US" w:eastAsia="zh-CN"/>
              </w:rPr>
              <w:t>切</w:t>
            </w:r>
            <w:r>
              <w:rPr>
                <w:rFonts w:hint="default" w:ascii="Times New Roman" w:hAnsi="Times New Roman" w:eastAsia="宋体" w:cs="Times New Roman"/>
                <w:b w:val="0"/>
                <w:bCs w:val="0"/>
                <w:color w:val="auto"/>
                <w:sz w:val="24"/>
                <w:szCs w:val="24"/>
                <w:highlight w:val="none"/>
                <w:lang w:val="en-US" w:eastAsia="zh-CN"/>
              </w:rPr>
              <w:t>削液混合液（</w:t>
            </w:r>
            <w:r>
              <w:rPr>
                <w:rFonts w:hint="eastAsia" w:ascii="Times New Roman" w:hAnsi="Times New Roman" w:eastAsia="宋体" w:cs="Times New Roman"/>
                <w:b w:val="0"/>
                <w:bCs w:val="0"/>
                <w:color w:val="auto"/>
                <w:sz w:val="24"/>
                <w:szCs w:val="24"/>
                <w:highlight w:val="none"/>
                <w:lang w:val="en-US" w:eastAsia="zh-CN"/>
              </w:rPr>
              <w:t>切</w:t>
            </w:r>
            <w:r>
              <w:rPr>
                <w:rFonts w:hint="default" w:ascii="Times New Roman" w:hAnsi="Times New Roman" w:eastAsia="宋体" w:cs="Times New Roman"/>
                <w:b w:val="0"/>
                <w:bCs w:val="0"/>
                <w:color w:val="auto"/>
                <w:sz w:val="24"/>
                <w:szCs w:val="24"/>
                <w:highlight w:val="none"/>
                <w:lang w:val="en-US" w:eastAsia="zh-CN"/>
              </w:rPr>
              <w:t>削液混合液为</w:t>
            </w:r>
            <w:r>
              <w:rPr>
                <w:rFonts w:hint="eastAsia" w:ascii="Times New Roman" w:hAnsi="Times New Roman" w:eastAsia="宋体" w:cs="Times New Roman"/>
                <w:b w:val="0"/>
                <w:bCs w:val="0"/>
                <w:color w:val="auto"/>
                <w:sz w:val="24"/>
                <w:szCs w:val="24"/>
                <w:highlight w:val="none"/>
                <w:lang w:val="en-US" w:eastAsia="zh-CN"/>
              </w:rPr>
              <w:t>切</w:t>
            </w:r>
            <w:r>
              <w:rPr>
                <w:rFonts w:hint="default" w:ascii="Times New Roman" w:hAnsi="Times New Roman" w:eastAsia="宋体" w:cs="Times New Roman"/>
                <w:b w:val="0"/>
                <w:bCs w:val="0"/>
                <w:color w:val="auto"/>
                <w:sz w:val="24"/>
                <w:szCs w:val="24"/>
                <w:highlight w:val="none"/>
                <w:lang w:val="en-US" w:eastAsia="zh-CN"/>
              </w:rPr>
              <w:t>削液：水</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eastAsia" w:ascii="Times New Roman" w:hAnsi="Times New Roman" w:eastAsia="宋体" w:cs="Times New Roman"/>
                <w:b w:val="0"/>
                <w:bCs w:val="0"/>
                <w:color w:val="auto"/>
                <w:sz w:val="24"/>
                <w:szCs w:val="24"/>
                <w:highlight w:val="none"/>
                <w:lang w:val="en-US" w:eastAsia="zh-CN"/>
              </w:rPr>
              <w:t>20</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车削</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设置一个地上储存池，切</w:t>
            </w:r>
            <w:r>
              <w:rPr>
                <w:rFonts w:hint="default" w:ascii="Times New Roman" w:hAnsi="Times New Roman" w:eastAsia="宋体" w:cs="Times New Roman"/>
                <w:b w:val="0"/>
                <w:bCs w:val="0"/>
                <w:color w:val="auto"/>
                <w:sz w:val="24"/>
                <w:szCs w:val="24"/>
                <w:highlight w:val="none"/>
                <w:lang w:val="en-US" w:eastAsia="zh-CN"/>
              </w:rPr>
              <w:t>削液混合液</w:t>
            </w:r>
            <w:r>
              <w:rPr>
                <w:rFonts w:hint="eastAsia" w:ascii="Times New Roman" w:hAnsi="Times New Roman" w:eastAsia="宋体" w:cs="Times New Roman"/>
                <w:b w:val="0"/>
                <w:bCs w:val="0"/>
                <w:color w:val="auto"/>
                <w:sz w:val="24"/>
                <w:szCs w:val="24"/>
                <w:highlight w:val="none"/>
                <w:lang w:val="en-US" w:eastAsia="zh-CN"/>
              </w:rPr>
              <w:t>使用自动输送系统</w:t>
            </w:r>
            <w:r>
              <w:rPr>
                <w:rFonts w:hint="default" w:ascii="Times New Roman" w:hAnsi="Times New Roman" w:eastAsia="宋体" w:cs="Times New Roman"/>
                <w:b w:val="0"/>
                <w:bCs w:val="0"/>
                <w:color w:val="auto"/>
                <w:sz w:val="24"/>
                <w:szCs w:val="24"/>
                <w:highlight w:val="none"/>
                <w:lang w:val="en-US" w:eastAsia="zh-CN"/>
              </w:rPr>
              <w:t>循环使用</w:t>
            </w:r>
            <w:r>
              <w:rPr>
                <w:rFonts w:hint="eastAsia" w:ascii="Times New Roman" w:hAnsi="Times New Roman" w:eastAsia="宋体" w:cs="Times New Roman"/>
                <w:b w:val="0"/>
                <w:bCs w:val="0"/>
                <w:color w:val="auto"/>
                <w:sz w:val="24"/>
                <w:szCs w:val="24"/>
                <w:highlight w:val="none"/>
                <w:lang w:val="en-US" w:eastAsia="zh-CN"/>
              </w:rPr>
              <w:t>，切</w:t>
            </w:r>
            <w:r>
              <w:rPr>
                <w:rFonts w:hint="default" w:ascii="Times New Roman" w:hAnsi="Times New Roman" w:eastAsia="宋体" w:cs="Times New Roman"/>
                <w:b w:val="0"/>
                <w:bCs w:val="0"/>
                <w:color w:val="auto"/>
                <w:sz w:val="24"/>
                <w:szCs w:val="24"/>
                <w:highlight w:val="none"/>
                <w:lang w:val="en-US" w:eastAsia="zh-CN"/>
              </w:rPr>
              <w:t>削液混合液使用过程中会有一定损耗，主要是水分蒸发和工件带走，需要定期补充蒸发量，</w:t>
            </w:r>
            <w:r>
              <w:rPr>
                <w:rFonts w:hint="eastAsia" w:ascii="Times New Roman" w:hAnsi="Times New Roman" w:eastAsia="宋体" w:cs="Times New Roman"/>
                <w:b w:val="0"/>
                <w:bCs w:val="0"/>
                <w:color w:val="auto"/>
                <w:sz w:val="24"/>
                <w:szCs w:val="24"/>
                <w:highlight w:val="none"/>
                <w:lang w:val="en-US" w:eastAsia="zh-CN"/>
              </w:rPr>
              <w:t>切</w:t>
            </w:r>
            <w:r>
              <w:rPr>
                <w:rFonts w:hint="default" w:ascii="Times New Roman" w:hAnsi="Times New Roman" w:eastAsia="宋体" w:cs="Times New Roman"/>
                <w:b w:val="0"/>
                <w:bCs w:val="0"/>
                <w:color w:val="auto"/>
                <w:sz w:val="24"/>
                <w:szCs w:val="24"/>
                <w:highlight w:val="none"/>
                <w:lang w:val="en-US" w:eastAsia="zh-CN"/>
              </w:rPr>
              <w:t>削液年</w:t>
            </w:r>
            <w:r>
              <w:rPr>
                <w:rFonts w:hint="eastAsia" w:ascii="Times New Roman" w:hAnsi="Times New Roman" w:eastAsia="宋体" w:cs="Times New Roman"/>
                <w:b w:val="0"/>
                <w:bCs w:val="0"/>
                <w:color w:val="auto"/>
                <w:sz w:val="24"/>
                <w:szCs w:val="24"/>
                <w:highlight w:val="none"/>
                <w:lang w:val="en-US" w:eastAsia="zh-CN"/>
              </w:rPr>
              <w:t>一期</w:t>
            </w:r>
            <w:r>
              <w:rPr>
                <w:rFonts w:hint="default" w:ascii="Times New Roman" w:hAnsi="Times New Roman" w:eastAsia="宋体" w:cs="Times New Roman"/>
                <w:b w:val="0"/>
                <w:bCs w:val="0"/>
                <w:color w:val="auto"/>
                <w:sz w:val="24"/>
                <w:szCs w:val="24"/>
                <w:highlight w:val="none"/>
                <w:lang w:val="en-US" w:eastAsia="zh-CN"/>
              </w:rPr>
              <w:t>使用量为</w:t>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t</w:t>
            </w:r>
            <w:r>
              <w:rPr>
                <w:rFonts w:hint="eastAsia" w:ascii="Times New Roman" w:hAnsi="Times New Roman" w:eastAsia="宋体" w:cs="Times New Roman"/>
                <w:b w:val="0"/>
                <w:bCs w:val="0"/>
                <w:color w:val="auto"/>
                <w:sz w:val="24"/>
                <w:szCs w:val="24"/>
                <w:highlight w:val="none"/>
                <w:lang w:val="en-US" w:eastAsia="zh-CN"/>
              </w:rPr>
              <w:t>/a</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color w:val="auto"/>
                <w:sz w:val="24"/>
                <w:szCs w:val="24"/>
                <w:lang w:val="en-US" w:eastAsia="zh-CN"/>
              </w:rPr>
              <w:t>二期建成后全厂</w:t>
            </w:r>
            <w:r>
              <w:rPr>
                <w:rFonts w:hint="default" w:ascii="Times New Roman" w:hAnsi="Times New Roman" w:eastAsia="宋体" w:cs="Times New Roman"/>
                <w:b w:val="0"/>
                <w:bCs w:val="0"/>
                <w:color w:val="auto"/>
                <w:sz w:val="24"/>
                <w:szCs w:val="24"/>
                <w:highlight w:val="none"/>
                <w:lang w:val="en-US" w:eastAsia="zh-CN"/>
              </w:rPr>
              <w:t>使用量为</w:t>
            </w:r>
            <w:r>
              <w:rPr>
                <w:rFonts w:hint="eastAsia"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t</w:t>
            </w:r>
            <w:r>
              <w:rPr>
                <w:rFonts w:hint="eastAsia" w:ascii="Times New Roman" w:hAnsi="Times New Roman" w:eastAsia="宋体" w:cs="Times New Roman"/>
                <w:b w:val="0"/>
                <w:bCs w:val="0"/>
                <w:color w:val="auto"/>
                <w:sz w:val="24"/>
                <w:szCs w:val="24"/>
                <w:highlight w:val="none"/>
                <w:lang w:val="en-US" w:eastAsia="zh-CN"/>
              </w:rPr>
              <w:t>/a，</w:t>
            </w:r>
            <w:r>
              <w:rPr>
                <w:rFonts w:hint="default" w:ascii="Times New Roman" w:hAnsi="Times New Roman" w:eastAsia="宋体" w:cs="Times New Roman"/>
                <w:b w:val="0"/>
                <w:bCs w:val="0"/>
                <w:color w:val="auto"/>
                <w:sz w:val="24"/>
                <w:szCs w:val="24"/>
                <w:highlight w:val="none"/>
                <w:lang w:val="en-US" w:eastAsia="zh-CN"/>
              </w:rPr>
              <w:t>则</w:t>
            </w:r>
            <w:r>
              <w:rPr>
                <w:rFonts w:hint="eastAsia" w:ascii="Times New Roman" w:hAnsi="Times New Roman" w:eastAsia="宋体" w:cs="Times New Roman"/>
                <w:b w:val="0"/>
                <w:bCs w:val="0"/>
                <w:color w:val="auto"/>
                <w:sz w:val="24"/>
                <w:szCs w:val="24"/>
                <w:highlight w:val="none"/>
                <w:lang w:val="en-US" w:eastAsia="zh-CN"/>
              </w:rPr>
              <w:t>切</w:t>
            </w:r>
            <w:r>
              <w:rPr>
                <w:rFonts w:hint="default" w:ascii="Times New Roman" w:hAnsi="Times New Roman" w:eastAsia="宋体" w:cs="Times New Roman"/>
                <w:b w:val="0"/>
                <w:bCs w:val="0"/>
                <w:color w:val="auto"/>
                <w:sz w:val="24"/>
                <w:szCs w:val="24"/>
                <w:highlight w:val="none"/>
                <w:lang w:val="en-US" w:eastAsia="zh-CN"/>
              </w:rPr>
              <w:t>削液配比用水年用量</w:t>
            </w:r>
            <w:r>
              <w:rPr>
                <w:rFonts w:hint="eastAsia" w:ascii="Times New Roman" w:hAnsi="Times New Roman" w:eastAsia="宋体" w:cs="Times New Roman"/>
                <w:b w:val="0"/>
                <w:bCs w:val="0"/>
                <w:color w:val="auto"/>
                <w:sz w:val="24"/>
                <w:szCs w:val="24"/>
                <w:highlight w:val="none"/>
                <w:lang w:val="en-US" w:eastAsia="zh-CN"/>
              </w:rPr>
              <w:t>一期</w:t>
            </w:r>
            <w:r>
              <w:rPr>
                <w:rFonts w:hint="default" w:ascii="Times New Roman" w:hAnsi="Times New Roman" w:eastAsia="宋体" w:cs="Times New Roman"/>
                <w:b w:val="0"/>
                <w:bCs w:val="0"/>
                <w:color w:val="auto"/>
                <w:sz w:val="24"/>
                <w:szCs w:val="24"/>
                <w:highlight w:val="none"/>
                <w:lang w:val="en-US" w:eastAsia="zh-CN"/>
              </w:rPr>
              <w:t>为</w:t>
            </w:r>
            <w:r>
              <w:rPr>
                <w:rFonts w:hint="eastAsia" w:ascii="Times New Roman" w:hAnsi="Times New Roman" w:eastAsia="宋体" w:cs="Times New Roman"/>
                <w:b w:val="0"/>
                <w:bCs w:val="0"/>
                <w:color w:val="auto"/>
                <w:sz w:val="24"/>
                <w:szCs w:val="24"/>
                <w:highlight w:val="none"/>
                <w:lang w:val="en-US" w:eastAsia="zh-CN"/>
              </w:rPr>
              <w:t>40</w:t>
            </w:r>
            <w:r>
              <w:rPr>
                <w:rFonts w:hint="default" w:ascii="Times New Roman" w:hAnsi="Times New Roman" w:eastAsia="宋体" w:cs="Times New Roman"/>
                <w:b w:val="0"/>
                <w:bCs w:val="0"/>
                <w:color w:val="auto"/>
                <w:sz w:val="24"/>
                <w:szCs w:val="24"/>
                <w:highlight w:val="none"/>
                <w:lang w:val="en-US" w:eastAsia="zh-CN"/>
              </w:rPr>
              <w:t>t</w: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color w:val="auto"/>
                <w:sz w:val="24"/>
                <w:szCs w:val="24"/>
                <w:lang w:val="en-US" w:eastAsia="zh-CN"/>
              </w:rPr>
              <w:t>二期建成后全厂</w:t>
            </w:r>
            <w:r>
              <w:rPr>
                <w:rFonts w:hint="default" w:ascii="Times New Roman" w:hAnsi="Times New Roman" w:eastAsia="宋体" w:cs="Times New Roman"/>
                <w:b w:val="0"/>
                <w:bCs w:val="0"/>
                <w:color w:val="auto"/>
                <w:sz w:val="24"/>
                <w:szCs w:val="24"/>
                <w:highlight w:val="none"/>
                <w:lang w:val="en-US" w:eastAsia="zh-CN"/>
              </w:rPr>
              <w:t>为</w:t>
            </w:r>
            <w:r>
              <w:rPr>
                <w:rFonts w:hint="eastAsia" w:ascii="Times New Roman" w:hAnsi="Times New Roman" w:eastAsia="宋体"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lang w:val="en-US" w:eastAsia="zh-CN"/>
              </w:rPr>
              <w:t>t。</w:t>
            </w:r>
            <w:r>
              <w:rPr>
                <w:rFonts w:hint="eastAsia" w:ascii="Times New Roman" w:hAnsi="Times New Roman" w:eastAsia="宋体" w:cs="Times New Roman"/>
                <w:b w:val="0"/>
                <w:bCs w:val="0"/>
                <w:color w:val="auto"/>
                <w:sz w:val="24"/>
                <w:szCs w:val="24"/>
                <w:highlight w:val="none"/>
                <w:lang w:val="en-US" w:eastAsia="zh-CN"/>
              </w:rPr>
              <w:t>切削液定期更换，部分配比用水（一期约0.25吨，</w:t>
            </w:r>
            <w:r>
              <w:rPr>
                <w:rFonts w:hint="eastAsia" w:ascii="Times New Roman" w:hAnsi="Times New Roman" w:eastAsia="宋体" w:cs="Times New Roman"/>
                <w:color w:val="auto"/>
                <w:sz w:val="24"/>
                <w:szCs w:val="24"/>
                <w:lang w:val="en-US" w:eastAsia="zh-CN"/>
              </w:rPr>
              <w:t>二期建成后全厂</w:t>
            </w:r>
            <w:r>
              <w:rPr>
                <w:rFonts w:hint="eastAsia" w:ascii="Times New Roman" w:hAnsi="Times New Roman" w:eastAsia="宋体" w:cs="Times New Roman"/>
                <w:b w:val="0"/>
                <w:bCs w:val="0"/>
                <w:color w:val="auto"/>
                <w:sz w:val="24"/>
                <w:szCs w:val="24"/>
                <w:highlight w:val="none"/>
                <w:lang w:val="en-US" w:eastAsia="zh-CN"/>
              </w:rPr>
              <w:t>约0.5吨）混入其中，一并作为危废处置。</w:t>
            </w:r>
          </w:p>
          <w:p w14:paraId="7AB69A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w:t>
            </w:r>
            <w:r>
              <w:rPr>
                <w:rFonts w:hint="eastAsia" w:cs="Times New Roman"/>
                <w:color w:val="auto"/>
                <w:kern w:val="0"/>
                <w:sz w:val="24"/>
                <w:szCs w:val="24"/>
                <w:highlight w:val="none"/>
                <w:lang w:val="en-US" w:eastAsia="zh-CN" w:bidi="ar-SA"/>
              </w:rPr>
              <w:t>水</w:t>
            </w:r>
            <w:r>
              <w:rPr>
                <w:rFonts w:hint="default" w:ascii="Times New Roman" w:hAnsi="Times New Roman" w:eastAsia="宋体" w:cs="Times New Roman"/>
                <w:color w:val="auto"/>
                <w:kern w:val="0"/>
                <w:sz w:val="24"/>
                <w:szCs w:val="24"/>
                <w:highlight w:val="none"/>
                <w:lang w:val="en-US" w:eastAsia="zh-CN" w:bidi="ar-SA"/>
              </w:rPr>
              <w:t>平衡图详见图</w:t>
            </w:r>
            <w:r>
              <w:rPr>
                <w:rFonts w:hint="eastAsia" w:cs="Times New Roman"/>
                <w:color w:val="auto"/>
                <w:kern w:val="0"/>
                <w:sz w:val="24"/>
                <w:szCs w:val="24"/>
                <w:highlight w:val="none"/>
                <w:lang w:val="en-US" w:eastAsia="zh-CN" w:bidi="ar-SA"/>
              </w:rPr>
              <w:t>4</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1、4.2</w:t>
            </w:r>
            <w:r>
              <w:rPr>
                <w:rFonts w:hint="default" w:ascii="Times New Roman" w:hAnsi="Times New Roman" w:eastAsia="宋体" w:cs="Times New Roman"/>
                <w:color w:val="auto"/>
                <w:kern w:val="0"/>
                <w:sz w:val="24"/>
                <w:szCs w:val="24"/>
                <w:highlight w:val="none"/>
                <w:lang w:val="en-US" w:eastAsia="zh-CN" w:bidi="ar-SA"/>
              </w:rPr>
              <w:t>。</w:t>
            </w:r>
          </w:p>
          <w:p w14:paraId="0F2889E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color w:val="auto"/>
                <w:kern w:val="0"/>
                <w:sz w:val="24"/>
                <w:szCs w:val="24"/>
                <w:highlight w:val="none"/>
                <w:lang w:val="en-US" w:eastAsia="zh-CN" w:bidi="ar-SA"/>
              </w:rPr>
            </w:pPr>
          </w:p>
          <w:p w14:paraId="12394805">
            <w:pPr>
              <w:pStyle w:val="12"/>
              <w:rPr>
                <w:rFonts w:hint="default" w:ascii="Times New Roman" w:hAnsi="Times New Roman" w:eastAsia="宋体" w:cs="Times New Roman"/>
                <w:color w:val="auto"/>
                <w:kern w:val="0"/>
                <w:sz w:val="24"/>
                <w:szCs w:val="24"/>
                <w:highlight w:val="none"/>
                <w:lang w:val="en-US" w:eastAsia="zh-CN" w:bidi="ar-SA"/>
              </w:rPr>
            </w:pPr>
          </w:p>
          <w:p w14:paraId="0ACE6DD7">
            <w:pPr>
              <w:rPr>
                <w:rFonts w:hint="default" w:ascii="Times New Roman" w:hAnsi="Times New Roman" w:eastAsia="宋体" w:cs="Times New Roman"/>
                <w:color w:val="auto"/>
                <w:kern w:val="0"/>
                <w:sz w:val="24"/>
                <w:szCs w:val="24"/>
                <w:highlight w:val="none"/>
                <w:lang w:val="en-US" w:eastAsia="zh-CN" w:bidi="ar-SA"/>
              </w:rPr>
            </w:pPr>
          </w:p>
          <w:p w14:paraId="0567ED66">
            <w:pPr>
              <w:pStyle w:val="12"/>
              <w:rPr>
                <w:rFonts w:hint="default"/>
                <w:lang w:val="en-US" w:eastAsia="zh-CN"/>
              </w:rPr>
            </w:pPr>
          </w:p>
          <w:p w14:paraId="23CDEA4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宋体" w:cs="Times New Roman"/>
                <w:b/>
                <w:bCs/>
                <w:color w:val="0000FF"/>
                <w:kern w:val="0"/>
                <w:sz w:val="24"/>
                <w:szCs w:val="24"/>
                <w:highlight w:val="none"/>
                <w:lang w:val="en-US" w:eastAsia="zh-CN" w:bidi="ar-SA"/>
              </w:rPr>
            </w:pPr>
            <w:r>
              <w:rPr>
                <w:rFonts w:hint="default" w:ascii="Times New Roman" w:hAnsi="Times New Roman" w:eastAsia="宋体"/>
                <w:color w:val="auto"/>
                <w:highlight w:val="none"/>
                <w:lang w:val="en-US" w:eastAsia="zh-CN"/>
              </w:rPr>
              <w:object>
                <v:shape id="_x0000_i1026" o:spt="75" type="#_x0000_t75" style="height:143.65pt;width:413.85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r>
              <w:rPr>
                <w:rFonts w:hint="default" w:ascii="Times New Roman" w:hAnsi="Times New Roman" w:eastAsia="宋体" w:cs="Times New Roman"/>
                <w:b/>
                <w:bCs/>
                <w:color w:val="auto"/>
                <w:sz w:val="24"/>
                <w:szCs w:val="24"/>
                <w:highlight w:val="none"/>
              </w:rPr>
              <w:t>图</w:t>
            </w:r>
            <w:r>
              <w:rPr>
                <w:rFonts w:hint="eastAsia"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sz w:val="24"/>
                <w:szCs w:val="24"/>
                <w:highlight w:val="none"/>
                <w:lang w:val="en-US" w:eastAsia="zh-CN"/>
              </w:rPr>
              <w:t xml:space="preserve"> </w:t>
            </w:r>
            <m:oMath>
              <m:r>
                <m:rPr>
                  <m:sty m:val="b"/>
                </m:rPr>
                <w:rPr>
                  <w:rFonts w:hint="default" w:ascii="Cambria Math" w:hAnsi="Cambria Math"/>
                  <w:sz w:val="24"/>
                </w:rPr>
                <m:t>项目一期工程</m:t>
              </m:r>
            </m:oMath>
            <w:r>
              <w:rPr>
                <w:rFonts w:hint="default" w:ascii="Times New Roman" w:hAnsi="Times New Roman" w:eastAsia="宋体" w:cs="Times New Roman"/>
                <w:b/>
                <w:bCs/>
                <w:color w:val="auto"/>
                <w:sz w:val="24"/>
                <w:szCs w:val="24"/>
                <w:highlight w:val="none"/>
              </w:rPr>
              <w:t>水平衡图 （单位：</w:t>
            </w:r>
            <w:r>
              <w:rPr>
                <w:rFonts w:hint="default" w:ascii="Times New Roman" w:hAnsi="Times New Roman" w:eastAsia="宋体" w:cs="Times New Roman"/>
                <w:b/>
                <w:bCs/>
                <w:color w:val="auto"/>
                <w:sz w:val="24"/>
                <w:szCs w:val="24"/>
                <w:highlight w:val="none"/>
                <w:lang w:val="en-US" w:eastAsia="zh-CN"/>
              </w:rPr>
              <w:t>t</w:t>
            </w:r>
            <w:r>
              <w:rPr>
                <w:rFonts w:hint="default" w:ascii="Times New Roman" w:hAnsi="Times New Roman" w:eastAsia="宋体" w:cs="Times New Roman"/>
                <w:b/>
                <w:bCs/>
                <w:color w:val="auto"/>
                <w:sz w:val="24"/>
                <w:szCs w:val="24"/>
                <w:highlight w:val="none"/>
              </w:rPr>
              <w:t>/</w:t>
            </w:r>
            <w:r>
              <w:rPr>
                <w:rFonts w:hint="eastAsia" w:cs="Times New Roman"/>
                <w:b/>
                <w:bCs/>
                <w:color w:val="auto"/>
                <w:sz w:val="24"/>
                <w:szCs w:val="24"/>
                <w:highlight w:val="none"/>
                <w:lang w:val="en-US" w:eastAsia="zh-CN"/>
              </w:rPr>
              <w:t>a</w:t>
            </w:r>
            <w:r>
              <w:rPr>
                <w:rFonts w:hint="default" w:ascii="Times New Roman" w:hAnsi="Times New Roman" w:eastAsia="宋体" w:cs="Times New Roman"/>
                <w:b/>
                <w:bCs/>
                <w:color w:val="auto"/>
                <w:sz w:val="24"/>
                <w:szCs w:val="24"/>
                <w:highlight w:val="none"/>
              </w:rPr>
              <w:t>）</w:t>
            </w:r>
          </w:p>
          <w:p w14:paraId="2C912864">
            <w:pPr>
              <w:pStyle w:val="2"/>
              <w:spacing w:line="360" w:lineRule="auto"/>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olor w:val="auto"/>
                <w:highlight w:val="none"/>
                <w:lang w:val="en-US" w:eastAsia="zh-CN"/>
              </w:rPr>
              <w:object>
                <v:shape id="_x0000_i1027" o:spt="75" type="#_x0000_t75" style="height:143.65pt;width:413.85pt;" o:ole="t" filled="f" o:preferrelative="t" stroked="f" coordsize="21600,21600">
                  <v:path/>
                  <v:fill on="f" focussize="0,0"/>
                  <v:stroke on="f"/>
                  <v:imagedata r:id="rId12" o:title=""/>
                  <o:lock v:ext="edit" aspectratio="f"/>
                  <w10:wrap type="none"/>
                  <w10:anchorlock/>
                </v:shape>
                <o:OLEObject Type="Embed" ProgID="Visio.Drawing.11" ShapeID="_x0000_i1027" DrawAspect="Content" ObjectID="_1468075727" r:id="rId11">
                  <o:LockedField>false</o:LockedField>
                </o:OLEObject>
              </w:object>
            </w:r>
            <w:r>
              <w:rPr>
                <w:rFonts w:hint="default" w:ascii="Times New Roman" w:hAnsi="Times New Roman" w:eastAsia="宋体" w:cs="Times New Roman"/>
                <w:b/>
                <w:bCs/>
                <w:color w:val="auto"/>
                <w:sz w:val="24"/>
                <w:szCs w:val="24"/>
                <w:highlight w:val="none"/>
              </w:rPr>
              <w:t>图</w:t>
            </w:r>
            <w:r>
              <w:rPr>
                <w:rFonts w:hint="eastAsia"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000000"/>
                <w:sz w:val="24"/>
                <w:szCs w:val="24"/>
                <w:lang w:val="en-US" w:eastAsia="zh-CN"/>
              </w:rPr>
              <w:t>项目</w:t>
            </w:r>
            <w:r>
              <w:rPr>
                <w:rFonts w:hint="eastAsia" w:ascii="Times New Roman" w:hAnsi="Times New Roman" w:cs="Times New Roman"/>
                <w:b/>
                <w:bCs/>
                <w:color w:val="000000"/>
                <w:sz w:val="24"/>
                <w:szCs w:val="24"/>
                <w:lang w:val="en-US" w:eastAsia="zh-CN"/>
              </w:rPr>
              <w:t>二</w:t>
            </w:r>
            <w:r>
              <w:rPr>
                <w:rFonts w:hint="eastAsia" w:cs="Times New Roman"/>
                <w:b/>
                <w:bCs/>
                <w:color w:val="000000"/>
                <w:sz w:val="24"/>
                <w:szCs w:val="24"/>
                <w:lang w:val="en-US" w:eastAsia="zh-CN"/>
              </w:rPr>
              <w:t>期建成后全厂</w:t>
            </w:r>
            <w:r>
              <w:rPr>
                <w:rFonts w:hint="default" w:ascii="Times New Roman" w:hAnsi="Times New Roman" w:eastAsia="宋体" w:cs="Times New Roman"/>
                <w:b/>
                <w:bCs/>
                <w:color w:val="auto"/>
                <w:sz w:val="24"/>
                <w:szCs w:val="24"/>
                <w:highlight w:val="none"/>
              </w:rPr>
              <w:t>水平衡图 （单位：</w:t>
            </w:r>
            <w:r>
              <w:rPr>
                <w:rFonts w:hint="default" w:ascii="Times New Roman" w:hAnsi="Times New Roman" w:eastAsia="宋体" w:cs="Times New Roman"/>
                <w:b/>
                <w:bCs/>
                <w:color w:val="auto"/>
                <w:sz w:val="24"/>
                <w:szCs w:val="24"/>
                <w:highlight w:val="none"/>
                <w:lang w:val="en-US" w:eastAsia="zh-CN"/>
              </w:rPr>
              <w:t>t</w:t>
            </w:r>
            <w:r>
              <w:rPr>
                <w:rFonts w:hint="default" w:ascii="Times New Roman" w:hAnsi="Times New Roman" w:eastAsia="宋体" w:cs="Times New Roman"/>
                <w:b/>
                <w:bCs/>
                <w:color w:val="auto"/>
                <w:sz w:val="24"/>
                <w:szCs w:val="24"/>
                <w:highlight w:val="none"/>
              </w:rPr>
              <w:t>/</w:t>
            </w:r>
            <w:r>
              <w:rPr>
                <w:rFonts w:hint="eastAsia" w:cs="Times New Roman"/>
                <w:b/>
                <w:bCs/>
                <w:color w:val="auto"/>
                <w:sz w:val="24"/>
                <w:szCs w:val="24"/>
                <w:highlight w:val="none"/>
                <w:lang w:val="en-US" w:eastAsia="zh-CN"/>
              </w:rPr>
              <w:t>a</w:t>
            </w:r>
            <w:r>
              <w:rPr>
                <w:rFonts w:hint="default" w:ascii="Times New Roman" w:hAnsi="Times New Roman" w:eastAsia="宋体" w:cs="Times New Roman"/>
                <w:b/>
                <w:bCs/>
                <w:color w:val="auto"/>
                <w:sz w:val="24"/>
                <w:szCs w:val="24"/>
                <w:highlight w:val="none"/>
              </w:rPr>
              <w:t>）</w:t>
            </w:r>
          </w:p>
          <w:p w14:paraId="4AACF551">
            <w:pPr>
              <w:pStyle w:val="2"/>
              <w:spacing w:line="360" w:lineRule="auto"/>
              <w:jc w:val="center"/>
              <w:rPr>
                <w:rFonts w:hint="default" w:ascii="Times New Roman" w:hAnsi="Times New Roman" w:eastAsia="宋体" w:cs="Times New Roman"/>
                <w:b/>
                <w:bCs/>
                <w:color w:val="auto"/>
                <w:sz w:val="24"/>
                <w:szCs w:val="24"/>
                <w:highlight w:val="none"/>
              </w:rPr>
            </w:pPr>
          </w:p>
          <w:p w14:paraId="35B72613">
            <w:pPr>
              <w:pStyle w:val="2"/>
              <w:spacing w:line="360" w:lineRule="auto"/>
              <w:jc w:val="center"/>
              <w:rPr>
                <w:rFonts w:hint="default" w:ascii="Times New Roman" w:hAnsi="Times New Roman" w:eastAsia="宋体" w:cs="Times New Roman"/>
                <w:b/>
                <w:bCs/>
                <w:color w:val="auto"/>
                <w:sz w:val="24"/>
                <w:szCs w:val="24"/>
                <w:highlight w:val="none"/>
              </w:rPr>
            </w:pPr>
          </w:p>
          <w:p w14:paraId="239DF6AF">
            <w:pPr>
              <w:pStyle w:val="2"/>
              <w:spacing w:line="360" w:lineRule="auto"/>
              <w:jc w:val="center"/>
              <w:rPr>
                <w:rFonts w:hint="default" w:ascii="Times New Roman" w:hAnsi="Times New Roman" w:eastAsia="宋体" w:cs="Times New Roman"/>
                <w:b/>
                <w:bCs/>
                <w:color w:val="auto"/>
                <w:sz w:val="24"/>
                <w:szCs w:val="24"/>
                <w:highlight w:val="none"/>
              </w:rPr>
            </w:pPr>
          </w:p>
          <w:p w14:paraId="0AB9A209">
            <w:pPr>
              <w:pStyle w:val="2"/>
              <w:spacing w:line="360" w:lineRule="auto"/>
              <w:jc w:val="center"/>
              <w:rPr>
                <w:rFonts w:hint="default" w:ascii="Times New Roman" w:hAnsi="Times New Roman" w:eastAsia="宋体" w:cs="Times New Roman"/>
                <w:b/>
                <w:bCs/>
                <w:color w:val="auto"/>
                <w:sz w:val="24"/>
                <w:szCs w:val="24"/>
                <w:highlight w:val="none"/>
              </w:rPr>
            </w:pPr>
          </w:p>
          <w:p w14:paraId="3D28E926">
            <w:pPr>
              <w:pStyle w:val="2"/>
              <w:spacing w:line="360" w:lineRule="auto"/>
              <w:jc w:val="center"/>
              <w:rPr>
                <w:rFonts w:hint="default" w:ascii="Times New Roman" w:hAnsi="Times New Roman" w:eastAsia="宋体" w:cs="Times New Roman"/>
                <w:b/>
                <w:bCs/>
                <w:color w:val="auto"/>
                <w:sz w:val="24"/>
                <w:szCs w:val="24"/>
                <w:highlight w:val="none"/>
              </w:rPr>
            </w:pPr>
          </w:p>
          <w:p w14:paraId="2F36BE1B">
            <w:pPr>
              <w:pStyle w:val="2"/>
              <w:spacing w:line="360" w:lineRule="auto"/>
              <w:jc w:val="center"/>
              <w:rPr>
                <w:rFonts w:hint="default" w:ascii="Times New Roman" w:hAnsi="Times New Roman" w:eastAsia="宋体" w:cs="Times New Roman"/>
                <w:b/>
                <w:bCs/>
                <w:color w:val="auto"/>
                <w:sz w:val="24"/>
                <w:szCs w:val="24"/>
                <w:highlight w:val="none"/>
              </w:rPr>
            </w:pPr>
          </w:p>
          <w:p w14:paraId="23E66CE1">
            <w:pPr>
              <w:pStyle w:val="2"/>
              <w:spacing w:line="360" w:lineRule="auto"/>
              <w:jc w:val="center"/>
              <w:rPr>
                <w:rFonts w:hint="default" w:ascii="Times New Roman" w:hAnsi="Times New Roman" w:eastAsia="宋体" w:cs="Times New Roman"/>
                <w:b/>
                <w:bCs/>
                <w:color w:val="auto"/>
                <w:sz w:val="24"/>
                <w:szCs w:val="24"/>
                <w:highlight w:val="none"/>
              </w:rPr>
            </w:pPr>
          </w:p>
          <w:p w14:paraId="6C856B90">
            <w:pPr>
              <w:pStyle w:val="2"/>
              <w:spacing w:line="360" w:lineRule="auto"/>
              <w:jc w:val="center"/>
              <w:rPr>
                <w:rFonts w:hint="default" w:ascii="Times New Roman" w:hAnsi="Times New Roman" w:eastAsia="宋体" w:cs="Times New Roman"/>
                <w:b/>
                <w:bCs/>
                <w:color w:val="auto"/>
                <w:sz w:val="24"/>
                <w:szCs w:val="24"/>
                <w:highlight w:val="none"/>
              </w:rPr>
            </w:pPr>
          </w:p>
          <w:p w14:paraId="6DE026CF">
            <w:pPr>
              <w:pStyle w:val="2"/>
              <w:spacing w:line="360" w:lineRule="auto"/>
              <w:jc w:val="center"/>
              <w:rPr>
                <w:rFonts w:hint="default" w:ascii="Times New Roman" w:hAnsi="Times New Roman" w:eastAsia="宋体" w:cs="Times New Roman"/>
                <w:b/>
                <w:bCs/>
                <w:color w:val="auto"/>
                <w:sz w:val="24"/>
                <w:szCs w:val="24"/>
                <w:highlight w:val="none"/>
              </w:rPr>
            </w:pPr>
          </w:p>
          <w:p w14:paraId="09B73E0A">
            <w:pPr>
              <w:pStyle w:val="2"/>
              <w:spacing w:line="360" w:lineRule="auto"/>
              <w:jc w:val="center"/>
              <w:rPr>
                <w:rFonts w:hint="default" w:ascii="Times New Roman" w:hAnsi="Times New Roman" w:eastAsia="宋体" w:cs="Times New Roman"/>
                <w:b/>
                <w:bCs/>
                <w:color w:val="auto"/>
                <w:sz w:val="24"/>
                <w:szCs w:val="24"/>
                <w:highlight w:val="none"/>
              </w:rPr>
            </w:pPr>
          </w:p>
          <w:p w14:paraId="6E2FE268">
            <w:pPr>
              <w:pStyle w:val="2"/>
              <w:spacing w:line="360" w:lineRule="auto"/>
              <w:jc w:val="center"/>
              <w:rPr>
                <w:rFonts w:hint="default" w:ascii="Times New Roman" w:hAnsi="Times New Roman" w:eastAsia="宋体" w:cs="Times New Roman"/>
                <w:b/>
                <w:bCs/>
                <w:color w:val="auto"/>
                <w:sz w:val="24"/>
                <w:szCs w:val="24"/>
                <w:highlight w:val="none"/>
              </w:rPr>
            </w:pPr>
          </w:p>
          <w:p w14:paraId="0A25E2F7">
            <w:pPr>
              <w:pStyle w:val="2"/>
              <w:spacing w:line="360" w:lineRule="auto"/>
              <w:jc w:val="center"/>
              <w:rPr>
                <w:rFonts w:hint="default" w:ascii="Times New Roman" w:hAnsi="Times New Roman" w:eastAsia="宋体" w:cs="Times New Roman"/>
                <w:b/>
                <w:bCs/>
                <w:color w:val="auto"/>
                <w:sz w:val="24"/>
                <w:szCs w:val="24"/>
                <w:highlight w:val="none"/>
              </w:rPr>
            </w:pPr>
          </w:p>
          <w:p w14:paraId="1660BA40">
            <w:pPr>
              <w:pStyle w:val="2"/>
              <w:spacing w:line="360" w:lineRule="auto"/>
              <w:jc w:val="center"/>
              <w:rPr>
                <w:rFonts w:hint="default" w:ascii="Times New Roman" w:hAnsi="Times New Roman" w:eastAsia="宋体" w:cs="Times New Roman"/>
                <w:b/>
                <w:bCs/>
                <w:color w:val="auto"/>
                <w:sz w:val="24"/>
                <w:szCs w:val="24"/>
                <w:highlight w:val="none"/>
              </w:rPr>
            </w:pPr>
          </w:p>
          <w:p w14:paraId="4434F552">
            <w:pPr>
              <w:pStyle w:val="2"/>
              <w:spacing w:line="360" w:lineRule="auto"/>
              <w:jc w:val="center"/>
              <w:rPr>
                <w:rFonts w:hint="default" w:ascii="Times New Roman" w:hAnsi="Times New Roman" w:eastAsia="宋体" w:cs="Times New Roman"/>
                <w:b/>
                <w:bCs/>
                <w:color w:val="auto"/>
                <w:sz w:val="24"/>
                <w:szCs w:val="24"/>
                <w:highlight w:val="none"/>
              </w:rPr>
            </w:pPr>
          </w:p>
          <w:p w14:paraId="3A8084DA">
            <w:pPr>
              <w:pStyle w:val="2"/>
              <w:spacing w:line="360" w:lineRule="auto"/>
              <w:jc w:val="center"/>
              <w:rPr>
                <w:rFonts w:hint="default" w:ascii="Times New Roman" w:hAnsi="Times New Roman" w:eastAsia="宋体" w:cs="Times New Roman"/>
                <w:b/>
                <w:bCs/>
                <w:color w:val="auto"/>
                <w:sz w:val="24"/>
                <w:szCs w:val="24"/>
                <w:highlight w:val="none"/>
              </w:rPr>
            </w:pPr>
          </w:p>
          <w:p w14:paraId="26156EDC">
            <w:pPr>
              <w:pStyle w:val="2"/>
              <w:spacing w:line="360" w:lineRule="auto"/>
              <w:jc w:val="both"/>
              <w:rPr>
                <w:rFonts w:hint="eastAsia" w:ascii="Times New Roman" w:hAnsi="Times New Roman" w:eastAsia="宋体" w:cs="Times New Roman"/>
                <w:bCs/>
                <w:color w:val="auto"/>
                <w:spacing w:val="-10"/>
                <w:szCs w:val="21"/>
                <w:lang w:val="en-US" w:eastAsia="zh-CN"/>
              </w:rPr>
            </w:pPr>
          </w:p>
        </w:tc>
      </w:tr>
    </w:tbl>
    <w:p w14:paraId="53B04CA3">
      <w:pPr>
        <w:adjustRightInd w:val="0"/>
        <w:snapToGrid w:val="0"/>
        <w:jc w:val="both"/>
        <w:rPr>
          <w:rFonts w:hint="default" w:ascii="Times New Roman" w:hAnsi="Times New Roman" w:eastAsia="宋体" w:cs="Times New Roman"/>
          <w:b w:val="0"/>
          <w:bCs w:val="0"/>
          <w:color w:val="auto"/>
          <w:sz w:val="24"/>
          <w:szCs w:val="24"/>
        </w:rPr>
        <w:sectPr>
          <w:pgSz w:w="11906" w:h="16838"/>
          <w:pgMar w:top="1440" w:right="1803" w:bottom="1440" w:left="1803"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3088"/>
      </w:tblGrid>
      <w:tr w14:paraId="34479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2" w:hRule="atLeast"/>
        </w:trPr>
        <w:tc>
          <w:tcPr>
            <w:tcW w:w="516" w:type="dxa"/>
            <w:tcBorders>
              <w:tl2br w:val="nil"/>
              <w:tr2bl w:val="nil"/>
            </w:tcBorders>
            <w:noWrap w:val="0"/>
            <w:vAlign w:val="center"/>
          </w:tcPr>
          <w:p w14:paraId="236C8984">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运营</w:t>
            </w:r>
          </w:p>
          <w:p w14:paraId="5D8FC559">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期环</w:t>
            </w:r>
          </w:p>
          <w:p w14:paraId="47BA9B86">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境影</w:t>
            </w:r>
          </w:p>
          <w:p w14:paraId="6102173A">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响和</w:t>
            </w:r>
          </w:p>
          <w:p w14:paraId="2E3DA828">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保护</w:t>
            </w:r>
          </w:p>
          <w:p w14:paraId="61C9DFD5">
            <w:pPr>
              <w:pStyle w:val="2"/>
              <w:rPr>
                <w:rFonts w:hint="default" w:ascii="Times New Roman" w:hAnsi="Times New Roman" w:eastAsia="宋体" w:cs="Times New Roman"/>
                <w:color w:val="auto"/>
                <w:vertAlign w:val="baseline"/>
              </w:rPr>
            </w:pPr>
            <w:r>
              <w:rPr>
                <w:rFonts w:hint="default" w:ascii="Times New Roman" w:hAnsi="Times New Roman" w:eastAsia="宋体" w:cs="Times New Roman"/>
                <w:b w:val="0"/>
                <w:bCs w:val="0"/>
                <w:color w:val="auto"/>
                <w:sz w:val="24"/>
                <w:szCs w:val="24"/>
              </w:rPr>
              <w:t>措施</w:t>
            </w:r>
          </w:p>
        </w:tc>
        <w:tc>
          <w:tcPr>
            <w:tcW w:w="0" w:type="auto"/>
            <w:tcBorders>
              <w:tl2br w:val="nil"/>
              <w:tr2bl w:val="nil"/>
            </w:tcBorders>
            <w:noWrap w:val="0"/>
            <w:vAlign w:val="top"/>
          </w:tcPr>
          <w:p w14:paraId="10DF85A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4.</w:t>
            </w:r>
            <w:r>
              <w:rPr>
                <w:rFonts w:hint="eastAsia"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 xml:space="preserve"> </w:t>
            </w:r>
            <w:r>
              <w:rPr>
                <w:rFonts w:hint="eastAsia"/>
                <w:b/>
                <w:bCs/>
                <w:sz w:val="24"/>
                <w:szCs w:val="24"/>
                <w:lang w:val="en-US" w:eastAsia="zh-CN"/>
              </w:rPr>
              <w:t>一期工程</w:t>
            </w:r>
            <w:r>
              <w:rPr>
                <w:rFonts w:hint="default" w:ascii="Times New Roman" w:hAnsi="Times New Roman" w:eastAsia="宋体" w:cs="Times New Roman"/>
                <w:b/>
                <w:bCs/>
                <w:color w:val="auto"/>
                <w:sz w:val="24"/>
                <w:szCs w:val="24"/>
                <w:highlight w:val="none"/>
                <w:lang w:val="en-US" w:eastAsia="zh-CN"/>
              </w:rPr>
              <w:t>废水</w:t>
            </w:r>
            <w:r>
              <w:rPr>
                <w:rFonts w:hint="eastAsia" w:ascii="Times New Roman" w:hAnsi="Times New Roman" w:eastAsia="宋体" w:cs="Times New Roman"/>
                <w:b/>
                <w:bCs/>
                <w:color w:val="auto"/>
                <w:sz w:val="24"/>
                <w:szCs w:val="24"/>
                <w:highlight w:val="none"/>
                <w:lang w:val="en-US" w:eastAsia="zh-CN"/>
              </w:rPr>
              <w:t>产排</w:t>
            </w:r>
            <w:r>
              <w:rPr>
                <w:rFonts w:hint="default" w:ascii="Times New Roman" w:hAnsi="Times New Roman" w:eastAsia="宋体" w:cs="Times New Roman"/>
                <w:b/>
                <w:bCs/>
                <w:color w:val="auto"/>
                <w:sz w:val="24"/>
                <w:szCs w:val="24"/>
                <w:highlight w:val="none"/>
                <w:lang w:val="en-US" w:eastAsia="zh-CN"/>
              </w:rPr>
              <w:t>情况一览表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88"/>
              <w:gridCol w:w="914"/>
              <w:gridCol w:w="916"/>
              <w:gridCol w:w="916"/>
              <w:gridCol w:w="1031"/>
              <w:gridCol w:w="987"/>
              <w:gridCol w:w="863"/>
              <w:gridCol w:w="920"/>
              <w:gridCol w:w="895"/>
              <w:gridCol w:w="918"/>
              <w:gridCol w:w="922"/>
              <w:gridCol w:w="893"/>
              <w:gridCol w:w="915"/>
            </w:tblGrid>
            <w:tr w14:paraId="2E5B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restart"/>
                  <w:noWrap w:val="0"/>
                  <w:vAlign w:val="center"/>
                </w:tcPr>
                <w:p w14:paraId="3FF60377">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产排污环节</w:t>
                  </w:r>
                </w:p>
              </w:tc>
              <w:tc>
                <w:tcPr>
                  <w:tcW w:w="889" w:type="dxa"/>
                  <w:vMerge w:val="restart"/>
                  <w:noWrap w:val="0"/>
                  <w:vAlign w:val="center"/>
                </w:tcPr>
                <w:p w14:paraId="3C270CF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w:t>
                  </w:r>
                </w:p>
                <w:p w14:paraId="66DADBF8">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类别</w:t>
                  </w:r>
                </w:p>
              </w:tc>
              <w:tc>
                <w:tcPr>
                  <w:tcW w:w="915" w:type="dxa"/>
                  <w:vMerge w:val="restart"/>
                  <w:noWrap w:val="0"/>
                  <w:vAlign w:val="center"/>
                </w:tcPr>
                <w:p w14:paraId="2B9572F7">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排放量</w:t>
                  </w:r>
                </w:p>
                <w:p w14:paraId="1515651B">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（t/</w:t>
                  </w:r>
                  <w:r>
                    <w:rPr>
                      <w:rFonts w:hint="eastAsia" w:cs="Times New Roman"/>
                      <w:b w:val="0"/>
                      <w:bCs w:val="0"/>
                      <w:color w:val="auto"/>
                      <w:sz w:val="21"/>
                      <w:szCs w:val="21"/>
                      <w:highlight w:val="none"/>
                      <w:vertAlign w:val="baseline"/>
                      <w:lang w:val="en-US" w:eastAsia="zh-CN"/>
                    </w:rPr>
                    <w:t>a</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917" w:type="dxa"/>
                  <w:vMerge w:val="restart"/>
                  <w:noWrap w:val="0"/>
                  <w:vAlign w:val="center"/>
                </w:tcPr>
                <w:p w14:paraId="51A5C6DC">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污染物种类</w:t>
                  </w:r>
                </w:p>
              </w:tc>
              <w:tc>
                <w:tcPr>
                  <w:tcW w:w="1947" w:type="dxa"/>
                  <w:gridSpan w:val="2"/>
                  <w:noWrap w:val="0"/>
                  <w:vAlign w:val="center"/>
                </w:tcPr>
                <w:p w14:paraId="47C422B1">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污染物产生情况</w:t>
                  </w:r>
                </w:p>
              </w:tc>
              <w:tc>
                <w:tcPr>
                  <w:tcW w:w="3666" w:type="dxa"/>
                  <w:gridSpan w:val="4"/>
                  <w:noWrap w:val="0"/>
                  <w:vAlign w:val="center"/>
                </w:tcPr>
                <w:p w14:paraId="56AB44D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治理设施</w:t>
                  </w:r>
                </w:p>
              </w:tc>
              <w:tc>
                <w:tcPr>
                  <w:tcW w:w="1840" w:type="dxa"/>
                  <w:gridSpan w:val="2"/>
                  <w:noWrap w:val="0"/>
                  <w:vAlign w:val="center"/>
                </w:tcPr>
                <w:p w14:paraId="5E7C5A9C">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污染物排放情况</w:t>
                  </w:r>
                </w:p>
              </w:tc>
              <w:tc>
                <w:tcPr>
                  <w:tcW w:w="893" w:type="dxa"/>
                  <w:vMerge w:val="restart"/>
                  <w:noWrap w:val="0"/>
                  <w:vAlign w:val="center"/>
                </w:tcPr>
                <w:p w14:paraId="5C11B68A">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排放方式</w:t>
                  </w:r>
                </w:p>
              </w:tc>
              <w:tc>
                <w:tcPr>
                  <w:tcW w:w="915" w:type="dxa"/>
                  <w:vMerge w:val="restart"/>
                  <w:noWrap w:val="0"/>
                  <w:vAlign w:val="center"/>
                </w:tcPr>
                <w:p w14:paraId="5A14A629">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执行标准</w:t>
                  </w:r>
                </w:p>
              </w:tc>
            </w:tr>
            <w:tr w14:paraId="1C69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noWrap w:val="0"/>
                  <w:vAlign w:val="center"/>
                </w:tcPr>
                <w:p w14:paraId="32FCA0A9">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889" w:type="dxa"/>
                  <w:vMerge w:val="continue"/>
                  <w:noWrap w:val="0"/>
                  <w:vAlign w:val="center"/>
                </w:tcPr>
                <w:p w14:paraId="1792A081">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5" w:type="dxa"/>
                  <w:vMerge w:val="continue"/>
                  <w:noWrap w:val="0"/>
                  <w:vAlign w:val="center"/>
                </w:tcPr>
                <w:p w14:paraId="7F25785F">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7" w:type="dxa"/>
                  <w:vMerge w:val="continue"/>
                  <w:noWrap w:val="0"/>
                  <w:vAlign w:val="center"/>
                </w:tcPr>
                <w:p w14:paraId="78C03549">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6" w:type="dxa"/>
                  <w:noWrap w:val="0"/>
                  <w:vAlign w:val="center"/>
                </w:tcPr>
                <w:p w14:paraId="58E6923B">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产生量</w:t>
                  </w:r>
                  <w:r>
                    <w:rPr>
                      <w:rFonts w:hint="default" w:ascii="Times New Roman" w:hAnsi="Times New Roman" w:eastAsia="宋体" w:cs="Times New Roman"/>
                      <w:color w:val="auto"/>
                      <w:sz w:val="21"/>
                      <w:szCs w:val="21"/>
                      <w:highlight w:val="none"/>
                      <w:lang w:eastAsia="zh-CN"/>
                    </w:rPr>
                    <w:t>t/a</w:t>
                  </w:r>
                </w:p>
              </w:tc>
              <w:tc>
                <w:tcPr>
                  <w:tcW w:w="1031" w:type="dxa"/>
                  <w:noWrap w:val="0"/>
                  <w:vAlign w:val="center"/>
                </w:tcPr>
                <w:p w14:paraId="7490D8D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浓度mg/L</w:t>
                  </w:r>
                </w:p>
              </w:tc>
              <w:tc>
                <w:tcPr>
                  <w:tcW w:w="988" w:type="dxa"/>
                  <w:noWrap w:val="0"/>
                  <w:vAlign w:val="center"/>
                </w:tcPr>
                <w:p w14:paraId="52B4260E">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工艺</w:t>
                  </w:r>
                </w:p>
              </w:tc>
              <w:tc>
                <w:tcPr>
                  <w:tcW w:w="863" w:type="dxa"/>
                  <w:noWrap w:val="0"/>
                  <w:vAlign w:val="center"/>
                </w:tcPr>
                <w:p w14:paraId="7E4DDC2F">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处理能力</w:t>
                  </w:r>
                </w:p>
              </w:tc>
              <w:tc>
                <w:tcPr>
                  <w:tcW w:w="920" w:type="dxa"/>
                  <w:noWrap w:val="0"/>
                  <w:vAlign w:val="center"/>
                </w:tcPr>
                <w:p w14:paraId="24374EC6">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治理效率</w:t>
                  </w:r>
                </w:p>
              </w:tc>
              <w:tc>
                <w:tcPr>
                  <w:tcW w:w="895" w:type="dxa"/>
                  <w:noWrap w:val="0"/>
                  <w:vAlign w:val="center"/>
                </w:tcPr>
                <w:p w14:paraId="7C738E2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是否为可行技术</w:t>
                  </w:r>
                </w:p>
              </w:tc>
              <w:tc>
                <w:tcPr>
                  <w:tcW w:w="918" w:type="dxa"/>
                  <w:noWrap w:val="0"/>
                  <w:vAlign w:val="center"/>
                </w:tcPr>
                <w:p w14:paraId="37C703F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排放量</w:t>
                  </w:r>
                  <w:r>
                    <w:rPr>
                      <w:rFonts w:hint="default" w:ascii="Times New Roman" w:hAnsi="Times New Roman" w:eastAsia="宋体" w:cs="Times New Roman"/>
                      <w:color w:val="auto"/>
                      <w:sz w:val="21"/>
                      <w:szCs w:val="21"/>
                      <w:highlight w:val="none"/>
                      <w:lang w:eastAsia="zh-CN"/>
                    </w:rPr>
                    <w:t>t/a</w:t>
                  </w:r>
                </w:p>
              </w:tc>
              <w:tc>
                <w:tcPr>
                  <w:tcW w:w="922" w:type="dxa"/>
                  <w:noWrap w:val="0"/>
                  <w:vAlign w:val="center"/>
                </w:tcPr>
                <w:p w14:paraId="15295285">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排放浓度mg/L</w:t>
                  </w:r>
                </w:p>
              </w:tc>
              <w:tc>
                <w:tcPr>
                  <w:tcW w:w="893" w:type="dxa"/>
                  <w:vMerge w:val="continue"/>
                  <w:noWrap w:val="0"/>
                  <w:vAlign w:val="center"/>
                </w:tcPr>
                <w:p w14:paraId="7BDA5A78">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5" w:type="dxa"/>
                  <w:vMerge w:val="continue"/>
                  <w:noWrap w:val="0"/>
                  <w:vAlign w:val="center"/>
                </w:tcPr>
                <w:p w14:paraId="3394CE04">
                  <w:pPr>
                    <w:adjustRightInd w:val="0"/>
                    <w:snapToGrid w:val="0"/>
                    <w:jc w:val="center"/>
                    <w:rPr>
                      <w:rFonts w:hint="default" w:ascii="Times New Roman" w:hAnsi="Times New Roman" w:eastAsia="宋体" w:cs="Times New Roman"/>
                      <w:color w:val="auto"/>
                      <w:sz w:val="21"/>
                      <w:szCs w:val="21"/>
                      <w:highlight w:val="none"/>
                      <w:lang w:val="en-US" w:eastAsia="zh-CN"/>
                    </w:rPr>
                  </w:pPr>
                </w:p>
              </w:tc>
            </w:tr>
            <w:tr w14:paraId="5EA2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restart"/>
                  <w:noWrap w:val="0"/>
                  <w:vAlign w:val="center"/>
                </w:tcPr>
                <w:p w14:paraId="093517FD">
                  <w:p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职工</w:t>
                  </w:r>
                </w:p>
                <w:p w14:paraId="71463E69">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生活</w:t>
                  </w:r>
                </w:p>
              </w:tc>
              <w:tc>
                <w:tcPr>
                  <w:tcW w:w="889" w:type="dxa"/>
                  <w:vMerge w:val="restart"/>
                  <w:noWrap w:val="0"/>
                  <w:vAlign w:val="center"/>
                </w:tcPr>
                <w:p w14:paraId="4B390E8B">
                  <w:p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生活</w:t>
                  </w:r>
                </w:p>
                <w:p w14:paraId="11FA614B">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污水</w:t>
                  </w:r>
                </w:p>
              </w:tc>
              <w:tc>
                <w:tcPr>
                  <w:tcW w:w="915" w:type="dxa"/>
                  <w:vMerge w:val="restart"/>
                  <w:noWrap w:val="0"/>
                  <w:vAlign w:val="center"/>
                </w:tcPr>
                <w:p w14:paraId="5F71C551">
                  <w:pPr>
                    <w:pStyle w:val="2"/>
                    <w:jc w:val="center"/>
                    <w:rPr>
                      <w:rFonts w:hint="default"/>
                      <w:color w:val="auto"/>
                      <w:sz w:val="21"/>
                      <w:szCs w:val="21"/>
                      <w:lang w:val="en-US" w:eastAsia="zh-CN"/>
                    </w:rPr>
                  </w:pPr>
                  <w:r>
                    <w:rPr>
                      <w:rFonts w:hint="eastAsia"/>
                      <w:color w:val="auto"/>
                      <w:sz w:val="21"/>
                      <w:szCs w:val="21"/>
                      <w:lang w:val="en-US" w:eastAsia="zh-CN"/>
                    </w:rPr>
                    <w:t>504</w:t>
                  </w:r>
                </w:p>
              </w:tc>
              <w:tc>
                <w:tcPr>
                  <w:tcW w:w="917" w:type="dxa"/>
                  <w:noWrap w:val="0"/>
                  <w:vAlign w:val="center"/>
                </w:tcPr>
                <w:p w14:paraId="7FCADE81">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COD</w:t>
                  </w:r>
                </w:p>
              </w:tc>
              <w:tc>
                <w:tcPr>
                  <w:tcW w:w="916" w:type="dxa"/>
                  <w:noWrap w:val="0"/>
                  <w:vAlign w:val="center"/>
                </w:tcPr>
                <w:p w14:paraId="445C7925">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0.151</w:t>
                  </w:r>
                </w:p>
              </w:tc>
              <w:tc>
                <w:tcPr>
                  <w:tcW w:w="1031" w:type="dxa"/>
                  <w:noWrap w:val="0"/>
                  <w:vAlign w:val="center"/>
                </w:tcPr>
                <w:p w14:paraId="13DF005E">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300</w:t>
                  </w:r>
                </w:p>
              </w:tc>
              <w:tc>
                <w:tcPr>
                  <w:tcW w:w="988" w:type="dxa"/>
                  <w:vMerge w:val="restart"/>
                  <w:noWrap w:val="0"/>
                  <w:vAlign w:val="center"/>
                </w:tcPr>
                <w:p w14:paraId="4253FBA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vertAlign w:val="baseline"/>
                      <w:lang w:val="en-US" w:eastAsia="zh-CN"/>
                    </w:rPr>
                    <w:t>化粪池</w:t>
                  </w:r>
                </w:p>
              </w:tc>
              <w:tc>
                <w:tcPr>
                  <w:tcW w:w="863" w:type="dxa"/>
                  <w:vMerge w:val="restart"/>
                  <w:noWrap w:val="0"/>
                  <w:vAlign w:val="center"/>
                </w:tcPr>
                <w:p w14:paraId="7995A10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920" w:type="dxa"/>
                  <w:noWrap w:val="0"/>
                  <w:vAlign w:val="center"/>
                </w:tcPr>
                <w:p w14:paraId="1093CA57">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15%</w:t>
                  </w:r>
                </w:p>
              </w:tc>
              <w:tc>
                <w:tcPr>
                  <w:tcW w:w="895" w:type="dxa"/>
                  <w:vMerge w:val="restart"/>
                  <w:noWrap w:val="0"/>
                  <w:vAlign w:val="center"/>
                </w:tcPr>
                <w:p w14:paraId="640490FC">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c>
                <w:tcPr>
                  <w:tcW w:w="918" w:type="dxa"/>
                  <w:noWrap w:val="0"/>
                  <w:vAlign w:val="center"/>
                </w:tcPr>
                <w:p w14:paraId="7D09B6C6">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0.128</w:t>
                  </w:r>
                </w:p>
              </w:tc>
              <w:tc>
                <w:tcPr>
                  <w:tcW w:w="922" w:type="dxa"/>
                  <w:noWrap w:val="0"/>
                  <w:vAlign w:val="center"/>
                </w:tcPr>
                <w:p w14:paraId="5114847A">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255</w:t>
                  </w:r>
                </w:p>
              </w:tc>
              <w:tc>
                <w:tcPr>
                  <w:tcW w:w="893" w:type="dxa"/>
                  <w:vMerge w:val="restart"/>
                  <w:noWrap w:val="0"/>
                  <w:vAlign w:val="center"/>
                </w:tcPr>
                <w:p w14:paraId="7B67E02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间接排放</w:t>
                  </w:r>
                </w:p>
              </w:tc>
              <w:tc>
                <w:tcPr>
                  <w:tcW w:w="915" w:type="dxa"/>
                  <w:noWrap w:val="0"/>
                  <w:vAlign w:val="center"/>
                </w:tcPr>
                <w:p w14:paraId="682391E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500</w:t>
                  </w:r>
                </w:p>
              </w:tc>
            </w:tr>
            <w:tr w14:paraId="7720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noWrap w:val="0"/>
                  <w:vAlign w:val="center"/>
                </w:tcPr>
                <w:p w14:paraId="0638CC10">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889" w:type="dxa"/>
                  <w:vMerge w:val="continue"/>
                  <w:noWrap w:val="0"/>
                  <w:vAlign w:val="center"/>
                </w:tcPr>
                <w:p w14:paraId="0742AEBE">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5" w:type="dxa"/>
                  <w:vMerge w:val="continue"/>
                  <w:noWrap w:val="0"/>
                  <w:vAlign w:val="center"/>
                </w:tcPr>
                <w:p w14:paraId="37B88A39">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7" w:type="dxa"/>
                  <w:noWrap w:val="0"/>
                  <w:vAlign w:val="center"/>
                </w:tcPr>
                <w:p w14:paraId="6CF25835">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SS</w:t>
                  </w:r>
                </w:p>
              </w:tc>
              <w:tc>
                <w:tcPr>
                  <w:tcW w:w="916" w:type="dxa"/>
                  <w:noWrap w:val="0"/>
                  <w:vAlign w:val="center"/>
                </w:tcPr>
                <w:p w14:paraId="639D0AB2">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0.101</w:t>
                  </w:r>
                </w:p>
              </w:tc>
              <w:tc>
                <w:tcPr>
                  <w:tcW w:w="1031" w:type="dxa"/>
                  <w:noWrap w:val="0"/>
                  <w:vAlign w:val="center"/>
                </w:tcPr>
                <w:p w14:paraId="77712DB5">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200</w:t>
                  </w:r>
                </w:p>
              </w:tc>
              <w:tc>
                <w:tcPr>
                  <w:tcW w:w="988" w:type="dxa"/>
                  <w:vMerge w:val="continue"/>
                  <w:noWrap w:val="0"/>
                  <w:vAlign w:val="center"/>
                </w:tcPr>
                <w:p w14:paraId="65B6A4A2">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863" w:type="dxa"/>
                  <w:vMerge w:val="continue"/>
                  <w:noWrap w:val="0"/>
                  <w:vAlign w:val="center"/>
                </w:tcPr>
                <w:p w14:paraId="0087025E">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20" w:type="dxa"/>
                  <w:noWrap w:val="0"/>
                  <w:vAlign w:val="center"/>
                </w:tcPr>
                <w:p w14:paraId="73F337E0">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30</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895" w:type="dxa"/>
                  <w:vMerge w:val="continue"/>
                  <w:noWrap w:val="0"/>
                  <w:vAlign w:val="center"/>
                </w:tcPr>
                <w:p w14:paraId="51FCF956">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8" w:type="dxa"/>
                  <w:noWrap w:val="0"/>
                  <w:vAlign w:val="center"/>
                </w:tcPr>
                <w:p w14:paraId="1C7FA0D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0.071</w:t>
                  </w:r>
                </w:p>
              </w:tc>
              <w:tc>
                <w:tcPr>
                  <w:tcW w:w="922" w:type="dxa"/>
                  <w:noWrap w:val="0"/>
                  <w:vAlign w:val="center"/>
                </w:tcPr>
                <w:p w14:paraId="225F051A">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140</w:t>
                  </w:r>
                </w:p>
              </w:tc>
              <w:tc>
                <w:tcPr>
                  <w:tcW w:w="893" w:type="dxa"/>
                  <w:vMerge w:val="continue"/>
                  <w:noWrap w:val="0"/>
                  <w:vAlign w:val="center"/>
                </w:tcPr>
                <w:p w14:paraId="7CC7B462">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5" w:type="dxa"/>
                  <w:noWrap w:val="0"/>
                  <w:vAlign w:val="center"/>
                </w:tcPr>
                <w:p w14:paraId="1E49A0F2">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200</w:t>
                  </w:r>
                </w:p>
              </w:tc>
            </w:tr>
            <w:tr w14:paraId="1CD8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noWrap w:val="0"/>
                  <w:vAlign w:val="center"/>
                </w:tcPr>
                <w:p w14:paraId="112A8CF2">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889" w:type="dxa"/>
                  <w:vMerge w:val="continue"/>
                  <w:noWrap w:val="0"/>
                  <w:vAlign w:val="center"/>
                </w:tcPr>
                <w:p w14:paraId="1F2B8FE1">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5" w:type="dxa"/>
                  <w:vMerge w:val="continue"/>
                  <w:noWrap w:val="0"/>
                  <w:vAlign w:val="center"/>
                </w:tcPr>
                <w:p w14:paraId="5CED1E50">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7" w:type="dxa"/>
                  <w:noWrap w:val="0"/>
                  <w:vAlign w:val="center"/>
                </w:tcPr>
                <w:p w14:paraId="3809484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BOD</w:t>
                  </w:r>
                  <w:r>
                    <w:rPr>
                      <w:rFonts w:hint="default" w:ascii="Times New Roman" w:hAnsi="Times New Roman" w:eastAsia="宋体" w:cs="Times New Roman"/>
                      <w:color w:val="auto"/>
                      <w:sz w:val="21"/>
                      <w:szCs w:val="21"/>
                      <w:highlight w:val="none"/>
                      <w:vertAlign w:val="subscript"/>
                      <w:lang w:val="en-US" w:eastAsia="zh-CN"/>
                    </w:rPr>
                    <w:t>5</w:t>
                  </w:r>
                </w:p>
              </w:tc>
              <w:tc>
                <w:tcPr>
                  <w:tcW w:w="916" w:type="dxa"/>
                  <w:noWrap w:val="0"/>
                  <w:vAlign w:val="center"/>
                </w:tcPr>
                <w:p w14:paraId="0DAA60A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0.091</w:t>
                  </w:r>
                </w:p>
              </w:tc>
              <w:tc>
                <w:tcPr>
                  <w:tcW w:w="1031" w:type="dxa"/>
                  <w:noWrap w:val="0"/>
                  <w:vAlign w:val="center"/>
                </w:tcPr>
                <w:p w14:paraId="268A046E">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180</w:t>
                  </w:r>
                </w:p>
              </w:tc>
              <w:tc>
                <w:tcPr>
                  <w:tcW w:w="988" w:type="dxa"/>
                  <w:vMerge w:val="continue"/>
                  <w:noWrap w:val="0"/>
                  <w:vAlign w:val="center"/>
                </w:tcPr>
                <w:p w14:paraId="68E79EB2">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863" w:type="dxa"/>
                  <w:vMerge w:val="continue"/>
                  <w:noWrap w:val="0"/>
                  <w:vAlign w:val="center"/>
                </w:tcPr>
                <w:p w14:paraId="01076C34">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20" w:type="dxa"/>
                  <w:noWrap w:val="0"/>
                  <w:vAlign w:val="center"/>
                </w:tcPr>
                <w:p w14:paraId="105B2BE1">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9</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895" w:type="dxa"/>
                  <w:vMerge w:val="continue"/>
                  <w:noWrap w:val="0"/>
                  <w:vAlign w:val="center"/>
                </w:tcPr>
                <w:p w14:paraId="06ED35EF">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8" w:type="dxa"/>
                  <w:noWrap w:val="0"/>
                  <w:vAlign w:val="center"/>
                </w:tcPr>
                <w:p w14:paraId="637045E7">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0.083</w:t>
                  </w:r>
                </w:p>
              </w:tc>
              <w:tc>
                <w:tcPr>
                  <w:tcW w:w="922" w:type="dxa"/>
                  <w:noWrap w:val="0"/>
                  <w:vAlign w:val="center"/>
                </w:tcPr>
                <w:p w14:paraId="2FD0A6F4">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163.8</w:t>
                  </w:r>
                </w:p>
              </w:tc>
              <w:tc>
                <w:tcPr>
                  <w:tcW w:w="893" w:type="dxa"/>
                  <w:vMerge w:val="continue"/>
                  <w:noWrap w:val="0"/>
                  <w:vAlign w:val="center"/>
                </w:tcPr>
                <w:p w14:paraId="4ED6A070">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5" w:type="dxa"/>
                  <w:noWrap w:val="0"/>
                  <w:vAlign w:val="center"/>
                </w:tcPr>
                <w:p w14:paraId="62CAACAF">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200</w:t>
                  </w:r>
                </w:p>
              </w:tc>
            </w:tr>
            <w:tr w14:paraId="08EE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continue"/>
                  <w:noWrap w:val="0"/>
                  <w:vAlign w:val="center"/>
                </w:tcPr>
                <w:p w14:paraId="14A262E7">
                  <w:pPr>
                    <w:adjustRightInd w:val="0"/>
                    <w:snapToGrid w:val="0"/>
                    <w:jc w:val="center"/>
                    <w:rPr>
                      <w:rFonts w:hint="default" w:ascii="Times New Roman" w:hAnsi="Times New Roman" w:cs="Times New Roman"/>
                      <w:color w:val="auto"/>
                      <w:sz w:val="21"/>
                      <w:szCs w:val="21"/>
                      <w:highlight w:val="none"/>
                    </w:rPr>
                  </w:pPr>
                </w:p>
              </w:tc>
              <w:tc>
                <w:tcPr>
                  <w:tcW w:w="889" w:type="dxa"/>
                  <w:vMerge w:val="continue"/>
                  <w:noWrap w:val="0"/>
                  <w:vAlign w:val="center"/>
                </w:tcPr>
                <w:p w14:paraId="2DE28AD0">
                  <w:pPr>
                    <w:adjustRightInd w:val="0"/>
                    <w:snapToGrid w:val="0"/>
                    <w:jc w:val="center"/>
                    <w:rPr>
                      <w:rFonts w:hint="default" w:ascii="Times New Roman" w:hAnsi="Times New Roman" w:cs="Times New Roman"/>
                      <w:color w:val="auto"/>
                      <w:sz w:val="21"/>
                      <w:szCs w:val="21"/>
                      <w:highlight w:val="none"/>
                    </w:rPr>
                  </w:pPr>
                </w:p>
              </w:tc>
              <w:tc>
                <w:tcPr>
                  <w:tcW w:w="915" w:type="dxa"/>
                  <w:vMerge w:val="continue"/>
                  <w:noWrap w:val="0"/>
                  <w:vAlign w:val="center"/>
                </w:tcPr>
                <w:p w14:paraId="4DAFD5EE">
                  <w:pPr>
                    <w:adjustRightInd w:val="0"/>
                    <w:snapToGrid w:val="0"/>
                    <w:jc w:val="center"/>
                    <w:rPr>
                      <w:rFonts w:hint="default" w:ascii="Times New Roman" w:hAnsi="Times New Roman" w:cs="Times New Roman"/>
                      <w:color w:val="auto"/>
                      <w:sz w:val="21"/>
                      <w:szCs w:val="21"/>
                      <w:highlight w:val="none"/>
                    </w:rPr>
                  </w:pPr>
                </w:p>
              </w:tc>
              <w:tc>
                <w:tcPr>
                  <w:tcW w:w="917" w:type="dxa"/>
                  <w:noWrap w:val="0"/>
                  <w:vAlign w:val="center"/>
                </w:tcPr>
                <w:p w14:paraId="255F80EC">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w:t>
                  </w:r>
                </w:p>
              </w:tc>
              <w:tc>
                <w:tcPr>
                  <w:tcW w:w="916" w:type="dxa"/>
                  <w:noWrap w:val="0"/>
                  <w:vAlign w:val="center"/>
                </w:tcPr>
                <w:p w14:paraId="4F15E99B">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0.010</w:t>
                  </w:r>
                </w:p>
              </w:tc>
              <w:tc>
                <w:tcPr>
                  <w:tcW w:w="1031" w:type="dxa"/>
                  <w:noWrap w:val="0"/>
                  <w:vAlign w:val="center"/>
                </w:tcPr>
                <w:p w14:paraId="4DDA4B22">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20</w:t>
                  </w:r>
                </w:p>
              </w:tc>
              <w:tc>
                <w:tcPr>
                  <w:tcW w:w="988" w:type="dxa"/>
                  <w:vMerge w:val="continue"/>
                  <w:noWrap w:val="0"/>
                  <w:vAlign w:val="center"/>
                </w:tcPr>
                <w:p w14:paraId="53706ED2">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863" w:type="dxa"/>
                  <w:vMerge w:val="continue"/>
                  <w:noWrap w:val="0"/>
                  <w:vAlign w:val="center"/>
                </w:tcPr>
                <w:p w14:paraId="408B99BA">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20" w:type="dxa"/>
                  <w:noWrap w:val="0"/>
                  <w:vAlign w:val="center"/>
                </w:tcPr>
                <w:p w14:paraId="265B0FB1">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3</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895" w:type="dxa"/>
                  <w:vMerge w:val="continue"/>
                  <w:noWrap w:val="0"/>
                  <w:vAlign w:val="center"/>
                </w:tcPr>
                <w:p w14:paraId="0C62A838">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8" w:type="dxa"/>
                  <w:noWrap w:val="0"/>
                  <w:vAlign w:val="center"/>
                </w:tcPr>
                <w:p w14:paraId="5B43762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0.010</w:t>
                  </w:r>
                </w:p>
              </w:tc>
              <w:tc>
                <w:tcPr>
                  <w:tcW w:w="922" w:type="dxa"/>
                  <w:noWrap w:val="0"/>
                  <w:vAlign w:val="center"/>
                </w:tcPr>
                <w:p w14:paraId="1B00B987">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19.4</w:t>
                  </w:r>
                </w:p>
              </w:tc>
              <w:tc>
                <w:tcPr>
                  <w:tcW w:w="893" w:type="dxa"/>
                  <w:vMerge w:val="continue"/>
                  <w:noWrap w:val="0"/>
                  <w:vAlign w:val="center"/>
                </w:tcPr>
                <w:p w14:paraId="672A787F">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915" w:type="dxa"/>
                  <w:noWrap w:val="0"/>
                  <w:vAlign w:val="center"/>
                </w:tcPr>
                <w:p w14:paraId="4C4FA63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r>
          </w:tbl>
          <w:p w14:paraId="1C990E4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4.</w:t>
            </w:r>
            <w:r>
              <w:rPr>
                <w:rFonts w:hint="eastAsia"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 xml:space="preserve"> </w:t>
            </w:r>
            <w:r>
              <w:rPr>
                <w:rFonts w:hint="eastAsia"/>
                <w:b/>
                <w:bCs/>
                <w:sz w:val="24"/>
                <w:szCs w:val="24"/>
                <w:lang w:val="en-US" w:eastAsia="zh-CN"/>
              </w:rPr>
              <w:t>二期建成后全厂</w:t>
            </w:r>
            <w:r>
              <w:rPr>
                <w:rFonts w:hint="default" w:ascii="Times New Roman" w:hAnsi="Times New Roman" w:eastAsia="宋体" w:cs="Times New Roman"/>
                <w:b/>
                <w:bCs/>
                <w:color w:val="auto"/>
                <w:sz w:val="24"/>
                <w:szCs w:val="24"/>
                <w:highlight w:val="none"/>
                <w:lang w:val="en-US" w:eastAsia="zh-CN"/>
              </w:rPr>
              <w:t>废水</w:t>
            </w:r>
            <w:r>
              <w:rPr>
                <w:rFonts w:hint="eastAsia" w:ascii="Times New Roman" w:hAnsi="Times New Roman" w:eastAsia="宋体" w:cs="Times New Roman"/>
                <w:b/>
                <w:bCs/>
                <w:color w:val="auto"/>
                <w:sz w:val="24"/>
                <w:szCs w:val="24"/>
                <w:highlight w:val="none"/>
                <w:lang w:val="en-US" w:eastAsia="zh-CN"/>
              </w:rPr>
              <w:t>产排</w:t>
            </w:r>
            <w:r>
              <w:rPr>
                <w:rFonts w:hint="default" w:ascii="Times New Roman" w:hAnsi="Times New Roman" w:eastAsia="宋体" w:cs="Times New Roman"/>
                <w:b/>
                <w:bCs/>
                <w:color w:val="auto"/>
                <w:sz w:val="24"/>
                <w:szCs w:val="24"/>
                <w:highlight w:val="none"/>
                <w:lang w:val="en-US" w:eastAsia="zh-CN"/>
              </w:rPr>
              <w:t>情况一览表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88"/>
              <w:gridCol w:w="914"/>
              <w:gridCol w:w="916"/>
              <w:gridCol w:w="916"/>
              <w:gridCol w:w="1031"/>
              <w:gridCol w:w="987"/>
              <w:gridCol w:w="863"/>
              <w:gridCol w:w="920"/>
              <w:gridCol w:w="895"/>
              <w:gridCol w:w="918"/>
              <w:gridCol w:w="922"/>
              <w:gridCol w:w="893"/>
              <w:gridCol w:w="915"/>
            </w:tblGrid>
            <w:tr w14:paraId="3EDA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restart"/>
                  <w:noWrap w:val="0"/>
                  <w:vAlign w:val="center"/>
                </w:tcPr>
                <w:p w14:paraId="14991F88">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产排污环节</w:t>
                  </w:r>
                </w:p>
              </w:tc>
              <w:tc>
                <w:tcPr>
                  <w:tcW w:w="889" w:type="dxa"/>
                  <w:vMerge w:val="restart"/>
                  <w:noWrap w:val="0"/>
                  <w:vAlign w:val="center"/>
                </w:tcPr>
                <w:p w14:paraId="2F3A3B15">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废水</w:t>
                  </w:r>
                </w:p>
                <w:p w14:paraId="1B414D5A">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类别</w:t>
                  </w:r>
                </w:p>
              </w:tc>
              <w:tc>
                <w:tcPr>
                  <w:tcW w:w="915" w:type="dxa"/>
                  <w:vMerge w:val="restart"/>
                  <w:noWrap w:val="0"/>
                  <w:vAlign w:val="center"/>
                </w:tcPr>
                <w:p w14:paraId="58B6F2FD">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排放量</w:t>
                  </w:r>
                </w:p>
                <w:p w14:paraId="06F7141A">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（t/</w:t>
                  </w:r>
                  <w:r>
                    <w:rPr>
                      <w:rFonts w:hint="eastAsia" w:cs="Times New Roman"/>
                      <w:b w:val="0"/>
                      <w:bCs w:val="0"/>
                      <w:color w:val="auto"/>
                      <w:sz w:val="21"/>
                      <w:szCs w:val="21"/>
                      <w:highlight w:val="none"/>
                      <w:vertAlign w:val="baseline"/>
                      <w:lang w:val="en-US" w:eastAsia="zh-CN"/>
                    </w:rPr>
                    <w:t>a</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917" w:type="dxa"/>
                  <w:vMerge w:val="restart"/>
                  <w:noWrap w:val="0"/>
                  <w:vAlign w:val="center"/>
                </w:tcPr>
                <w:p w14:paraId="76227E43">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污染物种类</w:t>
                  </w:r>
                </w:p>
              </w:tc>
              <w:tc>
                <w:tcPr>
                  <w:tcW w:w="1947" w:type="dxa"/>
                  <w:gridSpan w:val="2"/>
                  <w:noWrap w:val="0"/>
                  <w:vAlign w:val="center"/>
                </w:tcPr>
                <w:p w14:paraId="381F2D66">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污染物产生情况</w:t>
                  </w:r>
                </w:p>
              </w:tc>
              <w:tc>
                <w:tcPr>
                  <w:tcW w:w="3666" w:type="dxa"/>
                  <w:gridSpan w:val="4"/>
                  <w:noWrap w:val="0"/>
                  <w:vAlign w:val="center"/>
                </w:tcPr>
                <w:p w14:paraId="0F6060C3">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治理设施</w:t>
                  </w:r>
                </w:p>
              </w:tc>
              <w:tc>
                <w:tcPr>
                  <w:tcW w:w="1840" w:type="dxa"/>
                  <w:gridSpan w:val="2"/>
                  <w:noWrap w:val="0"/>
                  <w:vAlign w:val="center"/>
                </w:tcPr>
                <w:p w14:paraId="08DCADA3">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污染物排放情况</w:t>
                  </w:r>
                </w:p>
              </w:tc>
              <w:tc>
                <w:tcPr>
                  <w:tcW w:w="893" w:type="dxa"/>
                  <w:vMerge w:val="restart"/>
                  <w:noWrap w:val="0"/>
                  <w:vAlign w:val="center"/>
                </w:tcPr>
                <w:p w14:paraId="409EF4C2">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排放方式</w:t>
                  </w:r>
                </w:p>
              </w:tc>
              <w:tc>
                <w:tcPr>
                  <w:tcW w:w="915" w:type="dxa"/>
                  <w:vMerge w:val="restart"/>
                  <w:noWrap w:val="0"/>
                  <w:vAlign w:val="center"/>
                </w:tcPr>
                <w:p w14:paraId="55DC9ED9">
                  <w:pPr>
                    <w:adjustRightInd w:val="0"/>
                    <w:snapToGrid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执行标准</w:t>
                  </w:r>
                </w:p>
              </w:tc>
            </w:tr>
            <w:tr w14:paraId="1F33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noWrap w:val="0"/>
                  <w:vAlign w:val="center"/>
                </w:tcPr>
                <w:p w14:paraId="447256A0">
                  <w:pPr>
                    <w:adjustRightInd w:val="0"/>
                    <w:snapToGrid w:val="0"/>
                    <w:jc w:val="center"/>
                    <w:rPr>
                      <w:rFonts w:hint="default" w:ascii="Times New Roman" w:hAnsi="Times New Roman" w:eastAsia="宋体" w:cs="Times New Roman"/>
                      <w:color w:val="auto"/>
                      <w:highlight w:val="none"/>
                      <w:lang w:val="en-US" w:eastAsia="zh-CN"/>
                    </w:rPr>
                  </w:pPr>
                </w:p>
              </w:tc>
              <w:tc>
                <w:tcPr>
                  <w:tcW w:w="889" w:type="dxa"/>
                  <w:vMerge w:val="continue"/>
                  <w:noWrap w:val="0"/>
                  <w:vAlign w:val="center"/>
                </w:tcPr>
                <w:p w14:paraId="7E06A31F">
                  <w:pPr>
                    <w:adjustRightInd w:val="0"/>
                    <w:snapToGrid w:val="0"/>
                    <w:jc w:val="center"/>
                    <w:rPr>
                      <w:rFonts w:hint="default" w:ascii="Times New Roman" w:hAnsi="Times New Roman" w:eastAsia="宋体" w:cs="Times New Roman"/>
                      <w:color w:val="auto"/>
                      <w:highlight w:val="none"/>
                      <w:lang w:val="en-US" w:eastAsia="zh-CN"/>
                    </w:rPr>
                  </w:pPr>
                </w:p>
              </w:tc>
              <w:tc>
                <w:tcPr>
                  <w:tcW w:w="915" w:type="dxa"/>
                  <w:vMerge w:val="continue"/>
                  <w:noWrap w:val="0"/>
                  <w:vAlign w:val="center"/>
                </w:tcPr>
                <w:p w14:paraId="4BE54011">
                  <w:pPr>
                    <w:adjustRightInd w:val="0"/>
                    <w:snapToGrid w:val="0"/>
                    <w:jc w:val="center"/>
                    <w:rPr>
                      <w:rFonts w:hint="default" w:ascii="Times New Roman" w:hAnsi="Times New Roman" w:eastAsia="宋体" w:cs="Times New Roman"/>
                      <w:color w:val="auto"/>
                      <w:highlight w:val="none"/>
                      <w:lang w:val="en-US" w:eastAsia="zh-CN"/>
                    </w:rPr>
                  </w:pPr>
                </w:p>
              </w:tc>
              <w:tc>
                <w:tcPr>
                  <w:tcW w:w="917" w:type="dxa"/>
                  <w:vMerge w:val="continue"/>
                  <w:noWrap w:val="0"/>
                  <w:vAlign w:val="center"/>
                </w:tcPr>
                <w:p w14:paraId="44D085C2">
                  <w:pPr>
                    <w:adjustRightInd w:val="0"/>
                    <w:snapToGrid w:val="0"/>
                    <w:jc w:val="center"/>
                    <w:rPr>
                      <w:rFonts w:hint="default" w:ascii="Times New Roman" w:hAnsi="Times New Roman" w:eastAsia="宋体" w:cs="Times New Roman"/>
                      <w:color w:val="auto"/>
                      <w:highlight w:val="none"/>
                      <w:lang w:val="en-US" w:eastAsia="zh-CN"/>
                    </w:rPr>
                  </w:pPr>
                </w:p>
              </w:tc>
              <w:tc>
                <w:tcPr>
                  <w:tcW w:w="916" w:type="dxa"/>
                  <w:noWrap w:val="0"/>
                  <w:vAlign w:val="center"/>
                </w:tcPr>
                <w:p w14:paraId="30C2CB23">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产生量</w:t>
                  </w:r>
                  <w:r>
                    <w:rPr>
                      <w:rFonts w:hint="default" w:ascii="Times New Roman" w:hAnsi="Times New Roman" w:eastAsia="宋体" w:cs="Times New Roman"/>
                      <w:color w:val="auto"/>
                      <w:highlight w:val="none"/>
                      <w:lang w:eastAsia="zh-CN"/>
                    </w:rPr>
                    <w:t>t/a</w:t>
                  </w:r>
                </w:p>
              </w:tc>
              <w:tc>
                <w:tcPr>
                  <w:tcW w:w="1031" w:type="dxa"/>
                  <w:noWrap w:val="0"/>
                  <w:vAlign w:val="center"/>
                </w:tcPr>
                <w:p w14:paraId="1F540A51">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 w:val="21"/>
                      <w:szCs w:val="21"/>
                      <w:highlight w:val="none"/>
                      <w:lang w:val="en-US" w:eastAsia="zh-CN"/>
                    </w:rPr>
                    <w:t>浓度</w:t>
                  </w:r>
                  <w:r>
                    <w:rPr>
                      <w:rFonts w:hint="default" w:ascii="Times New Roman" w:hAnsi="Times New Roman" w:eastAsia="宋体" w:cs="Times New Roman"/>
                      <w:color w:val="auto"/>
                      <w:highlight w:val="none"/>
                      <w:lang w:val="en-US" w:eastAsia="zh-CN"/>
                    </w:rPr>
                    <w:t>mg/L</w:t>
                  </w:r>
                </w:p>
              </w:tc>
              <w:tc>
                <w:tcPr>
                  <w:tcW w:w="988" w:type="dxa"/>
                  <w:noWrap w:val="0"/>
                  <w:vAlign w:val="center"/>
                </w:tcPr>
                <w:p w14:paraId="06650AC2">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工艺</w:t>
                  </w:r>
                </w:p>
              </w:tc>
              <w:tc>
                <w:tcPr>
                  <w:tcW w:w="863" w:type="dxa"/>
                  <w:noWrap w:val="0"/>
                  <w:vAlign w:val="center"/>
                </w:tcPr>
                <w:p w14:paraId="4A6864E0">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处理能力</w:t>
                  </w:r>
                </w:p>
              </w:tc>
              <w:tc>
                <w:tcPr>
                  <w:tcW w:w="920" w:type="dxa"/>
                  <w:noWrap w:val="0"/>
                  <w:vAlign w:val="center"/>
                </w:tcPr>
                <w:p w14:paraId="33456A2F">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治理效率</w:t>
                  </w:r>
                </w:p>
              </w:tc>
              <w:tc>
                <w:tcPr>
                  <w:tcW w:w="895" w:type="dxa"/>
                  <w:noWrap w:val="0"/>
                  <w:vAlign w:val="center"/>
                </w:tcPr>
                <w:p w14:paraId="6115BD9B">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是否为可行技术</w:t>
                  </w:r>
                </w:p>
              </w:tc>
              <w:tc>
                <w:tcPr>
                  <w:tcW w:w="918" w:type="dxa"/>
                  <w:noWrap w:val="0"/>
                  <w:vAlign w:val="center"/>
                </w:tcPr>
                <w:p w14:paraId="34664202">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排放量</w:t>
                  </w:r>
                  <w:r>
                    <w:rPr>
                      <w:rFonts w:hint="default" w:ascii="Times New Roman" w:hAnsi="Times New Roman" w:eastAsia="宋体" w:cs="Times New Roman"/>
                      <w:color w:val="auto"/>
                      <w:highlight w:val="none"/>
                      <w:lang w:eastAsia="zh-CN"/>
                    </w:rPr>
                    <w:t>t/a</w:t>
                  </w:r>
                </w:p>
              </w:tc>
              <w:tc>
                <w:tcPr>
                  <w:tcW w:w="922" w:type="dxa"/>
                  <w:noWrap w:val="0"/>
                  <w:vAlign w:val="center"/>
                </w:tcPr>
                <w:p w14:paraId="32C8C872">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排放浓度mg/L</w:t>
                  </w:r>
                </w:p>
              </w:tc>
              <w:tc>
                <w:tcPr>
                  <w:tcW w:w="893" w:type="dxa"/>
                  <w:vMerge w:val="continue"/>
                  <w:noWrap w:val="0"/>
                  <w:vAlign w:val="center"/>
                </w:tcPr>
                <w:p w14:paraId="7C37127D">
                  <w:pPr>
                    <w:adjustRightInd w:val="0"/>
                    <w:snapToGrid w:val="0"/>
                    <w:jc w:val="center"/>
                    <w:rPr>
                      <w:rFonts w:hint="default" w:ascii="Times New Roman" w:hAnsi="Times New Roman" w:eastAsia="宋体" w:cs="Times New Roman"/>
                      <w:color w:val="auto"/>
                      <w:highlight w:val="none"/>
                      <w:lang w:val="en-US" w:eastAsia="zh-CN"/>
                    </w:rPr>
                  </w:pPr>
                </w:p>
              </w:tc>
              <w:tc>
                <w:tcPr>
                  <w:tcW w:w="915" w:type="dxa"/>
                  <w:vMerge w:val="continue"/>
                  <w:noWrap w:val="0"/>
                  <w:vAlign w:val="center"/>
                </w:tcPr>
                <w:p w14:paraId="248ED8F7">
                  <w:pPr>
                    <w:adjustRightInd w:val="0"/>
                    <w:snapToGrid w:val="0"/>
                    <w:jc w:val="center"/>
                    <w:rPr>
                      <w:rFonts w:hint="default" w:ascii="Times New Roman" w:hAnsi="Times New Roman" w:eastAsia="宋体" w:cs="Times New Roman"/>
                      <w:color w:val="auto"/>
                      <w:highlight w:val="none"/>
                      <w:lang w:val="en-US" w:eastAsia="zh-CN"/>
                    </w:rPr>
                  </w:pPr>
                </w:p>
              </w:tc>
            </w:tr>
            <w:tr w14:paraId="25D9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restart"/>
                  <w:noWrap w:val="0"/>
                  <w:vAlign w:val="center"/>
                </w:tcPr>
                <w:p w14:paraId="3423A8A9">
                  <w:pPr>
                    <w:adjustRightInd w:val="0"/>
                    <w:snapToGrid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职工</w:t>
                  </w:r>
                </w:p>
                <w:p w14:paraId="7C4DCF46">
                  <w:pPr>
                    <w:adjustRightInd w:val="0"/>
                    <w:snapToGrid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生活</w:t>
                  </w:r>
                </w:p>
              </w:tc>
              <w:tc>
                <w:tcPr>
                  <w:tcW w:w="889" w:type="dxa"/>
                  <w:vMerge w:val="restart"/>
                  <w:noWrap w:val="0"/>
                  <w:vAlign w:val="center"/>
                </w:tcPr>
                <w:p w14:paraId="7AD99961">
                  <w:pPr>
                    <w:adjustRightInd w:val="0"/>
                    <w:snapToGrid w:val="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生活</w:t>
                  </w:r>
                </w:p>
                <w:p w14:paraId="3F453884">
                  <w:pPr>
                    <w:adjustRightInd w:val="0"/>
                    <w:snapToGrid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污水</w:t>
                  </w:r>
                </w:p>
              </w:tc>
              <w:tc>
                <w:tcPr>
                  <w:tcW w:w="915" w:type="dxa"/>
                  <w:vMerge w:val="restart"/>
                  <w:noWrap w:val="0"/>
                  <w:vAlign w:val="center"/>
                </w:tcPr>
                <w:p w14:paraId="7ABE5881">
                  <w:pPr>
                    <w:pStyle w:val="2"/>
                    <w:jc w:val="center"/>
                    <w:rPr>
                      <w:rFonts w:hint="default"/>
                      <w:color w:val="auto"/>
                      <w:sz w:val="21"/>
                      <w:szCs w:val="21"/>
                      <w:lang w:val="en-US" w:eastAsia="zh-CN"/>
                    </w:rPr>
                  </w:pPr>
                  <w:r>
                    <w:rPr>
                      <w:rFonts w:hint="eastAsia" w:cs="Times New Roman"/>
                      <w:color w:val="auto"/>
                      <w:sz w:val="21"/>
                      <w:szCs w:val="21"/>
                      <w:highlight w:val="none"/>
                      <w:lang w:val="en-US" w:eastAsia="zh-CN"/>
                    </w:rPr>
                    <w:t>1008</w:t>
                  </w:r>
                </w:p>
              </w:tc>
              <w:tc>
                <w:tcPr>
                  <w:tcW w:w="917" w:type="dxa"/>
                  <w:noWrap w:val="0"/>
                  <w:vAlign w:val="center"/>
                </w:tcPr>
                <w:p w14:paraId="721E6E3B">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COD</w:t>
                  </w:r>
                </w:p>
              </w:tc>
              <w:tc>
                <w:tcPr>
                  <w:tcW w:w="916" w:type="dxa"/>
                  <w:noWrap w:val="0"/>
                  <w:vAlign w:val="center"/>
                </w:tcPr>
                <w:p w14:paraId="0F816360">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0.302</w:t>
                  </w:r>
                </w:p>
              </w:tc>
              <w:tc>
                <w:tcPr>
                  <w:tcW w:w="1031" w:type="dxa"/>
                  <w:noWrap w:val="0"/>
                  <w:vAlign w:val="center"/>
                </w:tcPr>
                <w:p w14:paraId="7C720C99">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300</w:t>
                  </w:r>
                </w:p>
              </w:tc>
              <w:tc>
                <w:tcPr>
                  <w:tcW w:w="988" w:type="dxa"/>
                  <w:vMerge w:val="restart"/>
                  <w:noWrap w:val="0"/>
                  <w:vAlign w:val="center"/>
                </w:tcPr>
                <w:p w14:paraId="44B165EC">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sz w:val="21"/>
                      <w:szCs w:val="21"/>
                      <w:vertAlign w:val="baseline"/>
                      <w:lang w:val="en-US" w:eastAsia="zh-CN"/>
                    </w:rPr>
                    <w:t>化粪池</w:t>
                  </w:r>
                </w:p>
              </w:tc>
              <w:tc>
                <w:tcPr>
                  <w:tcW w:w="863" w:type="dxa"/>
                  <w:vMerge w:val="restart"/>
                  <w:noWrap w:val="0"/>
                  <w:vAlign w:val="center"/>
                </w:tcPr>
                <w:p w14:paraId="3F53BA80">
                  <w:pPr>
                    <w:adjustRightInd w:val="0"/>
                    <w:snapToGrid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c>
                <w:tcPr>
                  <w:tcW w:w="920" w:type="dxa"/>
                  <w:noWrap w:val="0"/>
                  <w:vAlign w:val="center"/>
                </w:tcPr>
                <w:p w14:paraId="792CBA3C">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15%</w:t>
                  </w:r>
                </w:p>
              </w:tc>
              <w:tc>
                <w:tcPr>
                  <w:tcW w:w="895" w:type="dxa"/>
                  <w:vMerge w:val="restart"/>
                  <w:noWrap w:val="0"/>
                  <w:vAlign w:val="center"/>
                </w:tcPr>
                <w:p w14:paraId="18E3D295">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是</w:t>
                  </w:r>
                </w:p>
              </w:tc>
              <w:tc>
                <w:tcPr>
                  <w:tcW w:w="918" w:type="dxa"/>
                  <w:noWrap w:val="0"/>
                  <w:vAlign w:val="center"/>
                </w:tcPr>
                <w:p w14:paraId="30DA3AA0">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0.257</w:t>
                  </w:r>
                </w:p>
              </w:tc>
              <w:tc>
                <w:tcPr>
                  <w:tcW w:w="922" w:type="dxa"/>
                  <w:noWrap w:val="0"/>
                  <w:vAlign w:val="center"/>
                </w:tcPr>
                <w:p w14:paraId="11227A23">
                  <w:pPr>
                    <w:adjustRightInd w:val="0"/>
                    <w:snapToGrid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255</w:t>
                  </w:r>
                </w:p>
              </w:tc>
              <w:tc>
                <w:tcPr>
                  <w:tcW w:w="893" w:type="dxa"/>
                  <w:vMerge w:val="restart"/>
                  <w:noWrap w:val="0"/>
                  <w:vAlign w:val="center"/>
                </w:tcPr>
                <w:p w14:paraId="2AABCD52">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间接排放</w:t>
                  </w:r>
                </w:p>
              </w:tc>
              <w:tc>
                <w:tcPr>
                  <w:tcW w:w="915" w:type="dxa"/>
                  <w:noWrap w:val="0"/>
                  <w:vAlign w:val="center"/>
                </w:tcPr>
                <w:p w14:paraId="0625FC06">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500</w:t>
                  </w:r>
                </w:p>
              </w:tc>
            </w:tr>
            <w:tr w14:paraId="7EF1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noWrap w:val="0"/>
                  <w:vAlign w:val="center"/>
                </w:tcPr>
                <w:p w14:paraId="4EAC1E5D">
                  <w:pPr>
                    <w:adjustRightInd w:val="0"/>
                    <w:snapToGrid w:val="0"/>
                    <w:jc w:val="center"/>
                    <w:rPr>
                      <w:rFonts w:hint="default" w:ascii="Times New Roman" w:hAnsi="Times New Roman" w:eastAsia="宋体" w:cs="Times New Roman"/>
                      <w:color w:val="auto"/>
                      <w:highlight w:val="none"/>
                      <w:lang w:val="en-US" w:eastAsia="zh-CN"/>
                    </w:rPr>
                  </w:pPr>
                </w:p>
              </w:tc>
              <w:tc>
                <w:tcPr>
                  <w:tcW w:w="889" w:type="dxa"/>
                  <w:vMerge w:val="continue"/>
                  <w:noWrap w:val="0"/>
                  <w:vAlign w:val="center"/>
                </w:tcPr>
                <w:p w14:paraId="3BB1B5D0">
                  <w:pPr>
                    <w:adjustRightInd w:val="0"/>
                    <w:snapToGrid w:val="0"/>
                    <w:jc w:val="center"/>
                    <w:rPr>
                      <w:rFonts w:hint="default" w:ascii="Times New Roman" w:hAnsi="Times New Roman" w:eastAsia="宋体" w:cs="Times New Roman"/>
                      <w:color w:val="auto"/>
                      <w:highlight w:val="none"/>
                      <w:lang w:val="en-US" w:eastAsia="zh-CN"/>
                    </w:rPr>
                  </w:pPr>
                </w:p>
              </w:tc>
              <w:tc>
                <w:tcPr>
                  <w:tcW w:w="915" w:type="dxa"/>
                  <w:vMerge w:val="continue"/>
                  <w:noWrap w:val="0"/>
                  <w:vAlign w:val="center"/>
                </w:tcPr>
                <w:p w14:paraId="08DB84AB">
                  <w:pPr>
                    <w:adjustRightInd w:val="0"/>
                    <w:snapToGrid w:val="0"/>
                    <w:jc w:val="center"/>
                    <w:rPr>
                      <w:rFonts w:hint="default" w:ascii="Times New Roman" w:hAnsi="Times New Roman" w:eastAsia="宋体" w:cs="Times New Roman"/>
                      <w:color w:val="auto"/>
                      <w:highlight w:val="none"/>
                      <w:lang w:val="en-US" w:eastAsia="zh-CN"/>
                    </w:rPr>
                  </w:pPr>
                </w:p>
              </w:tc>
              <w:tc>
                <w:tcPr>
                  <w:tcW w:w="917" w:type="dxa"/>
                  <w:noWrap w:val="0"/>
                  <w:vAlign w:val="center"/>
                </w:tcPr>
                <w:p w14:paraId="4A232E63">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SS</w:t>
                  </w:r>
                </w:p>
              </w:tc>
              <w:tc>
                <w:tcPr>
                  <w:tcW w:w="916" w:type="dxa"/>
                  <w:noWrap w:val="0"/>
                  <w:vAlign w:val="center"/>
                </w:tcPr>
                <w:p w14:paraId="51A155A3">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0.201</w:t>
                  </w:r>
                </w:p>
              </w:tc>
              <w:tc>
                <w:tcPr>
                  <w:tcW w:w="1031" w:type="dxa"/>
                  <w:noWrap w:val="0"/>
                  <w:vAlign w:val="center"/>
                </w:tcPr>
                <w:p w14:paraId="112D9FC5">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200</w:t>
                  </w:r>
                </w:p>
              </w:tc>
              <w:tc>
                <w:tcPr>
                  <w:tcW w:w="988" w:type="dxa"/>
                  <w:vMerge w:val="continue"/>
                  <w:noWrap w:val="0"/>
                  <w:vAlign w:val="center"/>
                </w:tcPr>
                <w:p w14:paraId="087B1A6F">
                  <w:pPr>
                    <w:adjustRightInd w:val="0"/>
                    <w:snapToGrid w:val="0"/>
                    <w:jc w:val="center"/>
                    <w:rPr>
                      <w:rFonts w:hint="default" w:ascii="Times New Roman" w:hAnsi="Times New Roman" w:eastAsia="宋体" w:cs="Times New Roman"/>
                      <w:color w:val="auto"/>
                      <w:highlight w:val="none"/>
                      <w:lang w:val="en-US" w:eastAsia="zh-CN"/>
                    </w:rPr>
                  </w:pPr>
                </w:p>
              </w:tc>
              <w:tc>
                <w:tcPr>
                  <w:tcW w:w="863" w:type="dxa"/>
                  <w:vMerge w:val="continue"/>
                  <w:noWrap w:val="0"/>
                  <w:vAlign w:val="center"/>
                </w:tcPr>
                <w:p w14:paraId="3B11599F">
                  <w:pPr>
                    <w:adjustRightInd w:val="0"/>
                    <w:snapToGrid w:val="0"/>
                    <w:jc w:val="center"/>
                    <w:rPr>
                      <w:rFonts w:hint="default" w:ascii="Times New Roman" w:hAnsi="Times New Roman" w:eastAsia="宋体" w:cs="Times New Roman"/>
                      <w:color w:val="auto"/>
                      <w:highlight w:val="none"/>
                      <w:lang w:val="en-US" w:eastAsia="zh-CN"/>
                    </w:rPr>
                  </w:pPr>
                </w:p>
              </w:tc>
              <w:tc>
                <w:tcPr>
                  <w:tcW w:w="920" w:type="dxa"/>
                  <w:noWrap w:val="0"/>
                  <w:vAlign w:val="center"/>
                </w:tcPr>
                <w:p w14:paraId="1E4CB485">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30</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895" w:type="dxa"/>
                  <w:vMerge w:val="continue"/>
                  <w:noWrap w:val="0"/>
                  <w:vAlign w:val="center"/>
                </w:tcPr>
                <w:p w14:paraId="2F7F6A70">
                  <w:pPr>
                    <w:adjustRightInd w:val="0"/>
                    <w:snapToGrid w:val="0"/>
                    <w:jc w:val="center"/>
                    <w:rPr>
                      <w:rFonts w:hint="default" w:ascii="Times New Roman" w:hAnsi="Times New Roman" w:eastAsia="宋体" w:cs="Times New Roman"/>
                      <w:color w:val="auto"/>
                      <w:highlight w:val="none"/>
                      <w:lang w:val="en-US" w:eastAsia="zh-CN"/>
                    </w:rPr>
                  </w:pPr>
                </w:p>
              </w:tc>
              <w:tc>
                <w:tcPr>
                  <w:tcW w:w="918" w:type="dxa"/>
                  <w:noWrap w:val="0"/>
                  <w:vAlign w:val="center"/>
                </w:tcPr>
                <w:p w14:paraId="1D6C8D9A">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0.141</w:t>
                  </w:r>
                </w:p>
              </w:tc>
              <w:tc>
                <w:tcPr>
                  <w:tcW w:w="922" w:type="dxa"/>
                  <w:noWrap w:val="0"/>
                  <w:vAlign w:val="center"/>
                </w:tcPr>
                <w:p w14:paraId="619BAB7B">
                  <w:pPr>
                    <w:adjustRightInd w:val="0"/>
                    <w:snapToGrid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140</w:t>
                  </w:r>
                </w:p>
              </w:tc>
              <w:tc>
                <w:tcPr>
                  <w:tcW w:w="893" w:type="dxa"/>
                  <w:vMerge w:val="continue"/>
                  <w:noWrap w:val="0"/>
                  <w:vAlign w:val="center"/>
                </w:tcPr>
                <w:p w14:paraId="220D42F4">
                  <w:pPr>
                    <w:adjustRightInd w:val="0"/>
                    <w:snapToGrid w:val="0"/>
                    <w:jc w:val="center"/>
                    <w:rPr>
                      <w:rFonts w:hint="default" w:ascii="Times New Roman" w:hAnsi="Times New Roman" w:eastAsia="宋体" w:cs="Times New Roman"/>
                      <w:color w:val="auto"/>
                      <w:highlight w:val="none"/>
                      <w:lang w:val="en-US" w:eastAsia="zh-CN"/>
                    </w:rPr>
                  </w:pPr>
                </w:p>
              </w:tc>
              <w:tc>
                <w:tcPr>
                  <w:tcW w:w="915" w:type="dxa"/>
                  <w:noWrap w:val="0"/>
                  <w:vAlign w:val="center"/>
                </w:tcPr>
                <w:p w14:paraId="4723ED84">
                  <w:pPr>
                    <w:adjustRightInd w:val="0"/>
                    <w:snapToGrid w:val="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200</w:t>
                  </w:r>
                </w:p>
              </w:tc>
            </w:tr>
            <w:tr w14:paraId="5245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noWrap w:val="0"/>
                  <w:vAlign w:val="center"/>
                </w:tcPr>
                <w:p w14:paraId="51CC259A">
                  <w:pPr>
                    <w:adjustRightInd w:val="0"/>
                    <w:snapToGrid w:val="0"/>
                    <w:jc w:val="center"/>
                    <w:rPr>
                      <w:rFonts w:hint="default" w:ascii="Times New Roman" w:hAnsi="Times New Roman" w:eastAsia="宋体" w:cs="Times New Roman"/>
                      <w:color w:val="auto"/>
                      <w:highlight w:val="none"/>
                      <w:lang w:val="en-US" w:eastAsia="zh-CN"/>
                    </w:rPr>
                  </w:pPr>
                </w:p>
              </w:tc>
              <w:tc>
                <w:tcPr>
                  <w:tcW w:w="889" w:type="dxa"/>
                  <w:vMerge w:val="continue"/>
                  <w:noWrap w:val="0"/>
                  <w:vAlign w:val="center"/>
                </w:tcPr>
                <w:p w14:paraId="5448D504">
                  <w:pPr>
                    <w:adjustRightInd w:val="0"/>
                    <w:snapToGrid w:val="0"/>
                    <w:jc w:val="center"/>
                    <w:rPr>
                      <w:rFonts w:hint="default" w:ascii="Times New Roman" w:hAnsi="Times New Roman" w:eastAsia="宋体" w:cs="Times New Roman"/>
                      <w:color w:val="auto"/>
                      <w:highlight w:val="none"/>
                      <w:lang w:val="en-US" w:eastAsia="zh-CN"/>
                    </w:rPr>
                  </w:pPr>
                </w:p>
              </w:tc>
              <w:tc>
                <w:tcPr>
                  <w:tcW w:w="915" w:type="dxa"/>
                  <w:vMerge w:val="continue"/>
                  <w:noWrap w:val="0"/>
                  <w:vAlign w:val="center"/>
                </w:tcPr>
                <w:p w14:paraId="6DDC98D2">
                  <w:pPr>
                    <w:adjustRightInd w:val="0"/>
                    <w:snapToGrid w:val="0"/>
                    <w:jc w:val="center"/>
                    <w:rPr>
                      <w:rFonts w:hint="default" w:ascii="Times New Roman" w:hAnsi="Times New Roman" w:eastAsia="宋体" w:cs="Times New Roman"/>
                      <w:color w:val="auto"/>
                      <w:highlight w:val="none"/>
                      <w:lang w:val="en-US" w:eastAsia="zh-CN"/>
                    </w:rPr>
                  </w:pPr>
                </w:p>
              </w:tc>
              <w:tc>
                <w:tcPr>
                  <w:tcW w:w="917" w:type="dxa"/>
                  <w:noWrap w:val="0"/>
                  <w:vAlign w:val="center"/>
                </w:tcPr>
                <w:p w14:paraId="4614CB81">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lang w:val="en-US" w:eastAsia="zh-CN"/>
                    </w:rPr>
                    <w:t>BOD</w:t>
                  </w:r>
                  <w:r>
                    <w:rPr>
                      <w:rFonts w:hint="default" w:ascii="Times New Roman" w:hAnsi="Times New Roman" w:eastAsia="宋体" w:cs="Times New Roman"/>
                      <w:color w:val="auto"/>
                      <w:highlight w:val="none"/>
                      <w:vertAlign w:val="subscript"/>
                      <w:lang w:val="en-US" w:eastAsia="zh-CN"/>
                    </w:rPr>
                    <w:t>5</w:t>
                  </w:r>
                </w:p>
              </w:tc>
              <w:tc>
                <w:tcPr>
                  <w:tcW w:w="916" w:type="dxa"/>
                  <w:noWrap w:val="0"/>
                  <w:vAlign w:val="center"/>
                </w:tcPr>
                <w:p w14:paraId="41F6EBD1">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0.182</w:t>
                  </w:r>
                </w:p>
              </w:tc>
              <w:tc>
                <w:tcPr>
                  <w:tcW w:w="1031" w:type="dxa"/>
                  <w:noWrap w:val="0"/>
                  <w:vAlign w:val="center"/>
                </w:tcPr>
                <w:p w14:paraId="6BBCD684">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180</w:t>
                  </w:r>
                </w:p>
              </w:tc>
              <w:tc>
                <w:tcPr>
                  <w:tcW w:w="988" w:type="dxa"/>
                  <w:vMerge w:val="continue"/>
                  <w:noWrap w:val="0"/>
                  <w:vAlign w:val="center"/>
                </w:tcPr>
                <w:p w14:paraId="79C9E195">
                  <w:pPr>
                    <w:adjustRightInd w:val="0"/>
                    <w:snapToGrid w:val="0"/>
                    <w:jc w:val="center"/>
                    <w:rPr>
                      <w:rFonts w:hint="default" w:ascii="Times New Roman" w:hAnsi="Times New Roman" w:eastAsia="宋体" w:cs="Times New Roman"/>
                      <w:color w:val="auto"/>
                      <w:highlight w:val="none"/>
                      <w:lang w:val="en-US" w:eastAsia="zh-CN"/>
                    </w:rPr>
                  </w:pPr>
                </w:p>
              </w:tc>
              <w:tc>
                <w:tcPr>
                  <w:tcW w:w="863" w:type="dxa"/>
                  <w:vMerge w:val="continue"/>
                  <w:noWrap w:val="0"/>
                  <w:vAlign w:val="center"/>
                </w:tcPr>
                <w:p w14:paraId="52CE879C">
                  <w:pPr>
                    <w:adjustRightInd w:val="0"/>
                    <w:snapToGrid w:val="0"/>
                    <w:jc w:val="center"/>
                    <w:rPr>
                      <w:rFonts w:hint="default" w:ascii="Times New Roman" w:hAnsi="Times New Roman" w:eastAsia="宋体" w:cs="Times New Roman"/>
                      <w:color w:val="auto"/>
                      <w:highlight w:val="none"/>
                      <w:lang w:val="en-US" w:eastAsia="zh-CN"/>
                    </w:rPr>
                  </w:pPr>
                </w:p>
              </w:tc>
              <w:tc>
                <w:tcPr>
                  <w:tcW w:w="920" w:type="dxa"/>
                  <w:noWrap w:val="0"/>
                  <w:vAlign w:val="center"/>
                </w:tcPr>
                <w:p w14:paraId="5C8D0A3E">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9</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895" w:type="dxa"/>
                  <w:vMerge w:val="continue"/>
                  <w:noWrap w:val="0"/>
                  <w:vAlign w:val="center"/>
                </w:tcPr>
                <w:p w14:paraId="11CB8811">
                  <w:pPr>
                    <w:adjustRightInd w:val="0"/>
                    <w:snapToGrid w:val="0"/>
                    <w:jc w:val="center"/>
                    <w:rPr>
                      <w:rFonts w:hint="default" w:ascii="Times New Roman" w:hAnsi="Times New Roman" w:eastAsia="宋体" w:cs="Times New Roman"/>
                      <w:color w:val="auto"/>
                      <w:highlight w:val="none"/>
                      <w:lang w:val="en-US" w:eastAsia="zh-CN"/>
                    </w:rPr>
                  </w:pPr>
                </w:p>
              </w:tc>
              <w:tc>
                <w:tcPr>
                  <w:tcW w:w="918" w:type="dxa"/>
                  <w:noWrap w:val="0"/>
                  <w:vAlign w:val="center"/>
                </w:tcPr>
                <w:p w14:paraId="3BF66475">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0.166</w:t>
                  </w:r>
                </w:p>
              </w:tc>
              <w:tc>
                <w:tcPr>
                  <w:tcW w:w="922" w:type="dxa"/>
                  <w:noWrap w:val="0"/>
                  <w:vAlign w:val="center"/>
                </w:tcPr>
                <w:p w14:paraId="293384E9">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163.8</w:t>
                  </w:r>
                </w:p>
              </w:tc>
              <w:tc>
                <w:tcPr>
                  <w:tcW w:w="893" w:type="dxa"/>
                  <w:vMerge w:val="continue"/>
                  <w:noWrap w:val="0"/>
                  <w:vAlign w:val="center"/>
                </w:tcPr>
                <w:p w14:paraId="5E50B4F0">
                  <w:pPr>
                    <w:adjustRightInd w:val="0"/>
                    <w:snapToGrid w:val="0"/>
                    <w:jc w:val="center"/>
                    <w:rPr>
                      <w:rFonts w:hint="default" w:ascii="Times New Roman" w:hAnsi="Times New Roman" w:eastAsia="宋体" w:cs="Times New Roman"/>
                      <w:color w:val="auto"/>
                      <w:highlight w:val="none"/>
                      <w:lang w:val="en-US" w:eastAsia="zh-CN"/>
                    </w:rPr>
                  </w:pPr>
                </w:p>
              </w:tc>
              <w:tc>
                <w:tcPr>
                  <w:tcW w:w="915" w:type="dxa"/>
                  <w:noWrap w:val="0"/>
                  <w:vAlign w:val="center"/>
                </w:tcPr>
                <w:p w14:paraId="1DFC337E">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200</w:t>
                  </w:r>
                </w:p>
              </w:tc>
            </w:tr>
            <w:tr w14:paraId="4CA1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dxa"/>
                  <w:vMerge w:val="continue"/>
                  <w:noWrap w:val="0"/>
                  <w:vAlign w:val="center"/>
                </w:tcPr>
                <w:p w14:paraId="2382484D">
                  <w:pPr>
                    <w:adjustRightInd w:val="0"/>
                    <w:snapToGrid w:val="0"/>
                    <w:jc w:val="center"/>
                    <w:rPr>
                      <w:rFonts w:hint="default" w:ascii="Times New Roman" w:hAnsi="Times New Roman" w:cs="Times New Roman"/>
                      <w:color w:val="auto"/>
                      <w:sz w:val="21"/>
                      <w:szCs w:val="21"/>
                      <w:highlight w:val="none"/>
                    </w:rPr>
                  </w:pPr>
                </w:p>
              </w:tc>
              <w:tc>
                <w:tcPr>
                  <w:tcW w:w="889" w:type="dxa"/>
                  <w:vMerge w:val="continue"/>
                  <w:noWrap w:val="0"/>
                  <w:vAlign w:val="center"/>
                </w:tcPr>
                <w:p w14:paraId="64B254FD">
                  <w:pPr>
                    <w:adjustRightInd w:val="0"/>
                    <w:snapToGrid w:val="0"/>
                    <w:jc w:val="center"/>
                    <w:rPr>
                      <w:rFonts w:hint="default" w:ascii="Times New Roman" w:hAnsi="Times New Roman" w:cs="Times New Roman"/>
                      <w:color w:val="auto"/>
                      <w:sz w:val="21"/>
                      <w:szCs w:val="21"/>
                      <w:highlight w:val="none"/>
                    </w:rPr>
                  </w:pPr>
                </w:p>
              </w:tc>
              <w:tc>
                <w:tcPr>
                  <w:tcW w:w="915" w:type="dxa"/>
                  <w:vMerge w:val="continue"/>
                  <w:noWrap w:val="0"/>
                  <w:vAlign w:val="center"/>
                </w:tcPr>
                <w:p w14:paraId="3982D17A">
                  <w:pPr>
                    <w:adjustRightInd w:val="0"/>
                    <w:snapToGrid w:val="0"/>
                    <w:jc w:val="center"/>
                    <w:rPr>
                      <w:rFonts w:hint="default" w:ascii="Times New Roman" w:hAnsi="Times New Roman" w:cs="Times New Roman"/>
                      <w:color w:val="auto"/>
                      <w:sz w:val="21"/>
                      <w:szCs w:val="21"/>
                      <w:highlight w:val="none"/>
                    </w:rPr>
                  </w:pPr>
                </w:p>
              </w:tc>
              <w:tc>
                <w:tcPr>
                  <w:tcW w:w="917" w:type="dxa"/>
                  <w:noWrap w:val="0"/>
                  <w:vAlign w:val="center"/>
                </w:tcPr>
                <w:p w14:paraId="56E26D0B">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w:t>
                  </w:r>
                </w:p>
              </w:tc>
              <w:tc>
                <w:tcPr>
                  <w:tcW w:w="916" w:type="dxa"/>
                  <w:noWrap w:val="0"/>
                  <w:vAlign w:val="center"/>
                </w:tcPr>
                <w:p w14:paraId="65CA55FE">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0.021</w:t>
                  </w:r>
                </w:p>
              </w:tc>
              <w:tc>
                <w:tcPr>
                  <w:tcW w:w="1031" w:type="dxa"/>
                  <w:noWrap w:val="0"/>
                  <w:vAlign w:val="center"/>
                </w:tcPr>
                <w:p w14:paraId="35AD5F4C">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20</w:t>
                  </w:r>
                </w:p>
              </w:tc>
              <w:tc>
                <w:tcPr>
                  <w:tcW w:w="988" w:type="dxa"/>
                  <w:vMerge w:val="continue"/>
                  <w:noWrap w:val="0"/>
                  <w:vAlign w:val="center"/>
                </w:tcPr>
                <w:p w14:paraId="23949F85">
                  <w:pPr>
                    <w:adjustRightInd w:val="0"/>
                    <w:snapToGrid w:val="0"/>
                    <w:jc w:val="center"/>
                    <w:rPr>
                      <w:rFonts w:hint="default" w:ascii="Times New Roman" w:hAnsi="Times New Roman" w:eastAsia="宋体" w:cs="Times New Roman"/>
                      <w:color w:val="auto"/>
                      <w:highlight w:val="none"/>
                      <w:lang w:val="en-US" w:eastAsia="zh-CN"/>
                    </w:rPr>
                  </w:pPr>
                </w:p>
              </w:tc>
              <w:tc>
                <w:tcPr>
                  <w:tcW w:w="863" w:type="dxa"/>
                  <w:vMerge w:val="continue"/>
                  <w:noWrap w:val="0"/>
                  <w:vAlign w:val="center"/>
                </w:tcPr>
                <w:p w14:paraId="78F6C9A6">
                  <w:pPr>
                    <w:adjustRightInd w:val="0"/>
                    <w:snapToGrid w:val="0"/>
                    <w:jc w:val="center"/>
                    <w:rPr>
                      <w:rFonts w:hint="default" w:ascii="Times New Roman" w:hAnsi="Times New Roman" w:eastAsia="宋体" w:cs="Times New Roman"/>
                      <w:color w:val="auto"/>
                      <w:highlight w:val="none"/>
                      <w:lang w:val="en-US" w:eastAsia="zh-CN"/>
                    </w:rPr>
                  </w:pPr>
                </w:p>
              </w:tc>
              <w:tc>
                <w:tcPr>
                  <w:tcW w:w="920" w:type="dxa"/>
                  <w:noWrap w:val="0"/>
                  <w:vAlign w:val="center"/>
                </w:tcPr>
                <w:p w14:paraId="12682A69">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3</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895" w:type="dxa"/>
                  <w:vMerge w:val="continue"/>
                  <w:noWrap w:val="0"/>
                  <w:vAlign w:val="center"/>
                </w:tcPr>
                <w:p w14:paraId="528C0DBA">
                  <w:pPr>
                    <w:adjustRightInd w:val="0"/>
                    <w:snapToGrid w:val="0"/>
                    <w:jc w:val="center"/>
                    <w:rPr>
                      <w:rFonts w:hint="default" w:ascii="Times New Roman" w:hAnsi="Times New Roman" w:eastAsia="宋体" w:cs="Times New Roman"/>
                      <w:color w:val="auto"/>
                      <w:highlight w:val="none"/>
                      <w:lang w:val="en-US" w:eastAsia="zh-CN"/>
                    </w:rPr>
                  </w:pPr>
                </w:p>
              </w:tc>
              <w:tc>
                <w:tcPr>
                  <w:tcW w:w="918" w:type="dxa"/>
                  <w:noWrap w:val="0"/>
                  <w:vAlign w:val="center"/>
                </w:tcPr>
                <w:p w14:paraId="3406A571">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0.021</w:t>
                  </w:r>
                </w:p>
              </w:tc>
              <w:tc>
                <w:tcPr>
                  <w:tcW w:w="922" w:type="dxa"/>
                  <w:noWrap w:val="0"/>
                  <w:vAlign w:val="center"/>
                </w:tcPr>
                <w:p w14:paraId="63D838A8">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19.4</w:t>
                  </w:r>
                </w:p>
              </w:tc>
              <w:tc>
                <w:tcPr>
                  <w:tcW w:w="893" w:type="dxa"/>
                  <w:vMerge w:val="continue"/>
                  <w:noWrap w:val="0"/>
                  <w:vAlign w:val="center"/>
                </w:tcPr>
                <w:p w14:paraId="2F67E42B">
                  <w:pPr>
                    <w:adjustRightInd w:val="0"/>
                    <w:snapToGrid w:val="0"/>
                    <w:jc w:val="center"/>
                    <w:rPr>
                      <w:rFonts w:hint="default" w:ascii="Times New Roman" w:hAnsi="Times New Roman" w:eastAsia="宋体" w:cs="Times New Roman"/>
                      <w:color w:val="auto"/>
                      <w:highlight w:val="none"/>
                      <w:lang w:val="en-US" w:eastAsia="zh-CN"/>
                    </w:rPr>
                  </w:pPr>
                </w:p>
              </w:tc>
              <w:tc>
                <w:tcPr>
                  <w:tcW w:w="915" w:type="dxa"/>
                  <w:noWrap w:val="0"/>
                  <w:vAlign w:val="center"/>
                </w:tcPr>
                <w:p w14:paraId="265FD2B4">
                  <w:pPr>
                    <w:adjustRightInd w:val="0"/>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25</w:t>
                  </w:r>
                </w:p>
              </w:tc>
            </w:tr>
          </w:tbl>
          <w:p w14:paraId="72B352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auto"/>
                <w:sz w:val="24"/>
                <w:szCs w:val="24"/>
                <w:lang w:val="en-US" w:eastAsia="zh-CN"/>
              </w:rPr>
            </w:pPr>
          </w:p>
        </w:tc>
      </w:tr>
    </w:tbl>
    <w:p w14:paraId="574BBCB1">
      <w:pPr>
        <w:pStyle w:val="15"/>
        <w:ind w:left="0" w:leftChars="0" w:firstLine="0" w:firstLineChars="0"/>
        <w:rPr>
          <w:rFonts w:hint="default"/>
          <w:color w:val="auto"/>
        </w:rPr>
        <w:sectPr>
          <w:pgSz w:w="16838" w:h="11906" w:orient="landscape"/>
          <w:pgMar w:top="1803" w:right="1440" w:bottom="1803" w:left="144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4"/>
        <w:tblW w:w="89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483"/>
      </w:tblGrid>
      <w:tr w14:paraId="56CA1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2" w:hRule="atLeast"/>
          <w:jc w:val="center"/>
        </w:trPr>
        <w:tc>
          <w:tcPr>
            <w:tcW w:w="516" w:type="dxa"/>
            <w:tcBorders>
              <w:tl2br w:val="nil"/>
              <w:tr2bl w:val="nil"/>
            </w:tcBorders>
            <w:noWrap w:val="0"/>
            <w:vAlign w:val="center"/>
          </w:tcPr>
          <w:p w14:paraId="5AEDC1DF">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运营</w:t>
            </w:r>
          </w:p>
          <w:p w14:paraId="66CA7BDB">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期环</w:t>
            </w:r>
          </w:p>
          <w:p w14:paraId="61AF98E3">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境影</w:t>
            </w:r>
          </w:p>
          <w:p w14:paraId="506C2C9B">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响和</w:t>
            </w:r>
          </w:p>
          <w:p w14:paraId="34B2A14E">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保护</w:t>
            </w:r>
          </w:p>
          <w:p w14:paraId="6035BF82">
            <w:pPr>
              <w:pStyle w:val="2"/>
              <w:jc w:val="center"/>
              <w:rPr>
                <w:rFonts w:hint="default" w:ascii="Times New Roman" w:hAnsi="Times New Roman" w:eastAsia="宋体" w:cs="Times New Roman"/>
                <w:color w:val="auto"/>
                <w:vertAlign w:val="baseline"/>
              </w:rPr>
            </w:pPr>
            <w:r>
              <w:rPr>
                <w:rFonts w:hint="default" w:ascii="Times New Roman" w:hAnsi="Times New Roman" w:eastAsia="宋体" w:cs="Times New Roman"/>
                <w:b w:val="0"/>
                <w:bCs w:val="0"/>
                <w:color w:val="auto"/>
                <w:sz w:val="24"/>
                <w:szCs w:val="24"/>
              </w:rPr>
              <w:t>措施</w:t>
            </w:r>
          </w:p>
        </w:tc>
        <w:tc>
          <w:tcPr>
            <w:tcW w:w="8501" w:type="dxa"/>
            <w:tcBorders>
              <w:tl2br w:val="nil"/>
              <w:tr2bl w:val="nil"/>
            </w:tcBorders>
            <w:noWrap w:val="0"/>
            <w:vAlign w:val="center"/>
          </w:tcPr>
          <w:p w14:paraId="1DAE034E">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center"/>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表</w:t>
            </w:r>
            <w:r>
              <w:rPr>
                <w:rFonts w:hint="eastAsia" w:ascii="Times New Roman" w:hAnsi="Times New Roman" w:cs="Times New Roman"/>
                <w:b/>
                <w:bCs w:val="0"/>
                <w:color w:val="auto"/>
                <w:sz w:val="24"/>
                <w:szCs w:val="24"/>
                <w:highlight w:val="none"/>
                <w:lang w:val="en-US" w:eastAsia="zh-CN"/>
              </w:rPr>
              <w:t>4.</w:t>
            </w:r>
            <w:r>
              <w:rPr>
                <w:rFonts w:hint="eastAsia" w:cs="Times New Roman"/>
                <w:b/>
                <w:bCs w:val="0"/>
                <w:color w:val="auto"/>
                <w:sz w:val="24"/>
                <w:szCs w:val="24"/>
                <w:highlight w:val="none"/>
                <w:lang w:val="en-US" w:eastAsia="zh-CN"/>
              </w:rPr>
              <w:t>3</w:t>
            </w:r>
            <w:r>
              <w:rPr>
                <w:rFonts w:hint="default" w:ascii="Times New Roman" w:hAnsi="Times New Roman" w:cs="Times New Roman"/>
                <w:b/>
                <w:bCs w:val="0"/>
                <w:color w:val="auto"/>
                <w:sz w:val="24"/>
                <w:szCs w:val="24"/>
                <w:highlight w:val="none"/>
                <w:lang w:val="en-US" w:eastAsia="zh-CN"/>
              </w:rPr>
              <w:t xml:space="preserve">  废水间接排放口基本情况表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50"/>
              <w:gridCol w:w="680"/>
              <w:gridCol w:w="750"/>
              <w:gridCol w:w="821"/>
              <w:gridCol w:w="844"/>
              <w:gridCol w:w="658"/>
              <w:gridCol w:w="751"/>
              <w:gridCol w:w="752"/>
              <w:gridCol w:w="752"/>
              <w:gridCol w:w="752"/>
            </w:tblGrid>
            <w:tr w14:paraId="61C1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Merge w:val="restart"/>
                  <w:noWrap w:val="0"/>
                  <w:vAlign w:val="center"/>
                </w:tcPr>
                <w:p w14:paraId="0DDE22C3">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序号</w:t>
                  </w:r>
                </w:p>
              </w:tc>
              <w:tc>
                <w:tcPr>
                  <w:tcW w:w="750" w:type="dxa"/>
                  <w:vMerge w:val="restart"/>
                  <w:noWrap w:val="0"/>
                  <w:vAlign w:val="center"/>
                </w:tcPr>
                <w:p w14:paraId="10CC8CCC">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排放口编号</w:t>
                  </w:r>
                </w:p>
              </w:tc>
              <w:tc>
                <w:tcPr>
                  <w:tcW w:w="1430" w:type="dxa"/>
                  <w:gridSpan w:val="2"/>
                  <w:noWrap w:val="0"/>
                  <w:vAlign w:val="center"/>
                </w:tcPr>
                <w:p w14:paraId="05D7DA98">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排放口地理坐标</w:t>
                  </w:r>
                </w:p>
              </w:tc>
              <w:tc>
                <w:tcPr>
                  <w:tcW w:w="821" w:type="dxa"/>
                  <w:vMerge w:val="restart"/>
                  <w:noWrap w:val="0"/>
                  <w:vAlign w:val="center"/>
                </w:tcPr>
                <w:p w14:paraId="58E9CA42">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一期工程</w:t>
                  </w:r>
                  <w:r>
                    <w:rPr>
                      <w:rFonts w:hint="default" w:ascii="Times New Roman" w:hAnsi="Times New Roman" w:eastAsia="宋体" w:cs="Times New Roman"/>
                      <w:b w:val="0"/>
                      <w:bCs w:val="0"/>
                      <w:color w:val="auto"/>
                      <w:sz w:val="21"/>
                      <w:szCs w:val="21"/>
                      <w:highlight w:val="none"/>
                      <w:vertAlign w:val="baseline"/>
                      <w:lang w:val="en-US" w:eastAsia="zh-CN"/>
                    </w:rPr>
                    <w:t>排放量</w:t>
                  </w:r>
                </w:p>
                <w:p w14:paraId="0468345F">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（t/</w:t>
                  </w:r>
                  <w:r>
                    <w:rPr>
                      <w:rFonts w:hint="eastAsia" w:ascii="Times New Roman" w:hAnsi="Times New Roman" w:cs="Times New Roman"/>
                      <w:b w:val="0"/>
                      <w:bCs w:val="0"/>
                      <w:color w:val="auto"/>
                      <w:sz w:val="21"/>
                      <w:szCs w:val="21"/>
                      <w:highlight w:val="none"/>
                      <w:vertAlign w:val="baseline"/>
                      <w:lang w:val="en-US" w:eastAsia="zh-CN"/>
                    </w:rPr>
                    <w:t>d</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844" w:type="dxa"/>
                  <w:vMerge w:val="restart"/>
                  <w:noWrap w:val="0"/>
                  <w:vAlign w:val="center"/>
                </w:tcPr>
                <w:p w14:paraId="2B2EC335">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二期建成后全厂</w:t>
                  </w:r>
                  <w:r>
                    <w:rPr>
                      <w:rFonts w:hint="default" w:ascii="Times New Roman" w:hAnsi="Times New Roman" w:eastAsia="宋体" w:cs="Times New Roman"/>
                      <w:b w:val="0"/>
                      <w:bCs w:val="0"/>
                      <w:color w:val="auto"/>
                      <w:sz w:val="21"/>
                      <w:szCs w:val="21"/>
                      <w:highlight w:val="none"/>
                      <w:vertAlign w:val="baseline"/>
                      <w:lang w:val="en-US" w:eastAsia="zh-CN"/>
                    </w:rPr>
                    <w:t>排放量</w:t>
                  </w:r>
                </w:p>
                <w:p w14:paraId="16834DF5">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（t/</w:t>
                  </w:r>
                  <w:r>
                    <w:rPr>
                      <w:rFonts w:hint="eastAsia" w:ascii="Times New Roman" w:hAnsi="Times New Roman" w:cs="Times New Roman"/>
                      <w:b w:val="0"/>
                      <w:bCs w:val="0"/>
                      <w:color w:val="auto"/>
                      <w:sz w:val="21"/>
                      <w:szCs w:val="21"/>
                      <w:highlight w:val="none"/>
                      <w:vertAlign w:val="baseline"/>
                      <w:lang w:val="en-US" w:eastAsia="zh-CN"/>
                    </w:rPr>
                    <w:t>d</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658" w:type="dxa"/>
                  <w:vMerge w:val="restart"/>
                  <w:noWrap w:val="0"/>
                  <w:vAlign w:val="center"/>
                </w:tcPr>
                <w:p w14:paraId="42E79AE7">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排放去向</w:t>
                  </w:r>
                </w:p>
              </w:tc>
              <w:tc>
                <w:tcPr>
                  <w:tcW w:w="751" w:type="dxa"/>
                  <w:vMerge w:val="restart"/>
                  <w:noWrap w:val="0"/>
                  <w:vAlign w:val="center"/>
                </w:tcPr>
                <w:p w14:paraId="47C8A158">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排放规律</w:t>
                  </w:r>
                </w:p>
              </w:tc>
              <w:tc>
                <w:tcPr>
                  <w:tcW w:w="2256" w:type="dxa"/>
                  <w:gridSpan w:val="3"/>
                  <w:noWrap w:val="0"/>
                  <w:vAlign w:val="center"/>
                </w:tcPr>
                <w:p w14:paraId="3AABA12D">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受纳污水处理厂信息</w:t>
                  </w:r>
                </w:p>
              </w:tc>
            </w:tr>
            <w:tr w14:paraId="2200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Merge w:val="continue"/>
                  <w:noWrap w:val="0"/>
                  <w:vAlign w:val="center"/>
                </w:tcPr>
                <w:p w14:paraId="5C397358">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0" w:type="dxa"/>
                  <w:vMerge w:val="continue"/>
                  <w:noWrap w:val="0"/>
                  <w:vAlign w:val="center"/>
                </w:tcPr>
                <w:p w14:paraId="191F50D6">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680" w:type="dxa"/>
                  <w:noWrap w:val="0"/>
                  <w:vAlign w:val="center"/>
                </w:tcPr>
                <w:p w14:paraId="3689A407">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经度</w:t>
                  </w:r>
                </w:p>
              </w:tc>
              <w:tc>
                <w:tcPr>
                  <w:tcW w:w="750" w:type="dxa"/>
                  <w:noWrap w:val="0"/>
                  <w:vAlign w:val="center"/>
                </w:tcPr>
                <w:p w14:paraId="2AFA7FB7">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纬度</w:t>
                  </w:r>
                </w:p>
              </w:tc>
              <w:tc>
                <w:tcPr>
                  <w:tcW w:w="821" w:type="dxa"/>
                  <w:vMerge w:val="continue"/>
                  <w:noWrap w:val="0"/>
                  <w:vAlign w:val="center"/>
                </w:tcPr>
                <w:p w14:paraId="51EA9DE1">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844" w:type="dxa"/>
                  <w:vMerge w:val="continue"/>
                  <w:noWrap w:val="0"/>
                  <w:vAlign w:val="center"/>
                </w:tcPr>
                <w:p w14:paraId="3172A625">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658" w:type="dxa"/>
                  <w:vMerge w:val="continue"/>
                  <w:noWrap w:val="0"/>
                  <w:vAlign w:val="center"/>
                </w:tcPr>
                <w:p w14:paraId="3B11AD9E">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1" w:type="dxa"/>
                  <w:vMerge w:val="continue"/>
                  <w:noWrap w:val="0"/>
                  <w:vAlign w:val="center"/>
                </w:tcPr>
                <w:p w14:paraId="3455EB85">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2" w:type="dxa"/>
                  <w:noWrap w:val="0"/>
                  <w:vAlign w:val="center"/>
                </w:tcPr>
                <w:p w14:paraId="05B50D49">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名称</w:t>
                  </w:r>
                </w:p>
              </w:tc>
              <w:tc>
                <w:tcPr>
                  <w:tcW w:w="752" w:type="dxa"/>
                  <w:noWrap w:val="0"/>
                  <w:vAlign w:val="center"/>
                </w:tcPr>
                <w:p w14:paraId="1D968A0D">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污染物种类</w:t>
                  </w:r>
                </w:p>
              </w:tc>
              <w:tc>
                <w:tcPr>
                  <w:tcW w:w="752" w:type="dxa"/>
                  <w:noWrap w:val="0"/>
                  <w:vAlign w:val="center"/>
                </w:tcPr>
                <w:p w14:paraId="4DD366D2">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GB18918-2002 一级A标准</w:t>
                  </w:r>
                </w:p>
              </w:tc>
            </w:tr>
            <w:tr w14:paraId="3897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Merge w:val="restart"/>
                  <w:noWrap w:val="0"/>
                  <w:vAlign w:val="center"/>
                </w:tcPr>
                <w:p w14:paraId="5B7DF6E9">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1</w:t>
                  </w:r>
                </w:p>
              </w:tc>
              <w:tc>
                <w:tcPr>
                  <w:tcW w:w="750" w:type="dxa"/>
                  <w:vMerge w:val="restart"/>
                  <w:noWrap w:val="0"/>
                  <w:vAlign w:val="center"/>
                </w:tcPr>
                <w:p w14:paraId="0CDA26F6">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DW</w:t>
                  </w:r>
                </w:p>
                <w:p w14:paraId="65E4686D">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vertAlign w:val="baseline"/>
                      <w:lang w:val="en-US" w:eastAsia="zh-CN"/>
                    </w:rPr>
                    <w:t>001</w:t>
                  </w:r>
                </w:p>
              </w:tc>
              <w:tc>
                <w:tcPr>
                  <w:tcW w:w="680" w:type="dxa"/>
                  <w:vMerge w:val="restart"/>
                  <w:noWrap w:val="0"/>
                  <w:vAlign w:val="center"/>
                </w:tcPr>
                <w:p w14:paraId="5DDEE102">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117.549539951</w:t>
                  </w:r>
                </w:p>
              </w:tc>
              <w:tc>
                <w:tcPr>
                  <w:tcW w:w="750" w:type="dxa"/>
                  <w:vMerge w:val="restart"/>
                  <w:noWrap w:val="0"/>
                  <w:vAlign w:val="center"/>
                </w:tcPr>
                <w:p w14:paraId="1BD2DC79">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33.624285124</w:t>
                  </w:r>
                </w:p>
              </w:tc>
              <w:tc>
                <w:tcPr>
                  <w:tcW w:w="821" w:type="dxa"/>
                  <w:vMerge w:val="restart"/>
                  <w:noWrap w:val="0"/>
                  <w:vAlign w:val="center"/>
                </w:tcPr>
                <w:p w14:paraId="7E8B544E">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1.68</w:t>
                  </w:r>
                </w:p>
              </w:tc>
              <w:tc>
                <w:tcPr>
                  <w:tcW w:w="844" w:type="dxa"/>
                  <w:vMerge w:val="restart"/>
                  <w:noWrap w:val="0"/>
                  <w:vAlign w:val="center"/>
                </w:tcPr>
                <w:p w14:paraId="37F24AD4">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3.36</w:t>
                  </w:r>
                </w:p>
              </w:tc>
              <w:tc>
                <w:tcPr>
                  <w:tcW w:w="658" w:type="dxa"/>
                  <w:vMerge w:val="restart"/>
                  <w:noWrap w:val="0"/>
                  <w:vAlign w:val="center"/>
                </w:tcPr>
                <w:p w14:paraId="0FE678D0">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灵璧经济开发区北部污水处理厂</w:t>
                  </w:r>
                </w:p>
              </w:tc>
              <w:tc>
                <w:tcPr>
                  <w:tcW w:w="751" w:type="dxa"/>
                  <w:vMerge w:val="restart"/>
                  <w:noWrap w:val="0"/>
                  <w:vAlign w:val="center"/>
                </w:tcPr>
                <w:p w14:paraId="2518AD64">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间断</w:t>
                  </w:r>
                </w:p>
              </w:tc>
              <w:tc>
                <w:tcPr>
                  <w:tcW w:w="752" w:type="dxa"/>
                  <w:vMerge w:val="restart"/>
                  <w:noWrap w:val="0"/>
                  <w:vAlign w:val="center"/>
                </w:tcPr>
                <w:p w14:paraId="6ADD84D8">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灵璧经济开发区北部污水处理厂</w:t>
                  </w:r>
                </w:p>
              </w:tc>
              <w:tc>
                <w:tcPr>
                  <w:tcW w:w="752" w:type="dxa"/>
                  <w:noWrap w:val="0"/>
                  <w:vAlign w:val="center"/>
                </w:tcPr>
                <w:p w14:paraId="04A4C8FE">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pH</w:t>
                  </w:r>
                </w:p>
              </w:tc>
              <w:tc>
                <w:tcPr>
                  <w:tcW w:w="752" w:type="dxa"/>
                  <w:noWrap w:val="0"/>
                  <w:vAlign w:val="center"/>
                </w:tcPr>
                <w:p w14:paraId="1116C268">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6~9</w:t>
                  </w:r>
                </w:p>
              </w:tc>
            </w:tr>
            <w:tr w14:paraId="45EB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Merge w:val="continue"/>
                  <w:noWrap w:val="0"/>
                  <w:vAlign w:val="center"/>
                </w:tcPr>
                <w:p w14:paraId="7FCF6F79">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0" w:type="dxa"/>
                  <w:vMerge w:val="continue"/>
                  <w:noWrap w:val="0"/>
                  <w:vAlign w:val="center"/>
                </w:tcPr>
                <w:p w14:paraId="083F33B0">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680" w:type="dxa"/>
                  <w:vMerge w:val="continue"/>
                  <w:noWrap w:val="0"/>
                  <w:vAlign w:val="center"/>
                </w:tcPr>
                <w:p w14:paraId="45B4791F">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0" w:type="dxa"/>
                  <w:vMerge w:val="continue"/>
                  <w:noWrap w:val="0"/>
                  <w:vAlign w:val="center"/>
                </w:tcPr>
                <w:p w14:paraId="50CD8340">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821" w:type="dxa"/>
                  <w:vMerge w:val="continue"/>
                  <w:noWrap w:val="0"/>
                  <w:vAlign w:val="center"/>
                </w:tcPr>
                <w:p w14:paraId="61223BBB">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844" w:type="dxa"/>
                  <w:vMerge w:val="continue"/>
                  <w:noWrap w:val="0"/>
                  <w:vAlign w:val="center"/>
                </w:tcPr>
                <w:p w14:paraId="5C384A28">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658" w:type="dxa"/>
                  <w:vMerge w:val="continue"/>
                  <w:noWrap w:val="0"/>
                  <w:vAlign w:val="center"/>
                </w:tcPr>
                <w:p w14:paraId="0C5B9F55">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1" w:type="dxa"/>
                  <w:vMerge w:val="continue"/>
                  <w:noWrap w:val="0"/>
                  <w:vAlign w:val="center"/>
                </w:tcPr>
                <w:p w14:paraId="57396249">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2" w:type="dxa"/>
                  <w:vMerge w:val="continue"/>
                  <w:noWrap w:val="0"/>
                  <w:vAlign w:val="center"/>
                </w:tcPr>
                <w:p w14:paraId="09041D01">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2" w:type="dxa"/>
                  <w:noWrap w:val="0"/>
                  <w:vAlign w:val="center"/>
                </w:tcPr>
                <w:p w14:paraId="44A50486">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COD</w:t>
                  </w:r>
                </w:p>
              </w:tc>
              <w:tc>
                <w:tcPr>
                  <w:tcW w:w="752" w:type="dxa"/>
                  <w:noWrap w:val="0"/>
                  <w:vAlign w:val="center"/>
                </w:tcPr>
                <w:p w14:paraId="6A4192EE">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50</w:t>
                  </w:r>
                </w:p>
              </w:tc>
            </w:tr>
            <w:tr w14:paraId="4A2E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Merge w:val="continue"/>
                  <w:noWrap w:val="0"/>
                  <w:vAlign w:val="center"/>
                </w:tcPr>
                <w:p w14:paraId="7000B2E6">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0" w:type="dxa"/>
                  <w:vMerge w:val="continue"/>
                  <w:noWrap w:val="0"/>
                  <w:vAlign w:val="center"/>
                </w:tcPr>
                <w:p w14:paraId="162C250C">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680" w:type="dxa"/>
                  <w:vMerge w:val="continue"/>
                  <w:noWrap w:val="0"/>
                  <w:vAlign w:val="center"/>
                </w:tcPr>
                <w:p w14:paraId="6641580C">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0" w:type="dxa"/>
                  <w:vMerge w:val="continue"/>
                  <w:noWrap w:val="0"/>
                  <w:vAlign w:val="center"/>
                </w:tcPr>
                <w:p w14:paraId="4429B496">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821" w:type="dxa"/>
                  <w:vMerge w:val="continue"/>
                  <w:noWrap w:val="0"/>
                  <w:vAlign w:val="center"/>
                </w:tcPr>
                <w:p w14:paraId="10F52CA5">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844" w:type="dxa"/>
                  <w:vMerge w:val="continue"/>
                  <w:noWrap w:val="0"/>
                  <w:vAlign w:val="center"/>
                </w:tcPr>
                <w:p w14:paraId="50DE21FA">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658" w:type="dxa"/>
                  <w:vMerge w:val="continue"/>
                  <w:noWrap w:val="0"/>
                  <w:vAlign w:val="center"/>
                </w:tcPr>
                <w:p w14:paraId="09B903FD">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1" w:type="dxa"/>
                  <w:vMerge w:val="continue"/>
                  <w:noWrap w:val="0"/>
                  <w:vAlign w:val="center"/>
                </w:tcPr>
                <w:p w14:paraId="4454E1BD">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2" w:type="dxa"/>
                  <w:vMerge w:val="continue"/>
                  <w:noWrap w:val="0"/>
                  <w:vAlign w:val="center"/>
                </w:tcPr>
                <w:p w14:paraId="6304E8F7">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2" w:type="dxa"/>
                  <w:noWrap w:val="0"/>
                  <w:vAlign w:val="center"/>
                </w:tcPr>
                <w:p w14:paraId="3A82287D">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BOD</w:t>
                  </w:r>
                  <w:r>
                    <w:rPr>
                      <w:rFonts w:hint="default" w:ascii="Times New Roman" w:hAnsi="Times New Roman" w:eastAsia="宋体" w:cs="Times New Roman"/>
                      <w:b w:val="0"/>
                      <w:bCs w:val="0"/>
                      <w:color w:val="auto"/>
                      <w:sz w:val="21"/>
                      <w:szCs w:val="21"/>
                      <w:highlight w:val="none"/>
                      <w:vertAlign w:val="subscript"/>
                      <w:lang w:val="en-US" w:eastAsia="zh-CN"/>
                    </w:rPr>
                    <w:t>5</w:t>
                  </w:r>
                </w:p>
              </w:tc>
              <w:tc>
                <w:tcPr>
                  <w:tcW w:w="752" w:type="dxa"/>
                  <w:noWrap w:val="0"/>
                  <w:vAlign w:val="center"/>
                </w:tcPr>
                <w:p w14:paraId="5E15FA2A">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10</w:t>
                  </w:r>
                </w:p>
              </w:tc>
            </w:tr>
            <w:tr w14:paraId="6CFA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Merge w:val="continue"/>
                  <w:noWrap w:val="0"/>
                  <w:vAlign w:val="center"/>
                </w:tcPr>
                <w:p w14:paraId="0B0854FE">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0" w:type="dxa"/>
                  <w:vMerge w:val="continue"/>
                  <w:noWrap w:val="0"/>
                  <w:vAlign w:val="center"/>
                </w:tcPr>
                <w:p w14:paraId="30528D7F">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680" w:type="dxa"/>
                  <w:vMerge w:val="continue"/>
                  <w:noWrap w:val="0"/>
                  <w:vAlign w:val="center"/>
                </w:tcPr>
                <w:p w14:paraId="30FAD9F9">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0" w:type="dxa"/>
                  <w:vMerge w:val="continue"/>
                  <w:noWrap w:val="0"/>
                  <w:vAlign w:val="center"/>
                </w:tcPr>
                <w:p w14:paraId="65FA03F7">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821" w:type="dxa"/>
                  <w:vMerge w:val="continue"/>
                  <w:noWrap w:val="0"/>
                  <w:vAlign w:val="center"/>
                </w:tcPr>
                <w:p w14:paraId="24DC1785">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844" w:type="dxa"/>
                  <w:vMerge w:val="continue"/>
                  <w:noWrap w:val="0"/>
                  <w:vAlign w:val="center"/>
                </w:tcPr>
                <w:p w14:paraId="64FDEF37">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658" w:type="dxa"/>
                  <w:vMerge w:val="continue"/>
                  <w:noWrap w:val="0"/>
                  <w:vAlign w:val="center"/>
                </w:tcPr>
                <w:p w14:paraId="25C92325">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1" w:type="dxa"/>
                  <w:vMerge w:val="continue"/>
                  <w:noWrap w:val="0"/>
                  <w:vAlign w:val="center"/>
                </w:tcPr>
                <w:p w14:paraId="4DFA79F2">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2" w:type="dxa"/>
                  <w:vMerge w:val="continue"/>
                  <w:noWrap w:val="0"/>
                  <w:vAlign w:val="center"/>
                </w:tcPr>
                <w:p w14:paraId="6BAB29D8">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2" w:type="dxa"/>
                  <w:noWrap w:val="0"/>
                  <w:vAlign w:val="center"/>
                </w:tcPr>
                <w:p w14:paraId="599172BF">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SS</w:t>
                  </w:r>
                </w:p>
              </w:tc>
              <w:tc>
                <w:tcPr>
                  <w:tcW w:w="752" w:type="dxa"/>
                  <w:noWrap w:val="0"/>
                  <w:vAlign w:val="center"/>
                </w:tcPr>
                <w:p w14:paraId="62C2A20D">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cs="Times New Roman"/>
                      <w:b w:val="0"/>
                      <w:bCs w:val="0"/>
                      <w:color w:val="auto"/>
                      <w:kern w:val="2"/>
                      <w:sz w:val="21"/>
                      <w:szCs w:val="21"/>
                      <w:highlight w:val="none"/>
                      <w:vertAlign w:val="baseline"/>
                      <w:lang w:val="en-US" w:eastAsia="zh-CN" w:bidi="ar-SA"/>
                    </w:rPr>
                    <w:t>10</w:t>
                  </w:r>
                </w:p>
              </w:tc>
            </w:tr>
            <w:tr w14:paraId="199A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Merge w:val="continue"/>
                  <w:noWrap w:val="0"/>
                  <w:vAlign w:val="center"/>
                </w:tcPr>
                <w:p w14:paraId="7213CB12">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0" w:type="dxa"/>
                  <w:vMerge w:val="continue"/>
                  <w:noWrap w:val="0"/>
                  <w:vAlign w:val="center"/>
                </w:tcPr>
                <w:p w14:paraId="404B7D0A">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680" w:type="dxa"/>
                  <w:vMerge w:val="continue"/>
                  <w:noWrap w:val="0"/>
                  <w:vAlign w:val="center"/>
                </w:tcPr>
                <w:p w14:paraId="2ACF34D1">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0" w:type="dxa"/>
                  <w:vMerge w:val="continue"/>
                  <w:noWrap w:val="0"/>
                  <w:vAlign w:val="center"/>
                </w:tcPr>
                <w:p w14:paraId="4C663775">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821" w:type="dxa"/>
                  <w:vMerge w:val="continue"/>
                  <w:noWrap w:val="0"/>
                  <w:vAlign w:val="center"/>
                </w:tcPr>
                <w:p w14:paraId="1CF73318">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844" w:type="dxa"/>
                  <w:vMerge w:val="continue"/>
                  <w:noWrap w:val="0"/>
                  <w:vAlign w:val="center"/>
                </w:tcPr>
                <w:p w14:paraId="71C475EA">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658" w:type="dxa"/>
                  <w:vMerge w:val="continue"/>
                  <w:noWrap w:val="0"/>
                  <w:vAlign w:val="center"/>
                </w:tcPr>
                <w:p w14:paraId="0755850C">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1" w:type="dxa"/>
                  <w:vMerge w:val="continue"/>
                  <w:noWrap w:val="0"/>
                  <w:vAlign w:val="center"/>
                </w:tcPr>
                <w:p w14:paraId="32187A7A">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2" w:type="dxa"/>
                  <w:vMerge w:val="continue"/>
                  <w:noWrap w:val="0"/>
                  <w:vAlign w:val="center"/>
                </w:tcPr>
                <w:p w14:paraId="767EF49A">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p>
              </w:tc>
              <w:tc>
                <w:tcPr>
                  <w:tcW w:w="752" w:type="dxa"/>
                  <w:noWrap w:val="0"/>
                  <w:vAlign w:val="center"/>
                </w:tcPr>
                <w:p w14:paraId="2D18ABFC">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NH</w:t>
                  </w:r>
                  <w:r>
                    <w:rPr>
                      <w:rFonts w:hint="default" w:ascii="Times New Roman" w:hAnsi="Times New Roman" w:eastAsia="宋体" w:cs="Times New Roman"/>
                      <w:b w:val="0"/>
                      <w:bCs w:val="0"/>
                      <w:color w:val="auto"/>
                      <w:sz w:val="21"/>
                      <w:szCs w:val="21"/>
                      <w:highlight w:val="none"/>
                      <w:vertAlign w:val="subscript"/>
                      <w:lang w:val="en-US" w:eastAsia="zh-CN"/>
                    </w:rPr>
                    <w:t>3</w:t>
                  </w:r>
                  <w:r>
                    <w:rPr>
                      <w:rFonts w:hint="default" w:ascii="Times New Roman" w:hAnsi="Times New Roman" w:eastAsia="宋体" w:cs="Times New Roman"/>
                      <w:b w:val="0"/>
                      <w:bCs w:val="0"/>
                      <w:color w:val="auto"/>
                      <w:sz w:val="21"/>
                      <w:szCs w:val="21"/>
                      <w:highlight w:val="none"/>
                      <w:vertAlign w:val="baseline"/>
                      <w:lang w:val="en-US" w:eastAsia="zh-CN"/>
                    </w:rPr>
                    <w:t>-N</w:t>
                  </w:r>
                </w:p>
              </w:tc>
              <w:tc>
                <w:tcPr>
                  <w:tcW w:w="752" w:type="dxa"/>
                  <w:noWrap w:val="0"/>
                  <w:vAlign w:val="center"/>
                </w:tcPr>
                <w:p w14:paraId="40FEEAEC">
                  <w:pPr>
                    <w:pStyle w:val="7"/>
                    <w:keepNext w:val="0"/>
                    <w:keepLines/>
                    <w:pageBreakBefore w:val="0"/>
                    <w:widowControl w:val="0"/>
                    <w:kinsoku/>
                    <w:wordWrap/>
                    <w:overflowPunct/>
                    <w:topLinePunct w:val="0"/>
                    <w:autoSpaceDE/>
                    <w:autoSpaceDN/>
                    <w:bidi w:val="0"/>
                    <w:adjustRightInd w:val="0"/>
                    <w:snapToGrid w:val="0"/>
                    <w:spacing w:before="63" w:beforeLines="20" w:after="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8（5）</w:t>
                  </w:r>
                </w:p>
              </w:tc>
            </w:tr>
          </w:tbl>
          <w:p w14:paraId="161DCBE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b/>
                <w:bCs/>
                <w:color w:val="auto"/>
                <w:sz w:val="24"/>
                <w:szCs w:val="24"/>
                <w:highlight w:val="none"/>
                <w:lang w:val="en-US" w:eastAsia="zh-CN"/>
              </w:rPr>
              <w:t>排放口设置及监测计划</w:t>
            </w:r>
          </w:p>
          <w:p w14:paraId="6BBA21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根据《排污单位自行监测技术指南 总则》（HJ819-2017），制定本项目废水监测计划：</w:t>
            </w:r>
          </w:p>
          <w:p w14:paraId="0FD9FB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b/>
                <w:bCs/>
                <w:color w:val="auto"/>
                <w:sz w:val="24"/>
                <w:szCs w:val="24"/>
                <w:highlight w:val="none"/>
                <w:lang w:val="en-US" w:eastAsia="zh-CN"/>
              </w:rPr>
            </w:pPr>
            <w:r>
              <w:rPr>
                <w:rFonts w:hint="default"/>
                <w:b/>
                <w:bCs/>
                <w:color w:val="auto"/>
                <w:sz w:val="24"/>
                <w:szCs w:val="24"/>
                <w:highlight w:val="none"/>
                <w:lang w:val="en-US" w:eastAsia="zh-CN"/>
              </w:rPr>
              <w:t>表4</w:t>
            </w:r>
            <w:r>
              <w:rPr>
                <w:rFonts w:hint="eastAsia"/>
                <w:b/>
                <w:bCs/>
                <w:color w:val="auto"/>
                <w:sz w:val="24"/>
                <w:szCs w:val="24"/>
                <w:highlight w:val="none"/>
                <w:lang w:val="en-US" w:eastAsia="zh-CN"/>
              </w:rPr>
              <w:t xml:space="preserve">.4 </w:t>
            </w:r>
            <w:r>
              <w:rPr>
                <w:rFonts w:hint="default"/>
                <w:b/>
                <w:bCs/>
                <w:color w:val="auto"/>
                <w:sz w:val="24"/>
                <w:szCs w:val="24"/>
                <w:highlight w:val="none"/>
                <w:lang w:val="en-US" w:eastAsia="zh-CN"/>
              </w:rPr>
              <w:t xml:space="preserve"> 废</w:t>
            </w:r>
            <w:r>
              <w:rPr>
                <w:rFonts w:hint="eastAsia"/>
                <w:b/>
                <w:bCs/>
                <w:color w:val="auto"/>
                <w:sz w:val="24"/>
                <w:szCs w:val="24"/>
                <w:highlight w:val="none"/>
                <w:lang w:val="en-US" w:eastAsia="zh-CN"/>
              </w:rPr>
              <w:t>水</w:t>
            </w:r>
            <w:r>
              <w:rPr>
                <w:rFonts w:hint="default"/>
                <w:b/>
                <w:bCs/>
                <w:color w:val="auto"/>
                <w:sz w:val="24"/>
                <w:szCs w:val="24"/>
                <w:highlight w:val="none"/>
                <w:lang w:val="en-US" w:eastAsia="zh-CN"/>
              </w:rPr>
              <w:t>排放口</w:t>
            </w:r>
            <w:r>
              <w:rPr>
                <w:rFonts w:hint="eastAsia"/>
                <w:b/>
                <w:bCs/>
                <w:color w:val="auto"/>
                <w:sz w:val="24"/>
                <w:szCs w:val="24"/>
                <w:highlight w:val="none"/>
                <w:lang w:val="en-US" w:eastAsia="zh-CN"/>
              </w:rPr>
              <w:t>设置及</w:t>
            </w:r>
            <w:r>
              <w:rPr>
                <w:rFonts w:hint="default"/>
                <w:b/>
                <w:bCs/>
                <w:color w:val="auto"/>
                <w:sz w:val="24"/>
                <w:szCs w:val="24"/>
                <w:highlight w:val="none"/>
                <w:lang w:val="en-US" w:eastAsia="zh-CN"/>
              </w:rPr>
              <w:t>废</w:t>
            </w:r>
            <w:r>
              <w:rPr>
                <w:rFonts w:hint="eastAsia"/>
                <w:b/>
                <w:bCs/>
                <w:color w:val="auto"/>
                <w:sz w:val="24"/>
                <w:szCs w:val="24"/>
                <w:highlight w:val="none"/>
                <w:lang w:val="en-US" w:eastAsia="zh-CN"/>
              </w:rPr>
              <w:t>水污染物监测计划</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452"/>
              <w:gridCol w:w="2332"/>
            </w:tblGrid>
            <w:tr w14:paraId="6E7B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noWrap w:val="0"/>
                  <w:vAlign w:val="center"/>
                </w:tcPr>
                <w:p w14:paraId="13D79E44">
                  <w:pPr>
                    <w:adjustRightInd w:val="0"/>
                    <w:snapToGrid w:val="0"/>
                    <w:jc w:val="center"/>
                    <w:rPr>
                      <w:rFonts w:hint="default"/>
                      <w:color w:val="auto"/>
                      <w:highlight w:val="none"/>
                      <w:lang w:val="en-US" w:eastAsia="zh-CN"/>
                    </w:rPr>
                  </w:pPr>
                  <w:r>
                    <w:rPr>
                      <w:rFonts w:hint="eastAsia"/>
                      <w:color w:val="auto"/>
                      <w:highlight w:val="none"/>
                      <w:lang w:val="en-US" w:eastAsia="zh-CN"/>
                    </w:rPr>
                    <w:t>监测点位</w:t>
                  </w:r>
                </w:p>
              </w:tc>
              <w:tc>
                <w:tcPr>
                  <w:tcW w:w="2695" w:type="pct"/>
                  <w:noWrap w:val="0"/>
                  <w:vAlign w:val="center"/>
                </w:tcPr>
                <w:p w14:paraId="4D6B7483">
                  <w:pPr>
                    <w:adjustRightInd w:val="0"/>
                    <w:snapToGrid w:val="0"/>
                    <w:jc w:val="center"/>
                    <w:rPr>
                      <w:rFonts w:hint="default"/>
                      <w:color w:val="auto"/>
                      <w:highlight w:val="none"/>
                      <w:lang w:val="en-US" w:eastAsia="zh-CN"/>
                    </w:rPr>
                  </w:pPr>
                  <w:r>
                    <w:rPr>
                      <w:rFonts w:hint="eastAsia"/>
                      <w:color w:val="auto"/>
                      <w:highlight w:val="none"/>
                      <w:lang w:val="en-US" w:eastAsia="zh-CN"/>
                    </w:rPr>
                    <w:t>监测因子</w:t>
                  </w:r>
                </w:p>
              </w:tc>
              <w:tc>
                <w:tcPr>
                  <w:tcW w:w="1412" w:type="pct"/>
                  <w:noWrap w:val="0"/>
                  <w:vAlign w:val="center"/>
                </w:tcPr>
                <w:p w14:paraId="136A8CD8">
                  <w:pPr>
                    <w:adjustRightInd w:val="0"/>
                    <w:snapToGrid w:val="0"/>
                    <w:jc w:val="center"/>
                    <w:rPr>
                      <w:rFonts w:hint="default"/>
                      <w:color w:val="auto"/>
                      <w:highlight w:val="none"/>
                      <w:lang w:val="en-US" w:eastAsia="zh-CN"/>
                    </w:rPr>
                  </w:pPr>
                  <w:r>
                    <w:rPr>
                      <w:rFonts w:hint="eastAsia"/>
                      <w:color w:val="auto"/>
                      <w:highlight w:val="none"/>
                      <w:lang w:val="en-US" w:eastAsia="zh-CN"/>
                    </w:rPr>
                    <w:t>监测频次</w:t>
                  </w:r>
                </w:p>
              </w:tc>
            </w:tr>
            <w:tr w14:paraId="4B2C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2" w:type="pct"/>
                  <w:noWrap w:val="0"/>
                  <w:vAlign w:val="center"/>
                </w:tcPr>
                <w:p w14:paraId="654EC1C4">
                  <w:pPr>
                    <w:adjustRightInd w:val="0"/>
                    <w:snapToGrid w:val="0"/>
                    <w:jc w:val="center"/>
                    <w:rPr>
                      <w:rFonts w:hint="default"/>
                      <w:color w:val="auto"/>
                      <w:kern w:val="2"/>
                      <w:sz w:val="21"/>
                      <w:szCs w:val="24"/>
                      <w:highlight w:val="none"/>
                      <w:lang w:val="en-US" w:eastAsia="zh-CN" w:bidi="ar-SA"/>
                    </w:rPr>
                  </w:pPr>
                  <w:r>
                    <w:rPr>
                      <w:rFonts w:hint="eastAsia"/>
                      <w:color w:val="auto"/>
                      <w:highlight w:val="none"/>
                      <w:lang w:val="en-US" w:eastAsia="zh-CN"/>
                    </w:rPr>
                    <w:t>污水处理设施排放口</w:t>
                  </w:r>
                </w:p>
              </w:tc>
              <w:tc>
                <w:tcPr>
                  <w:tcW w:w="2695" w:type="pct"/>
                  <w:noWrap w:val="0"/>
                  <w:vAlign w:val="center"/>
                </w:tcPr>
                <w:p w14:paraId="0E66652C">
                  <w:pPr>
                    <w:adjustRightInd w:val="0"/>
                    <w:snapToGrid w:val="0"/>
                    <w:jc w:val="center"/>
                    <w:rPr>
                      <w:rFonts w:hint="default"/>
                      <w:color w:val="auto"/>
                      <w:kern w:val="2"/>
                      <w:sz w:val="21"/>
                      <w:szCs w:val="24"/>
                      <w:highlight w:val="none"/>
                      <w:lang w:val="en-US" w:eastAsia="zh-CN" w:bidi="ar-SA"/>
                    </w:rPr>
                  </w:pPr>
                  <w:r>
                    <w:rPr>
                      <w:rFonts w:hint="default"/>
                      <w:color w:val="auto"/>
                      <w:kern w:val="2"/>
                      <w:sz w:val="21"/>
                      <w:szCs w:val="24"/>
                      <w:highlight w:val="none"/>
                      <w:lang w:val="en-US" w:eastAsia="zh-CN" w:bidi="ar-SA"/>
                    </w:rPr>
                    <w:t>pH值、化学需氧量、</w:t>
                  </w:r>
                  <w:r>
                    <w:rPr>
                      <w:rFonts w:hint="eastAsia"/>
                      <w:color w:val="auto"/>
                      <w:kern w:val="2"/>
                      <w:sz w:val="21"/>
                      <w:szCs w:val="24"/>
                      <w:highlight w:val="none"/>
                      <w:lang w:val="en-US" w:eastAsia="zh-CN" w:bidi="ar-SA"/>
                    </w:rPr>
                    <w:t>生化需氧量、氨氮、</w:t>
                  </w:r>
                  <w:r>
                    <w:rPr>
                      <w:rFonts w:hint="default"/>
                      <w:color w:val="auto"/>
                      <w:kern w:val="2"/>
                      <w:sz w:val="21"/>
                      <w:szCs w:val="24"/>
                      <w:highlight w:val="none"/>
                      <w:lang w:val="en-US" w:eastAsia="zh-CN" w:bidi="ar-SA"/>
                    </w:rPr>
                    <w:t>悬浮物</w:t>
                  </w:r>
                  <w:r>
                    <w:rPr>
                      <w:rFonts w:hint="eastAsia"/>
                      <w:color w:val="auto"/>
                      <w:kern w:val="2"/>
                      <w:sz w:val="21"/>
                      <w:szCs w:val="24"/>
                      <w:highlight w:val="none"/>
                      <w:lang w:val="en-US" w:eastAsia="zh-CN" w:bidi="ar-SA"/>
                    </w:rPr>
                    <w:t>等</w:t>
                  </w:r>
                </w:p>
              </w:tc>
              <w:tc>
                <w:tcPr>
                  <w:tcW w:w="1412" w:type="pct"/>
                  <w:noWrap w:val="0"/>
                  <w:vAlign w:val="center"/>
                </w:tcPr>
                <w:p w14:paraId="29A7B34C">
                  <w:pPr>
                    <w:adjustRightInd w:val="0"/>
                    <w:snapToGrid w:val="0"/>
                    <w:jc w:val="center"/>
                    <w:rPr>
                      <w:rFonts w:hint="default"/>
                      <w:color w:val="auto"/>
                      <w:kern w:val="2"/>
                      <w:sz w:val="21"/>
                      <w:szCs w:val="24"/>
                      <w:highlight w:val="none"/>
                      <w:lang w:val="en-US" w:eastAsia="zh-CN" w:bidi="ar-SA"/>
                    </w:rPr>
                  </w:pPr>
                  <w:r>
                    <w:rPr>
                      <w:rFonts w:hint="eastAsia"/>
                      <w:color w:val="auto"/>
                      <w:highlight w:val="none"/>
                      <w:lang w:val="en-US" w:eastAsia="zh-CN"/>
                    </w:rPr>
                    <w:t>1次/年</w:t>
                  </w:r>
                </w:p>
              </w:tc>
            </w:tr>
          </w:tbl>
          <w:p w14:paraId="3ECCF569">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废水进入灵璧经济开发区北部污水处理厂的可行性分析</w:t>
            </w:r>
          </w:p>
          <w:p w14:paraId="0F1258D2">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（1）废水达标排放可行性</w:t>
            </w:r>
          </w:p>
          <w:p w14:paraId="5830544F">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shd w:val="clear"/>
                <w:lang w:eastAsia="zh-CN"/>
              </w:rPr>
              <w:t>生活污水</w:t>
            </w:r>
            <w:r>
              <w:rPr>
                <w:rFonts w:hint="eastAsia" w:cs="Times New Roman"/>
                <w:b w:val="0"/>
                <w:bCs w:val="0"/>
                <w:color w:val="auto"/>
                <w:sz w:val="24"/>
                <w:szCs w:val="24"/>
                <w:u w:val="none"/>
                <w:lang w:eastAsia="zh-CN"/>
              </w:rPr>
              <w:t>经</w:t>
            </w:r>
            <w:r>
              <w:rPr>
                <w:rFonts w:hint="eastAsia" w:ascii="Times New Roman" w:hAnsi="Times New Roman" w:eastAsia="宋体" w:cs="Times New Roman"/>
                <w:b w:val="0"/>
                <w:bCs w:val="0"/>
                <w:color w:val="auto"/>
                <w:sz w:val="24"/>
                <w:szCs w:val="24"/>
                <w:u w:val="none"/>
                <w:lang w:eastAsia="zh-CN"/>
              </w:rPr>
              <w:t>化粪池</w:t>
            </w:r>
            <w:r>
              <w:rPr>
                <w:rFonts w:hint="eastAsia" w:cs="Times New Roman"/>
                <w:b w:val="0"/>
                <w:bCs w:val="0"/>
                <w:color w:val="auto"/>
                <w:sz w:val="24"/>
                <w:szCs w:val="24"/>
                <w:u w:val="none"/>
                <w:lang w:eastAsia="zh-CN"/>
              </w:rPr>
              <w:t>预</w:t>
            </w:r>
            <w:r>
              <w:rPr>
                <w:rFonts w:hint="eastAsia" w:ascii="Times New Roman" w:hAnsi="Times New Roman" w:eastAsia="宋体" w:cs="Times New Roman"/>
                <w:b w:val="0"/>
                <w:bCs w:val="0"/>
                <w:color w:val="auto"/>
                <w:sz w:val="24"/>
                <w:szCs w:val="24"/>
                <w:u w:val="none"/>
                <w:lang w:eastAsia="zh-CN"/>
              </w:rPr>
              <w:t>处理，化粪池容纳能力设计按照</w:t>
            </w:r>
            <w:r>
              <w:rPr>
                <w:rFonts w:hint="eastAsia" w:cs="Times New Roman"/>
                <w:b w:val="0"/>
                <w:bCs w:val="0"/>
                <w:color w:val="auto"/>
                <w:sz w:val="24"/>
                <w:szCs w:val="24"/>
                <w:u w:val="none"/>
                <w:lang w:eastAsia="zh-CN"/>
              </w:rPr>
              <w:t>本项目劳动定员</w:t>
            </w:r>
            <w:r>
              <w:rPr>
                <w:rFonts w:hint="eastAsia" w:ascii="Times New Roman" w:hAnsi="Times New Roman" w:eastAsia="宋体" w:cs="Times New Roman"/>
                <w:b w:val="0"/>
                <w:bCs w:val="0"/>
                <w:color w:val="auto"/>
                <w:sz w:val="24"/>
                <w:szCs w:val="24"/>
                <w:u w:val="none"/>
                <w:lang w:eastAsia="zh-CN"/>
              </w:rPr>
              <w:t>计算，</w:t>
            </w:r>
            <w:r>
              <w:rPr>
                <w:rFonts w:hint="eastAsia" w:ascii="Times New Roman" w:hAnsi="Times New Roman" w:eastAsia="宋体" w:cs="Times New Roman"/>
                <w:b w:val="0"/>
                <w:bCs w:val="0"/>
                <w:color w:val="auto"/>
                <w:sz w:val="24"/>
                <w:szCs w:val="24"/>
                <w:highlight w:val="none"/>
                <w:lang w:val="en-US" w:eastAsia="zh-CN"/>
              </w:rPr>
              <w:t>化粪池能够容纳本项目所有污水</w:t>
            </w:r>
            <w:r>
              <w:rPr>
                <w:rFonts w:hint="default" w:ascii="Times New Roman" w:hAnsi="Times New Roman" w:eastAsia="宋体" w:cs="Times New Roman"/>
                <w:b w:val="0"/>
                <w:bCs w:val="0"/>
                <w:color w:val="auto"/>
                <w:sz w:val="24"/>
                <w:szCs w:val="24"/>
                <w:u w:val="none"/>
                <w:lang w:val="en-US" w:eastAsia="zh-CN"/>
              </w:rPr>
              <w:t>。</w:t>
            </w:r>
          </w:p>
          <w:p w14:paraId="2E4C3F0E">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根据工程分析，</w:t>
            </w:r>
            <w:r>
              <w:rPr>
                <w:rFonts w:hint="eastAsia"/>
                <w:color w:val="auto"/>
                <w:sz w:val="24"/>
                <w:szCs w:val="24"/>
              </w:rPr>
              <w:t>根据工程分析，</w:t>
            </w:r>
            <w:r>
              <w:rPr>
                <w:color w:val="auto"/>
                <w:sz w:val="24"/>
                <w:szCs w:val="24"/>
              </w:rPr>
              <w:t>项目</w:t>
            </w:r>
            <w:r>
              <w:rPr>
                <w:rFonts w:hint="eastAsia"/>
                <w:color w:val="auto"/>
                <w:sz w:val="24"/>
                <w:szCs w:val="24"/>
                <w:lang w:val="en-US" w:eastAsia="zh-CN"/>
              </w:rPr>
              <w:t>一期工程废水的</w:t>
            </w:r>
            <w:r>
              <w:rPr>
                <w:rFonts w:hint="eastAsia"/>
                <w:color w:val="auto"/>
                <w:sz w:val="24"/>
                <w:szCs w:val="24"/>
              </w:rPr>
              <w:t>排放量</w:t>
            </w:r>
            <w:r>
              <w:rPr>
                <w:color w:val="auto"/>
                <w:sz w:val="24"/>
                <w:szCs w:val="24"/>
              </w:rPr>
              <w:t>为</w:t>
            </w:r>
            <w:r>
              <w:rPr>
                <w:rFonts w:hint="eastAsia"/>
                <w:color w:val="auto"/>
                <w:sz w:val="24"/>
                <w:szCs w:val="24"/>
                <w:lang w:val="en-US" w:eastAsia="zh-CN"/>
              </w:rPr>
              <w:t>1.68</w:t>
            </w:r>
            <w:r>
              <w:rPr>
                <w:color w:val="auto"/>
                <w:sz w:val="24"/>
                <w:szCs w:val="24"/>
              </w:rPr>
              <w:t>t/d</w:t>
            </w:r>
            <w:r>
              <w:rPr>
                <w:rFonts w:hint="eastAsia"/>
                <w:color w:val="auto"/>
                <w:sz w:val="24"/>
                <w:szCs w:val="24"/>
              </w:rPr>
              <w:t>（</w:t>
            </w:r>
            <w:r>
              <w:rPr>
                <w:rFonts w:hint="eastAsia"/>
                <w:color w:val="auto"/>
                <w:sz w:val="24"/>
                <w:szCs w:val="24"/>
                <w:lang w:val="en-US" w:eastAsia="zh-CN"/>
              </w:rPr>
              <w:t>504t</w:t>
            </w:r>
            <w:r>
              <w:rPr>
                <w:color w:val="auto"/>
                <w:sz w:val="24"/>
                <w:szCs w:val="24"/>
              </w:rPr>
              <w:t>/a</w:t>
            </w:r>
            <w:r>
              <w:rPr>
                <w:rFonts w:hint="eastAsia"/>
                <w:color w:val="auto"/>
                <w:sz w:val="24"/>
                <w:szCs w:val="24"/>
              </w:rPr>
              <w:t>），</w:t>
            </w:r>
            <w:r>
              <w:rPr>
                <w:rFonts w:hint="eastAsia"/>
                <w:color w:val="auto"/>
                <w:sz w:val="24"/>
                <w:szCs w:val="24"/>
                <w:lang w:val="en-US" w:eastAsia="zh-CN"/>
              </w:rPr>
              <w:t>二期建成后全厂废水的排放量为3.36t/d（1008t/a）</w:t>
            </w:r>
            <w:r>
              <w:rPr>
                <w:rFonts w:hint="eastAsia" w:cs="Times New Roman"/>
                <w:color w:val="auto"/>
                <w:sz w:val="24"/>
                <w:szCs w:val="24"/>
                <w:lang w:val="en-US" w:eastAsia="zh-CN"/>
              </w:rPr>
              <w:t>，</w:t>
            </w:r>
            <w:r>
              <w:rPr>
                <w:rFonts w:hint="eastAsia"/>
                <w:color w:val="auto"/>
                <w:sz w:val="24"/>
                <w:szCs w:val="24"/>
                <w:lang w:val="en-US" w:eastAsia="zh-CN"/>
              </w:rPr>
              <w:t>主要污染物为COD、NH</w:t>
            </w:r>
            <w:r>
              <w:rPr>
                <w:rFonts w:hint="eastAsia"/>
                <w:color w:val="auto"/>
                <w:sz w:val="24"/>
                <w:szCs w:val="24"/>
                <w:vertAlign w:val="subscript"/>
                <w:lang w:val="en-US" w:eastAsia="zh-CN"/>
              </w:rPr>
              <w:t>3</w:t>
            </w:r>
            <w:r>
              <w:rPr>
                <w:rFonts w:hint="eastAsia"/>
                <w:color w:val="auto"/>
                <w:sz w:val="24"/>
                <w:szCs w:val="24"/>
                <w:lang w:val="en-US" w:eastAsia="zh-CN"/>
              </w:rPr>
              <w:t>-N、SS、BOD</w:t>
            </w:r>
            <w:r>
              <w:rPr>
                <w:rFonts w:hint="eastAsia"/>
                <w:color w:val="auto"/>
                <w:sz w:val="24"/>
                <w:szCs w:val="24"/>
                <w:vertAlign w:val="subscript"/>
                <w:lang w:val="en-US" w:eastAsia="zh-CN"/>
              </w:rPr>
              <w:t>5</w:t>
            </w:r>
            <w:r>
              <w:rPr>
                <w:rFonts w:hint="eastAsia"/>
                <w:color w:val="auto"/>
                <w:sz w:val="24"/>
                <w:szCs w:val="24"/>
                <w:lang w:val="en-US" w:eastAsia="zh-CN"/>
              </w:rPr>
              <w:t>。该部分生活废水经化粪池预处理后排放浓度能够满足《污水综合排放标准》（GB8978-1996）中三级排放标准及</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color w:val="auto"/>
                <w:sz w:val="24"/>
                <w:szCs w:val="24"/>
                <w:lang w:val="en-US" w:eastAsia="zh-CN"/>
              </w:rPr>
              <w:t>的接管限值。</w:t>
            </w:r>
          </w:p>
          <w:p w14:paraId="713F135C">
            <w:pPr>
              <w:pStyle w:val="2"/>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sz w:val="24"/>
                <w:szCs w:val="24"/>
                <w:lang w:val="en-US" w:eastAsia="zh-CN"/>
              </w:rPr>
            </w:pP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color w:val="auto"/>
                <w:sz w:val="24"/>
                <w:szCs w:val="24"/>
                <w:lang w:val="en-US" w:eastAsia="zh-CN"/>
              </w:rPr>
              <w:t>简介</w:t>
            </w:r>
          </w:p>
          <w:p w14:paraId="355A6340">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default" w:ascii="Times New Roman" w:hAnsi="Times New Roman" w:cs="Times New Roman"/>
                <w:color w:val="auto"/>
                <w:sz w:val="24"/>
                <w:szCs w:val="24"/>
              </w:rPr>
              <w:t>服务范围为整个北部新区服务区域。规划建设用地面积为1906.55ha，服务人口约27.3万人。近期启动区范围为工业区和站前综合区组团，建设用地面积为6.57km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，服务人口约5.5万人</w:t>
            </w:r>
            <w:r>
              <w:rPr>
                <w:rFonts w:hint="eastAsia" w:cs="Times New Roman"/>
                <w:color w:val="auto"/>
                <w:sz w:val="24"/>
                <w:szCs w:val="24"/>
                <w:lang w:eastAsia="zh-CN"/>
              </w:rPr>
              <w:t>，</w:t>
            </w:r>
            <w:r>
              <w:rPr>
                <w:rFonts w:hint="default" w:ascii="Times New Roman" w:hAnsi="Times New Roman" w:eastAsia="宋体" w:cs="Times New Roman"/>
                <w:color w:val="auto"/>
                <w:sz w:val="24"/>
              </w:rPr>
              <w:t>污水处理厂处理规模为</w:t>
            </w:r>
            <w:r>
              <w:rPr>
                <w:rFonts w:hint="eastAsia"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万m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w:t>
            </w:r>
            <w:r>
              <w:rPr>
                <w:rFonts w:hint="default" w:ascii="Times New Roman" w:hAnsi="Times New Roman" w:eastAsia="宋体" w:cs="Times New Roman"/>
                <w:color w:val="auto"/>
                <w:sz w:val="24"/>
                <w:lang w:eastAsia="zh-CN"/>
              </w:rPr>
              <w:t>。</w:t>
            </w:r>
            <w:r>
              <w:rPr>
                <w:rFonts w:hint="default" w:ascii="Times New Roman" w:hAnsi="Times New Roman" w:cs="Times New Roman"/>
                <w:color w:val="auto"/>
                <w:sz w:val="24"/>
                <w:szCs w:val="24"/>
              </w:rPr>
              <w:t>采用</w:t>
            </w:r>
            <w:r>
              <w:rPr>
                <w:rFonts w:hint="eastAsia" w:cs="Times New Roman"/>
                <w:color w:val="auto"/>
                <w:sz w:val="24"/>
                <w:szCs w:val="24"/>
                <w:lang w:eastAsia="zh-CN"/>
              </w:rPr>
              <w:t>“</w:t>
            </w:r>
            <w:r>
              <w:rPr>
                <w:rFonts w:hint="default" w:ascii="Times New Roman" w:hAnsi="Times New Roman" w:cs="Times New Roman"/>
                <w:color w:val="auto"/>
                <w:sz w:val="24"/>
                <w:szCs w:val="24"/>
              </w:rPr>
              <w:t>污水预处理+氧化沟二级生化+深度处理+消毒处理</w:t>
            </w:r>
            <w:r>
              <w:rPr>
                <w:rFonts w:hint="eastAsia" w:cs="Times New Roman"/>
                <w:color w:val="auto"/>
                <w:sz w:val="24"/>
                <w:szCs w:val="24"/>
                <w:lang w:eastAsia="zh-CN"/>
              </w:rPr>
              <w:t>”</w:t>
            </w:r>
            <w:r>
              <w:rPr>
                <w:rFonts w:hint="default" w:ascii="Times New Roman" w:hAnsi="Times New Roman" w:cs="Times New Roman"/>
                <w:color w:val="auto"/>
                <w:sz w:val="24"/>
                <w:szCs w:val="24"/>
              </w:rPr>
              <w:t>工艺，淤泥采用机械浓缩脱水处理工艺，污水经污水处理厂处理达到《城镇污水处理厂污染物排放标准》（GB18918-2002）中一级A标准值后，尾水排入</w:t>
            </w:r>
            <w:r>
              <w:rPr>
                <w:rFonts w:hint="eastAsia" w:cs="Times New Roman"/>
                <w:color w:val="auto"/>
                <w:sz w:val="24"/>
                <w:szCs w:val="24"/>
                <w:lang w:eastAsia="zh-CN"/>
              </w:rPr>
              <w:t>闫河</w:t>
            </w:r>
            <w:r>
              <w:rPr>
                <w:rFonts w:hint="default" w:ascii="Times New Roman" w:hAnsi="Times New Roman" w:cs="Times New Roman"/>
                <w:color w:val="auto"/>
                <w:sz w:val="24"/>
                <w:szCs w:val="24"/>
              </w:rPr>
              <w:t>。</w:t>
            </w:r>
          </w:p>
          <w:p w14:paraId="15AB90D1">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（3）纳管可行性分析</w:t>
            </w:r>
          </w:p>
          <w:p w14:paraId="25BC990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Courier New" w:hAnsi="Courier New" w:eastAsia="Courier New" w:cs="Courier New"/>
                <w:color w:val="auto"/>
                <w:sz w:val="24"/>
                <w:szCs w:val="24"/>
                <w:lang w:val="en-US" w:eastAsia="zh-CN" w:bidi="ar-SA"/>
              </w:rPr>
            </w:pPr>
            <w:r>
              <w:rPr>
                <w:rFonts w:hint="eastAsia" w:ascii="Courier New" w:hAnsi="Courier New" w:eastAsia="Courier New" w:cs="Courier New"/>
                <w:color w:val="auto"/>
                <w:sz w:val="24"/>
                <w:szCs w:val="24"/>
                <w:lang w:val="en-US" w:eastAsia="zh-CN" w:bidi="ar-SA"/>
              </w:rPr>
              <w:t>① 水质可行性分析</w:t>
            </w:r>
          </w:p>
          <w:p w14:paraId="460630B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Courier New" w:cs="Times New Roman"/>
                <w:color w:val="auto"/>
                <w:sz w:val="24"/>
                <w:szCs w:val="24"/>
                <w:lang w:val="en-US" w:eastAsia="zh-CN" w:bidi="ar-SA"/>
              </w:rPr>
            </w:pPr>
            <w:r>
              <w:rPr>
                <w:rFonts w:hint="eastAsia" w:ascii="Courier New" w:hAnsi="Courier New" w:eastAsia="Courier New" w:cs="Courier New"/>
                <w:color w:val="auto"/>
                <w:sz w:val="24"/>
                <w:szCs w:val="24"/>
                <w:lang w:val="en-US" w:eastAsia="zh-CN" w:bidi="ar-SA"/>
              </w:rPr>
              <w:t>由工程分析可知，该项目废水为职工生活污水，水质简单，水污染为常规因子，在总排口水质可以达到</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ascii="Courier New" w:hAnsi="Courier New" w:eastAsia="Courier New" w:cs="Courier New"/>
                <w:color w:val="auto"/>
                <w:sz w:val="24"/>
                <w:szCs w:val="24"/>
                <w:lang w:val="en-US" w:eastAsia="zh-CN" w:bidi="ar-SA"/>
              </w:rPr>
              <w:t>接管要求，不会对区域地表水环境产生不利影响，项目废水水质不会对污水处理厂处理工艺造成冲击。</w:t>
            </w:r>
          </w:p>
          <w:p w14:paraId="35713DF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Courier New" w:cs="Times New Roman"/>
                <w:color w:val="auto"/>
                <w:sz w:val="24"/>
                <w:szCs w:val="24"/>
                <w:lang w:val="en-US" w:eastAsia="zh-CN" w:bidi="ar-SA"/>
              </w:rPr>
            </w:pPr>
            <w:r>
              <w:rPr>
                <w:rFonts w:hint="eastAsia" w:ascii="Times New Roman" w:hAnsi="Times New Roman" w:eastAsia="Courier New" w:cs="Times New Roman"/>
                <w:color w:val="auto"/>
                <w:sz w:val="24"/>
                <w:szCs w:val="24"/>
                <w:lang w:val="en-US" w:eastAsia="zh-CN" w:bidi="ar-SA"/>
              </w:rPr>
              <w:t>② 水量可行性</w:t>
            </w:r>
            <w:r>
              <w:rPr>
                <w:rFonts w:hint="eastAsia" w:ascii="Courier New" w:hAnsi="Courier New" w:eastAsia="Courier New" w:cs="Courier New"/>
                <w:color w:val="auto"/>
                <w:sz w:val="24"/>
                <w:szCs w:val="24"/>
                <w:lang w:val="en-US" w:eastAsia="zh-CN" w:bidi="ar-SA"/>
              </w:rPr>
              <w:t>分析</w:t>
            </w:r>
          </w:p>
          <w:p w14:paraId="4FD6E0D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Courier New" w:cs="Times New Roman"/>
                <w:color w:val="auto"/>
                <w:sz w:val="24"/>
                <w:szCs w:val="24"/>
                <w:highlight w:val="none"/>
                <w:lang w:val="en-US" w:eastAsia="zh-CN" w:bidi="ar-SA"/>
              </w:rPr>
            </w:pPr>
            <w:r>
              <w:rPr>
                <w:rFonts w:hint="eastAsia" w:eastAsia="Courier New"/>
                <w:color w:val="auto"/>
                <w:sz w:val="24"/>
              </w:rPr>
              <w:t>项目</w:t>
            </w:r>
            <w:r>
              <w:rPr>
                <w:rFonts w:hint="eastAsia" w:eastAsia="宋体"/>
                <w:color w:val="auto"/>
                <w:sz w:val="24"/>
                <w:lang w:val="en-US" w:eastAsia="zh-CN"/>
              </w:rPr>
              <w:t>一期工程</w:t>
            </w:r>
            <w:r>
              <w:rPr>
                <w:rFonts w:hint="eastAsia" w:eastAsia="Courier New"/>
                <w:color w:val="auto"/>
                <w:sz w:val="24"/>
              </w:rPr>
              <w:t>废水量</w:t>
            </w:r>
            <w:r>
              <w:rPr>
                <w:rFonts w:hint="eastAsia" w:eastAsia="宋体"/>
                <w:color w:val="auto"/>
                <w:sz w:val="24"/>
                <w:lang w:val="en-US" w:eastAsia="zh-CN"/>
              </w:rPr>
              <w:t>为</w:t>
            </w:r>
            <w:r>
              <w:rPr>
                <w:rFonts w:hint="eastAsia"/>
                <w:color w:val="auto"/>
                <w:sz w:val="24"/>
                <w:lang w:val="en-US" w:eastAsia="zh-CN"/>
              </w:rPr>
              <w:t>1.68</w:t>
            </w:r>
            <w:r>
              <w:rPr>
                <w:rFonts w:hint="eastAsia" w:eastAsia="Courier New"/>
                <w:color w:val="auto"/>
                <w:sz w:val="24"/>
              </w:rPr>
              <w:t>t/d，</w:t>
            </w:r>
            <w:r>
              <w:rPr>
                <w:rFonts w:hint="eastAsia" w:ascii="Times New Roman" w:hAnsi="Times New Roman" w:eastAsia="Courier New" w:cs="Times New Roman"/>
                <w:color w:val="auto"/>
                <w:sz w:val="24"/>
                <w:szCs w:val="24"/>
                <w:lang w:val="en-US" w:eastAsia="zh-CN" w:bidi="ar-SA"/>
              </w:rPr>
              <w:t>占</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ascii="Times New Roman" w:hAnsi="Times New Roman" w:eastAsia="Courier New" w:cs="Times New Roman"/>
                <w:color w:val="auto"/>
                <w:sz w:val="24"/>
                <w:szCs w:val="24"/>
                <w:lang w:val="en-US" w:eastAsia="zh-CN" w:bidi="ar-SA"/>
              </w:rPr>
              <w:t>当前总处理规模的</w:t>
            </w:r>
            <w:r>
              <w:rPr>
                <w:rFonts w:hint="eastAsia" w:eastAsia="Courier New" w:cs="Times New Roman"/>
                <w:color w:val="auto"/>
                <w:sz w:val="24"/>
                <w:szCs w:val="24"/>
                <w:lang w:val="en-US" w:eastAsia="zh-CN" w:bidi="ar-SA"/>
              </w:rPr>
              <w:t>0.0028</w:t>
            </w:r>
            <w:r>
              <w:rPr>
                <w:rFonts w:hint="eastAsia" w:ascii="Times New Roman" w:hAnsi="Times New Roman" w:eastAsia="Courier New" w:cs="Times New Roman"/>
                <w:color w:val="auto"/>
                <w:sz w:val="24"/>
                <w:szCs w:val="24"/>
                <w:lang w:val="en-US" w:eastAsia="zh-CN" w:bidi="ar-SA"/>
              </w:rPr>
              <w:t>%</w:t>
            </w:r>
            <w:r>
              <w:rPr>
                <w:rFonts w:hint="eastAsia" w:eastAsia="宋体"/>
                <w:color w:val="auto"/>
                <w:sz w:val="24"/>
                <w:lang w:eastAsia="zh-CN"/>
              </w:rPr>
              <w:t>，</w:t>
            </w:r>
            <w:r>
              <w:rPr>
                <w:rFonts w:hint="eastAsia" w:eastAsia="宋体"/>
                <w:color w:val="auto"/>
                <w:sz w:val="24"/>
                <w:lang w:val="en-US" w:eastAsia="zh-CN"/>
              </w:rPr>
              <w:t>二期建成后全厂废水量为</w:t>
            </w:r>
            <w:r>
              <w:rPr>
                <w:rFonts w:hint="eastAsia"/>
                <w:color w:val="auto"/>
                <w:sz w:val="24"/>
                <w:lang w:val="en-US" w:eastAsia="zh-CN"/>
              </w:rPr>
              <w:t>3.36</w:t>
            </w:r>
            <w:r>
              <w:rPr>
                <w:rFonts w:hint="eastAsia" w:eastAsia="宋体"/>
                <w:color w:val="auto"/>
                <w:sz w:val="24"/>
                <w:lang w:val="en-US" w:eastAsia="zh-CN"/>
              </w:rPr>
              <w:t>t/d，</w:t>
            </w:r>
            <w:r>
              <w:rPr>
                <w:rFonts w:hint="eastAsia" w:ascii="Times New Roman" w:hAnsi="Times New Roman" w:eastAsia="Courier New" w:cs="Times New Roman"/>
                <w:color w:val="auto"/>
                <w:sz w:val="24"/>
                <w:szCs w:val="24"/>
                <w:lang w:val="en-US" w:eastAsia="zh-CN" w:bidi="ar-SA"/>
              </w:rPr>
              <w:t>占</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ascii="Times New Roman" w:hAnsi="Times New Roman" w:eastAsia="Courier New" w:cs="Times New Roman"/>
                <w:color w:val="auto"/>
                <w:sz w:val="24"/>
                <w:szCs w:val="24"/>
                <w:lang w:val="en-US" w:eastAsia="zh-CN" w:bidi="ar-SA"/>
              </w:rPr>
              <w:t>当前总处理规模的</w:t>
            </w:r>
            <w:r>
              <w:rPr>
                <w:rFonts w:hint="eastAsia" w:eastAsia="Courier New" w:cs="Times New Roman"/>
                <w:color w:val="auto"/>
                <w:sz w:val="24"/>
                <w:szCs w:val="24"/>
                <w:lang w:val="en-US" w:eastAsia="zh-CN" w:bidi="ar-SA"/>
              </w:rPr>
              <w:t>0.0056</w:t>
            </w:r>
            <w:r>
              <w:rPr>
                <w:rFonts w:hint="eastAsia" w:ascii="Times New Roman" w:hAnsi="Times New Roman" w:eastAsia="Courier New" w:cs="Times New Roman"/>
                <w:color w:val="auto"/>
                <w:sz w:val="24"/>
                <w:szCs w:val="24"/>
                <w:lang w:val="en-US" w:eastAsia="zh-CN" w:bidi="ar-SA"/>
              </w:rPr>
              <w:t>%。项目建成后，</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ascii="Times New Roman" w:hAnsi="Times New Roman" w:eastAsia="Courier New" w:cs="Times New Roman"/>
                <w:color w:val="auto"/>
                <w:sz w:val="24"/>
                <w:szCs w:val="24"/>
                <w:lang w:val="en-US" w:eastAsia="zh-CN" w:bidi="ar-SA"/>
              </w:rPr>
              <w:t>完全有能力接收本项目废水，在水量上不会对污水处理厂造成冲击，可确保本项目接管处理的废水得到有效处理。</w:t>
            </w:r>
          </w:p>
          <w:p w14:paraId="7084FFA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Courier New" w:cs="Times New Roman"/>
                <w:color w:val="auto"/>
                <w:sz w:val="24"/>
                <w:szCs w:val="24"/>
                <w:highlight w:val="none"/>
                <w:lang w:val="en-US" w:eastAsia="zh-CN" w:bidi="ar-SA"/>
              </w:rPr>
            </w:pPr>
            <w:r>
              <w:rPr>
                <w:rFonts w:hint="eastAsia" w:ascii="Times New Roman" w:hAnsi="Times New Roman" w:eastAsia="Courier New" w:cs="Times New Roman"/>
                <w:color w:val="auto"/>
                <w:sz w:val="24"/>
                <w:szCs w:val="24"/>
                <w:highlight w:val="none"/>
                <w:lang w:val="en-US" w:eastAsia="zh-CN" w:bidi="ar-SA"/>
              </w:rPr>
              <w:t>③ 管道范围可行性</w:t>
            </w:r>
          </w:p>
          <w:p w14:paraId="5473E524">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根据对项目厂区雨污水管网的建设调查和分析，目前雨污分流式污水主干管网的建设已基本实现了全覆盖。根据管网敷设范围，项目处于其收水范围内，目前已接通。</w:t>
            </w:r>
          </w:p>
          <w:p w14:paraId="5C75AA09">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Times New Roman" w:hAnsi="Times New Roman"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Times New Roman" w:hAnsi="Times New Roman" w:cs="Times New Roman"/>
                <w:color w:val="auto"/>
                <w:sz w:val="24"/>
                <w:szCs w:val="24"/>
                <w:highlight w:val="none"/>
                <w:lang w:val="en-US" w:eastAsia="zh-CN"/>
              </w:rPr>
              <w:t xml:space="preserve"> 处理工艺可行性</w:t>
            </w:r>
          </w:p>
          <w:p w14:paraId="00BC8D69">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ascii="Times New Roman" w:hAnsi="Times New Roman" w:cs="Times New Roman"/>
                <w:color w:val="auto"/>
                <w:sz w:val="24"/>
                <w:szCs w:val="24"/>
                <w:highlight w:val="none"/>
                <w:lang w:val="en-US" w:eastAsia="zh-CN"/>
              </w:rPr>
              <w:t>目前总处理规模为</w:t>
            </w:r>
            <w:r>
              <w:rPr>
                <w:rFonts w:hint="eastAsia"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万</w:t>
            </w:r>
            <w:r>
              <w:rPr>
                <w:rFonts w:hint="eastAsia" w:ascii="Times New Roman" w:hAnsi="Times New Roman" w:cs="Times New Roman"/>
                <w:color w:val="auto"/>
                <w:sz w:val="24"/>
                <w:szCs w:val="24"/>
                <w:highlight w:val="none"/>
                <w:lang w:val="en-US" w:eastAsia="zh-CN"/>
              </w:rPr>
              <w:t>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/d，主要去除COD、BOD</w:t>
            </w:r>
            <w:r>
              <w:rPr>
                <w:rFonts w:hint="eastAsia" w:ascii="Times New Roman" w:hAnsi="Times New Roman" w:cs="Times New Roman"/>
                <w:color w:val="auto"/>
                <w:sz w:val="24"/>
                <w:szCs w:val="24"/>
                <w:highlight w:val="none"/>
                <w:vertAlign w:val="subscript"/>
                <w:lang w:val="en-US" w:eastAsia="zh-CN"/>
              </w:rPr>
              <w:t>5</w:t>
            </w:r>
            <w:r>
              <w:rPr>
                <w:rFonts w:hint="eastAsia" w:ascii="Times New Roman" w:hAnsi="Times New Roman" w:cs="Times New Roman"/>
                <w:color w:val="auto"/>
                <w:sz w:val="24"/>
                <w:szCs w:val="24"/>
                <w:highlight w:val="none"/>
                <w:lang w:val="en-US" w:eastAsia="zh-CN"/>
              </w:rPr>
              <w:t>、氨氮和总磷、石油类。本项目废水量小、水质简单，项目区的废水预处理效果完全在</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ascii="Times New Roman" w:hAnsi="Times New Roman" w:cs="Times New Roman"/>
                <w:color w:val="auto"/>
                <w:sz w:val="24"/>
                <w:szCs w:val="24"/>
                <w:highlight w:val="none"/>
                <w:lang w:val="en-US" w:eastAsia="zh-CN"/>
              </w:rPr>
              <w:t>的进水水质范围内，完全可采用污水处理厂的处理工艺进行处理，不会对其工艺造成冲击。因此，本项目废水经厂区预处理后进入</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ascii="Times New Roman" w:hAnsi="Times New Roman" w:cs="Times New Roman"/>
                <w:color w:val="auto"/>
                <w:sz w:val="24"/>
                <w:szCs w:val="24"/>
                <w:highlight w:val="none"/>
                <w:lang w:val="en-US" w:eastAsia="zh-CN"/>
              </w:rPr>
              <w:t>进一步处理，达标排入</w:t>
            </w:r>
            <w:r>
              <w:rPr>
                <w:rFonts w:hint="eastAsia" w:cs="Times New Roman"/>
                <w:color w:val="auto"/>
                <w:sz w:val="24"/>
                <w:szCs w:val="24"/>
                <w:highlight w:val="none"/>
                <w:lang w:val="en-US" w:eastAsia="zh-CN"/>
              </w:rPr>
              <w:t>闫河</w:t>
            </w:r>
            <w:r>
              <w:rPr>
                <w:rFonts w:hint="eastAsia" w:ascii="Times New Roman" w:hAnsi="Times New Roman" w:cs="Times New Roman"/>
                <w:color w:val="auto"/>
                <w:sz w:val="24"/>
                <w:szCs w:val="24"/>
                <w:highlight w:val="none"/>
                <w:lang w:val="en-US" w:eastAsia="zh-CN"/>
              </w:rPr>
              <w:t>，对周边环境影响较小。</w:t>
            </w:r>
          </w:p>
          <w:p w14:paraId="4967888B">
            <w:pPr>
              <w:pStyle w:val="46"/>
              <w:keepNext w:val="0"/>
              <w:keepLines w:val="0"/>
              <w:pageBreakBefore w:val="0"/>
              <w:widowControl w:val="0"/>
              <w:kinsoku/>
              <w:wordWrap/>
              <w:overflowPunct/>
              <w:topLinePunct w:val="0"/>
              <w:bidi w:val="0"/>
              <w:adjustRightInd w:val="0"/>
              <w:snapToGrid w:val="0"/>
              <w:spacing w:line="360" w:lineRule="auto"/>
              <w:ind w:firstLine="480"/>
              <w:textAlignment w:val="auto"/>
              <w:rPr>
                <w:rFonts w:hint="default"/>
                <w:color w:val="auto"/>
                <w:lang w:eastAsia="zh-CN"/>
              </w:rPr>
            </w:pPr>
            <w:r>
              <w:rPr>
                <w:rFonts w:hint="eastAsia" w:ascii="Times New Roman" w:hAnsi="Times New Roman" w:cs="Times New Roman"/>
                <w:color w:val="auto"/>
                <w:sz w:val="24"/>
                <w:szCs w:val="24"/>
                <w:highlight w:val="none"/>
                <w:lang w:val="en-US" w:eastAsia="zh-CN"/>
              </w:rPr>
              <w:t>综上，本项目外排废水水质、水量均满足</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ascii="Times New Roman" w:hAnsi="Times New Roman" w:cs="Times New Roman"/>
                <w:color w:val="auto"/>
                <w:sz w:val="24"/>
                <w:szCs w:val="24"/>
                <w:highlight w:val="none"/>
                <w:lang w:val="en-US" w:eastAsia="zh-CN"/>
              </w:rPr>
              <w:t>接管要求，不会对污水处理厂造成冲击负荷。因此本项目污水进入</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eastAsia" w:ascii="Times New Roman" w:hAnsi="Times New Roman" w:cs="Times New Roman"/>
                <w:color w:val="auto"/>
                <w:sz w:val="24"/>
                <w:szCs w:val="24"/>
                <w:highlight w:val="none"/>
                <w:lang w:val="en-US" w:eastAsia="zh-CN"/>
              </w:rPr>
              <w:t>处理是可行的。</w:t>
            </w:r>
          </w:p>
          <w:p w14:paraId="099A004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噪声</w:t>
            </w:r>
          </w:p>
          <w:p w14:paraId="6F451E35">
            <w:pPr>
              <w:pStyle w:val="4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4"/>
                <w:lang w:eastAsia="zh-CN"/>
              </w:rPr>
            </w:pPr>
            <w:r>
              <w:rPr>
                <w:rFonts w:hint="default" w:ascii="Times New Roman" w:hAnsi="Times New Roman" w:eastAsia="宋体" w:cs="Times New Roman"/>
                <w:color w:val="auto"/>
                <w:sz w:val="24"/>
                <w:szCs w:val="24"/>
                <w:lang w:val="en-US" w:eastAsia="zh-CN"/>
              </w:rPr>
              <w:t>项目运营期噪声源主要为自动割管机</w:t>
            </w:r>
            <w:r>
              <w:rPr>
                <w:rFonts w:hint="eastAsia" w:ascii="Times New Roman" w:hAnsi="Times New Roman" w:eastAsia="宋体" w:cs="Times New Roman"/>
                <w:color w:val="auto"/>
                <w:sz w:val="24"/>
                <w:szCs w:val="24"/>
                <w:lang w:val="en-US" w:eastAsia="zh-CN"/>
              </w:rPr>
              <w:t>、高精密平面磨床、高精度无心磨床、轴承套圈数字化车削线、空气压缩机等</w:t>
            </w:r>
            <w:r>
              <w:rPr>
                <w:rFonts w:hint="default" w:ascii="Times New Roman" w:hAnsi="Times New Roman" w:eastAsia="宋体" w:cs="Times New Roman"/>
                <w:color w:val="auto"/>
                <w:sz w:val="24"/>
                <w:szCs w:val="24"/>
                <w:lang w:val="en-US" w:eastAsia="zh-CN"/>
              </w:rPr>
              <w:t>设备运行时产生的噪声</w:t>
            </w:r>
            <w:r>
              <w:rPr>
                <w:rFonts w:hint="eastAsia" w:ascii="Times New Roman" w:hAnsi="Times New Roman" w:eastAsia="宋体"/>
                <w:color w:val="auto"/>
                <w:lang w:val="en-US" w:eastAsia="zh-CN"/>
              </w:rPr>
              <w:t>，</w:t>
            </w:r>
            <w:r>
              <w:rPr>
                <w:rFonts w:hint="default" w:ascii="Times New Roman" w:hAnsi="Times New Roman" w:eastAsia="宋体" w:cs="Times New Roman"/>
                <w:color w:val="auto"/>
                <w:sz w:val="24"/>
                <w:szCs w:val="24"/>
                <w:lang w:val="en-US" w:eastAsia="zh-CN"/>
              </w:rPr>
              <w:t>噪声级为</w:t>
            </w:r>
            <w:r>
              <w:rPr>
                <w:rFonts w:hint="eastAsia" w:ascii="Times New Roman" w:hAnsi="Times New Roman" w:eastAsia="宋体" w:cs="Times New Roman"/>
                <w:color w:val="auto"/>
                <w:sz w:val="24"/>
                <w:szCs w:val="24"/>
                <w:lang w:val="en-US" w:eastAsia="zh-CN"/>
              </w:rPr>
              <w:t>80</w:t>
            </w:r>
            <w:r>
              <w:rPr>
                <w:rFonts w:hint="default" w:ascii="Times New Roman" w:hAnsi="Times New Roman" w:eastAsia="宋体" w:cs="Times New Roman"/>
                <w:color w:val="auto"/>
                <w:sz w:val="24"/>
                <w:szCs w:val="24"/>
                <w:lang w:val="en-US" w:eastAsia="zh-CN"/>
              </w:rPr>
              <w:t>～90 dB</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Cs w:val="24"/>
                <w:lang w:eastAsia="zh-CN"/>
              </w:rPr>
              <w:t>项目的设备噪声强度见表</w:t>
            </w:r>
            <w:r>
              <w:rPr>
                <w:rFonts w:hint="eastAsia" w:ascii="Times New Roman" w:hAnsi="Times New Roman" w:eastAsia="宋体" w:cs="Times New Roman"/>
                <w:color w:val="auto"/>
                <w:szCs w:val="24"/>
                <w:lang w:val="en-US" w:eastAsia="zh-CN"/>
              </w:rPr>
              <w:t>4.5、4.6</w:t>
            </w:r>
            <w:r>
              <w:rPr>
                <w:rFonts w:hint="eastAsia" w:ascii="Times New Roman" w:hAnsi="Times New Roman" w:eastAsia="宋体" w:cs="Times New Roman"/>
                <w:color w:val="auto"/>
                <w:szCs w:val="24"/>
                <w:lang w:eastAsia="zh-CN"/>
              </w:rPr>
              <w:t>。</w:t>
            </w:r>
          </w:p>
          <w:p w14:paraId="639927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lang w:val="en-US" w:eastAsia="zh-CN"/>
              </w:rPr>
            </w:pPr>
          </w:p>
          <w:p w14:paraId="5502CE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lang w:val="en-US" w:eastAsia="zh-CN"/>
              </w:rPr>
            </w:pPr>
          </w:p>
          <w:p w14:paraId="031566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lang w:val="en-US" w:eastAsia="zh-CN"/>
              </w:rPr>
            </w:pPr>
          </w:p>
          <w:p w14:paraId="75C05D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lang w:val="en-US" w:eastAsia="zh-CN"/>
              </w:rPr>
            </w:pPr>
          </w:p>
          <w:p w14:paraId="66DC35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24"/>
                <w:szCs w:val="24"/>
                <w:lang w:val="en-US" w:eastAsia="zh-CN"/>
              </w:rPr>
            </w:pPr>
          </w:p>
          <w:p w14:paraId="49A888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4"/>
                <w:szCs w:val="24"/>
                <w:lang w:val="en-US" w:eastAsia="zh-CN"/>
              </w:rPr>
            </w:pPr>
          </w:p>
          <w:p w14:paraId="4E96D6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4"/>
                <w:szCs w:val="24"/>
                <w:lang w:val="en-US" w:eastAsia="zh-CN"/>
              </w:rPr>
            </w:pPr>
          </w:p>
          <w:p w14:paraId="748AF5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auto"/>
                <w:sz w:val="24"/>
                <w:szCs w:val="24"/>
                <w:lang w:val="en-US" w:eastAsia="zh-CN"/>
              </w:rPr>
            </w:pPr>
          </w:p>
        </w:tc>
      </w:tr>
    </w:tbl>
    <w:p w14:paraId="0F08600C">
      <w:pPr>
        <w:rPr>
          <w:rFonts w:hint="default"/>
          <w:color w:val="auto"/>
        </w:rPr>
        <w:sectPr>
          <w:pgSz w:w="11906" w:h="16838"/>
          <w:pgMar w:top="1440" w:right="1803" w:bottom="1440" w:left="1803"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3643"/>
      </w:tblGrid>
      <w:tr w14:paraId="0C91F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2" w:hRule="atLeast"/>
          <w:jc w:val="center"/>
        </w:trPr>
        <w:tc>
          <w:tcPr>
            <w:tcW w:w="508" w:type="dxa"/>
            <w:tcBorders>
              <w:tl2br w:val="nil"/>
              <w:tr2bl w:val="nil"/>
            </w:tcBorders>
            <w:noWrap w:val="0"/>
            <w:vAlign w:val="center"/>
          </w:tcPr>
          <w:p w14:paraId="2A4A6357">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运</w:t>
            </w:r>
          </w:p>
          <w:p w14:paraId="41EF1276">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营</w:t>
            </w:r>
          </w:p>
          <w:p w14:paraId="2779ED5B">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期</w:t>
            </w:r>
          </w:p>
          <w:p w14:paraId="35570C24">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环</w:t>
            </w:r>
          </w:p>
          <w:p w14:paraId="31C3CB50">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境</w:t>
            </w:r>
          </w:p>
          <w:p w14:paraId="042D3648">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影</w:t>
            </w:r>
          </w:p>
          <w:p w14:paraId="7D9B8591">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响</w:t>
            </w:r>
          </w:p>
          <w:p w14:paraId="7BBA939B">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和</w:t>
            </w:r>
          </w:p>
          <w:p w14:paraId="40EF67FE">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保</w:t>
            </w:r>
          </w:p>
          <w:p w14:paraId="5444A017">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护</w:t>
            </w:r>
          </w:p>
          <w:p w14:paraId="72F36F62">
            <w:pPr>
              <w:pStyle w:val="2"/>
              <w:spacing w:line="240" w:lineRule="auto"/>
              <w:ind w:left="0" w:leftChars="0" w:firstLine="0" w:firstLineChars="0"/>
              <w:jc w:val="center"/>
              <w:rPr>
                <w:rFonts w:hint="default" w:ascii="Times New Roman" w:hAnsi="Times New Roman" w:eastAsia="宋体" w:cs="Times New Roman"/>
                <w:snapToGrid/>
                <w:color w:val="auto"/>
                <w:spacing w:val="0"/>
                <w:kern w:val="0"/>
                <w:position w:val="0"/>
                <w:vertAlign w:val="baseline"/>
              </w:rPr>
            </w:pPr>
            <w:r>
              <w:rPr>
                <w:rFonts w:hint="default" w:ascii="Times New Roman" w:hAnsi="Times New Roman" w:eastAsia="宋体" w:cs="Times New Roman"/>
                <w:b w:val="0"/>
                <w:bCs w:val="0"/>
                <w:snapToGrid/>
                <w:color w:val="auto"/>
                <w:spacing w:val="0"/>
                <w:kern w:val="0"/>
                <w:position w:val="0"/>
                <w:sz w:val="24"/>
                <w:szCs w:val="24"/>
              </w:rPr>
              <w:t>措施</w:t>
            </w:r>
          </w:p>
        </w:tc>
        <w:tc>
          <w:tcPr>
            <w:tcW w:w="13044" w:type="dxa"/>
            <w:tcBorders>
              <w:tl2br w:val="nil"/>
              <w:tr2bl w:val="nil"/>
            </w:tcBorders>
            <w:noWrap w:val="0"/>
            <w:vAlign w:val="top"/>
          </w:tcPr>
          <w:p w14:paraId="392849F6">
            <w:pPr>
              <w:pStyle w:val="40"/>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rPr>
                <w:rFonts w:ascii="Times New Roman" w:hAnsi="Times New Roman" w:eastAsia="宋体" w:cs="Times New Roman"/>
                <w:b/>
                <w:bCs/>
                <w:snapToGrid/>
                <w:color w:val="auto"/>
                <w:spacing w:val="0"/>
                <w:kern w:val="0"/>
                <w:position w:val="0"/>
                <w:szCs w:val="24"/>
              </w:rPr>
            </w:pPr>
            <w:r>
              <w:rPr>
                <w:rFonts w:hint="eastAsia" w:ascii="Times New Roman" w:hAnsi="Times New Roman" w:eastAsia="宋体" w:cs="Times New Roman"/>
                <w:b/>
                <w:bCs/>
                <w:snapToGrid/>
                <w:color w:val="auto"/>
                <w:spacing w:val="0"/>
                <w:kern w:val="0"/>
                <w:position w:val="0"/>
                <w:szCs w:val="24"/>
                <w:lang w:eastAsia="zh-CN"/>
              </w:rPr>
              <w:t>表</w:t>
            </w:r>
            <w:r>
              <w:rPr>
                <w:rFonts w:hint="eastAsia" w:ascii="Times New Roman" w:hAnsi="Times New Roman" w:eastAsia="宋体" w:cs="Times New Roman"/>
                <w:b/>
                <w:bCs/>
                <w:snapToGrid/>
                <w:color w:val="auto"/>
                <w:spacing w:val="0"/>
                <w:kern w:val="0"/>
                <w:position w:val="0"/>
                <w:szCs w:val="24"/>
                <w:lang w:val="en-US" w:eastAsia="zh-CN"/>
              </w:rPr>
              <w:t>4.5  项目</w:t>
            </w:r>
            <w:r>
              <w:rPr>
                <w:rFonts w:hint="eastAsia" w:ascii="Times New Roman" w:hAnsi="Times New Roman" w:eastAsia="宋体" w:cs="Times New Roman"/>
                <w:b/>
                <w:bCs/>
                <w:color w:val="auto"/>
                <w:szCs w:val="24"/>
                <w:lang w:val="en-US" w:eastAsia="zh-CN"/>
              </w:rPr>
              <w:t>一期工程</w:t>
            </w:r>
            <w:r>
              <w:rPr>
                <w:rFonts w:hint="eastAsia" w:ascii="Times New Roman" w:hAnsi="Times New Roman" w:eastAsia="宋体" w:cs="Times New Roman"/>
                <w:b/>
                <w:bCs/>
                <w:snapToGrid/>
                <w:color w:val="auto"/>
                <w:spacing w:val="0"/>
                <w:kern w:val="0"/>
                <w:position w:val="0"/>
                <w:szCs w:val="24"/>
                <w:lang w:val="en-US" w:eastAsia="zh-CN"/>
              </w:rPr>
              <w:t>生产车间噪声源强 单位：</w:t>
            </w:r>
            <w:r>
              <w:rPr>
                <w:rFonts w:ascii="Times New Roman" w:hAnsi="Times New Roman" w:eastAsia="宋体" w:cs="Times New Roman"/>
                <w:b/>
                <w:bCs/>
                <w:snapToGrid/>
                <w:color w:val="auto"/>
                <w:spacing w:val="0"/>
                <w:kern w:val="0"/>
                <w:position w:val="0"/>
                <w:szCs w:val="24"/>
              </w:rPr>
              <w:t>dB（A）</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53"/>
              <w:gridCol w:w="1259"/>
              <w:gridCol w:w="1304"/>
              <w:gridCol w:w="788"/>
              <w:gridCol w:w="687"/>
              <w:gridCol w:w="568"/>
              <w:gridCol w:w="523"/>
              <w:gridCol w:w="497"/>
              <w:gridCol w:w="531"/>
              <w:gridCol w:w="502"/>
              <w:gridCol w:w="531"/>
              <w:gridCol w:w="559"/>
              <w:gridCol w:w="508"/>
              <w:gridCol w:w="462"/>
              <w:gridCol w:w="508"/>
              <w:gridCol w:w="553"/>
              <w:gridCol w:w="508"/>
              <w:gridCol w:w="788"/>
              <w:gridCol w:w="788"/>
              <w:gridCol w:w="669"/>
            </w:tblGrid>
            <w:tr w14:paraId="7CCD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vMerge w:val="restart"/>
                  <w:tcBorders>
                    <w:tl2br w:val="nil"/>
                    <w:tr2bl w:val="nil"/>
                  </w:tcBorders>
                  <w:noWrap w:val="0"/>
                  <w:vAlign w:val="center"/>
                </w:tcPr>
                <w:p w14:paraId="360E69F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序号</w:t>
                  </w:r>
                </w:p>
              </w:tc>
              <w:tc>
                <w:tcPr>
                  <w:tcW w:w="169" w:type="pct"/>
                  <w:vMerge w:val="restart"/>
                  <w:tcBorders>
                    <w:tl2br w:val="nil"/>
                    <w:tr2bl w:val="nil"/>
                  </w:tcBorders>
                  <w:noWrap w:val="0"/>
                  <w:vAlign w:val="center"/>
                </w:tcPr>
                <w:p w14:paraId="51CD1770">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建筑物名称</w:t>
                  </w:r>
                </w:p>
              </w:tc>
              <w:tc>
                <w:tcPr>
                  <w:tcW w:w="469" w:type="pct"/>
                  <w:vMerge w:val="restart"/>
                  <w:tcBorders>
                    <w:tl2br w:val="nil"/>
                    <w:tr2bl w:val="nil"/>
                  </w:tcBorders>
                  <w:noWrap w:val="0"/>
                  <w:vAlign w:val="center"/>
                </w:tcPr>
                <w:p w14:paraId="13C470B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声源名称</w:t>
                  </w:r>
                </w:p>
              </w:tc>
              <w:tc>
                <w:tcPr>
                  <w:tcW w:w="486" w:type="pct"/>
                  <w:vMerge w:val="restart"/>
                  <w:tcBorders>
                    <w:tl2br w:val="nil"/>
                    <w:tr2bl w:val="nil"/>
                  </w:tcBorders>
                  <w:noWrap w:val="0"/>
                  <w:vAlign w:val="center"/>
                </w:tcPr>
                <w:p w14:paraId="14F0DDA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型号</w:t>
                  </w:r>
                </w:p>
              </w:tc>
              <w:tc>
                <w:tcPr>
                  <w:tcW w:w="293" w:type="pct"/>
                  <w:tcBorders>
                    <w:tl2br w:val="nil"/>
                    <w:tr2bl w:val="nil"/>
                  </w:tcBorders>
                  <w:noWrap w:val="0"/>
                  <w:vAlign w:val="center"/>
                </w:tcPr>
                <w:p w14:paraId="71709C0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声源源强dB（A）</w:t>
                  </w:r>
                </w:p>
              </w:tc>
              <w:tc>
                <w:tcPr>
                  <w:tcW w:w="256" w:type="pct"/>
                  <w:vMerge w:val="restart"/>
                  <w:tcBorders>
                    <w:tl2br w:val="nil"/>
                    <w:tr2bl w:val="nil"/>
                  </w:tcBorders>
                  <w:noWrap w:val="0"/>
                  <w:vAlign w:val="center"/>
                </w:tcPr>
                <w:p w14:paraId="350FC8BD">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lang w:val="en-US" w:eastAsia="zh-CN"/>
                    </w:rPr>
                  </w:pPr>
                  <w:r>
                    <w:rPr>
                      <w:rFonts w:hint="eastAsia"/>
                      <w:b w:val="0"/>
                      <w:bCs w:val="0"/>
                      <w:color w:val="auto"/>
                      <w:lang w:val="en-US" w:eastAsia="zh-CN"/>
                    </w:rPr>
                    <w:t>声源控制措施</w:t>
                  </w:r>
                </w:p>
              </w:tc>
              <w:tc>
                <w:tcPr>
                  <w:tcW w:w="592" w:type="pct"/>
                  <w:gridSpan w:val="3"/>
                  <w:tcBorders>
                    <w:tl2br w:val="nil"/>
                    <w:tr2bl w:val="nil"/>
                  </w:tcBorders>
                  <w:noWrap w:val="0"/>
                  <w:vAlign w:val="center"/>
                </w:tcPr>
                <w:p w14:paraId="2B67B09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空间相对位置m</w:t>
                  </w:r>
                </w:p>
              </w:tc>
              <w:tc>
                <w:tcPr>
                  <w:tcW w:w="789" w:type="pct"/>
                  <w:gridSpan w:val="4"/>
                  <w:tcBorders>
                    <w:tl2br w:val="nil"/>
                    <w:tr2bl w:val="nil"/>
                  </w:tcBorders>
                  <w:noWrap w:val="0"/>
                  <w:vAlign w:val="center"/>
                </w:tcPr>
                <w:p w14:paraId="36E7EE6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距离室内边界距离m</w:t>
                  </w:r>
                </w:p>
              </w:tc>
              <w:tc>
                <w:tcPr>
                  <w:tcW w:w="756" w:type="pct"/>
                  <w:gridSpan w:val="4"/>
                  <w:tcBorders>
                    <w:tl2br w:val="nil"/>
                    <w:tr2bl w:val="nil"/>
                  </w:tcBorders>
                  <w:noWrap w:val="0"/>
                  <w:vAlign w:val="center"/>
                </w:tcPr>
                <w:p w14:paraId="3D08B6C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highlight w:val="none"/>
                      <w:lang w:val="en-US" w:eastAsia="zh-CN"/>
                    </w:rPr>
                    <w:t>室内边界声级dB（A）</w:t>
                  </w:r>
                </w:p>
              </w:tc>
              <w:tc>
                <w:tcPr>
                  <w:tcW w:w="189" w:type="pct"/>
                  <w:vMerge w:val="restart"/>
                  <w:tcBorders>
                    <w:tl2br w:val="nil"/>
                    <w:tr2bl w:val="nil"/>
                  </w:tcBorders>
                  <w:noWrap w:val="0"/>
                  <w:vAlign w:val="center"/>
                </w:tcPr>
                <w:p w14:paraId="2FE0E1F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运行时段</w:t>
                  </w:r>
                </w:p>
              </w:tc>
              <w:tc>
                <w:tcPr>
                  <w:tcW w:w="293" w:type="pct"/>
                  <w:vMerge w:val="restart"/>
                  <w:tcBorders>
                    <w:tl2br w:val="nil"/>
                    <w:tr2bl w:val="nil"/>
                  </w:tcBorders>
                  <w:noWrap w:val="0"/>
                  <w:vAlign w:val="center"/>
                </w:tcPr>
                <w:p w14:paraId="29D8D9B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建筑物插入损失dB（A）</w:t>
                  </w:r>
                </w:p>
              </w:tc>
              <w:tc>
                <w:tcPr>
                  <w:tcW w:w="542" w:type="pct"/>
                  <w:gridSpan w:val="2"/>
                  <w:tcBorders>
                    <w:tl2br w:val="nil"/>
                    <w:tr2bl w:val="nil"/>
                  </w:tcBorders>
                  <w:noWrap w:val="0"/>
                  <w:vAlign w:val="center"/>
                </w:tcPr>
                <w:p w14:paraId="768A2DD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建筑物外噪声</w:t>
                  </w:r>
                </w:p>
              </w:tc>
            </w:tr>
            <w:tr w14:paraId="3BB3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vMerge w:val="continue"/>
                  <w:tcBorders>
                    <w:tl2br w:val="nil"/>
                    <w:tr2bl w:val="nil"/>
                  </w:tcBorders>
                  <w:noWrap w:val="0"/>
                  <w:vAlign w:val="center"/>
                </w:tcPr>
                <w:p w14:paraId="304A4E97">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169" w:type="pct"/>
                  <w:vMerge w:val="continue"/>
                  <w:tcBorders>
                    <w:tl2br w:val="nil"/>
                    <w:tr2bl w:val="nil"/>
                  </w:tcBorders>
                  <w:noWrap w:val="0"/>
                  <w:vAlign w:val="center"/>
                </w:tcPr>
                <w:p w14:paraId="1C72967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469" w:type="pct"/>
                  <w:vMerge w:val="continue"/>
                  <w:tcBorders>
                    <w:tl2br w:val="nil"/>
                    <w:tr2bl w:val="nil"/>
                  </w:tcBorders>
                  <w:noWrap w:val="0"/>
                  <w:vAlign w:val="center"/>
                </w:tcPr>
                <w:p w14:paraId="59AC0A6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486" w:type="pct"/>
                  <w:vMerge w:val="continue"/>
                  <w:tcBorders>
                    <w:tl2br w:val="nil"/>
                    <w:tr2bl w:val="nil"/>
                  </w:tcBorders>
                  <w:noWrap w:val="0"/>
                  <w:vAlign w:val="center"/>
                </w:tcPr>
                <w:p w14:paraId="741E325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293" w:type="pct"/>
                  <w:tcBorders>
                    <w:tl2br w:val="nil"/>
                    <w:tr2bl w:val="nil"/>
                  </w:tcBorders>
                  <w:noWrap w:val="0"/>
                  <w:vAlign w:val="center"/>
                </w:tcPr>
                <w:p w14:paraId="46F4354A">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声功率级</w:t>
                  </w:r>
                </w:p>
              </w:tc>
              <w:tc>
                <w:tcPr>
                  <w:tcW w:w="256" w:type="pct"/>
                  <w:vMerge w:val="continue"/>
                  <w:tcBorders>
                    <w:tl2br w:val="nil"/>
                    <w:tr2bl w:val="nil"/>
                  </w:tcBorders>
                  <w:noWrap w:val="0"/>
                  <w:vAlign w:val="center"/>
                </w:tcPr>
                <w:p w14:paraId="5478C5B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212" w:type="pct"/>
                  <w:tcBorders>
                    <w:tl2br w:val="nil"/>
                    <w:tr2bl w:val="nil"/>
                  </w:tcBorders>
                  <w:noWrap w:val="0"/>
                  <w:vAlign w:val="center"/>
                </w:tcPr>
                <w:p w14:paraId="2B18C04C">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X</w:t>
                  </w:r>
                </w:p>
              </w:tc>
              <w:tc>
                <w:tcPr>
                  <w:tcW w:w="195" w:type="pct"/>
                  <w:tcBorders>
                    <w:tl2br w:val="nil"/>
                    <w:tr2bl w:val="nil"/>
                  </w:tcBorders>
                  <w:noWrap w:val="0"/>
                  <w:vAlign w:val="center"/>
                </w:tcPr>
                <w:p w14:paraId="60953B1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Y</w:t>
                  </w:r>
                </w:p>
              </w:tc>
              <w:tc>
                <w:tcPr>
                  <w:tcW w:w="184" w:type="pct"/>
                  <w:tcBorders>
                    <w:tl2br w:val="nil"/>
                    <w:tr2bl w:val="nil"/>
                  </w:tcBorders>
                  <w:noWrap w:val="0"/>
                  <w:vAlign w:val="center"/>
                </w:tcPr>
                <w:p w14:paraId="6F1C9C1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Z</w:t>
                  </w:r>
                </w:p>
              </w:tc>
              <w:tc>
                <w:tcPr>
                  <w:tcW w:w="197" w:type="pct"/>
                  <w:tcBorders>
                    <w:tl2br w:val="nil"/>
                    <w:tr2bl w:val="nil"/>
                  </w:tcBorders>
                  <w:noWrap w:val="0"/>
                  <w:vAlign w:val="center"/>
                </w:tcPr>
                <w:p w14:paraId="0053ED32">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E</w:t>
                  </w:r>
                </w:p>
              </w:tc>
              <w:tc>
                <w:tcPr>
                  <w:tcW w:w="187" w:type="pct"/>
                  <w:tcBorders>
                    <w:tl2br w:val="nil"/>
                    <w:tr2bl w:val="nil"/>
                  </w:tcBorders>
                  <w:noWrap w:val="0"/>
                  <w:vAlign w:val="center"/>
                </w:tcPr>
                <w:p w14:paraId="31F24A3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S</w:t>
                  </w:r>
                </w:p>
              </w:tc>
              <w:tc>
                <w:tcPr>
                  <w:tcW w:w="197" w:type="pct"/>
                  <w:tcBorders>
                    <w:tl2br w:val="nil"/>
                    <w:tr2bl w:val="nil"/>
                  </w:tcBorders>
                  <w:noWrap w:val="0"/>
                  <w:vAlign w:val="center"/>
                </w:tcPr>
                <w:p w14:paraId="4442E0D7">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W</w:t>
                  </w:r>
                </w:p>
              </w:tc>
              <w:tc>
                <w:tcPr>
                  <w:tcW w:w="206" w:type="pct"/>
                  <w:tcBorders>
                    <w:tl2br w:val="nil"/>
                    <w:tr2bl w:val="nil"/>
                  </w:tcBorders>
                  <w:noWrap w:val="0"/>
                  <w:vAlign w:val="center"/>
                </w:tcPr>
                <w:p w14:paraId="47CACAC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N</w:t>
                  </w:r>
                </w:p>
              </w:tc>
              <w:tc>
                <w:tcPr>
                  <w:tcW w:w="189" w:type="pct"/>
                  <w:tcBorders>
                    <w:tl2br w:val="nil"/>
                    <w:tr2bl w:val="nil"/>
                  </w:tcBorders>
                  <w:noWrap w:val="0"/>
                  <w:vAlign w:val="center"/>
                </w:tcPr>
                <w:p w14:paraId="273CB39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lang w:val="en-US" w:eastAsia="zh-CN" w:bidi="ar-SA"/>
                    </w:rPr>
                  </w:pPr>
                  <w:r>
                    <w:rPr>
                      <w:rFonts w:hint="eastAsia"/>
                      <w:b w:val="0"/>
                      <w:bCs w:val="0"/>
                      <w:color w:val="auto"/>
                      <w:lang w:val="en-US" w:eastAsia="zh-CN"/>
                    </w:rPr>
                    <w:t>E</w:t>
                  </w:r>
                </w:p>
              </w:tc>
              <w:tc>
                <w:tcPr>
                  <w:tcW w:w="172" w:type="pct"/>
                  <w:tcBorders>
                    <w:tl2br w:val="nil"/>
                    <w:tr2bl w:val="nil"/>
                  </w:tcBorders>
                  <w:noWrap w:val="0"/>
                  <w:vAlign w:val="center"/>
                </w:tcPr>
                <w:p w14:paraId="078539BC">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lang w:val="en-US" w:eastAsia="zh-CN" w:bidi="ar-SA"/>
                    </w:rPr>
                  </w:pPr>
                  <w:r>
                    <w:rPr>
                      <w:rFonts w:hint="eastAsia"/>
                      <w:b w:val="0"/>
                      <w:bCs w:val="0"/>
                      <w:color w:val="auto"/>
                      <w:lang w:val="en-US" w:eastAsia="zh-CN"/>
                    </w:rPr>
                    <w:t>S</w:t>
                  </w:r>
                </w:p>
              </w:tc>
              <w:tc>
                <w:tcPr>
                  <w:tcW w:w="189" w:type="pct"/>
                  <w:tcBorders>
                    <w:tl2br w:val="nil"/>
                    <w:tr2bl w:val="nil"/>
                  </w:tcBorders>
                  <w:noWrap w:val="0"/>
                  <w:vAlign w:val="center"/>
                </w:tcPr>
                <w:p w14:paraId="64CD027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lang w:val="en-US" w:eastAsia="zh-CN" w:bidi="ar-SA"/>
                    </w:rPr>
                  </w:pPr>
                  <w:r>
                    <w:rPr>
                      <w:rFonts w:hint="eastAsia"/>
                      <w:b w:val="0"/>
                      <w:bCs w:val="0"/>
                      <w:color w:val="auto"/>
                      <w:lang w:val="en-US" w:eastAsia="zh-CN"/>
                    </w:rPr>
                    <w:t>W</w:t>
                  </w:r>
                </w:p>
              </w:tc>
              <w:tc>
                <w:tcPr>
                  <w:tcW w:w="204" w:type="pct"/>
                  <w:tcBorders>
                    <w:tl2br w:val="nil"/>
                    <w:tr2bl w:val="nil"/>
                  </w:tcBorders>
                  <w:noWrap w:val="0"/>
                  <w:vAlign w:val="center"/>
                </w:tcPr>
                <w:p w14:paraId="24AF818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lang w:val="en-US" w:eastAsia="zh-CN" w:bidi="ar-SA"/>
                    </w:rPr>
                  </w:pPr>
                  <w:r>
                    <w:rPr>
                      <w:rFonts w:hint="eastAsia"/>
                      <w:b w:val="0"/>
                      <w:bCs w:val="0"/>
                      <w:color w:val="auto"/>
                      <w:lang w:val="en-US" w:eastAsia="zh-CN"/>
                    </w:rPr>
                    <w:t>N</w:t>
                  </w:r>
                </w:p>
              </w:tc>
              <w:tc>
                <w:tcPr>
                  <w:tcW w:w="189" w:type="pct"/>
                  <w:vMerge w:val="continue"/>
                  <w:tcBorders>
                    <w:tl2br w:val="nil"/>
                    <w:tr2bl w:val="nil"/>
                  </w:tcBorders>
                  <w:noWrap w:val="0"/>
                  <w:vAlign w:val="center"/>
                </w:tcPr>
                <w:p w14:paraId="3FF94EE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293" w:type="pct"/>
                  <w:vMerge w:val="continue"/>
                  <w:tcBorders>
                    <w:tl2br w:val="nil"/>
                    <w:tr2bl w:val="nil"/>
                  </w:tcBorders>
                  <w:noWrap w:val="0"/>
                  <w:vAlign w:val="center"/>
                </w:tcPr>
                <w:p w14:paraId="29843D0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293" w:type="pct"/>
                  <w:tcBorders>
                    <w:tl2br w:val="nil"/>
                    <w:tr2bl w:val="nil"/>
                  </w:tcBorders>
                  <w:noWrap w:val="0"/>
                  <w:vAlign w:val="center"/>
                </w:tcPr>
                <w:p w14:paraId="16E5E7B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声压级dB（A）</w:t>
                  </w:r>
                </w:p>
              </w:tc>
              <w:tc>
                <w:tcPr>
                  <w:tcW w:w="248" w:type="pct"/>
                  <w:tcBorders>
                    <w:tl2br w:val="nil"/>
                    <w:tr2bl w:val="nil"/>
                  </w:tcBorders>
                  <w:noWrap w:val="0"/>
                  <w:vAlign w:val="center"/>
                </w:tcPr>
                <w:p w14:paraId="24AA621C">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建筑物外距离</w:t>
                  </w:r>
                </w:p>
              </w:tc>
            </w:tr>
            <w:tr w14:paraId="2A11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9" w:type="pct"/>
                  <w:vMerge w:val="restart"/>
                  <w:tcBorders>
                    <w:tl2br w:val="nil"/>
                    <w:tr2bl w:val="nil"/>
                  </w:tcBorders>
                  <w:noWrap w:val="0"/>
                  <w:vAlign w:val="center"/>
                </w:tcPr>
                <w:p w14:paraId="70ED2440">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1</w:t>
                  </w:r>
                </w:p>
              </w:tc>
              <w:tc>
                <w:tcPr>
                  <w:tcW w:w="169" w:type="pct"/>
                  <w:vMerge w:val="restart"/>
                  <w:tcBorders>
                    <w:tl2br w:val="nil"/>
                    <w:tr2bl w:val="nil"/>
                  </w:tcBorders>
                  <w:noWrap w:val="0"/>
                  <w:vAlign w:val="center"/>
                </w:tcPr>
                <w:p w14:paraId="0826B6C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eastAsia" w:eastAsia="宋体"/>
                      <w:b w:val="0"/>
                      <w:bCs w:val="0"/>
                      <w:color w:val="auto"/>
                      <w:lang w:val="en-US" w:eastAsia="zh-CN"/>
                    </w:rPr>
                  </w:pPr>
                  <w:r>
                    <w:rPr>
                      <w:rFonts w:hint="eastAsia"/>
                      <w:b w:val="0"/>
                      <w:bCs w:val="0"/>
                      <w:color w:val="auto"/>
                      <w:lang w:eastAsia="zh-CN"/>
                    </w:rPr>
                    <w:t>生产车间</w:t>
                  </w:r>
                </w:p>
              </w:tc>
              <w:tc>
                <w:tcPr>
                  <w:tcW w:w="469" w:type="pct"/>
                  <w:vMerge w:val="restart"/>
                  <w:tcBorders>
                    <w:tl2br w:val="nil"/>
                    <w:tr2bl w:val="nil"/>
                  </w:tcBorders>
                  <w:noWrap w:val="0"/>
                  <w:vAlign w:val="center"/>
                </w:tcPr>
                <w:p w14:paraId="39A208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4"/>
                      <w:highlight w:val="none"/>
                      <w:lang w:val="en-US" w:eastAsia="zh-CN" w:bidi="ar-SA"/>
                    </w:rPr>
                  </w:pPr>
                  <w:r>
                    <w:rPr>
                      <w:rFonts w:hint="eastAsia" w:cs="Times New Roman"/>
                      <w:b w:val="0"/>
                      <w:bCs w:val="0"/>
                      <w:snapToGrid/>
                      <w:color w:val="auto"/>
                      <w:spacing w:val="0"/>
                      <w:kern w:val="0"/>
                      <w:position w:val="0"/>
                      <w:sz w:val="21"/>
                      <w:szCs w:val="24"/>
                      <w:highlight w:val="none"/>
                      <w:lang w:val="en-US" w:eastAsia="zh-CN" w:bidi="ar-SA"/>
                    </w:rPr>
                    <w:t>自动割管机</w:t>
                  </w:r>
                </w:p>
              </w:tc>
              <w:tc>
                <w:tcPr>
                  <w:tcW w:w="486" w:type="pct"/>
                  <w:tcBorders>
                    <w:tl2br w:val="nil"/>
                    <w:tr2bl w:val="nil"/>
                  </w:tcBorders>
                  <w:noWrap w:val="0"/>
                  <w:vAlign w:val="center"/>
                </w:tcPr>
                <w:p w14:paraId="2D670AD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default" w:ascii="Times New Roman" w:hAnsi="Times New Roman" w:eastAsia="宋体" w:cs="Times New Roman"/>
                      <w:color w:val="auto"/>
                      <w:sz w:val="21"/>
                      <w:szCs w:val="21"/>
                    </w:rPr>
                    <w:t>JM40</w:t>
                  </w:r>
                </w:p>
              </w:tc>
              <w:tc>
                <w:tcPr>
                  <w:tcW w:w="293" w:type="pct"/>
                  <w:vMerge w:val="restart"/>
                  <w:tcBorders>
                    <w:tl2br w:val="nil"/>
                    <w:tr2bl w:val="nil"/>
                  </w:tcBorders>
                  <w:noWrap w:val="0"/>
                  <w:vAlign w:val="center"/>
                </w:tcPr>
                <w:p w14:paraId="582268F3">
                  <w:pPr>
                    <w:widowControl/>
                    <w:jc w:val="center"/>
                    <w:rPr>
                      <w:rFonts w:hint="default" w:ascii="Times New Roman" w:hAnsi="Times New Roman" w:eastAsia="宋体" w:cs="Times New Roman"/>
                      <w:b w:val="0"/>
                      <w:bCs w:val="0"/>
                      <w:snapToGrid/>
                      <w:color w:val="auto"/>
                      <w:spacing w:val="0"/>
                      <w:kern w:val="0"/>
                      <w:position w:val="0"/>
                      <w:sz w:val="21"/>
                      <w:szCs w:val="22"/>
                      <w:lang w:val="en-US" w:eastAsia="zh-CN" w:bidi="ar-SA"/>
                    </w:rPr>
                  </w:pPr>
                  <w:r>
                    <w:rPr>
                      <w:rFonts w:hint="eastAsia" w:cs="Times New Roman"/>
                      <w:b w:val="0"/>
                      <w:bCs w:val="0"/>
                      <w:snapToGrid/>
                      <w:color w:val="auto"/>
                      <w:spacing w:val="0"/>
                      <w:kern w:val="0"/>
                      <w:position w:val="0"/>
                      <w:sz w:val="21"/>
                      <w:szCs w:val="22"/>
                      <w:lang w:val="en-US" w:eastAsia="zh-CN" w:bidi="ar-SA"/>
                    </w:rPr>
                    <w:t>80</w:t>
                  </w:r>
                </w:p>
              </w:tc>
              <w:tc>
                <w:tcPr>
                  <w:tcW w:w="256" w:type="pct"/>
                  <w:vMerge w:val="restart"/>
                  <w:tcBorders>
                    <w:tl2br w:val="nil"/>
                    <w:tr2bl w:val="nil"/>
                  </w:tcBorders>
                  <w:noWrap w:val="0"/>
                  <w:vAlign w:val="center"/>
                </w:tcPr>
                <w:p w14:paraId="25CC876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default" w:ascii="Times New Roman" w:hAnsi="Times New Roman" w:eastAsia="宋体" w:cs="Times New Roman"/>
                      <w:b w:val="0"/>
                      <w:bCs w:val="0"/>
                      <w:color w:val="auto"/>
                      <w:sz w:val="21"/>
                    </w:rPr>
                    <w:t>选用低噪声设备、加设减振基础、厂房隔声、距离衰减</w:t>
                  </w:r>
                </w:p>
              </w:tc>
              <w:tc>
                <w:tcPr>
                  <w:tcW w:w="212" w:type="pct"/>
                  <w:tcBorders>
                    <w:tl2br w:val="nil"/>
                    <w:tr2bl w:val="nil"/>
                  </w:tcBorders>
                  <w:noWrap w:val="0"/>
                  <w:vAlign w:val="center"/>
                </w:tcPr>
                <w:p w14:paraId="480DF9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-69</w:t>
                  </w:r>
                </w:p>
              </w:tc>
              <w:tc>
                <w:tcPr>
                  <w:tcW w:w="195" w:type="pct"/>
                  <w:tcBorders>
                    <w:tl2br w:val="nil"/>
                    <w:tr2bl w:val="nil"/>
                  </w:tcBorders>
                  <w:noWrap w:val="0"/>
                  <w:vAlign w:val="center"/>
                </w:tcPr>
                <w:p w14:paraId="0834FB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25</w:t>
                  </w:r>
                </w:p>
              </w:tc>
              <w:tc>
                <w:tcPr>
                  <w:tcW w:w="184" w:type="pct"/>
                  <w:tcBorders>
                    <w:tl2br w:val="nil"/>
                    <w:tr2bl w:val="nil"/>
                  </w:tcBorders>
                  <w:noWrap w:val="0"/>
                  <w:vAlign w:val="center"/>
                </w:tcPr>
                <w:p w14:paraId="4A0102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w:t>
                  </w:r>
                </w:p>
              </w:tc>
              <w:tc>
                <w:tcPr>
                  <w:tcW w:w="197" w:type="pct"/>
                  <w:tcBorders>
                    <w:tl2br w:val="nil"/>
                    <w:tr2bl w:val="nil"/>
                  </w:tcBorders>
                  <w:noWrap w:val="0"/>
                  <w:vAlign w:val="center"/>
                </w:tcPr>
                <w:p w14:paraId="4ABE13B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26</w:t>
                  </w:r>
                </w:p>
              </w:tc>
              <w:tc>
                <w:tcPr>
                  <w:tcW w:w="187" w:type="pct"/>
                  <w:tcBorders>
                    <w:tl2br w:val="nil"/>
                    <w:tr2bl w:val="nil"/>
                  </w:tcBorders>
                  <w:noWrap w:val="0"/>
                  <w:vAlign w:val="center"/>
                </w:tcPr>
                <w:p w14:paraId="381899C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31</w:t>
                  </w:r>
                </w:p>
              </w:tc>
              <w:tc>
                <w:tcPr>
                  <w:tcW w:w="197" w:type="pct"/>
                  <w:tcBorders>
                    <w:tl2br w:val="nil"/>
                    <w:tr2bl w:val="nil"/>
                  </w:tcBorders>
                  <w:noWrap w:val="0"/>
                  <w:vAlign w:val="center"/>
                </w:tcPr>
                <w:p w14:paraId="60B7B2E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174</w:t>
                  </w:r>
                </w:p>
              </w:tc>
              <w:tc>
                <w:tcPr>
                  <w:tcW w:w="206" w:type="pct"/>
                  <w:tcBorders>
                    <w:tl2br w:val="nil"/>
                    <w:tr2bl w:val="nil"/>
                  </w:tcBorders>
                  <w:noWrap w:val="0"/>
                  <w:vAlign w:val="center"/>
                </w:tcPr>
                <w:p w14:paraId="7741914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宋体"/>
                      <w:b w:val="0"/>
                      <w:bCs w:val="0"/>
                      <w:color w:val="auto"/>
                      <w:spacing w:val="-2"/>
                      <w:sz w:val="21"/>
                      <w:szCs w:val="20"/>
                      <w:highlight w:val="none"/>
                      <w:lang w:val="en-US" w:eastAsia="zh-CN" w:bidi="ar-SA"/>
                    </w:rPr>
                  </w:pPr>
                  <w:r>
                    <w:rPr>
                      <w:rFonts w:hint="eastAsia" w:cs="宋体"/>
                      <w:b w:val="0"/>
                      <w:bCs w:val="0"/>
                      <w:color w:val="auto"/>
                      <w:spacing w:val="-2"/>
                      <w:sz w:val="21"/>
                      <w:szCs w:val="20"/>
                      <w:highlight w:val="none"/>
                      <w:lang w:val="en-US" w:eastAsia="zh-CN" w:bidi="ar-SA"/>
                    </w:rPr>
                    <w:t>14</w:t>
                  </w:r>
                </w:p>
              </w:tc>
              <w:tc>
                <w:tcPr>
                  <w:tcW w:w="189" w:type="pct"/>
                  <w:tcBorders>
                    <w:tl2br w:val="nil"/>
                    <w:tr2bl w:val="nil"/>
                  </w:tcBorders>
                  <w:noWrap w:val="0"/>
                  <w:vAlign w:val="center"/>
                </w:tcPr>
                <w:p w14:paraId="092E311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51</w:t>
                  </w:r>
                </w:p>
              </w:tc>
              <w:tc>
                <w:tcPr>
                  <w:tcW w:w="172" w:type="pct"/>
                  <w:tcBorders>
                    <w:tl2br w:val="nil"/>
                    <w:tr2bl w:val="nil"/>
                  </w:tcBorders>
                  <w:noWrap w:val="0"/>
                  <w:vAlign w:val="center"/>
                </w:tcPr>
                <w:p w14:paraId="1C0098D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50</w:t>
                  </w:r>
                </w:p>
              </w:tc>
              <w:tc>
                <w:tcPr>
                  <w:tcW w:w="189" w:type="pct"/>
                  <w:tcBorders>
                    <w:tl2br w:val="nil"/>
                    <w:tr2bl w:val="nil"/>
                  </w:tcBorders>
                  <w:noWrap w:val="0"/>
                  <w:vAlign w:val="center"/>
                </w:tcPr>
                <w:p w14:paraId="45FCFC1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35</w:t>
                  </w:r>
                </w:p>
              </w:tc>
              <w:tc>
                <w:tcPr>
                  <w:tcW w:w="204" w:type="pct"/>
                  <w:tcBorders>
                    <w:tl2br w:val="nil"/>
                    <w:tr2bl w:val="nil"/>
                  </w:tcBorders>
                  <w:noWrap w:val="0"/>
                  <w:vAlign w:val="center"/>
                </w:tcPr>
                <w:p w14:paraId="30D61F9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57</w:t>
                  </w:r>
                </w:p>
              </w:tc>
              <w:tc>
                <w:tcPr>
                  <w:tcW w:w="189" w:type="pct"/>
                  <w:vMerge w:val="restart"/>
                  <w:tcBorders>
                    <w:tl2br w:val="nil"/>
                    <w:tr2bl w:val="nil"/>
                  </w:tcBorders>
                  <w:noWrap w:val="0"/>
                  <w:vAlign w:val="center"/>
                </w:tcPr>
                <w:p w14:paraId="02C99C3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val="0"/>
                      <w:bCs w:val="0"/>
                      <w:color w:val="auto"/>
                      <w:lang w:val="en-US" w:eastAsia="zh-CN"/>
                    </w:rPr>
                  </w:pPr>
                  <w:r>
                    <w:rPr>
                      <w:rFonts w:hint="eastAsia" w:cs="Times New Roman"/>
                      <w:b w:val="0"/>
                      <w:bCs w:val="0"/>
                      <w:snapToGrid/>
                      <w:color w:val="auto"/>
                      <w:spacing w:val="0"/>
                      <w:kern w:val="0"/>
                      <w:position w:val="0"/>
                      <w:sz w:val="21"/>
                      <w:szCs w:val="21"/>
                      <w:lang w:val="en-US" w:eastAsia="zh-CN"/>
                    </w:rPr>
                    <w:t>8</w:t>
                  </w:r>
                  <w:r>
                    <w:rPr>
                      <w:rFonts w:hint="eastAsia" w:ascii="Times New Roman" w:hAnsi="Times New Roman" w:eastAsia="宋体" w:cs="Times New Roman"/>
                      <w:b w:val="0"/>
                      <w:bCs w:val="0"/>
                      <w:snapToGrid/>
                      <w:color w:val="auto"/>
                      <w:spacing w:val="0"/>
                      <w:kern w:val="0"/>
                      <w:position w:val="0"/>
                      <w:sz w:val="21"/>
                      <w:szCs w:val="21"/>
                      <w:lang w:val="en-US" w:eastAsia="zh-CN"/>
                    </w:rPr>
                    <w:t>h</w:t>
                  </w:r>
                </w:p>
              </w:tc>
              <w:tc>
                <w:tcPr>
                  <w:tcW w:w="293" w:type="pct"/>
                  <w:vMerge w:val="restart"/>
                  <w:tcBorders>
                    <w:tl2br w:val="nil"/>
                    <w:tr2bl w:val="nil"/>
                  </w:tcBorders>
                  <w:noWrap w:val="0"/>
                  <w:vAlign w:val="center"/>
                </w:tcPr>
                <w:p w14:paraId="78BD476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15</w:t>
                  </w:r>
                </w:p>
              </w:tc>
              <w:tc>
                <w:tcPr>
                  <w:tcW w:w="293" w:type="pct"/>
                  <w:tcBorders>
                    <w:tl2br w:val="nil"/>
                    <w:tr2bl w:val="nil"/>
                  </w:tcBorders>
                  <w:noWrap w:val="0"/>
                  <w:vAlign w:val="center"/>
                </w:tcPr>
                <w:p w14:paraId="69407EA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43</w:t>
                  </w:r>
                </w:p>
              </w:tc>
              <w:tc>
                <w:tcPr>
                  <w:tcW w:w="248" w:type="pct"/>
                  <w:vMerge w:val="restart"/>
                  <w:tcBorders>
                    <w:tl2br w:val="nil"/>
                    <w:tr2bl w:val="nil"/>
                  </w:tcBorders>
                  <w:noWrap w:val="0"/>
                  <w:vAlign w:val="center"/>
                </w:tcPr>
                <w:p w14:paraId="44A89CC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1m</w:t>
                  </w:r>
                </w:p>
              </w:tc>
            </w:tr>
            <w:tr w14:paraId="0668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9" w:type="pct"/>
                  <w:vMerge w:val="continue"/>
                  <w:tcBorders>
                    <w:tl2br w:val="nil"/>
                    <w:tr2bl w:val="nil"/>
                  </w:tcBorders>
                  <w:noWrap w:val="0"/>
                  <w:vAlign w:val="center"/>
                </w:tcPr>
                <w:p w14:paraId="15AC1A2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color w:val="auto"/>
                    </w:rPr>
                  </w:pPr>
                </w:p>
              </w:tc>
              <w:tc>
                <w:tcPr>
                  <w:tcW w:w="169" w:type="pct"/>
                  <w:vMerge w:val="continue"/>
                  <w:tcBorders>
                    <w:tl2br w:val="nil"/>
                    <w:tr2bl w:val="nil"/>
                  </w:tcBorders>
                  <w:noWrap w:val="0"/>
                  <w:vAlign w:val="center"/>
                </w:tcPr>
                <w:p w14:paraId="6A052E7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color w:val="auto"/>
                    </w:rPr>
                  </w:pPr>
                </w:p>
              </w:tc>
              <w:tc>
                <w:tcPr>
                  <w:tcW w:w="469" w:type="pct"/>
                  <w:vMerge w:val="continue"/>
                  <w:tcBorders>
                    <w:tl2br w:val="nil"/>
                    <w:tr2bl w:val="nil"/>
                  </w:tcBorders>
                  <w:noWrap w:val="0"/>
                  <w:vAlign w:val="center"/>
                </w:tcPr>
                <w:p w14:paraId="1E123C2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color w:val="auto"/>
                    </w:rPr>
                  </w:pPr>
                </w:p>
              </w:tc>
              <w:tc>
                <w:tcPr>
                  <w:tcW w:w="486" w:type="pct"/>
                  <w:tcBorders>
                    <w:tl2br w:val="nil"/>
                    <w:tr2bl w:val="nil"/>
                  </w:tcBorders>
                  <w:noWrap w:val="0"/>
                  <w:vAlign w:val="center"/>
                </w:tcPr>
                <w:p w14:paraId="019EBD3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default" w:ascii="Times New Roman" w:hAnsi="Times New Roman" w:eastAsia="宋体" w:cs="Times New Roman"/>
                      <w:color w:val="auto"/>
                      <w:sz w:val="21"/>
                      <w:szCs w:val="21"/>
                    </w:rPr>
                    <w:t>JM60</w:t>
                  </w:r>
                </w:p>
              </w:tc>
              <w:tc>
                <w:tcPr>
                  <w:tcW w:w="293" w:type="pct"/>
                  <w:vMerge w:val="continue"/>
                  <w:tcBorders>
                    <w:tl2br w:val="nil"/>
                    <w:tr2bl w:val="nil"/>
                  </w:tcBorders>
                  <w:noWrap w:val="0"/>
                  <w:vAlign w:val="center"/>
                </w:tcPr>
                <w:p w14:paraId="7BE0712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p>
              </w:tc>
              <w:tc>
                <w:tcPr>
                  <w:tcW w:w="256" w:type="pct"/>
                  <w:vMerge w:val="continue"/>
                  <w:tcBorders>
                    <w:tl2br w:val="nil"/>
                    <w:tr2bl w:val="nil"/>
                  </w:tcBorders>
                  <w:noWrap w:val="0"/>
                  <w:vAlign w:val="center"/>
                </w:tcPr>
                <w:p w14:paraId="6E2046AD">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p>
              </w:tc>
              <w:tc>
                <w:tcPr>
                  <w:tcW w:w="212" w:type="pct"/>
                  <w:tcBorders>
                    <w:tl2br w:val="nil"/>
                    <w:tr2bl w:val="nil"/>
                  </w:tcBorders>
                  <w:noWrap w:val="0"/>
                  <w:vAlign w:val="center"/>
                </w:tcPr>
                <w:p w14:paraId="7C0ED02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-70</w:t>
                  </w:r>
                </w:p>
              </w:tc>
              <w:tc>
                <w:tcPr>
                  <w:tcW w:w="195" w:type="pct"/>
                  <w:tcBorders>
                    <w:tl2br w:val="nil"/>
                    <w:tr2bl w:val="nil"/>
                  </w:tcBorders>
                  <w:noWrap w:val="0"/>
                  <w:vAlign w:val="center"/>
                </w:tcPr>
                <w:p w14:paraId="6859242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24</w:t>
                  </w:r>
                </w:p>
              </w:tc>
              <w:tc>
                <w:tcPr>
                  <w:tcW w:w="184" w:type="pct"/>
                  <w:tcBorders>
                    <w:tl2br w:val="nil"/>
                    <w:tr2bl w:val="nil"/>
                  </w:tcBorders>
                  <w:noWrap w:val="0"/>
                  <w:vAlign w:val="center"/>
                </w:tcPr>
                <w:p w14:paraId="029A27A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w:t>
                  </w:r>
                </w:p>
              </w:tc>
              <w:tc>
                <w:tcPr>
                  <w:tcW w:w="197" w:type="pct"/>
                  <w:tcBorders>
                    <w:tl2br w:val="nil"/>
                    <w:tr2bl w:val="nil"/>
                  </w:tcBorders>
                  <w:noWrap w:val="0"/>
                  <w:vAlign w:val="center"/>
                </w:tcPr>
                <w:p w14:paraId="5A0D158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27</w:t>
                  </w:r>
                </w:p>
              </w:tc>
              <w:tc>
                <w:tcPr>
                  <w:tcW w:w="187" w:type="pct"/>
                  <w:tcBorders>
                    <w:tl2br w:val="nil"/>
                    <w:tr2bl w:val="nil"/>
                  </w:tcBorders>
                  <w:noWrap w:val="0"/>
                  <w:vAlign w:val="center"/>
                </w:tcPr>
                <w:p w14:paraId="07DC9E3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31</w:t>
                  </w:r>
                </w:p>
              </w:tc>
              <w:tc>
                <w:tcPr>
                  <w:tcW w:w="197" w:type="pct"/>
                  <w:tcBorders>
                    <w:tl2br w:val="nil"/>
                    <w:tr2bl w:val="nil"/>
                  </w:tcBorders>
                  <w:noWrap w:val="0"/>
                  <w:vAlign w:val="center"/>
                </w:tcPr>
                <w:p w14:paraId="2AAA1C1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173</w:t>
                  </w:r>
                </w:p>
              </w:tc>
              <w:tc>
                <w:tcPr>
                  <w:tcW w:w="206" w:type="pct"/>
                  <w:tcBorders>
                    <w:tl2br w:val="nil"/>
                    <w:tr2bl w:val="nil"/>
                  </w:tcBorders>
                  <w:noWrap w:val="0"/>
                  <w:vAlign w:val="center"/>
                </w:tcPr>
                <w:p w14:paraId="35FF4C11">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14</w:t>
                  </w:r>
                </w:p>
              </w:tc>
              <w:tc>
                <w:tcPr>
                  <w:tcW w:w="189" w:type="pct"/>
                  <w:tcBorders>
                    <w:tl2br w:val="nil"/>
                    <w:tr2bl w:val="nil"/>
                  </w:tcBorders>
                  <w:noWrap w:val="0"/>
                  <w:vAlign w:val="center"/>
                </w:tcPr>
                <w:p w14:paraId="159A71E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51</w:t>
                  </w:r>
                </w:p>
              </w:tc>
              <w:tc>
                <w:tcPr>
                  <w:tcW w:w="172" w:type="pct"/>
                  <w:tcBorders>
                    <w:tl2br w:val="nil"/>
                    <w:tr2bl w:val="nil"/>
                  </w:tcBorders>
                  <w:noWrap w:val="0"/>
                  <w:vAlign w:val="center"/>
                </w:tcPr>
                <w:p w14:paraId="756630ED">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50</w:t>
                  </w:r>
                </w:p>
              </w:tc>
              <w:tc>
                <w:tcPr>
                  <w:tcW w:w="189" w:type="pct"/>
                  <w:tcBorders>
                    <w:tl2br w:val="nil"/>
                    <w:tr2bl w:val="nil"/>
                  </w:tcBorders>
                  <w:noWrap w:val="0"/>
                  <w:vAlign w:val="center"/>
                </w:tcPr>
                <w:p w14:paraId="59D11BD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35</w:t>
                  </w:r>
                </w:p>
              </w:tc>
              <w:tc>
                <w:tcPr>
                  <w:tcW w:w="204" w:type="pct"/>
                  <w:tcBorders>
                    <w:tl2br w:val="nil"/>
                    <w:tr2bl w:val="nil"/>
                  </w:tcBorders>
                  <w:noWrap w:val="0"/>
                  <w:vAlign w:val="center"/>
                </w:tcPr>
                <w:p w14:paraId="2C60186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57</w:t>
                  </w:r>
                </w:p>
              </w:tc>
              <w:tc>
                <w:tcPr>
                  <w:tcW w:w="189" w:type="pct"/>
                  <w:vMerge w:val="continue"/>
                  <w:tcBorders>
                    <w:tl2br w:val="nil"/>
                    <w:tr2bl w:val="nil"/>
                  </w:tcBorders>
                  <w:noWrap w:val="0"/>
                  <w:vAlign w:val="center"/>
                </w:tcPr>
                <w:p w14:paraId="6E2FC3D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p>
              </w:tc>
              <w:tc>
                <w:tcPr>
                  <w:tcW w:w="293" w:type="pct"/>
                  <w:vMerge w:val="continue"/>
                  <w:tcBorders>
                    <w:tl2br w:val="nil"/>
                    <w:tr2bl w:val="nil"/>
                  </w:tcBorders>
                  <w:noWrap w:val="0"/>
                  <w:vAlign w:val="center"/>
                </w:tcPr>
                <w:p w14:paraId="7F94207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p>
              </w:tc>
              <w:tc>
                <w:tcPr>
                  <w:tcW w:w="293" w:type="pct"/>
                  <w:tcBorders>
                    <w:tl2br w:val="nil"/>
                    <w:tr2bl w:val="nil"/>
                  </w:tcBorders>
                  <w:noWrap w:val="0"/>
                  <w:vAlign w:val="center"/>
                </w:tcPr>
                <w:p w14:paraId="66BD4DC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43</w:t>
                  </w:r>
                </w:p>
              </w:tc>
              <w:tc>
                <w:tcPr>
                  <w:tcW w:w="248" w:type="pct"/>
                  <w:vMerge w:val="continue"/>
                  <w:tcBorders>
                    <w:tl2br w:val="nil"/>
                    <w:tr2bl w:val="nil"/>
                  </w:tcBorders>
                  <w:noWrap w:val="0"/>
                  <w:vAlign w:val="center"/>
                </w:tcPr>
                <w:p w14:paraId="3B95A3E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p>
              </w:tc>
            </w:tr>
            <w:tr w14:paraId="7245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tcBorders>
                    <w:tl2br w:val="nil"/>
                    <w:tr2bl w:val="nil"/>
                  </w:tcBorders>
                  <w:noWrap w:val="0"/>
                  <w:vAlign w:val="center"/>
                </w:tcPr>
                <w:p w14:paraId="5F5FE610">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2</w:t>
                  </w:r>
                </w:p>
              </w:tc>
              <w:tc>
                <w:tcPr>
                  <w:tcW w:w="169" w:type="pct"/>
                  <w:vMerge w:val="continue"/>
                  <w:tcBorders>
                    <w:tl2br w:val="nil"/>
                    <w:tr2bl w:val="nil"/>
                  </w:tcBorders>
                  <w:noWrap w:val="0"/>
                  <w:vAlign w:val="center"/>
                </w:tcPr>
                <w:p w14:paraId="45DE944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469" w:type="pct"/>
                  <w:tcBorders>
                    <w:tl2br w:val="nil"/>
                    <w:tr2bl w:val="nil"/>
                  </w:tcBorders>
                  <w:noWrap w:val="0"/>
                  <w:vAlign w:val="center"/>
                </w:tcPr>
                <w:p w14:paraId="44FBF7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高精密平面磨床</w:t>
                  </w:r>
                </w:p>
              </w:tc>
              <w:tc>
                <w:tcPr>
                  <w:tcW w:w="486" w:type="pct"/>
                  <w:tcBorders>
                    <w:tl2br w:val="nil"/>
                    <w:tr2bl w:val="nil"/>
                  </w:tcBorders>
                  <w:noWrap w:val="0"/>
                  <w:vAlign w:val="center"/>
                </w:tcPr>
                <w:p w14:paraId="35D9EAE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default" w:ascii="Times New Roman" w:hAnsi="Times New Roman" w:eastAsia="宋体" w:cs="Times New Roman"/>
                      <w:color w:val="auto"/>
                      <w:sz w:val="21"/>
                      <w:szCs w:val="21"/>
                    </w:rPr>
                    <w:t>MYM7650</w:t>
                  </w:r>
                </w:p>
              </w:tc>
              <w:tc>
                <w:tcPr>
                  <w:tcW w:w="293" w:type="pct"/>
                  <w:tcBorders>
                    <w:tl2br w:val="nil"/>
                    <w:tr2bl w:val="nil"/>
                  </w:tcBorders>
                  <w:noWrap w:val="0"/>
                  <w:vAlign w:val="center"/>
                </w:tcPr>
                <w:p w14:paraId="532AFEA1">
                  <w:pPr>
                    <w:widowControl/>
                    <w:jc w:val="center"/>
                    <w:rPr>
                      <w:rFonts w:hint="default" w:ascii="Times New Roman" w:hAnsi="Times New Roman" w:eastAsia="宋体" w:cs="Times New Roman"/>
                      <w:b w:val="0"/>
                      <w:bCs w:val="0"/>
                      <w:snapToGrid/>
                      <w:color w:val="auto"/>
                      <w:spacing w:val="0"/>
                      <w:kern w:val="0"/>
                      <w:position w:val="0"/>
                      <w:sz w:val="21"/>
                      <w:szCs w:val="22"/>
                      <w:lang w:val="en-US" w:eastAsia="zh-CN" w:bidi="ar-SA"/>
                    </w:rPr>
                  </w:pPr>
                  <w:r>
                    <w:rPr>
                      <w:rFonts w:hint="eastAsia" w:cs="Times New Roman"/>
                      <w:b w:val="0"/>
                      <w:bCs w:val="0"/>
                      <w:snapToGrid/>
                      <w:color w:val="auto"/>
                      <w:spacing w:val="0"/>
                      <w:kern w:val="0"/>
                      <w:position w:val="0"/>
                      <w:sz w:val="21"/>
                      <w:szCs w:val="22"/>
                      <w:lang w:val="en-US" w:eastAsia="zh-CN" w:bidi="ar-SA"/>
                    </w:rPr>
                    <w:t>85</w:t>
                  </w:r>
                </w:p>
              </w:tc>
              <w:tc>
                <w:tcPr>
                  <w:tcW w:w="256" w:type="pct"/>
                  <w:vMerge w:val="continue"/>
                  <w:tcBorders>
                    <w:tl2br w:val="nil"/>
                    <w:tr2bl w:val="nil"/>
                  </w:tcBorders>
                  <w:noWrap w:val="0"/>
                  <w:vAlign w:val="center"/>
                </w:tcPr>
                <w:p w14:paraId="2A779507">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212" w:type="pct"/>
                  <w:tcBorders>
                    <w:tl2br w:val="nil"/>
                    <w:tr2bl w:val="nil"/>
                  </w:tcBorders>
                  <w:noWrap w:val="0"/>
                  <w:vAlign w:val="center"/>
                </w:tcPr>
                <w:p w14:paraId="59C75A8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-46</w:t>
                  </w:r>
                </w:p>
              </w:tc>
              <w:tc>
                <w:tcPr>
                  <w:tcW w:w="195" w:type="pct"/>
                  <w:tcBorders>
                    <w:tl2br w:val="nil"/>
                    <w:tr2bl w:val="nil"/>
                  </w:tcBorders>
                  <w:noWrap w:val="0"/>
                  <w:vAlign w:val="center"/>
                </w:tcPr>
                <w:p w14:paraId="7CACD12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21</w:t>
                  </w:r>
                </w:p>
              </w:tc>
              <w:tc>
                <w:tcPr>
                  <w:tcW w:w="184" w:type="pct"/>
                  <w:tcBorders>
                    <w:tl2br w:val="nil"/>
                    <w:tr2bl w:val="nil"/>
                  </w:tcBorders>
                  <w:noWrap w:val="0"/>
                  <w:vAlign w:val="center"/>
                </w:tcPr>
                <w:p w14:paraId="394CC5D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w:t>
                  </w:r>
                </w:p>
              </w:tc>
              <w:tc>
                <w:tcPr>
                  <w:tcW w:w="197" w:type="pct"/>
                  <w:tcBorders>
                    <w:tl2br w:val="nil"/>
                    <w:tr2bl w:val="nil"/>
                  </w:tcBorders>
                  <w:noWrap w:val="0"/>
                  <w:vAlign w:val="center"/>
                </w:tcPr>
                <w:p w14:paraId="3263112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48</w:t>
                  </w:r>
                </w:p>
              </w:tc>
              <w:tc>
                <w:tcPr>
                  <w:tcW w:w="187" w:type="pct"/>
                  <w:tcBorders>
                    <w:tl2br w:val="nil"/>
                    <w:tr2bl w:val="nil"/>
                  </w:tcBorders>
                  <w:noWrap w:val="0"/>
                  <w:vAlign w:val="center"/>
                </w:tcPr>
                <w:p w14:paraId="46D99187">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31</w:t>
                  </w:r>
                </w:p>
              </w:tc>
              <w:tc>
                <w:tcPr>
                  <w:tcW w:w="197" w:type="pct"/>
                  <w:tcBorders>
                    <w:tl2br w:val="nil"/>
                    <w:tr2bl w:val="nil"/>
                  </w:tcBorders>
                  <w:noWrap w:val="0"/>
                  <w:vAlign w:val="center"/>
                </w:tcPr>
                <w:p w14:paraId="4E802D5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152</w:t>
                  </w:r>
                </w:p>
              </w:tc>
              <w:tc>
                <w:tcPr>
                  <w:tcW w:w="206" w:type="pct"/>
                  <w:tcBorders>
                    <w:tl2br w:val="nil"/>
                    <w:tr2bl w:val="nil"/>
                  </w:tcBorders>
                  <w:noWrap w:val="0"/>
                  <w:vAlign w:val="center"/>
                </w:tcPr>
                <w:p w14:paraId="12BEAFF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宋体"/>
                      <w:b w:val="0"/>
                      <w:bCs w:val="0"/>
                      <w:color w:val="auto"/>
                      <w:spacing w:val="-2"/>
                      <w:sz w:val="21"/>
                      <w:szCs w:val="20"/>
                      <w:highlight w:val="none"/>
                      <w:lang w:val="en-US" w:eastAsia="zh-CN" w:bidi="ar-SA"/>
                    </w:rPr>
                  </w:pPr>
                  <w:r>
                    <w:rPr>
                      <w:rFonts w:hint="eastAsia" w:cs="宋体"/>
                      <w:b w:val="0"/>
                      <w:bCs w:val="0"/>
                      <w:color w:val="auto"/>
                      <w:spacing w:val="-2"/>
                      <w:sz w:val="21"/>
                      <w:szCs w:val="20"/>
                      <w:highlight w:val="none"/>
                      <w:lang w:val="en-US" w:eastAsia="zh-CN" w:bidi="ar-SA"/>
                    </w:rPr>
                    <w:t>14</w:t>
                  </w:r>
                </w:p>
              </w:tc>
              <w:tc>
                <w:tcPr>
                  <w:tcW w:w="189" w:type="pct"/>
                  <w:tcBorders>
                    <w:tl2br w:val="nil"/>
                    <w:tr2bl w:val="nil"/>
                  </w:tcBorders>
                  <w:noWrap w:val="0"/>
                  <w:vAlign w:val="center"/>
                </w:tcPr>
                <w:p w14:paraId="7382C7A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51</w:t>
                  </w:r>
                </w:p>
              </w:tc>
              <w:tc>
                <w:tcPr>
                  <w:tcW w:w="172" w:type="pct"/>
                  <w:tcBorders>
                    <w:tl2br w:val="nil"/>
                    <w:tr2bl w:val="nil"/>
                  </w:tcBorders>
                  <w:noWrap w:val="0"/>
                  <w:vAlign w:val="center"/>
                </w:tcPr>
                <w:p w14:paraId="1F08798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55</w:t>
                  </w:r>
                </w:p>
              </w:tc>
              <w:tc>
                <w:tcPr>
                  <w:tcW w:w="189" w:type="pct"/>
                  <w:tcBorders>
                    <w:tl2br w:val="nil"/>
                    <w:tr2bl w:val="nil"/>
                  </w:tcBorders>
                  <w:noWrap w:val="0"/>
                  <w:vAlign w:val="center"/>
                </w:tcPr>
                <w:p w14:paraId="3B441D5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41</w:t>
                  </w:r>
                </w:p>
              </w:tc>
              <w:tc>
                <w:tcPr>
                  <w:tcW w:w="204" w:type="pct"/>
                  <w:tcBorders>
                    <w:tl2br w:val="nil"/>
                    <w:tr2bl w:val="nil"/>
                  </w:tcBorders>
                  <w:noWrap w:val="0"/>
                  <w:vAlign w:val="center"/>
                </w:tcPr>
                <w:p w14:paraId="3313ABF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62</w:t>
                  </w:r>
                </w:p>
              </w:tc>
              <w:tc>
                <w:tcPr>
                  <w:tcW w:w="189" w:type="pct"/>
                  <w:tcBorders>
                    <w:tl2br w:val="nil"/>
                    <w:tr2bl w:val="nil"/>
                  </w:tcBorders>
                  <w:noWrap w:val="0"/>
                  <w:vAlign w:val="center"/>
                </w:tcPr>
                <w:p w14:paraId="4DFBDF3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val="0"/>
                      <w:bCs w:val="0"/>
                      <w:color w:val="auto"/>
                      <w:lang w:val="en-US" w:eastAsia="zh-CN"/>
                    </w:rPr>
                  </w:pPr>
                  <w:r>
                    <w:rPr>
                      <w:rFonts w:hint="eastAsia" w:cs="Times New Roman"/>
                      <w:b w:val="0"/>
                      <w:bCs w:val="0"/>
                      <w:snapToGrid/>
                      <w:color w:val="auto"/>
                      <w:spacing w:val="0"/>
                      <w:kern w:val="0"/>
                      <w:position w:val="0"/>
                      <w:sz w:val="21"/>
                      <w:szCs w:val="21"/>
                      <w:lang w:val="en-US" w:eastAsia="zh-CN"/>
                    </w:rPr>
                    <w:t>8</w:t>
                  </w:r>
                  <w:r>
                    <w:rPr>
                      <w:rFonts w:hint="eastAsia" w:ascii="Times New Roman" w:hAnsi="Times New Roman" w:eastAsia="宋体" w:cs="Times New Roman"/>
                      <w:b w:val="0"/>
                      <w:bCs w:val="0"/>
                      <w:snapToGrid/>
                      <w:color w:val="auto"/>
                      <w:spacing w:val="0"/>
                      <w:kern w:val="0"/>
                      <w:position w:val="0"/>
                      <w:sz w:val="21"/>
                      <w:szCs w:val="21"/>
                      <w:lang w:val="en-US" w:eastAsia="zh-CN"/>
                    </w:rPr>
                    <w:t>h</w:t>
                  </w:r>
                </w:p>
              </w:tc>
              <w:tc>
                <w:tcPr>
                  <w:tcW w:w="293" w:type="pct"/>
                  <w:tcBorders>
                    <w:tl2br w:val="nil"/>
                    <w:tr2bl w:val="nil"/>
                  </w:tcBorders>
                  <w:noWrap w:val="0"/>
                  <w:vAlign w:val="center"/>
                </w:tcPr>
                <w:p w14:paraId="713A0B73">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15</w:t>
                  </w:r>
                </w:p>
              </w:tc>
              <w:tc>
                <w:tcPr>
                  <w:tcW w:w="293" w:type="pct"/>
                  <w:tcBorders>
                    <w:tl2br w:val="nil"/>
                    <w:tr2bl w:val="nil"/>
                  </w:tcBorders>
                  <w:noWrap w:val="0"/>
                  <w:vAlign w:val="center"/>
                </w:tcPr>
                <w:p w14:paraId="7274130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b w:val="0"/>
                      <w:bCs w:val="0"/>
                      <w:color w:val="auto"/>
                      <w:sz w:val="21"/>
                      <w:szCs w:val="20"/>
                      <w:lang w:val="en-US" w:eastAsia="zh-CN"/>
                    </w:rPr>
                  </w:pPr>
                  <w:r>
                    <w:rPr>
                      <w:rFonts w:hint="eastAsia"/>
                      <w:b w:val="0"/>
                      <w:bCs w:val="0"/>
                      <w:color w:val="auto"/>
                      <w:sz w:val="21"/>
                      <w:szCs w:val="20"/>
                      <w:lang w:val="en-US" w:eastAsia="zh-CN"/>
                    </w:rPr>
                    <w:t>48</w:t>
                  </w:r>
                </w:p>
              </w:tc>
              <w:tc>
                <w:tcPr>
                  <w:tcW w:w="248" w:type="pct"/>
                  <w:tcBorders>
                    <w:tl2br w:val="nil"/>
                    <w:tr2bl w:val="nil"/>
                  </w:tcBorders>
                  <w:noWrap w:val="0"/>
                  <w:vAlign w:val="center"/>
                </w:tcPr>
                <w:p w14:paraId="608D18F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1m</w:t>
                  </w:r>
                </w:p>
              </w:tc>
            </w:tr>
            <w:tr w14:paraId="696E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9" w:type="pct"/>
                  <w:vMerge w:val="restart"/>
                  <w:tcBorders>
                    <w:tl2br w:val="nil"/>
                    <w:tr2bl w:val="nil"/>
                  </w:tcBorders>
                  <w:noWrap w:val="0"/>
                  <w:vAlign w:val="center"/>
                </w:tcPr>
                <w:p w14:paraId="3357FFA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eastAsia" w:ascii="Times New Roman" w:hAnsi="Times New Roman" w:eastAsia="宋体" w:cs="宋体"/>
                      <w:b w:val="0"/>
                      <w:bCs w:val="0"/>
                      <w:color w:val="auto"/>
                      <w:spacing w:val="-2"/>
                      <w:sz w:val="21"/>
                      <w:szCs w:val="20"/>
                      <w:lang w:val="en-US" w:eastAsia="zh-CN" w:bidi="ar-SA"/>
                    </w:rPr>
                  </w:pPr>
                  <w:r>
                    <w:rPr>
                      <w:rFonts w:hint="eastAsia"/>
                      <w:b w:val="0"/>
                      <w:bCs w:val="0"/>
                      <w:color w:val="auto"/>
                      <w:lang w:val="en-US" w:eastAsia="zh-CN"/>
                    </w:rPr>
                    <w:t>3</w:t>
                  </w:r>
                </w:p>
              </w:tc>
              <w:tc>
                <w:tcPr>
                  <w:tcW w:w="169" w:type="pct"/>
                  <w:vMerge w:val="continue"/>
                  <w:tcBorders>
                    <w:tl2br w:val="nil"/>
                    <w:tr2bl w:val="nil"/>
                  </w:tcBorders>
                  <w:noWrap w:val="0"/>
                  <w:vAlign w:val="center"/>
                </w:tcPr>
                <w:p w14:paraId="18EDE252">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469" w:type="pct"/>
                  <w:vMerge w:val="restart"/>
                  <w:tcBorders>
                    <w:tl2br w:val="nil"/>
                    <w:tr2bl w:val="nil"/>
                  </w:tcBorders>
                  <w:noWrap w:val="0"/>
                  <w:vAlign w:val="center"/>
                </w:tcPr>
                <w:p w14:paraId="190CA9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4"/>
                      <w:highlight w:val="none"/>
                      <w:lang w:val="en-US" w:eastAsia="zh-CN" w:bidi="ar-SA"/>
                    </w:rPr>
                  </w:pPr>
                  <w:r>
                    <w:rPr>
                      <w:rFonts w:hint="eastAsia" w:cs="Times New Roman"/>
                      <w:b w:val="0"/>
                      <w:bCs w:val="0"/>
                      <w:snapToGrid/>
                      <w:color w:val="auto"/>
                      <w:spacing w:val="0"/>
                      <w:kern w:val="0"/>
                      <w:position w:val="0"/>
                      <w:sz w:val="21"/>
                      <w:szCs w:val="24"/>
                      <w:highlight w:val="none"/>
                      <w:lang w:val="en-US" w:eastAsia="zh-CN" w:bidi="ar-SA"/>
                    </w:rPr>
                    <w:t>高精密无心磨床</w:t>
                  </w:r>
                </w:p>
              </w:tc>
              <w:tc>
                <w:tcPr>
                  <w:tcW w:w="486" w:type="pct"/>
                  <w:tcBorders>
                    <w:tl2br w:val="nil"/>
                    <w:tr2bl w:val="nil"/>
                  </w:tcBorders>
                  <w:noWrap w:val="0"/>
                  <w:vAlign w:val="center"/>
                </w:tcPr>
                <w:p w14:paraId="7F12E3A3">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default" w:ascii="Times New Roman" w:hAnsi="Times New Roman" w:eastAsia="宋体" w:cs="Times New Roman"/>
                      <w:color w:val="auto"/>
                      <w:sz w:val="21"/>
                      <w:szCs w:val="21"/>
                    </w:rPr>
                    <w:t>MGM</w:t>
                  </w:r>
                  <w:r>
                    <w:rPr>
                      <w:rFonts w:hint="eastAsia" w:cs="Times New Roman"/>
                      <w:color w:val="auto"/>
                      <w:sz w:val="21"/>
                      <w:szCs w:val="21"/>
                      <w:lang w:val="en-US" w:eastAsia="zh-CN"/>
                    </w:rPr>
                    <w:t>11100</w:t>
                  </w:r>
                </w:p>
              </w:tc>
              <w:tc>
                <w:tcPr>
                  <w:tcW w:w="293" w:type="pct"/>
                  <w:vMerge w:val="restart"/>
                  <w:tcBorders>
                    <w:tl2br w:val="nil"/>
                    <w:tr2bl w:val="nil"/>
                  </w:tcBorders>
                  <w:noWrap w:val="0"/>
                  <w:vAlign w:val="center"/>
                </w:tcPr>
                <w:p w14:paraId="3B17277B">
                  <w:pPr>
                    <w:widowControl/>
                    <w:jc w:val="center"/>
                    <w:rPr>
                      <w:rFonts w:hint="default" w:ascii="Times New Roman" w:hAnsi="Times New Roman" w:eastAsia="宋体" w:cs="Times New Roman"/>
                      <w:b w:val="0"/>
                      <w:bCs w:val="0"/>
                      <w:snapToGrid/>
                      <w:color w:val="auto"/>
                      <w:spacing w:val="0"/>
                      <w:kern w:val="0"/>
                      <w:position w:val="0"/>
                      <w:sz w:val="21"/>
                      <w:szCs w:val="22"/>
                      <w:lang w:val="en-US" w:eastAsia="zh-CN" w:bidi="ar-SA"/>
                    </w:rPr>
                  </w:pPr>
                  <w:r>
                    <w:rPr>
                      <w:rFonts w:hint="eastAsia" w:cs="Times New Roman"/>
                      <w:b w:val="0"/>
                      <w:bCs w:val="0"/>
                      <w:snapToGrid/>
                      <w:color w:val="auto"/>
                      <w:spacing w:val="0"/>
                      <w:kern w:val="0"/>
                      <w:position w:val="0"/>
                      <w:sz w:val="21"/>
                      <w:szCs w:val="22"/>
                      <w:lang w:val="en-US" w:eastAsia="zh-CN" w:bidi="ar-SA"/>
                    </w:rPr>
                    <w:t>85</w:t>
                  </w:r>
                </w:p>
              </w:tc>
              <w:tc>
                <w:tcPr>
                  <w:tcW w:w="256" w:type="pct"/>
                  <w:vMerge w:val="continue"/>
                  <w:tcBorders>
                    <w:tl2br w:val="nil"/>
                    <w:tr2bl w:val="nil"/>
                  </w:tcBorders>
                  <w:noWrap w:val="0"/>
                  <w:vAlign w:val="center"/>
                </w:tcPr>
                <w:p w14:paraId="25BB6B2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212" w:type="pct"/>
                  <w:tcBorders>
                    <w:tl2br w:val="nil"/>
                    <w:tr2bl w:val="nil"/>
                  </w:tcBorders>
                  <w:noWrap w:val="0"/>
                  <w:vAlign w:val="center"/>
                </w:tcPr>
                <w:p w14:paraId="139096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-22</w:t>
                  </w:r>
                </w:p>
              </w:tc>
              <w:tc>
                <w:tcPr>
                  <w:tcW w:w="195" w:type="pct"/>
                  <w:tcBorders>
                    <w:tl2br w:val="nil"/>
                    <w:tr2bl w:val="nil"/>
                  </w:tcBorders>
                  <w:noWrap w:val="0"/>
                  <w:vAlign w:val="center"/>
                </w:tcPr>
                <w:p w14:paraId="7BCBD71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15</w:t>
                  </w:r>
                </w:p>
              </w:tc>
              <w:tc>
                <w:tcPr>
                  <w:tcW w:w="184" w:type="pct"/>
                  <w:tcBorders>
                    <w:tl2br w:val="nil"/>
                    <w:tr2bl w:val="nil"/>
                  </w:tcBorders>
                  <w:noWrap w:val="0"/>
                  <w:vAlign w:val="center"/>
                </w:tcPr>
                <w:p w14:paraId="6EFB68B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w:t>
                  </w:r>
                </w:p>
              </w:tc>
              <w:tc>
                <w:tcPr>
                  <w:tcW w:w="197" w:type="pct"/>
                  <w:tcBorders>
                    <w:tl2br w:val="nil"/>
                    <w:tr2bl w:val="nil"/>
                  </w:tcBorders>
                  <w:noWrap w:val="0"/>
                  <w:vAlign w:val="center"/>
                </w:tcPr>
                <w:p w14:paraId="0E4BDC10">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73</w:t>
                  </w:r>
                </w:p>
              </w:tc>
              <w:tc>
                <w:tcPr>
                  <w:tcW w:w="187" w:type="pct"/>
                  <w:tcBorders>
                    <w:tl2br w:val="nil"/>
                    <w:tr2bl w:val="nil"/>
                  </w:tcBorders>
                  <w:noWrap w:val="0"/>
                  <w:vAlign w:val="center"/>
                </w:tcPr>
                <w:p w14:paraId="306D631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31</w:t>
                  </w:r>
                </w:p>
              </w:tc>
              <w:tc>
                <w:tcPr>
                  <w:tcW w:w="197" w:type="pct"/>
                  <w:tcBorders>
                    <w:tl2br w:val="nil"/>
                    <w:tr2bl w:val="nil"/>
                  </w:tcBorders>
                  <w:noWrap w:val="0"/>
                  <w:vAlign w:val="center"/>
                </w:tcPr>
                <w:p w14:paraId="7FE5D230">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127</w:t>
                  </w:r>
                </w:p>
              </w:tc>
              <w:tc>
                <w:tcPr>
                  <w:tcW w:w="206" w:type="pct"/>
                  <w:tcBorders>
                    <w:tl2br w:val="nil"/>
                    <w:tr2bl w:val="nil"/>
                  </w:tcBorders>
                  <w:noWrap w:val="0"/>
                  <w:vAlign w:val="center"/>
                </w:tcPr>
                <w:p w14:paraId="39E1E36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宋体"/>
                      <w:b w:val="0"/>
                      <w:bCs w:val="0"/>
                      <w:color w:val="auto"/>
                      <w:spacing w:val="-2"/>
                      <w:sz w:val="21"/>
                      <w:szCs w:val="20"/>
                      <w:highlight w:val="none"/>
                      <w:lang w:val="en-US" w:eastAsia="zh-CN" w:bidi="ar-SA"/>
                    </w:rPr>
                  </w:pPr>
                  <w:r>
                    <w:rPr>
                      <w:rFonts w:hint="eastAsia" w:cs="宋体"/>
                      <w:b w:val="0"/>
                      <w:bCs w:val="0"/>
                      <w:color w:val="auto"/>
                      <w:spacing w:val="-2"/>
                      <w:sz w:val="21"/>
                      <w:szCs w:val="20"/>
                      <w:highlight w:val="none"/>
                      <w:lang w:val="en-US" w:eastAsia="zh-CN" w:bidi="ar-SA"/>
                    </w:rPr>
                    <w:t>14</w:t>
                  </w:r>
                </w:p>
              </w:tc>
              <w:tc>
                <w:tcPr>
                  <w:tcW w:w="189" w:type="pct"/>
                  <w:tcBorders>
                    <w:tl2br w:val="nil"/>
                    <w:tr2bl w:val="nil"/>
                  </w:tcBorders>
                  <w:noWrap w:val="0"/>
                  <w:vAlign w:val="center"/>
                </w:tcPr>
                <w:p w14:paraId="10933DEA">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47</w:t>
                  </w:r>
                </w:p>
              </w:tc>
              <w:tc>
                <w:tcPr>
                  <w:tcW w:w="172" w:type="pct"/>
                  <w:tcBorders>
                    <w:tl2br w:val="nil"/>
                    <w:tr2bl w:val="nil"/>
                  </w:tcBorders>
                  <w:noWrap w:val="0"/>
                  <w:vAlign w:val="center"/>
                </w:tcPr>
                <w:p w14:paraId="1E2CCE8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55</w:t>
                  </w:r>
                </w:p>
              </w:tc>
              <w:tc>
                <w:tcPr>
                  <w:tcW w:w="189" w:type="pct"/>
                  <w:tcBorders>
                    <w:tl2br w:val="nil"/>
                    <w:tr2bl w:val="nil"/>
                  </w:tcBorders>
                  <w:noWrap w:val="0"/>
                  <w:vAlign w:val="center"/>
                </w:tcPr>
                <w:p w14:paraId="435D17E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42</w:t>
                  </w:r>
                </w:p>
              </w:tc>
              <w:tc>
                <w:tcPr>
                  <w:tcW w:w="204" w:type="pct"/>
                  <w:tcBorders>
                    <w:tl2br w:val="nil"/>
                    <w:tr2bl w:val="nil"/>
                  </w:tcBorders>
                  <w:noWrap w:val="0"/>
                  <w:vAlign w:val="center"/>
                </w:tcPr>
                <w:p w14:paraId="5F03450D">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62</w:t>
                  </w:r>
                </w:p>
              </w:tc>
              <w:tc>
                <w:tcPr>
                  <w:tcW w:w="189" w:type="pct"/>
                  <w:vMerge w:val="restart"/>
                  <w:tcBorders>
                    <w:tl2br w:val="nil"/>
                    <w:tr2bl w:val="nil"/>
                  </w:tcBorders>
                  <w:noWrap w:val="0"/>
                  <w:vAlign w:val="center"/>
                </w:tcPr>
                <w:p w14:paraId="2B0ED34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val="0"/>
                      <w:bCs w:val="0"/>
                      <w:color w:val="auto"/>
                      <w:lang w:val="en-US" w:eastAsia="zh-CN"/>
                    </w:rPr>
                  </w:pPr>
                  <w:r>
                    <w:rPr>
                      <w:rFonts w:hint="eastAsia" w:cs="Times New Roman"/>
                      <w:b w:val="0"/>
                      <w:bCs w:val="0"/>
                      <w:snapToGrid/>
                      <w:color w:val="auto"/>
                      <w:spacing w:val="0"/>
                      <w:kern w:val="0"/>
                      <w:position w:val="0"/>
                      <w:sz w:val="21"/>
                      <w:szCs w:val="21"/>
                      <w:lang w:val="en-US" w:eastAsia="zh-CN"/>
                    </w:rPr>
                    <w:t>8</w:t>
                  </w:r>
                  <w:r>
                    <w:rPr>
                      <w:rFonts w:hint="eastAsia" w:ascii="Times New Roman" w:hAnsi="Times New Roman" w:eastAsia="宋体" w:cs="Times New Roman"/>
                      <w:b w:val="0"/>
                      <w:bCs w:val="0"/>
                      <w:snapToGrid/>
                      <w:color w:val="auto"/>
                      <w:spacing w:val="0"/>
                      <w:kern w:val="0"/>
                      <w:position w:val="0"/>
                      <w:sz w:val="21"/>
                      <w:szCs w:val="21"/>
                      <w:lang w:val="en-US" w:eastAsia="zh-CN"/>
                    </w:rPr>
                    <w:t>h</w:t>
                  </w:r>
                </w:p>
              </w:tc>
              <w:tc>
                <w:tcPr>
                  <w:tcW w:w="293" w:type="pct"/>
                  <w:vMerge w:val="restart"/>
                  <w:tcBorders>
                    <w:tl2br w:val="nil"/>
                    <w:tr2bl w:val="nil"/>
                  </w:tcBorders>
                  <w:noWrap w:val="0"/>
                  <w:vAlign w:val="center"/>
                </w:tcPr>
                <w:p w14:paraId="31EDE2BA">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15</w:t>
                  </w:r>
                </w:p>
              </w:tc>
              <w:tc>
                <w:tcPr>
                  <w:tcW w:w="293" w:type="pct"/>
                  <w:tcBorders>
                    <w:tl2br w:val="nil"/>
                    <w:tr2bl w:val="nil"/>
                  </w:tcBorders>
                  <w:noWrap w:val="0"/>
                  <w:vAlign w:val="center"/>
                </w:tcPr>
                <w:p w14:paraId="46498E8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sz w:val="21"/>
                      <w:szCs w:val="20"/>
                      <w:lang w:val="en-US" w:eastAsia="zh-CN"/>
                    </w:rPr>
                  </w:pPr>
                  <w:r>
                    <w:rPr>
                      <w:rFonts w:hint="eastAsia"/>
                      <w:b w:val="0"/>
                      <w:bCs w:val="0"/>
                      <w:color w:val="auto"/>
                      <w:sz w:val="21"/>
                      <w:szCs w:val="20"/>
                      <w:lang w:val="en-US" w:eastAsia="zh-CN"/>
                    </w:rPr>
                    <w:t>47</w:t>
                  </w:r>
                </w:p>
              </w:tc>
              <w:tc>
                <w:tcPr>
                  <w:tcW w:w="248" w:type="pct"/>
                  <w:vMerge w:val="restart"/>
                  <w:tcBorders>
                    <w:tl2br w:val="nil"/>
                    <w:tr2bl w:val="nil"/>
                  </w:tcBorders>
                  <w:noWrap w:val="0"/>
                  <w:vAlign w:val="center"/>
                </w:tcPr>
                <w:p w14:paraId="4124947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b w:val="0"/>
                      <w:bCs w:val="0"/>
                      <w:color w:val="auto"/>
                      <w:lang w:val="en-US" w:eastAsia="zh-CN"/>
                    </w:rPr>
                  </w:pPr>
                  <w:r>
                    <w:rPr>
                      <w:rFonts w:hint="eastAsia"/>
                      <w:b w:val="0"/>
                      <w:bCs w:val="0"/>
                      <w:color w:val="auto"/>
                      <w:lang w:val="en-US" w:eastAsia="zh-CN"/>
                    </w:rPr>
                    <w:t>1m</w:t>
                  </w:r>
                </w:p>
              </w:tc>
            </w:tr>
            <w:tr w14:paraId="6F49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 w:type="pct"/>
                  <w:vMerge w:val="continue"/>
                  <w:tcBorders>
                    <w:tl2br w:val="nil"/>
                    <w:tr2bl w:val="nil"/>
                  </w:tcBorders>
                  <w:noWrap w:val="0"/>
                  <w:vAlign w:val="center"/>
                </w:tcPr>
                <w:p w14:paraId="3786480B">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color w:val="auto"/>
                    </w:rPr>
                  </w:pPr>
                </w:p>
              </w:tc>
              <w:tc>
                <w:tcPr>
                  <w:tcW w:w="169" w:type="pct"/>
                  <w:vMerge w:val="continue"/>
                  <w:tcBorders>
                    <w:tl2br w:val="nil"/>
                    <w:tr2bl w:val="nil"/>
                  </w:tcBorders>
                  <w:noWrap w:val="0"/>
                  <w:vAlign w:val="center"/>
                </w:tcPr>
                <w:p w14:paraId="2190120E">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color w:val="auto"/>
                    </w:rPr>
                  </w:pPr>
                </w:p>
              </w:tc>
              <w:tc>
                <w:tcPr>
                  <w:tcW w:w="469" w:type="pct"/>
                  <w:vMerge w:val="continue"/>
                  <w:tcBorders>
                    <w:tl2br w:val="nil"/>
                    <w:tr2bl w:val="nil"/>
                  </w:tcBorders>
                  <w:noWrap w:val="0"/>
                  <w:vAlign w:val="center"/>
                </w:tcPr>
                <w:p w14:paraId="629BB6D0">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color w:val="auto"/>
                    </w:rPr>
                  </w:pPr>
                </w:p>
              </w:tc>
              <w:tc>
                <w:tcPr>
                  <w:tcW w:w="486" w:type="pct"/>
                  <w:tcBorders>
                    <w:tl2br w:val="nil"/>
                    <w:tr2bl w:val="nil"/>
                  </w:tcBorders>
                  <w:noWrap w:val="0"/>
                  <w:vAlign w:val="center"/>
                </w:tcPr>
                <w:p w14:paraId="5829DB8A">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default" w:ascii="Times New Roman" w:hAnsi="Times New Roman" w:eastAsia="宋体" w:cs="Times New Roman"/>
                      <w:color w:val="auto"/>
                      <w:sz w:val="21"/>
                      <w:szCs w:val="21"/>
                    </w:rPr>
                    <w:t>MGM</w:t>
                  </w:r>
                  <w:r>
                    <w:rPr>
                      <w:rFonts w:hint="eastAsia" w:cs="Times New Roman"/>
                      <w:color w:val="auto"/>
                      <w:sz w:val="21"/>
                      <w:szCs w:val="21"/>
                      <w:lang w:val="en-US" w:eastAsia="zh-CN"/>
                    </w:rPr>
                    <w:t>11200</w:t>
                  </w:r>
                </w:p>
              </w:tc>
              <w:tc>
                <w:tcPr>
                  <w:tcW w:w="293" w:type="pct"/>
                  <w:vMerge w:val="continue"/>
                  <w:tcBorders>
                    <w:tl2br w:val="nil"/>
                    <w:tr2bl w:val="nil"/>
                  </w:tcBorders>
                  <w:noWrap w:val="0"/>
                  <w:vAlign w:val="center"/>
                </w:tcPr>
                <w:p w14:paraId="53EAFFC2">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lang w:val="en-US" w:eastAsia="zh-CN" w:bidi="ar-SA"/>
                    </w:rPr>
                  </w:pPr>
                </w:p>
              </w:tc>
              <w:tc>
                <w:tcPr>
                  <w:tcW w:w="256" w:type="pct"/>
                  <w:vMerge w:val="continue"/>
                  <w:tcBorders>
                    <w:tl2br w:val="nil"/>
                    <w:tr2bl w:val="nil"/>
                  </w:tcBorders>
                  <w:noWrap w:val="0"/>
                  <w:vAlign w:val="center"/>
                </w:tcPr>
                <w:p w14:paraId="5EC3BCDC">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lang w:val="en-US" w:eastAsia="zh-CN" w:bidi="ar-SA"/>
                    </w:rPr>
                  </w:pPr>
                </w:p>
              </w:tc>
              <w:tc>
                <w:tcPr>
                  <w:tcW w:w="212" w:type="pct"/>
                  <w:tcBorders>
                    <w:tl2br w:val="nil"/>
                    <w:tr2bl w:val="nil"/>
                  </w:tcBorders>
                  <w:noWrap w:val="0"/>
                  <w:vAlign w:val="center"/>
                </w:tcPr>
                <w:p w14:paraId="00166A21">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-23</w:t>
                  </w:r>
                </w:p>
              </w:tc>
              <w:tc>
                <w:tcPr>
                  <w:tcW w:w="195" w:type="pct"/>
                  <w:tcBorders>
                    <w:tl2br w:val="nil"/>
                    <w:tr2bl w:val="nil"/>
                  </w:tcBorders>
                  <w:noWrap w:val="0"/>
                  <w:vAlign w:val="center"/>
                </w:tcPr>
                <w:p w14:paraId="16849353">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14</w:t>
                  </w:r>
                </w:p>
              </w:tc>
              <w:tc>
                <w:tcPr>
                  <w:tcW w:w="184" w:type="pct"/>
                  <w:tcBorders>
                    <w:tl2br w:val="nil"/>
                    <w:tr2bl w:val="nil"/>
                  </w:tcBorders>
                  <w:noWrap w:val="0"/>
                  <w:vAlign w:val="center"/>
                </w:tcPr>
                <w:p w14:paraId="723FB65E">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w:t>
                  </w:r>
                </w:p>
              </w:tc>
              <w:tc>
                <w:tcPr>
                  <w:tcW w:w="197" w:type="pct"/>
                  <w:tcBorders>
                    <w:tl2br w:val="nil"/>
                    <w:tr2bl w:val="nil"/>
                  </w:tcBorders>
                  <w:noWrap w:val="0"/>
                  <w:vAlign w:val="center"/>
                </w:tcPr>
                <w:p w14:paraId="26641F8B">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74</w:t>
                  </w:r>
                </w:p>
              </w:tc>
              <w:tc>
                <w:tcPr>
                  <w:tcW w:w="187" w:type="pct"/>
                  <w:tcBorders>
                    <w:tl2br w:val="nil"/>
                    <w:tr2bl w:val="nil"/>
                  </w:tcBorders>
                  <w:noWrap w:val="0"/>
                  <w:vAlign w:val="center"/>
                </w:tcPr>
                <w:p w14:paraId="313C4AD3">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31</w:t>
                  </w:r>
                </w:p>
              </w:tc>
              <w:tc>
                <w:tcPr>
                  <w:tcW w:w="197" w:type="pct"/>
                  <w:tcBorders>
                    <w:tl2br w:val="nil"/>
                    <w:tr2bl w:val="nil"/>
                  </w:tcBorders>
                  <w:noWrap w:val="0"/>
                  <w:vAlign w:val="center"/>
                </w:tcPr>
                <w:p w14:paraId="31BF2854">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126</w:t>
                  </w:r>
                </w:p>
              </w:tc>
              <w:tc>
                <w:tcPr>
                  <w:tcW w:w="206" w:type="pct"/>
                  <w:tcBorders>
                    <w:tl2br w:val="nil"/>
                    <w:tr2bl w:val="nil"/>
                  </w:tcBorders>
                  <w:noWrap w:val="0"/>
                  <w:vAlign w:val="center"/>
                </w:tcPr>
                <w:p w14:paraId="03459225">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14</w:t>
                  </w:r>
                </w:p>
              </w:tc>
              <w:tc>
                <w:tcPr>
                  <w:tcW w:w="189" w:type="pct"/>
                  <w:tcBorders>
                    <w:tl2br w:val="nil"/>
                    <w:tr2bl w:val="nil"/>
                  </w:tcBorders>
                  <w:noWrap w:val="0"/>
                  <w:vAlign w:val="center"/>
                </w:tcPr>
                <w:p w14:paraId="4F48F7E5">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47</w:t>
                  </w:r>
                </w:p>
              </w:tc>
              <w:tc>
                <w:tcPr>
                  <w:tcW w:w="172" w:type="pct"/>
                  <w:tcBorders>
                    <w:tl2br w:val="nil"/>
                    <w:tr2bl w:val="nil"/>
                  </w:tcBorders>
                  <w:noWrap w:val="0"/>
                  <w:vAlign w:val="center"/>
                </w:tcPr>
                <w:p w14:paraId="7CFF0831">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55</w:t>
                  </w:r>
                </w:p>
              </w:tc>
              <w:tc>
                <w:tcPr>
                  <w:tcW w:w="189" w:type="pct"/>
                  <w:tcBorders>
                    <w:tl2br w:val="nil"/>
                    <w:tr2bl w:val="nil"/>
                  </w:tcBorders>
                  <w:noWrap w:val="0"/>
                  <w:vAlign w:val="center"/>
                </w:tcPr>
                <w:p w14:paraId="64D80657">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43</w:t>
                  </w:r>
                </w:p>
              </w:tc>
              <w:tc>
                <w:tcPr>
                  <w:tcW w:w="204" w:type="pct"/>
                  <w:tcBorders>
                    <w:tl2br w:val="nil"/>
                    <w:tr2bl w:val="nil"/>
                  </w:tcBorders>
                  <w:noWrap w:val="0"/>
                  <w:vAlign w:val="center"/>
                </w:tcPr>
                <w:p w14:paraId="16190F30">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62</w:t>
                  </w:r>
                </w:p>
              </w:tc>
              <w:tc>
                <w:tcPr>
                  <w:tcW w:w="189" w:type="pct"/>
                  <w:vMerge w:val="continue"/>
                  <w:tcBorders>
                    <w:tl2br w:val="nil"/>
                    <w:tr2bl w:val="nil"/>
                  </w:tcBorders>
                  <w:noWrap w:val="0"/>
                  <w:vAlign w:val="center"/>
                </w:tcPr>
                <w:p w14:paraId="646159A8">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lang w:val="en-US" w:eastAsia="zh-CN" w:bidi="ar-SA"/>
                    </w:rPr>
                  </w:pPr>
                </w:p>
              </w:tc>
              <w:tc>
                <w:tcPr>
                  <w:tcW w:w="293" w:type="pct"/>
                  <w:vMerge w:val="continue"/>
                  <w:tcBorders>
                    <w:tl2br w:val="nil"/>
                    <w:tr2bl w:val="nil"/>
                  </w:tcBorders>
                  <w:noWrap w:val="0"/>
                  <w:vAlign w:val="center"/>
                </w:tcPr>
                <w:p w14:paraId="62412BBA">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lang w:val="en-US" w:eastAsia="zh-CN" w:bidi="ar-SA"/>
                    </w:rPr>
                  </w:pPr>
                </w:p>
              </w:tc>
              <w:tc>
                <w:tcPr>
                  <w:tcW w:w="293" w:type="pct"/>
                  <w:tcBorders>
                    <w:tl2br w:val="nil"/>
                    <w:tr2bl w:val="nil"/>
                  </w:tcBorders>
                  <w:noWrap w:val="0"/>
                  <w:vAlign w:val="center"/>
                </w:tcPr>
                <w:p w14:paraId="09003B55">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47</w:t>
                  </w:r>
                </w:p>
              </w:tc>
              <w:tc>
                <w:tcPr>
                  <w:tcW w:w="248" w:type="pct"/>
                  <w:vMerge w:val="continue"/>
                  <w:tcBorders>
                    <w:tl2br w:val="nil"/>
                    <w:tr2bl w:val="nil"/>
                  </w:tcBorders>
                  <w:noWrap w:val="0"/>
                  <w:vAlign w:val="center"/>
                </w:tcPr>
                <w:p w14:paraId="698B9F03">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lang w:val="en-US" w:eastAsia="zh-CN" w:bidi="ar-SA"/>
                    </w:rPr>
                  </w:pPr>
                </w:p>
              </w:tc>
            </w:tr>
            <w:tr w14:paraId="3C44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tcBorders>
                    <w:tl2br w:val="nil"/>
                    <w:tr2bl w:val="nil"/>
                  </w:tcBorders>
                  <w:noWrap w:val="0"/>
                  <w:vAlign w:val="center"/>
                </w:tcPr>
                <w:p w14:paraId="7573E0A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lang w:val="en-US" w:eastAsia="zh-CN"/>
                    </w:rPr>
                  </w:pPr>
                  <w:r>
                    <w:rPr>
                      <w:rFonts w:hint="eastAsia"/>
                      <w:b w:val="0"/>
                      <w:bCs w:val="0"/>
                      <w:color w:val="auto"/>
                      <w:lang w:val="en-US" w:eastAsia="zh-CN"/>
                    </w:rPr>
                    <w:t>4</w:t>
                  </w:r>
                </w:p>
              </w:tc>
              <w:tc>
                <w:tcPr>
                  <w:tcW w:w="169" w:type="pct"/>
                  <w:vMerge w:val="continue"/>
                  <w:tcBorders>
                    <w:tl2br w:val="nil"/>
                    <w:tr2bl w:val="nil"/>
                  </w:tcBorders>
                  <w:noWrap w:val="0"/>
                  <w:vAlign w:val="center"/>
                </w:tcPr>
                <w:p w14:paraId="5274D2B2">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469" w:type="pct"/>
                  <w:tcBorders>
                    <w:tl2br w:val="nil"/>
                    <w:tr2bl w:val="nil"/>
                  </w:tcBorders>
                  <w:noWrap w:val="0"/>
                  <w:vAlign w:val="center"/>
                </w:tcPr>
                <w:p w14:paraId="21483B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空气回火炉</w:t>
                  </w:r>
                </w:p>
              </w:tc>
              <w:tc>
                <w:tcPr>
                  <w:tcW w:w="486" w:type="pct"/>
                  <w:tcBorders>
                    <w:tl2br w:val="nil"/>
                    <w:tr2bl w:val="nil"/>
                  </w:tcBorders>
                  <w:noWrap w:val="0"/>
                  <w:vAlign w:val="center"/>
                </w:tcPr>
                <w:p w14:paraId="3AC62AE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w:t>
                  </w:r>
                </w:p>
              </w:tc>
              <w:tc>
                <w:tcPr>
                  <w:tcW w:w="293" w:type="pct"/>
                  <w:tcBorders>
                    <w:tl2br w:val="nil"/>
                    <w:tr2bl w:val="nil"/>
                  </w:tcBorders>
                  <w:noWrap w:val="0"/>
                  <w:vAlign w:val="center"/>
                </w:tcPr>
                <w:p w14:paraId="44313925">
                  <w:pPr>
                    <w:widowControl/>
                    <w:jc w:val="center"/>
                    <w:rPr>
                      <w:rFonts w:hint="default" w:cs="Times New Roman"/>
                      <w:b w:val="0"/>
                      <w:bCs w:val="0"/>
                      <w:snapToGrid/>
                      <w:color w:val="auto"/>
                      <w:spacing w:val="0"/>
                      <w:kern w:val="0"/>
                      <w:position w:val="0"/>
                      <w:sz w:val="21"/>
                      <w:szCs w:val="22"/>
                      <w:lang w:val="en-US" w:eastAsia="zh-CN" w:bidi="ar-SA"/>
                    </w:rPr>
                  </w:pPr>
                  <w:r>
                    <w:rPr>
                      <w:rFonts w:hint="eastAsia" w:cs="Times New Roman"/>
                      <w:b w:val="0"/>
                      <w:bCs w:val="0"/>
                      <w:snapToGrid/>
                      <w:color w:val="auto"/>
                      <w:spacing w:val="0"/>
                      <w:kern w:val="0"/>
                      <w:position w:val="0"/>
                      <w:sz w:val="21"/>
                      <w:szCs w:val="22"/>
                      <w:lang w:val="en-US" w:eastAsia="zh-CN" w:bidi="ar-SA"/>
                    </w:rPr>
                    <w:t>80</w:t>
                  </w:r>
                </w:p>
              </w:tc>
              <w:tc>
                <w:tcPr>
                  <w:tcW w:w="256" w:type="pct"/>
                  <w:vMerge w:val="continue"/>
                  <w:tcBorders>
                    <w:tl2br w:val="nil"/>
                    <w:tr2bl w:val="nil"/>
                  </w:tcBorders>
                  <w:noWrap w:val="0"/>
                  <w:vAlign w:val="center"/>
                </w:tcPr>
                <w:p w14:paraId="3A12A5D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212" w:type="pct"/>
                  <w:tcBorders>
                    <w:tl2br w:val="nil"/>
                    <w:tr2bl w:val="nil"/>
                  </w:tcBorders>
                  <w:noWrap w:val="0"/>
                  <w:vAlign w:val="center"/>
                </w:tcPr>
                <w:p w14:paraId="474288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0</w:t>
                  </w:r>
                </w:p>
              </w:tc>
              <w:tc>
                <w:tcPr>
                  <w:tcW w:w="195" w:type="pct"/>
                  <w:tcBorders>
                    <w:tl2br w:val="nil"/>
                    <w:tr2bl w:val="nil"/>
                  </w:tcBorders>
                  <w:noWrap w:val="0"/>
                  <w:vAlign w:val="center"/>
                </w:tcPr>
                <w:p w14:paraId="768B3A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11</w:t>
                  </w:r>
                </w:p>
              </w:tc>
              <w:tc>
                <w:tcPr>
                  <w:tcW w:w="184" w:type="pct"/>
                  <w:tcBorders>
                    <w:tl2br w:val="nil"/>
                    <w:tr2bl w:val="nil"/>
                  </w:tcBorders>
                  <w:noWrap w:val="0"/>
                  <w:vAlign w:val="center"/>
                </w:tcPr>
                <w:p w14:paraId="406337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w:t>
                  </w:r>
                </w:p>
              </w:tc>
              <w:tc>
                <w:tcPr>
                  <w:tcW w:w="197" w:type="pct"/>
                  <w:tcBorders>
                    <w:tl2br w:val="nil"/>
                    <w:tr2bl w:val="nil"/>
                  </w:tcBorders>
                  <w:noWrap w:val="0"/>
                  <w:vAlign w:val="center"/>
                </w:tcPr>
                <w:p w14:paraId="1179E38A">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97</w:t>
                  </w:r>
                </w:p>
              </w:tc>
              <w:tc>
                <w:tcPr>
                  <w:tcW w:w="187" w:type="pct"/>
                  <w:tcBorders>
                    <w:tl2br w:val="nil"/>
                    <w:tr2bl w:val="nil"/>
                  </w:tcBorders>
                  <w:noWrap w:val="0"/>
                  <w:vAlign w:val="center"/>
                </w:tcPr>
                <w:p w14:paraId="4890202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31</w:t>
                  </w:r>
                </w:p>
              </w:tc>
              <w:tc>
                <w:tcPr>
                  <w:tcW w:w="197" w:type="pct"/>
                  <w:tcBorders>
                    <w:tl2br w:val="nil"/>
                    <w:tr2bl w:val="nil"/>
                  </w:tcBorders>
                  <w:noWrap w:val="0"/>
                  <w:vAlign w:val="center"/>
                </w:tcPr>
                <w:p w14:paraId="0C11CB8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103</w:t>
                  </w:r>
                </w:p>
              </w:tc>
              <w:tc>
                <w:tcPr>
                  <w:tcW w:w="206" w:type="pct"/>
                  <w:tcBorders>
                    <w:tl2br w:val="nil"/>
                    <w:tr2bl w:val="nil"/>
                  </w:tcBorders>
                  <w:noWrap w:val="0"/>
                  <w:vAlign w:val="center"/>
                </w:tcPr>
                <w:p w14:paraId="50D505F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宋体"/>
                      <w:b w:val="0"/>
                      <w:bCs w:val="0"/>
                      <w:color w:val="auto"/>
                      <w:spacing w:val="-2"/>
                      <w:sz w:val="21"/>
                      <w:szCs w:val="20"/>
                      <w:highlight w:val="none"/>
                      <w:lang w:val="en-US" w:eastAsia="zh-CN" w:bidi="ar-SA"/>
                    </w:rPr>
                  </w:pPr>
                  <w:r>
                    <w:rPr>
                      <w:rFonts w:hint="eastAsia" w:cs="宋体"/>
                      <w:b w:val="0"/>
                      <w:bCs w:val="0"/>
                      <w:color w:val="auto"/>
                      <w:spacing w:val="-2"/>
                      <w:sz w:val="21"/>
                      <w:szCs w:val="20"/>
                      <w:highlight w:val="none"/>
                      <w:lang w:val="en-US" w:eastAsia="zh-CN" w:bidi="ar-SA"/>
                    </w:rPr>
                    <w:t>14</w:t>
                  </w:r>
                </w:p>
              </w:tc>
              <w:tc>
                <w:tcPr>
                  <w:tcW w:w="189" w:type="pct"/>
                  <w:tcBorders>
                    <w:tl2br w:val="nil"/>
                    <w:tr2bl w:val="nil"/>
                  </w:tcBorders>
                  <w:noWrap w:val="0"/>
                  <w:vAlign w:val="center"/>
                </w:tcPr>
                <w:p w14:paraId="476D352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40</w:t>
                  </w:r>
                </w:p>
              </w:tc>
              <w:tc>
                <w:tcPr>
                  <w:tcW w:w="172" w:type="pct"/>
                  <w:tcBorders>
                    <w:tl2br w:val="nil"/>
                    <w:tr2bl w:val="nil"/>
                  </w:tcBorders>
                  <w:noWrap w:val="0"/>
                  <w:vAlign w:val="center"/>
                </w:tcPr>
                <w:p w14:paraId="112C0C8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50</w:t>
                  </w:r>
                </w:p>
              </w:tc>
              <w:tc>
                <w:tcPr>
                  <w:tcW w:w="189" w:type="pct"/>
                  <w:tcBorders>
                    <w:tl2br w:val="nil"/>
                    <w:tr2bl w:val="nil"/>
                  </w:tcBorders>
                  <w:noWrap w:val="0"/>
                  <w:vAlign w:val="center"/>
                </w:tcPr>
                <w:p w14:paraId="217BD95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39</w:t>
                  </w:r>
                </w:p>
              </w:tc>
              <w:tc>
                <w:tcPr>
                  <w:tcW w:w="204" w:type="pct"/>
                  <w:tcBorders>
                    <w:tl2br w:val="nil"/>
                    <w:tr2bl w:val="nil"/>
                  </w:tcBorders>
                  <w:noWrap w:val="0"/>
                  <w:vAlign w:val="center"/>
                </w:tcPr>
                <w:p w14:paraId="548E4460">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57</w:t>
                  </w:r>
                </w:p>
              </w:tc>
              <w:tc>
                <w:tcPr>
                  <w:tcW w:w="189" w:type="pct"/>
                  <w:tcBorders>
                    <w:tl2br w:val="nil"/>
                    <w:tr2bl w:val="nil"/>
                  </w:tcBorders>
                  <w:noWrap w:val="0"/>
                  <w:vAlign w:val="center"/>
                </w:tcPr>
                <w:p w14:paraId="6C1E328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 w:val="0"/>
                      <w:bCs w:val="0"/>
                      <w:snapToGrid/>
                      <w:color w:val="auto"/>
                      <w:spacing w:val="0"/>
                      <w:kern w:val="0"/>
                      <w:position w:val="0"/>
                      <w:sz w:val="21"/>
                      <w:szCs w:val="21"/>
                      <w:lang w:val="en-US" w:eastAsia="zh-CN"/>
                    </w:rPr>
                  </w:pPr>
                  <w:r>
                    <w:rPr>
                      <w:rFonts w:hint="eastAsia" w:cs="Times New Roman"/>
                      <w:b w:val="0"/>
                      <w:bCs w:val="0"/>
                      <w:snapToGrid/>
                      <w:color w:val="auto"/>
                      <w:spacing w:val="0"/>
                      <w:kern w:val="0"/>
                      <w:position w:val="0"/>
                      <w:sz w:val="21"/>
                      <w:szCs w:val="21"/>
                      <w:lang w:val="en-US" w:eastAsia="zh-CN"/>
                    </w:rPr>
                    <w:t>8</w:t>
                  </w:r>
                  <w:r>
                    <w:rPr>
                      <w:rFonts w:hint="eastAsia" w:ascii="Times New Roman" w:hAnsi="Times New Roman" w:eastAsia="宋体" w:cs="Times New Roman"/>
                      <w:b w:val="0"/>
                      <w:bCs w:val="0"/>
                      <w:snapToGrid/>
                      <w:color w:val="auto"/>
                      <w:spacing w:val="0"/>
                      <w:kern w:val="0"/>
                      <w:position w:val="0"/>
                      <w:sz w:val="21"/>
                      <w:szCs w:val="21"/>
                      <w:lang w:val="en-US" w:eastAsia="zh-CN"/>
                    </w:rPr>
                    <w:t>h</w:t>
                  </w:r>
                </w:p>
              </w:tc>
              <w:tc>
                <w:tcPr>
                  <w:tcW w:w="293" w:type="pct"/>
                  <w:tcBorders>
                    <w:tl2br w:val="nil"/>
                    <w:tr2bl w:val="nil"/>
                  </w:tcBorders>
                  <w:noWrap w:val="0"/>
                  <w:vAlign w:val="center"/>
                </w:tcPr>
                <w:p w14:paraId="1CDC4132">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15</w:t>
                  </w:r>
                </w:p>
              </w:tc>
              <w:tc>
                <w:tcPr>
                  <w:tcW w:w="293" w:type="pct"/>
                  <w:tcBorders>
                    <w:tl2br w:val="nil"/>
                    <w:tr2bl w:val="nil"/>
                  </w:tcBorders>
                  <w:noWrap w:val="0"/>
                  <w:vAlign w:val="center"/>
                </w:tcPr>
                <w:p w14:paraId="7FB5004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sz w:val="21"/>
                      <w:szCs w:val="20"/>
                      <w:lang w:val="en-US" w:eastAsia="zh-CN"/>
                    </w:rPr>
                  </w:pPr>
                  <w:r>
                    <w:rPr>
                      <w:rFonts w:hint="eastAsia"/>
                      <w:b w:val="0"/>
                      <w:bCs w:val="0"/>
                      <w:color w:val="auto"/>
                      <w:sz w:val="21"/>
                      <w:szCs w:val="20"/>
                      <w:lang w:val="en-US" w:eastAsia="zh-CN"/>
                    </w:rPr>
                    <w:t>42</w:t>
                  </w:r>
                </w:p>
              </w:tc>
              <w:tc>
                <w:tcPr>
                  <w:tcW w:w="248" w:type="pct"/>
                  <w:tcBorders>
                    <w:tl2br w:val="nil"/>
                    <w:tr2bl w:val="nil"/>
                  </w:tcBorders>
                  <w:noWrap w:val="0"/>
                  <w:vAlign w:val="center"/>
                </w:tcPr>
                <w:p w14:paraId="4F57F59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1m</w:t>
                  </w:r>
                </w:p>
              </w:tc>
            </w:tr>
            <w:tr w14:paraId="61CD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tcBorders>
                    <w:tl2br w:val="nil"/>
                    <w:tr2bl w:val="nil"/>
                  </w:tcBorders>
                  <w:noWrap w:val="0"/>
                  <w:vAlign w:val="center"/>
                </w:tcPr>
                <w:p w14:paraId="7BFEFD3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lang w:val="en-US" w:eastAsia="zh-CN"/>
                    </w:rPr>
                  </w:pPr>
                  <w:r>
                    <w:rPr>
                      <w:rFonts w:hint="eastAsia"/>
                      <w:b w:val="0"/>
                      <w:bCs w:val="0"/>
                      <w:color w:val="auto"/>
                      <w:lang w:val="en-US" w:eastAsia="zh-CN"/>
                    </w:rPr>
                    <w:t>5</w:t>
                  </w:r>
                </w:p>
              </w:tc>
              <w:tc>
                <w:tcPr>
                  <w:tcW w:w="169" w:type="pct"/>
                  <w:vMerge w:val="continue"/>
                  <w:tcBorders>
                    <w:tl2br w:val="nil"/>
                    <w:tr2bl w:val="nil"/>
                  </w:tcBorders>
                  <w:noWrap w:val="0"/>
                  <w:vAlign w:val="center"/>
                </w:tcPr>
                <w:p w14:paraId="4EF5093D">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469" w:type="pct"/>
                  <w:tcBorders>
                    <w:tl2br w:val="nil"/>
                    <w:tr2bl w:val="nil"/>
                  </w:tcBorders>
                  <w:noWrap w:val="0"/>
                  <w:vAlign w:val="center"/>
                </w:tcPr>
                <w:p w14:paraId="123894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轴承套圈数字化车削线</w:t>
                  </w:r>
                </w:p>
              </w:tc>
              <w:tc>
                <w:tcPr>
                  <w:tcW w:w="486" w:type="pct"/>
                  <w:tcBorders>
                    <w:tl2br w:val="nil"/>
                    <w:tr2bl w:val="nil"/>
                  </w:tcBorders>
                  <w:noWrap w:val="0"/>
                  <w:vAlign w:val="center"/>
                </w:tcPr>
                <w:p w14:paraId="21BC7E0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eastAsia" w:cs="Times New Roman"/>
                      <w:b w:val="0"/>
                      <w:bCs w:val="0"/>
                      <w:snapToGrid/>
                      <w:color w:val="auto"/>
                      <w:spacing w:val="0"/>
                      <w:kern w:val="0"/>
                      <w:position w:val="0"/>
                      <w:sz w:val="21"/>
                      <w:szCs w:val="21"/>
                      <w:lang w:val="en-US" w:eastAsia="zh-CN" w:bidi="ar-SA"/>
                    </w:rPr>
                  </w:pPr>
                  <w:r>
                    <w:rPr>
                      <w:rFonts w:hint="default" w:ascii="Times New Roman" w:hAnsi="Times New Roman" w:eastAsia="宋体" w:cs="Times New Roman"/>
                      <w:color w:val="auto"/>
                      <w:sz w:val="21"/>
                      <w:szCs w:val="21"/>
                    </w:rPr>
                    <w:t>TMZC92</w:t>
                  </w:r>
                  <w:r>
                    <w:rPr>
                      <w:rFonts w:hint="eastAsia" w:cs="Times New Roman"/>
                      <w:color w:val="auto"/>
                      <w:sz w:val="21"/>
                      <w:szCs w:val="21"/>
                      <w:lang w:val="en-US" w:eastAsia="zh-CN"/>
                    </w:rPr>
                    <w:t>06</w:t>
                  </w:r>
                </w:p>
              </w:tc>
              <w:tc>
                <w:tcPr>
                  <w:tcW w:w="293" w:type="pct"/>
                  <w:tcBorders>
                    <w:tl2br w:val="nil"/>
                    <w:tr2bl w:val="nil"/>
                  </w:tcBorders>
                  <w:noWrap w:val="0"/>
                  <w:vAlign w:val="center"/>
                </w:tcPr>
                <w:p w14:paraId="62F70675">
                  <w:pPr>
                    <w:widowControl/>
                    <w:jc w:val="center"/>
                    <w:rPr>
                      <w:rFonts w:hint="default" w:cs="Times New Roman"/>
                      <w:b w:val="0"/>
                      <w:bCs w:val="0"/>
                      <w:snapToGrid/>
                      <w:color w:val="auto"/>
                      <w:spacing w:val="0"/>
                      <w:kern w:val="0"/>
                      <w:position w:val="0"/>
                      <w:sz w:val="21"/>
                      <w:szCs w:val="22"/>
                      <w:lang w:val="en-US" w:eastAsia="zh-CN" w:bidi="ar-SA"/>
                    </w:rPr>
                  </w:pPr>
                  <w:r>
                    <w:rPr>
                      <w:rFonts w:hint="eastAsia" w:cs="Times New Roman"/>
                      <w:b w:val="0"/>
                      <w:bCs w:val="0"/>
                      <w:snapToGrid/>
                      <w:color w:val="auto"/>
                      <w:spacing w:val="0"/>
                      <w:kern w:val="0"/>
                      <w:position w:val="0"/>
                      <w:sz w:val="21"/>
                      <w:szCs w:val="22"/>
                      <w:lang w:val="en-US" w:eastAsia="zh-CN" w:bidi="ar-SA"/>
                    </w:rPr>
                    <w:t>85</w:t>
                  </w:r>
                </w:p>
              </w:tc>
              <w:tc>
                <w:tcPr>
                  <w:tcW w:w="256" w:type="pct"/>
                  <w:vMerge w:val="continue"/>
                  <w:tcBorders>
                    <w:tl2br w:val="nil"/>
                    <w:tr2bl w:val="nil"/>
                  </w:tcBorders>
                  <w:noWrap w:val="0"/>
                  <w:vAlign w:val="center"/>
                </w:tcPr>
                <w:p w14:paraId="39FE83F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212" w:type="pct"/>
                  <w:tcBorders>
                    <w:tl2br w:val="nil"/>
                    <w:tr2bl w:val="nil"/>
                  </w:tcBorders>
                  <w:noWrap w:val="0"/>
                  <w:vAlign w:val="center"/>
                </w:tcPr>
                <w:p w14:paraId="65D55D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44</w:t>
                  </w:r>
                </w:p>
              </w:tc>
              <w:tc>
                <w:tcPr>
                  <w:tcW w:w="195" w:type="pct"/>
                  <w:tcBorders>
                    <w:tl2br w:val="nil"/>
                    <w:tr2bl w:val="nil"/>
                  </w:tcBorders>
                  <w:noWrap w:val="0"/>
                  <w:vAlign w:val="center"/>
                </w:tcPr>
                <w:p w14:paraId="3A78390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0</w:t>
                  </w:r>
                </w:p>
              </w:tc>
              <w:tc>
                <w:tcPr>
                  <w:tcW w:w="184" w:type="pct"/>
                  <w:tcBorders>
                    <w:tl2br w:val="nil"/>
                    <w:tr2bl w:val="nil"/>
                  </w:tcBorders>
                  <w:noWrap w:val="0"/>
                  <w:vAlign w:val="center"/>
                </w:tcPr>
                <w:p w14:paraId="553411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w:t>
                  </w:r>
                </w:p>
              </w:tc>
              <w:tc>
                <w:tcPr>
                  <w:tcW w:w="197" w:type="pct"/>
                  <w:tcBorders>
                    <w:tl2br w:val="nil"/>
                    <w:tr2bl w:val="nil"/>
                  </w:tcBorders>
                  <w:noWrap w:val="0"/>
                  <w:vAlign w:val="center"/>
                </w:tcPr>
                <w:p w14:paraId="263F7C7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143</w:t>
                  </w:r>
                </w:p>
              </w:tc>
              <w:tc>
                <w:tcPr>
                  <w:tcW w:w="187" w:type="pct"/>
                  <w:tcBorders>
                    <w:tl2br w:val="nil"/>
                    <w:tr2bl w:val="nil"/>
                  </w:tcBorders>
                  <w:noWrap w:val="0"/>
                  <w:vAlign w:val="center"/>
                </w:tcPr>
                <w:p w14:paraId="08127E4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31</w:t>
                  </w:r>
                </w:p>
              </w:tc>
              <w:tc>
                <w:tcPr>
                  <w:tcW w:w="197" w:type="pct"/>
                  <w:tcBorders>
                    <w:tl2br w:val="nil"/>
                    <w:tr2bl w:val="nil"/>
                  </w:tcBorders>
                  <w:noWrap w:val="0"/>
                  <w:vAlign w:val="center"/>
                </w:tcPr>
                <w:p w14:paraId="622AF607">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57</w:t>
                  </w:r>
                </w:p>
              </w:tc>
              <w:tc>
                <w:tcPr>
                  <w:tcW w:w="206" w:type="pct"/>
                  <w:tcBorders>
                    <w:tl2br w:val="nil"/>
                    <w:tr2bl w:val="nil"/>
                  </w:tcBorders>
                  <w:noWrap w:val="0"/>
                  <w:vAlign w:val="center"/>
                </w:tcPr>
                <w:p w14:paraId="0E99841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宋体"/>
                      <w:b w:val="0"/>
                      <w:bCs w:val="0"/>
                      <w:color w:val="auto"/>
                      <w:spacing w:val="-2"/>
                      <w:sz w:val="21"/>
                      <w:szCs w:val="20"/>
                      <w:highlight w:val="none"/>
                      <w:lang w:val="en-US" w:eastAsia="zh-CN" w:bidi="ar-SA"/>
                    </w:rPr>
                  </w:pPr>
                  <w:r>
                    <w:rPr>
                      <w:rFonts w:hint="eastAsia" w:cs="宋体"/>
                      <w:b w:val="0"/>
                      <w:bCs w:val="0"/>
                      <w:color w:val="auto"/>
                      <w:spacing w:val="-2"/>
                      <w:sz w:val="21"/>
                      <w:szCs w:val="20"/>
                      <w:highlight w:val="none"/>
                      <w:lang w:val="en-US" w:eastAsia="zh-CN" w:bidi="ar-SA"/>
                    </w:rPr>
                    <w:t>14</w:t>
                  </w:r>
                </w:p>
              </w:tc>
              <w:tc>
                <w:tcPr>
                  <w:tcW w:w="189" w:type="pct"/>
                  <w:tcBorders>
                    <w:tl2br w:val="nil"/>
                    <w:tr2bl w:val="nil"/>
                  </w:tcBorders>
                  <w:noWrap w:val="0"/>
                  <w:vAlign w:val="center"/>
                </w:tcPr>
                <w:p w14:paraId="23CE212C">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41</w:t>
                  </w:r>
                </w:p>
              </w:tc>
              <w:tc>
                <w:tcPr>
                  <w:tcW w:w="172" w:type="pct"/>
                  <w:tcBorders>
                    <w:tl2br w:val="nil"/>
                    <w:tr2bl w:val="nil"/>
                  </w:tcBorders>
                  <w:noWrap w:val="0"/>
                  <w:vAlign w:val="center"/>
                </w:tcPr>
                <w:p w14:paraId="6A5E10BD">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55</w:t>
                  </w:r>
                </w:p>
              </w:tc>
              <w:tc>
                <w:tcPr>
                  <w:tcW w:w="189" w:type="pct"/>
                  <w:tcBorders>
                    <w:tl2br w:val="nil"/>
                    <w:tr2bl w:val="nil"/>
                  </w:tcBorders>
                  <w:noWrap w:val="0"/>
                  <w:vAlign w:val="center"/>
                </w:tcPr>
                <w:p w14:paraId="1F8013E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49</w:t>
                  </w:r>
                </w:p>
              </w:tc>
              <w:tc>
                <w:tcPr>
                  <w:tcW w:w="204" w:type="pct"/>
                  <w:tcBorders>
                    <w:tl2br w:val="nil"/>
                    <w:tr2bl w:val="nil"/>
                  </w:tcBorders>
                  <w:noWrap w:val="0"/>
                  <w:vAlign w:val="center"/>
                </w:tcPr>
                <w:p w14:paraId="44BF902C">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62</w:t>
                  </w:r>
                </w:p>
              </w:tc>
              <w:tc>
                <w:tcPr>
                  <w:tcW w:w="189" w:type="pct"/>
                  <w:tcBorders>
                    <w:tl2br w:val="nil"/>
                    <w:tr2bl w:val="nil"/>
                  </w:tcBorders>
                  <w:noWrap w:val="0"/>
                  <w:vAlign w:val="center"/>
                </w:tcPr>
                <w:p w14:paraId="6606924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 w:val="0"/>
                      <w:bCs w:val="0"/>
                      <w:snapToGrid/>
                      <w:color w:val="auto"/>
                      <w:spacing w:val="0"/>
                      <w:kern w:val="0"/>
                      <w:position w:val="0"/>
                      <w:sz w:val="21"/>
                      <w:szCs w:val="21"/>
                      <w:lang w:val="en-US" w:eastAsia="zh-CN"/>
                    </w:rPr>
                  </w:pPr>
                  <w:r>
                    <w:rPr>
                      <w:rFonts w:hint="eastAsia" w:cs="Times New Roman"/>
                      <w:b w:val="0"/>
                      <w:bCs w:val="0"/>
                      <w:snapToGrid/>
                      <w:color w:val="auto"/>
                      <w:spacing w:val="0"/>
                      <w:kern w:val="0"/>
                      <w:position w:val="0"/>
                      <w:sz w:val="21"/>
                      <w:szCs w:val="21"/>
                      <w:lang w:val="en-US" w:eastAsia="zh-CN"/>
                    </w:rPr>
                    <w:t>8</w:t>
                  </w:r>
                  <w:r>
                    <w:rPr>
                      <w:rFonts w:hint="eastAsia" w:ascii="Times New Roman" w:hAnsi="Times New Roman" w:eastAsia="宋体" w:cs="Times New Roman"/>
                      <w:b w:val="0"/>
                      <w:bCs w:val="0"/>
                      <w:snapToGrid/>
                      <w:color w:val="auto"/>
                      <w:spacing w:val="0"/>
                      <w:kern w:val="0"/>
                      <w:position w:val="0"/>
                      <w:sz w:val="21"/>
                      <w:szCs w:val="21"/>
                      <w:lang w:val="en-US" w:eastAsia="zh-CN"/>
                    </w:rPr>
                    <w:t>h</w:t>
                  </w:r>
                </w:p>
              </w:tc>
              <w:tc>
                <w:tcPr>
                  <w:tcW w:w="293" w:type="pct"/>
                  <w:tcBorders>
                    <w:tl2br w:val="nil"/>
                    <w:tr2bl w:val="nil"/>
                  </w:tcBorders>
                  <w:noWrap w:val="0"/>
                  <w:vAlign w:val="center"/>
                </w:tcPr>
                <w:p w14:paraId="25D70A0E">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15</w:t>
                  </w:r>
                </w:p>
              </w:tc>
              <w:tc>
                <w:tcPr>
                  <w:tcW w:w="293" w:type="pct"/>
                  <w:tcBorders>
                    <w:tl2br w:val="nil"/>
                    <w:tr2bl w:val="nil"/>
                  </w:tcBorders>
                  <w:noWrap w:val="0"/>
                  <w:vAlign w:val="center"/>
                </w:tcPr>
                <w:p w14:paraId="436D24B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sz w:val="21"/>
                      <w:szCs w:val="20"/>
                      <w:lang w:val="en-US" w:eastAsia="zh-CN"/>
                    </w:rPr>
                  </w:pPr>
                  <w:r>
                    <w:rPr>
                      <w:rFonts w:hint="eastAsia"/>
                      <w:b w:val="0"/>
                      <w:bCs w:val="0"/>
                      <w:color w:val="auto"/>
                      <w:sz w:val="21"/>
                      <w:szCs w:val="20"/>
                      <w:lang w:val="en-US" w:eastAsia="zh-CN"/>
                    </w:rPr>
                    <w:t>48</w:t>
                  </w:r>
                </w:p>
              </w:tc>
              <w:tc>
                <w:tcPr>
                  <w:tcW w:w="248" w:type="pct"/>
                  <w:tcBorders>
                    <w:tl2br w:val="nil"/>
                    <w:tr2bl w:val="nil"/>
                  </w:tcBorders>
                  <w:noWrap w:val="0"/>
                  <w:vAlign w:val="center"/>
                </w:tcPr>
                <w:p w14:paraId="3106CC5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b w:val="0"/>
                      <w:bCs w:val="0"/>
                      <w:color w:val="auto"/>
                      <w:lang w:val="en-US" w:eastAsia="zh-CN"/>
                    </w:rPr>
                  </w:pPr>
                  <w:r>
                    <w:rPr>
                      <w:rFonts w:hint="eastAsia"/>
                      <w:b w:val="0"/>
                      <w:bCs w:val="0"/>
                      <w:color w:val="auto"/>
                      <w:lang w:val="en-US" w:eastAsia="zh-CN"/>
                    </w:rPr>
                    <w:t>1m</w:t>
                  </w:r>
                </w:p>
              </w:tc>
            </w:tr>
            <w:tr w14:paraId="17E5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tcBorders>
                    <w:tl2br w:val="nil"/>
                    <w:tr2bl w:val="nil"/>
                  </w:tcBorders>
                  <w:noWrap w:val="0"/>
                  <w:vAlign w:val="center"/>
                </w:tcPr>
                <w:p w14:paraId="5EB43ACA">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lang w:val="en-US" w:eastAsia="zh-CN"/>
                    </w:rPr>
                  </w:pPr>
                  <w:r>
                    <w:rPr>
                      <w:rFonts w:hint="eastAsia"/>
                      <w:b w:val="0"/>
                      <w:bCs w:val="0"/>
                      <w:color w:val="auto"/>
                      <w:lang w:val="en-US" w:eastAsia="zh-CN"/>
                    </w:rPr>
                    <w:t>6</w:t>
                  </w:r>
                </w:p>
              </w:tc>
              <w:tc>
                <w:tcPr>
                  <w:tcW w:w="169" w:type="pct"/>
                  <w:vMerge w:val="continue"/>
                  <w:tcBorders>
                    <w:tl2br w:val="nil"/>
                    <w:tr2bl w:val="nil"/>
                  </w:tcBorders>
                  <w:noWrap w:val="0"/>
                  <w:vAlign w:val="center"/>
                </w:tcPr>
                <w:p w14:paraId="463299FD">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469" w:type="pct"/>
                  <w:tcBorders>
                    <w:tl2br w:val="nil"/>
                    <w:tr2bl w:val="nil"/>
                  </w:tcBorders>
                  <w:noWrap w:val="0"/>
                  <w:vAlign w:val="center"/>
                </w:tcPr>
                <w:p w14:paraId="3B579A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空气压缩机</w:t>
                  </w:r>
                </w:p>
              </w:tc>
              <w:tc>
                <w:tcPr>
                  <w:tcW w:w="486" w:type="pct"/>
                  <w:tcBorders>
                    <w:tl2br w:val="nil"/>
                    <w:tr2bl w:val="nil"/>
                  </w:tcBorders>
                  <w:noWrap w:val="0"/>
                  <w:vAlign w:val="center"/>
                </w:tcPr>
                <w:p w14:paraId="3A92D1AA">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w:t>
                  </w:r>
                </w:p>
              </w:tc>
              <w:tc>
                <w:tcPr>
                  <w:tcW w:w="293" w:type="pct"/>
                  <w:tcBorders>
                    <w:tl2br w:val="nil"/>
                    <w:tr2bl w:val="nil"/>
                  </w:tcBorders>
                  <w:noWrap w:val="0"/>
                  <w:vAlign w:val="center"/>
                </w:tcPr>
                <w:p w14:paraId="6DF4546C">
                  <w:pPr>
                    <w:widowControl/>
                    <w:jc w:val="center"/>
                    <w:rPr>
                      <w:rFonts w:hint="default" w:cs="Times New Roman"/>
                      <w:b w:val="0"/>
                      <w:bCs w:val="0"/>
                      <w:snapToGrid/>
                      <w:color w:val="auto"/>
                      <w:spacing w:val="0"/>
                      <w:kern w:val="0"/>
                      <w:position w:val="0"/>
                      <w:sz w:val="21"/>
                      <w:szCs w:val="22"/>
                      <w:lang w:val="en-US" w:eastAsia="zh-CN" w:bidi="ar-SA"/>
                    </w:rPr>
                  </w:pPr>
                  <w:r>
                    <w:rPr>
                      <w:rFonts w:hint="eastAsia" w:cs="Times New Roman"/>
                      <w:b w:val="0"/>
                      <w:bCs w:val="0"/>
                      <w:snapToGrid/>
                      <w:color w:val="auto"/>
                      <w:spacing w:val="0"/>
                      <w:kern w:val="0"/>
                      <w:position w:val="0"/>
                      <w:sz w:val="21"/>
                      <w:szCs w:val="22"/>
                      <w:lang w:val="en-US" w:eastAsia="zh-CN" w:bidi="ar-SA"/>
                    </w:rPr>
                    <w:t>90</w:t>
                  </w:r>
                </w:p>
              </w:tc>
              <w:tc>
                <w:tcPr>
                  <w:tcW w:w="256" w:type="pct"/>
                  <w:vMerge w:val="continue"/>
                  <w:tcBorders>
                    <w:tl2br w:val="nil"/>
                    <w:tr2bl w:val="nil"/>
                  </w:tcBorders>
                  <w:noWrap w:val="0"/>
                  <w:vAlign w:val="center"/>
                </w:tcPr>
                <w:p w14:paraId="0DFD7A5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p>
              </w:tc>
              <w:tc>
                <w:tcPr>
                  <w:tcW w:w="212" w:type="pct"/>
                  <w:tcBorders>
                    <w:tl2br w:val="nil"/>
                    <w:tr2bl w:val="nil"/>
                  </w:tcBorders>
                  <w:noWrap w:val="0"/>
                  <w:vAlign w:val="center"/>
                </w:tcPr>
                <w:p w14:paraId="315871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30</w:t>
                  </w:r>
                </w:p>
              </w:tc>
              <w:tc>
                <w:tcPr>
                  <w:tcW w:w="195" w:type="pct"/>
                  <w:tcBorders>
                    <w:tl2br w:val="nil"/>
                    <w:tr2bl w:val="nil"/>
                  </w:tcBorders>
                  <w:noWrap w:val="0"/>
                  <w:vAlign w:val="center"/>
                </w:tcPr>
                <w:p w14:paraId="323D37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10</w:t>
                  </w:r>
                </w:p>
              </w:tc>
              <w:tc>
                <w:tcPr>
                  <w:tcW w:w="184" w:type="pct"/>
                  <w:tcBorders>
                    <w:tl2br w:val="nil"/>
                    <w:tr2bl w:val="nil"/>
                  </w:tcBorders>
                  <w:noWrap w:val="0"/>
                  <w:vAlign w:val="center"/>
                </w:tcPr>
                <w:p w14:paraId="216E52D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lang w:val="en-US" w:eastAsia="zh-CN" w:bidi="ar-SA"/>
                    </w:rPr>
                  </w:pPr>
                  <w:r>
                    <w:rPr>
                      <w:rFonts w:hint="eastAsia" w:cs="Times New Roman"/>
                      <w:b w:val="0"/>
                      <w:bCs w:val="0"/>
                      <w:snapToGrid/>
                      <w:color w:val="auto"/>
                      <w:spacing w:val="0"/>
                      <w:kern w:val="0"/>
                      <w:position w:val="0"/>
                      <w:sz w:val="21"/>
                      <w:szCs w:val="21"/>
                      <w:lang w:val="en-US" w:eastAsia="zh-CN" w:bidi="ar-SA"/>
                    </w:rPr>
                    <w:t>1</w:t>
                  </w:r>
                </w:p>
              </w:tc>
              <w:tc>
                <w:tcPr>
                  <w:tcW w:w="197" w:type="pct"/>
                  <w:tcBorders>
                    <w:tl2br w:val="nil"/>
                    <w:tr2bl w:val="nil"/>
                  </w:tcBorders>
                  <w:noWrap w:val="0"/>
                  <w:vAlign w:val="center"/>
                </w:tcPr>
                <w:p w14:paraId="7A44729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126</w:t>
                  </w:r>
                </w:p>
              </w:tc>
              <w:tc>
                <w:tcPr>
                  <w:tcW w:w="187" w:type="pct"/>
                  <w:tcBorders>
                    <w:tl2br w:val="nil"/>
                    <w:tr2bl w:val="nil"/>
                  </w:tcBorders>
                  <w:noWrap w:val="0"/>
                  <w:vAlign w:val="center"/>
                </w:tcPr>
                <w:p w14:paraId="3316EF6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31</w:t>
                  </w:r>
                </w:p>
              </w:tc>
              <w:tc>
                <w:tcPr>
                  <w:tcW w:w="197" w:type="pct"/>
                  <w:tcBorders>
                    <w:tl2br w:val="nil"/>
                    <w:tr2bl w:val="nil"/>
                  </w:tcBorders>
                  <w:noWrap w:val="0"/>
                  <w:vAlign w:val="center"/>
                </w:tcPr>
                <w:p w14:paraId="771303A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74</w:t>
                  </w:r>
                </w:p>
              </w:tc>
              <w:tc>
                <w:tcPr>
                  <w:tcW w:w="206" w:type="pct"/>
                  <w:tcBorders>
                    <w:tl2br w:val="nil"/>
                    <w:tr2bl w:val="nil"/>
                  </w:tcBorders>
                  <w:noWrap w:val="0"/>
                  <w:vAlign w:val="center"/>
                </w:tcPr>
                <w:p w14:paraId="6703F72C">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宋体"/>
                      <w:b w:val="0"/>
                      <w:bCs w:val="0"/>
                      <w:color w:val="auto"/>
                      <w:spacing w:val="-2"/>
                      <w:sz w:val="21"/>
                      <w:szCs w:val="20"/>
                      <w:highlight w:val="none"/>
                      <w:lang w:val="en-US" w:eastAsia="zh-CN" w:bidi="ar-SA"/>
                    </w:rPr>
                  </w:pPr>
                  <w:r>
                    <w:rPr>
                      <w:rFonts w:hint="eastAsia" w:cs="宋体"/>
                      <w:b w:val="0"/>
                      <w:bCs w:val="0"/>
                      <w:color w:val="auto"/>
                      <w:spacing w:val="-2"/>
                      <w:sz w:val="21"/>
                      <w:szCs w:val="20"/>
                      <w:highlight w:val="none"/>
                      <w:lang w:val="en-US" w:eastAsia="zh-CN" w:bidi="ar-SA"/>
                    </w:rPr>
                    <w:t>14</w:t>
                  </w:r>
                </w:p>
              </w:tc>
              <w:tc>
                <w:tcPr>
                  <w:tcW w:w="189" w:type="pct"/>
                  <w:tcBorders>
                    <w:tl2br w:val="nil"/>
                    <w:tr2bl w:val="nil"/>
                  </w:tcBorders>
                  <w:noWrap w:val="0"/>
                  <w:vAlign w:val="center"/>
                </w:tcPr>
                <w:p w14:paraId="2B28239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47</w:t>
                  </w:r>
                </w:p>
              </w:tc>
              <w:tc>
                <w:tcPr>
                  <w:tcW w:w="172" w:type="pct"/>
                  <w:tcBorders>
                    <w:tl2br w:val="nil"/>
                    <w:tr2bl w:val="nil"/>
                  </w:tcBorders>
                  <w:noWrap w:val="0"/>
                  <w:vAlign w:val="center"/>
                </w:tcPr>
                <w:p w14:paraId="7B4E212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60</w:t>
                  </w:r>
                </w:p>
              </w:tc>
              <w:tc>
                <w:tcPr>
                  <w:tcW w:w="189" w:type="pct"/>
                  <w:tcBorders>
                    <w:tl2br w:val="nil"/>
                    <w:tr2bl w:val="nil"/>
                  </w:tcBorders>
                  <w:noWrap w:val="0"/>
                  <w:vAlign w:val="center"/>
                </w:tcPr>
                <w:p w14:paraId="735DBAEA">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52</w:t>
                  </w:r>
                </w:p>
              </w:tc>
              <w:tc>
                <w:tcPr>
                  <w:tcW w:w="204" w:type="pct"/>
                  <w:tcBorders>
                    <w:tl2br w:val="nil"/>
                    <w:tr2bl w:val="nil"/>
                  </w:tcBorders>
                  <w:noWrap w:val="0"/>
                  <w:vAlign w:val="center"/>
                </w:tcPr>
                <w:p w14:paraId="5009091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67</w:t>
                  </w:r>
                </w:p>
              </w:tc>
              <w:tc>
                <w:tcPr>
                  <w:tcW w:w="189" w:type="pct"/>
                  <w:tcBorders>
                    <w:tl2br w:val="nil"/>
                    <w:tr2bl w:val="nil"/>
                  </w:tcBorders>
                  <w:noWrap w:val="0"/>
                  <w:vAlign w:val="center"/>
                </w:tcPr>
                <w:p w14:paraId="035022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 w:val="0"/>
                      <w:bCs w:val="0"/>
                      <w:snapToGrid/>
                      <w:color w:val="auto"/>
                      <w:spacing w:val="0"/>
                      <w:kern w:val="0"/>
                      <w:position w:val="0"/>
                      <w:sz w:val="21"/>
                      <w:szCs w:val="21"/>
                      <w:lang w:val="en-US" w:eastAsia="zh-CN"/>
                    </w:rPr>
                  </w:pPr>
                  <w:r>
                    <w:rPr>
                      <w:rFonts w:hint="eastAsia" w:cs="Times New Roman"/>
                      <w:b w:val="0"/>
                      <w:bCs w:val="0"/>
                      <w:snapToGrid/>
                      <w:color w:val="auto"/>
                      <w:spacing w:val="0"/>
                      <w:kern w:val="0"/>
                      <w:position w:val="0"/>
                      <w:sz w:val="21"/>
                      <w:szCs w:val="21"/>
                      <w:lang w:val="en-US" w:eastAsia="zh-CN"/>
                    </w:rPr>
                    <w:t>8</w:t>
                  </w:r>
                  <w:r>
                    <w:rPr>
                      <w:rFonts w:hint="eastAsia" w:ascii="Times New Roman" w:hAnsi="Times New Roman" w:eastAsia="宋体" w:cs="Times New Roman"/>
                      <w:b w:val="0"/>
                      <w:bCs w:val="0"/>
                      <w:snapToGrid/>
                      <w:color w:val="auto"/>
                      <w:spacing w:val="0"/>
                      <w:kern w:val="0"/>
                      <w:position w:val="0"/>
                      <w:sz w:val="21"/>
                      <w:szCs w:val="21"/>
                      <w:lang w:val="en-US" w:eastAsia="zh-CN"/>
                    </w:rPr>
                    <w:t>h</w:t>
                  </w:r>
                </w:p>
              </w:tc>
              <w:tc>
                <w:tcPr>
                  <w:tcW w:w="293" w:type="pct"/>
                  <w:tcBorders>
                    <w:tl2br w:val="nil"/>
                    <w:tr2bl w:val="nil"/>
                  </w:tcBorders>
                  <w:noWrap w:val="0"/>
                  <w:vAlign w:val="center"/>
                </w:tcPr>
                <w:p w14:paraId="0C5868D0">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lang w:val="en-US" w:eastAsia="zh-CN"/>
                    </w:rPr>
                  </w:pPr>
                  <w:r>
                    <w:rPr>
                      <w:rFonts w:hint="eastAsia"/>
                      <w:b w:val="0"/>
                      <w:bCs w:val="0"/>
                      <w:color w:val="auto"/>
                      <w:lang w:val="en-US" w:eastAsia="zh-CN"/>
                    </w:rPr>
                    <w:t>15</w:t>
                  </w:r>
                </w:p>
              </w:tc>
              <w:tc>
                <w:tcPr>
                  <w:tcW w:w="293" w:type="pct"/>
                  <w:tcBorders>
                    <w:tl2br w:val="nil"/>
                    <w:tr2bl w:val="nil"/>
                  </w:tcBorders>
                  <w:noWrap w:val="0"/>
                  <w:vAlign w:val="center"/>
                </w:tcPr>
                <w:p w14:paraId="46B1185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sz w:val="21"/>
                      <w:szCs w:val="20"/>
                      <w:lang w:val="en-US" w:eastAsia="zh-CN"/>
                    </w:rPr>
                  </w:pPr>
                  <w:r>
                    <w:rPr>
                      <w:rFonts w:hint="eastAsia"/>
                      <w:b w:val="0"/>
                      <w:bCs w:val="0"/>
                      <w:color w:val="auto"/>
                      <w:sz w:val="21"/>
                      <w:szCs w:val="20"/>
                      <w:lang w:val="en-US" w:eastAsia="zh-CN"/>
                    </w:rPr>
                    <w:t>52</w:t>
                  </w:r>
                </w:p>
              </w:tc>
              <w:tc>
                <w:tcPr>
                  <w:tcW w:w="248" w:type="pct"/>
                  <w:tcBorders>
                    <w:tl2br w:val="nil"/>
                    <w:tr2bl w:val="nil"/>
                  </w:tcBorders>
                  <w:noWrap w:val="0"/>
                  <w:vAlign w:val="center"/>
                </w:tcPr>
                <w:p w14:paraId="6CFF97D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b w:val="0"/>
                      <w:bCs w:val="0"/>
                      <w:color w:val="auto"/>
                      <w:lang w:val="en-US" w:eastAsia="zh-CN"/>
                    </w:rPr>
                  </w:pPr>
                  <w:r>
                    <w:rPr>
                      <w:rFonts w:hint="eastAsia"/>
                      <w:b w:val="0"/>
                      <w:bCs w:val="0"/>
                      <w:color w:val="auto"/>
                      <w:lang w:val="en-US" w:eastAsia="zh-CN"/>
                    </w:rPr>
                    <w:t>1m</w:t>
                  </w:r>
                </w:p>
              </w:tc>
            </w:tr>
          </w:tbl>
          <w:p w14:paraId="642DBBC9">
            <w:pPr>
              <w:pStyle w:val="4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注：室内声源以建筑物中心为原点。</w:t>
            </w:r>
          </w:p>
          <w:p w14:paraId="20533DC4">
            <w:pPr>
              <w:pStyle w:val="4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color w:val="auto"/>
                <w:sz w:val="24"/>
                <w:szCs w:val="24"/>
                <w:lang w:val="en-US" w:eastAsia="zh-CN"/>
              </w:rPr>
            </w:pPr>
          </w:p>
          <w:p w14:paraId="21EB1DB8">
            <w:pPr>
              <w:pStyle w:val="4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color w:val="auto"/>
                <w:sz w:val="24"/>
                <w:szCs w:val="24"/>
                <w:lang w:val="en-US" w:eastAsia="zh-CN"/>
              </w:rPr>
            </w:pPr>
          </w:p>
          <w:p w14:paraId="1AD25408">
            <w:pPr>
              <w:pStyle w:val="40"/>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rPr>
                <w:rFonts w:ascii="Times New Roman" w:hAnsi="Times New Roman" w:eastAsia="宋体" w:cs="Times New Roman"/>
                <w:b/>
                <w:bCs/>
                <w:snapToGrid/>
                <w:color w:val="auto"/>
                <w:spacing w:val="0"/>
                <w:kern w:val="0"/>
                <w:position w:val="0"/>
                <w:szCs w:val="24"/>
              </w:rPr>
            </w:pPr>
            <w:r>
              <w:rPr>
                <w:rFonts w:hint="eastAsia" w:ascii="Times New Roman" w:hAnsi="Times New Roman" w:eastAsia="宋体" w:cs="Times New Roman"/>
                <w:b/>
                <w:bCs/>
                <w:snapToGrid/>
                <w:color w:val="auto"/>
                <w:spacing w:val="0"/>
                <w:kern w:val="0"/>
                <w:position w:val="0"/>
                <w:szCs w:val="24"/>
                <w:lang w:eastAsia="zh-CN"/>
              </w:rPr>
              <w:t>表</w:t>
            </w:r>
            <w:r>
              <w:rPr>
                <w:rFonts w:hint="eastAsia" w:ascii="Times New Roman" w:hAnsi="Times New Roman" w:eastAsia="宋体" w:cs="Times New Roman"/>
                <w:b/>
                <w:bCs/>
                <w:snapToGrid/>
                <w:color w:val="auto"/>
                <w:spacing w:val="0"/>
                <w:kern w:val="0"/>
                <w:position w:val="0"/>
                <w:szCs w:val="24"/>
                <w:lang w:val="en-US" w:eastAsia="zh-CN"/>
              </w:rPr>
              <w:t>4.6  项目二</w:t>
            </w:r>
            <w:r>
              <w:rPr>
                <w:rFonts w:hint="eastAsia" w:ascii="Times New Roman" w:hAnsi="Times New Roman" w:eastAsia="宋体" w:cs="Times New Roman"/>
                <w:b/>
                <w:bCs/>
                <w:color w:val="auto"/>
                <w:szCs w:val="24"/>
                <w:lang w:val="en-US" w:eastAsia="zh-CN"/>
              </w:rPr>
              <w:t>期工程</w:t>
            </w:r>
            <w:r>
              <w:rPr>
                <w:rFonts w:hint="eastAsia" w:ascii="Times New Roman" w:hAnsi="Times New Roman" w:eastAsia="宋体" w:cs="Times New Roman"/>
                <w:b/>
                <w:bCs/>
                <w:snapToGrid/>
                <w:color w:val="auto"/>
                <w:spacing w:val="0"/>
                <w:kern w:val="0"/>
                <w:position w:val="0"/>
                <w:szCs w:val="24"/>
                <w:lang w:val="en-US" w:eastAsia="zh-CN"/>
              </w:rPr>
              <w:t>生产车间噪声源强 单位：</w:t>
            </w:r>
            <w:r>
              <w:rPr>
                <w:rFonts w:ascii="Times New Roman" w:hAnsi="Times New Roman" w:eastAsia="宋体" w:cs="Times New Roman"/>
                <w:b/>
                <w:bCs/>
                <w:snapToGrid/>
                <w:color w:val="auto"/>
                <w:spacing w:val="0"/>
                <w:kern w:val="0"/>
                <w:position w:val="0"/>
                <w:szCs w:val="24"/>
              </w:rPr>
              <w:t>dB（A）</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54"/>
              <w:gridCol w:w="1260"/>
              <w:gridCol w:w="1305"/>
              <w:gridCol w:w="788"/>
              <w:gridCol w:w="688"/>
              <w:gridCol w:w="569"/>
              <w:gridCol w:w="525"/>
              <w:gridCol w:w="495"/>
              <w:gridCol w:w="531"/>
              <w:gridCol w:w="503"/>
              <w:gridCol w:w="531"/>
              <w:gridCol w:w="554"/>
              <w:gridCol w:w="509"/>
              <w:gridCol w:w="463"/>
              <w:gridCol w:w="509"/>
              <w:gridCol w:w="549"/>
              <w:gridCol w:w="509"/>
              <w:gridCol w:w="788"/>
              <w:gridCol w:w="788"/>
              <w:gridCol w:w="667"/>
            </w:tblGrid>
            <w:tr w14:paraId="60CD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 w:type="pct"/>
                  <w:vMerge w:val="restart"/>
                  <w:tcBorders>
                    <w:tl2br w:val="nil"/>
                    <w:tr2bl w:val="nil"/>
                  </w:tcBorders>
                  <w:noWrap w:val="0"/>
                  <w:vAlign w:val="center"/>
                </w:tcPr>
                <w:p w14:paraId="77223CD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序号</w:t>
                  </w:r>
                </w:p>
              </w:tc>
              <w:tc>
                <w:tcPr>
                  <w:tcW w:w="175" w:type="pct"/>
                  <w:vMerge w:val="restart"/>
                  <w:tcBorders>
                    <w:tl2br w:val="nil"/>
                    <w:tr2bl w:val="nil"/>
                  </w:tcBorders>
                  <w:noWrap w:val="0"/>
                  <w:vAlign w:val="center"/>
                </w:tcPr>
                <w:p w14:paraId="65C96867">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建筑物名称</w:t>
                  </w:r>
                </w:p>
              </w:tc>
              <w:tc>
                <w:tcPr>
                  <w:tcW w:w="475" w:type="pct"/>
                  <w:vMerge w:val="restart"/>
                  <w:tcBorders>
                    <w:tl2br w:val="nil"/>
                    <w:tr2bl w:val="nil"/>
                  </w:tcBorders>
                  <w:noWrap w:val="0"/>
                  <w:vAlign w:val="center"/>
                </w:tcPr>
                <w:p w14:paraId="35757F1D">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声源名称</w:t>
                  </w:r>
                </w:p>
              </w:tc>
              <w:tc>
                <w:tcPr>
                  <w:tcW w:w="492" w:type="pct"/>
                  <w:vMerge w:val="restart"/>
                  <w:tcBorders>
                    <w:tl2br w:val="nil"/>
                    <w:tr2bl w:val="nil"/>
                  </w:tcBorders>
                  <w:noWrap w:val="0"/>
                  <w:vAlign w:val="center"/>
                </w:tcPr>
                <w:p w14:paraId="115EFD2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型号</w:t>
                  </w:r>
                </w:p>
              </w:tc>
              <w:tc>
                <w:tcPr>
                  <w:tcW w:w="246" w:type="pct"/>
                  <w:tcBorders>
                    <w:tl2br w:val="nil"/>
                    <w:tr2bl w:val="nil"/>
                  </w:tcBorders>
                  <w:noWrap w:val="0"/>
                  <w:vAlign w:val="center"/>
                </w:tcPr>
                <w:p w14:paraId="47E9D7A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声源源强dB（A）</w:t>
                  </w:r>
                </w:p>
              </w:tc>
              <w:tc>
                <w:tcPr>
                  <w:tcW w:w="262" w:type="pct"/>
                  <w:vMerge w:val="restart"/>
                  <w:tcBorders>
                    <w:tl2br w:val="nil"/>
                    <w:tr2bl w:val="nil"/>
                  </w:tcBorders>
                  <w:noWrap w:val="0"/>
                  <w:vAlign w:val="center"/>
                </w:tcPr>
                <w:p w14:paraId="09EE2D3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声源控制措施</w:t>
                  </w:r>
                </w:p>
              </w:tc>
              <w:tc>
                <w:tcPr>
                  <w:tcW w:w="609" w:type="pct"/>
                  <w:gridSpan w:val="3"/>
                  <w:tcBorders>
                    <w:tl2br w:val="nil"/>
                    <w:tr2bl w:val="nil"/>
                  </w:tcBorders>
                  <w:noWrap w:val="0"/>
                  <w:vAlign w:val="center"/>
                </w:tcPr>
                <w:p w14:paraId="5671B9F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空间相对位置m</w:t>
                  </w:r>
                </w:p>
              </w:tc>
              <w:tc>
                <w:tcPr>
                  <w:tcW w:w="811" w:type="pct"/>
                  <w:gridSpan w:val="4"/>
                  <w:tcBorders>
                    <w:tl2br w:val="nil"/>
                    <w:tr2bl w:val="nil"/>
                  </w:tcBorders>
                  <w:noWrap w:val="0"/>
                  <w:vAlign w:val="center"/>
                </w:tcPr>
                <w:p w14:paraId="501ED12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距离室内边界距离m</w:t>
                  </w:r>
                </w:p>
              </w:tc>
              <w:tc>
                <w:tcPr>
                  <w:tcW w:w="778" w:type="pct"/>
                  <w:gridSpan w:val="4"/>
                  <w:tcBorders>
                    <w:tl2br w:val="nil"/>
                    <w:tr2bl w:val="nil"/>
                  </w:tcBorders>
                  <w:noWrap w:val="0"/>
                  <w:vAlign w:val="center"/>
                </w:tcPr>
                <w:p w14:paraId="60C3AD6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室内边界声级dB（A）</w:t>
                  </w:r>
                </w:p>
              </w:tc>
              <w:tc>
                <w:tcPr>
                  <w:tcW w:w="195" w:type="pct"/>
                  <w:vMerge w:val="restart"/>
                  <w:tcBorders>
                    <w:tl2br w:val="nil"/>
                    <w:tr2bl w:val="nil"/>
                  </w:tcBorders>
                  <w:noWrap w:val="0"/>
                  <w:vAlign w:val="center"/>
                </w:tcPr>
                <w:p w14:paraId="6E5A0190">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运行时段</w:t>
                  </w:r>
                </w:p>
              </w:tc>
              <w:tc>
                <w:tcPr>
                  <w:tcW w:w="279" w:type="pct"/>
                  <w:vMerge w:val="restart"/>
                  <w:tcBorders>
                    <w:tl2br w:val="nil"/>
                    <w:tr2bl w:val="nil"/>
                  </w:tcBorders>
                  <w:noWrap w:val="0"/>
                  <w:vAlign w:val="center"/>
                </w:tcPr>
                <w:p w14:paraId="10EEE1B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建筑物插入损失dB（A）</w:t>
                  </w:r>
                </w:p>
              </w:tc>
              <w:tc>
                <w:tcPr>
                  <w:tcW w:w="507" w:type="pct"/>
                  <w:gridSpan w:val="2"/>
                  <w:tcBorders>
                    <w:tl2br w:val="nil"/>
                    <w:tr2bl w:val="nil"/>
                  </w:tcBorders>
                  <w:noWrap w:val="0"/>
                  <w:vAlign w:val="center"/>
                </w:tcPr>
                <w:p w14:paraId="57539FA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建筑物外噪声</w:t>
                  </w:r>
                </w:p>
              </w:tc>
            </w:tr>
            <w:tr w14:paraId="4F20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 w:type="pct"/>
                  <w:vMerge w:val="continue"/>
                  <w:tcBorders>
                    <w:tl2br w:val="nil"/>
                    <w:tr2bl w:val="nil"/>
                  </w:tcBorders>
                  <w:noWrap w:val="0"/>
                  <w:vAlign w:val="center"/>
                </w:tcPr>
                <w:p w14:paraId="0FFCB42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175" w:type="pct"/>
                  <w:vMerge w:val="continue"/>
                  <w:tcBorders>
                    <w:tl2br w:val="nil"/>
                    <w:tr2bl w:val="nil"/>
                  </w:tcBorders>
                  <w:noWrap w:val="0"/>
                  <w:vAlign w:val="center"/>
                </w:tcPr>
                <w:p w14:paraId="5970B23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475" w:type="pct"/>
                  <w:vMerge w:val="continue"/>
                  <w:tcBorders>
                    <w:tl2br w:val="nil"/>
                    <w:tr2bl w:val="nil"/>
                  </w:tcBorders>
                  <w:noWrap w:val="0"/>
                  <w:vAlign w:val="center"/>
                </w:tcPr>
                <w:p w14:paraId="688B0E3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492" w:type="pct"/>
                  <w:vMerge w:val="continue"/>
                  <w:tcBorders>
                    <w:tl2br w:val="nil"/>
                    <w:tr2bl w:val="nil"/>
                  </w:tcBorders>
                  <w:noWrap w:val="0"/>
                  <w:vAlign w:val="center"/>
                </w:tcPr>
                <w:p w14:paraId="3D24F76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246" w:type="pct"/>
                  <w:tcBorders>
                    <w:tl2br w:val="nil"/>
                    <w:tr2bl w:val="nil"/>
                  </w:tcBorders>
                  <w:noWrap w:val="0"/>
                  <w:vAlign w:val="center"/>
                </w:tcPr>
                <w:p w14:paraId="62EB787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声功率级</w:t>
                  </w:r>
                </w:p>
              </w:tc>
              <w:tc>
                <w:tcPr>
                  <w:tcW w:w="262" w:type="pct"/>
                  <w:vMerge w:val="continue"/>
                  <w:tcBorders>
                    <w:tl2br w:val="nil"/>
                    <w:tr2bl w:val="nil"/>
                  </w:tcBorders>
                  <w:noWrap w:val="0"/>
                  <w:vAlign w:val="center"/>
                </w:tcPr>
                <w:p w14:paraId="31F76400">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218" w:type="pct"/>
                  <w:tcBorders>
                    <w:tl2br w:val="nil"/>
                    <w:tr2bl w:val="nil"/>
                  </w:tcBorders>
                  <w:noWrap w:val="0"/>
                  <w:vAlign w:val="center"/>
                </w:tcPr>
                <w:p w14:paraId="4FA9E5C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X</w:t>
                  </w:r>
                </w:p>
              </w:tc>
              <w:tc>
                <w:tcPr>
                  <w:tcW w:w="201" w:type="pct"/>
                  <w:tcBorders>
                    <w:tl2br w:val="nil"/>
                    <w:tr2bl w:val="nil"/>
                  </w:tcBorders>
                  <w:noWrap w:val="0"/>
                  <w:vAlign w:val="center"/>
                </w:tcPr>
                <w:p w14:paraId="50D0869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Y</w:t>
                  </w:r>
                </w:p>
              </w:tc>
              <w:tc>
                <w:tcPr>
                  <w:tcW w:w="190" w:type="pct"/>
                  <w:tcBorders>
                    <w:tl2br w:val="nil"/>
                    <w:tr2bl w:val="nil"/>
                  </w:tcBorders>
                  <w:noWrap w:val="0"/>
                  <w:vAlign w:val="center"/>
                </w:tcPr>
                <w:p w14:paraId="3C5461D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Z</w:t>
                  </w:r>
                </w:p>
              </w:tc>
              <w:tc>
                <w:tcPr>
                  <w:tcW w:w="201" w:type="pct"/>
                  <w:tcBorders>
                    <w:tl2br w:val="nil"/>
                    <w:tr2bl w:val="nil"/>
                  </w:tcBorders>
                  <w:noWrap w:val="0"/>
                  <w:vAlign w:val="center"/>
                </w:tcPr>
                <w:p w14:paraId="10C8287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E</w:t>
                  </w:r>
                </w:p>
              </w:tc>
              <w:tc>
                <w:tcPr>
                  <w:tcW w:w="195" w:type="pct"/>
                  <w:tcBorders>
                    <w:tl2br w:val="nil"/>
                    <w:tr2bl w:val="nil"/>
                  </w:tcBorders>
                  <w:noWrap w:val="0"/>
                  <w:vAlign w:val="center"/>
                </w:tcPr>
                <w:p w14:paraId="3E1E6A3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S</w:t>
                  </w:r>
                </w:p>
              </w:tc>
              <w:tc>
                <w:tcPr>
                  <w:tcW w:w="201" w:type="pct"/>
                  <w:tcBorders>
                    <w:tl2br w:val="nil"/>
                    <w:tr2bl w:val="nil"/>
                  </w:tcBorders>
                  <w:noWrap w:val="0"/>
                  <w:vAlign w:val="center"/>
                </w:tcPr>
                <w:p w14:paraId="6A9553C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W</w:t>
                  </w:r>
                </w:p>
              </w:tc>
              <w:tc>
                <w:tcPr>
                  <w:tcW w:w="213" w:type="pct"/>
                  <w:tcBorders>
                    <w:tl2br w:val="nil"/>
                    <w:tr2bl w:val="nil"/>
                  </w:tcBorders>
                  <w:noWrap w:val="0"/>
                  <w:vAlign w:val="center"/>
                </w:tcPr>
                <w:p w14:paraId="32945312">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N</w:t>
                  </w:r>
                </w:p>
              </w:tc>
              <w:tc>
                <w:tcPr>
                  <w:tcW w:w="195" w:type="pct"/>
                  <w:tcBorders>
                    <w:tl2br w:val="nil"/>
                    <w:tr2bl w:val="nil"/>
                  </w:tcBorders>
                  <w:noWrap w:val="0"/>
                  <w:vAlign w:val="center"/>
                </w:tcPr>
                <w:p w14:paraId="740E210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b w:val="0"/>
                      <w:bCs w:val="0"/>
                      <w:color w:val="auto"/>
                      <w:highlight w:val="none"/>
                      <w:lang w:val="en-US" w:eastAsia="zh-CN"/>
                    </w:rPr>
                    <w:t>E</w:t>
                  </w:r>
                </w:p>
              </w:tc>
              <w:tc>
                <w:tcPr>
                  <w:tcW w:w="178" w:type="pct"/>
                  <w:tcBorders>
                    <w:tl2br w:val="nil"/>
                    <w:tr2bl w:val="nil"/>
                  </w:tcBorders>
                  <w:noWrap w:val="0"/>
                  <w:vAlign w:val="center"/>
                </w:tcPr>
                <w:p w14:paraId="3F7B632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b w:val="0"/>
                      <w:bCs w:val="0"/>
                      <w:color w:val="auto"/>
                      <w:highlight w:val="none"/>
                      <w:lang w:val="en-US" w:eastAsia="zh-CN"/>
                    </w:rPr>
                    <w:t>S</w:t>
                  </w:r>
                </w:p>
              </w:tc>
              <w:tc>
                <w:tcPr>
                  <w:tcW w:w="195" w:type="pct"/>
                  <w:tcBorders>
                    <w:tl2br w:val="nil"/>
                    <w:tr2bl w:val="nil"/>
                  </w:tcBorders>
                  <w:noWrap w:val="0"/>
                  <w:vAlign w:val="center"/>
                </w:tcPr>
                <w:p w14:paraId="199CFA3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b w:val="0"/>
                      <w:bCs w:val="0"/>
                      <w:color w:val="auto"/>
                      <w:highlight w:val="none"/>
                      <w:lang w:val="en-US" w:eastAsia="zh-CN"/>
                    </w:rPr>
                    <w:t>W</w:t>
                  </w:r>
                </w:p>
              </w:tc>
              <w:tc>
                <w:tcPr>
                  <w:tcW w:w="207" w:type="pct"/>
                  <w:tcBorders>
                    <w:tl2br w:val="nil"/>
                    <w:tr2bl w:val="nil"/>
                  </w:tcBorders>
                  <w:noWrap w:val="0"/>
                  <w:vAlign w:val="center"/>
                </w:tcPr>
                <w:p w14:paraId="625F33B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b w:val="0"/>
                      <w:bCs w:val="0"/>
                      <w:color w:val="auto"/>
                      <w:highlight w:val="none"/>
                      <w:lang w:val="en-US" w:eastAsia="zh-CN"/>
                    </w:rPr>
                    <w:t>N</w:t>
                  </w:r>
                </w:p>
              </w:tc>
              <w:tc>
                <w:tcPr>
                  <w:tcW w:w="195" w:type="pct"/>
                  <w:vMerge w:val="continue"/>
                  <w:tcBorders>
                    <w:tl2br w:val="nil"/>
                    <w:tr2bl w:val="nil"/>
                  </w:tcBorders>
                  <w:noWrap w:val="0"/>
                  <w:vAlign w:val="center"/>
                </w:tcPr>
                <w:p w14:paraId="693D6F5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279" w:type="pct"/>
                  <w:vMerge w:val="continue"/>
                  <w:tcBorders>
                    <w:tl2br w:val="nil"/>
                    <w:tr2bl w:val="nil"/>
                  </w:tcBorders>
                  <w:noWrap w:val="0"/>
                  <w:vAlign w:val="center"/>
                </w:tcPr>
                <w:p w14:paraId="35D9F55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253" w:type="pct"/>
                  <w:tcBorders>
                    <w:tl2br w:val="nil"/>
                    <w:tr2bl w:val="nil"/>
                  </w:tcBorders>
                  <w:noWrap w:val="0"/>
                  <w:vAlign w:val="center"/>
                </w:tcPr>
                <w:p w14:paraId="5CAAB25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声压级dB（A）</w:t>
                  </w:r>
                </w:p>
              </w:tc>
              <w:tc>
                <w:tcPr>
                  <w:tcW w:w="253" w:type="pct"/>
                  <w:tcBorders>
                    <w:tl2br w:val="nil"/>
                    <w:tr2bl w:val="nil"/>
                  </w:tcBorders>
                  <w:noWrap w:val="0"/>
                  <w:vAlign w:val="center"/>
                </w:tcPr>
                <w:p w14:paraId="3CC63EB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建筑物外距离</w:t>
                  </w:r>
                </w:p>
              </w:tc>
            </w:tr>
            <w:tr w14:paraId="7378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 w:type="pct"/>
                  <w:vMerge w:val="restart"/>
                  <w:tcBorders>
                    <w:tl2br w:val="nil"/>
                    <w:tr2bl w:val="nil"/>
                  </w:tcBorders>
                  <w:noWrap w:val="0"/>
                  <w:vAlign w:val="center"/>
                </w:tcPr>
                <w:p w14:paraId="233B2F2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w:t>
                  </w:r>
                </w:p>
              </w:tc>
              <w:tc>
                <w:tcPr>
                  <w:tcW w:w="175" w:type="pct"/>
                  <w:vMerge w:val="restart"/>
                  <w:tcBorders>
                    <w:tl2br w:val="nil"/>
                    <w:tr2bl w:val="nil"/>
                  </w:tcBorders>
                  <w:noWrap w:val="0"/>
                  <w:vAlign w:val="center"/>
                </w:tcPr>
                <w:p w14:paraId="41942FE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eastAsia" w:eastAsia="宋体"/>
                      <w:b w:val="0"/>
                      <w:bCs w:val="0"/>
                      <w:color w:val="auto"/>
                      <w:highlight w:val="none"/>
                      <w:lang w:val="en-US" w:eastAsia="zh-CN"/>
                    </w:rPr>
                  </w:pPr>
                  <w:r>
                    <w:rPr>
                      <w:rFonts w:hint="eastAsia"/>
                      <w:b w:val="0"/>
                      <w:bCs w:val="0"/>
                      <w:color w:val="auto"/>
                      <w:highlight w:val="none"/>
                      <w:lang w:eastAsia="zh-CN"/>
                    </w:rPr>
                    <w:t>生产车间</w:t>
                  </w:r>
                </w:p>
              </w:tc>
              <w:tc>
                <w:tcPr>
                  <w:tcW w:w="475" w:type="pct"/>
                  <w:vMerge w:val="restart"/>
                  <w:tcBorders>
                    <w:tl2br w:val="nil"/>
                    <w:tr2bl w:val="nil"/>
                  </w:tcBorders>
                  <w:noWrap w:val="0"/>
                  <w:vAlign w:val="center"/>
                </w:tcPr>
                <w:p w14:paraId="5D7004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4"/>
                      <w:highlight w:val="none"/>
                      <w:lang w:val="en-US" w:eastAsia="zh-CN" w:bidi="ar-SA"/>
                    </w:rPr>
                  </w:pPr>
                  <w:r>
                    <w:rPr>
                      <w:rFonts w:hint="eastAsia" w:cs="Times New Roman"/>
                      <w:b w:val="0"/>
                      <w:bCs w:val="0"/>
                      <w:snapToGrid/>
                      <w:color w:val="auto"/>
                      <w:spacing w:val="0"/>
                      <w:kern w:val="0"/>
                      <w:position w:val="0"/>
                      <w:sz w:val="21"/>
                      <w:szCs w:val="24"/>
                      <w:highlight w:val="none"/>
                      <w:lang w:val="en-US" w:eastAsia="zh-CN" w:bidi="ar-SA"/>
                    </w:rPr>
                    <w:t>自动割管机</w:t>
                  </w:r>
                </w:p>
              </w:tc>
              <w:tc>
                <w:tcPr>
                  <w:tcW w:w="492" w:type="pct"/>
                  <w:tcBorders>
                    <w:tl2br w:val="nil"/>
                    <w:tr2bl w:val="nil"/>
                  </w:tcBorders>
                  <w:noWrap w:val="0"/>
                  <w:vAlign w:val="center"/>
                </w:tcPr>
                <w:p w14:paraId="7842384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default" w:ascii="Times New Roman" w:hAnsi="Times New Roman" w:eastAsia="宋体" w:cs="Times New Roman"/>
                      <w:color w:val="auto"/>
                      <w:sz w:val="21"/>
                      <w:szCs w:val="21"/>
                      <w:highlight w:val="none"/>
                    </w:rPr>
                    <w:t>JM40</w:t>
                  </w:r>
                </w:p>
              </w:tc>
              <w:tc>
                <w:tcPr>
                  <w:tcW w:w="246" w:type="pct"/>
                  <w:vMerge w:val="restart"/>
                  <w:tcBorders>
                    <w:tl2br w:val="nil"/>
                    <w:tr2bl w:val="nil"/>
                  </w:tcBorders>
                  <w:noWrap w:val="0"/>
                  <w:vAlign w:val="center"/>
                </w:tcPr>
                <w:p w14:paraId="376B5C96">
                  <w:pPr>
                    <w:widowControl/>
                    <w:jc w:val="center"/>
                    <w:rPr>
                      <w:rFonts w:hint="default" w:ascii="Times New Roman" w:hAnsi="Times New Roman" w:eastAsia="宋体" w:cs="Times New Roman"/>
                      <w:b w:val="0"/>
                      <w:bCs w:val="0"/>
                      <w:snapToGrid/>
                      <w:color w:val="auto"/>
                      <w:spacing w:val="0"/>
                      <w:kern w:val="0"/>
                      <w:position w:val="0"/>
                      <w:sz w:val="21"/>
                      <w:szCs w:val="22"/>
                      <w:highlight w:val="none"/>
                      <w:lang w:val="en-US" w:eastAsia="zh-CN" w:bidi="ar-SA"/>
                    </w:rPr>
                  </w:pPr>
                  <w:r>
                    <w:rPr>
                      <w:rFonts w:hint="eastAsia" w:cs="Times New Roman"/>
                      <w:b w:val="0"/>
                      <w:bCs w:val="0"/>
                      <w:snapToGrid/>
                      <w:color w:val="auto"/>
                      <w:spacing w:val="0"/>
                      <w:kern w:val="0"/>
                      <w:position w:val="0"/>
                      <w:sz w:val="21"/>
                      <w:szCs w:val="22"/>
                      <w:highlight w:val="none"/>
                      <w:lang w:val="en-US" w:eastAsia="zh-CN" w:bidi="ar-SA"/>
                    </w:rPr>
                    <w:t>80</w:t>
                  </w:r>
                </w:p>
              </w:tc>
              <w:tc>
                <w:tcPr>
                  <w:tcW w:w="262" w:type="pct"/>
                  <w:vMerge w:val="restart"/>
                  <w:tcBorders>
                    <w:tl2br w:val="nil"/>
                    <w:tr2bl w:val="nil"/>
                  </w:tcBorders>
                  <w:noWrap w:val="0"/>
                  <w:vAlign w:val="center"/>
                </w:tcPr>
                <w:p w14:paraId="65CA25D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default" w:ascii="Times New Roman" w:hAnsi="Times New Roman" w:eastAsia="宋体" w:cs="Times New Roman"/>
                      <w:b w:val="0"/>
                      <w:bCs w:val="0"/>
                      <w:color w:val="auto"/>
                      <w:sz w:val="21"/>
                      <w:highlight w:val="none"/>
                    </w:rPr>
                    <w:t>选用低噪声设备、加设减振基础、厂房隔声、距离衰减</w:t>
                  </w:r>
                </w:p>
              </w:tc>
              <w:tc>
                <w:tcPr>
                  <w:tcW w:w="569" w:type="dxa"/>
                  <w:tcBorders>
                    <w:tl2br w:val="nil"/>
                    <w:tr2bl w:val="nil"/>
                  </w:tcBorders>
                  <w:noWrap w:val="0"/>
                  <w:vAlign w:val="center"/>
                </w:tcPr>
                <w:p w14:paraId="0DC5398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-72</w:t>
                  </w:r>
                </w:p>
              </w:tc>
              <w:tc>
                <w:tcPr>
                  <w:tcW w:w="525" w:type="dxa"/>
                  <w:tcBorders>
                    <w:tl2br w:val="nil"/>
                    <w:tr2bl w:val="nil"/>
                  </w:tcBorders>
                  <w:noWrap w:val="0"/>
                  <w:vAlign w:val="center"/>
                </w:tcPr>
                <w:p w14:paraId="3163576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10</w:t>
                  </w:r>
                </w:p>
              </w:tc>
              <w:tc>
                <w:tcPr>
                  <w:tcW w:w="495" w:type="dxa"/>
                  <w:tcBorders>
                    <w:tl2br w:val="nil"/>
                    <w:tr2bl w:val="nil"/>
                  </w:tcBorders>
                  <w:noWrap w:val="0"/>
                  <w:vAlign w:val="center"/>
                </w:tcPr>
                <w:p w14:paraId="52E0DC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w:t>
                  </w:r>
                </w:p>
              </w:tc>
              <w:tc>
                <w:tcPr>
                  <w:tcW w:w="531" w:type="dxa"/>
                  <w:tcBorders>
                    <w:tl2br w:val="nil"/>
                    <w:tr2bl w:val="nil"/>
                  </w:tcBorders>
                  <w:noWrap w:val="0"/>
                  <w:vAlign w:val="center"/>
                </w:tcPr>
                <w:p w14:paraId="7246A3E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26</w:t>
                  </w:r>
                </w:p>
              </w:tc>
              <w:tc>
                <w:tcPr>
                  <w:tcW w:w="503" w:type="dxa"/>
                  <w:tcBorders>
                    <w:tl2br w:val="nil"/>
                    <w:tr2bl w:val="nil"/>
                  </w:tcBorders>
                  <w:noWrap w:val="0"/>
                  <w:vAlign w:val="center"/>
                </w:tcPr>
                <w:p w14:paraId="4F647DF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531" w:type="dxa"/>
                  <w:tcBorders>
                    <w:tl2br w:val="nil"/>
                    <w:tr2bl w:val="nil"/>
                  </w:tcBorders>
                  <w:noWrap w:val="0"/>
                  <w:vAlign w:val="center"/>
                </w:tcPr>
                <w:p w14:paraId="36BCC3D7">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174</w:t>
                  </w:r>
                </w:p>
              </w:tc>
              <w:tc>
                <w:tcPr>
                  <w:tcW w:w="554" w:type="dxa"/>
                  <w:tcBorders>
                    <w:tl2br w:val="nil"/>
                    <w:tr2bl w:val="nil"/>
                  </w:tcBorders>
                  <w:noWrap w:val="0"/>
                  <w:vAlign w:val="center"/>
                </w:tcPr>
                <w:p w14:paraId="362F304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宋体"/>
                      <w:b w:val="0"/>
                      <w:bCs w:val="0"/>
                      <w:color w:val="auto"/>
                      <w:spacing w:val="-2"/>
                      <w:sz w:val="21"/>
                      <w:szCs w:val="20"/>
                      <w:highlight w:val="none"/>
                      <w:lang w:val="en-US" w:eastAsia="zh-CN" w:bidi="ar-SA"/>
                    </w:rPr>
                  </w:pPr>
                  <w:r>
                    <w:rPr>
                      <w:rFonts w:hint="eastAsia" w:ascii="Times New Roman" w:hAnsi="Times New Roman" w:eastAsia="宋体" w:cs="宋体"/>
                      <w:b w:val="0"/>
                      <w:bCs w:val="0"/>
                      <w:color w:val="auto"/>
                      <w:spacing w:val="-2"/>
                      <w:sz w:val="21"/>
                      <w:szCs w:val="20"/>
                      <w:highlight w:val="none"/>
                      <w:lang w:val="en-US" w:eastAsia="zh-CN" w:bidi="ar-SA"/>
                    </w:rPr>
                    <w:t>30</w:t>
                  </w:r>
                </w:p>
              </w:tc>
              <w:tc>
                <w:tcPr>
                  <w:tcW w:w="509" w:type="dxa"/>
                  <w:tcBorders>
                    <w:tl2br w:val="nil"/>
                    <w:tr2bl w:val="nil"/>
                  </w:tcBorders>
                  <w:noWrap w:val="0"/>
                  <w:vAlign w:val="center"/>
                </w:tcPr>
                <w:p w14:paraId="16F6B1E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ascii="Times New Roman" w:hAnsi="Times New Roman" w:eastAsia="宋体" w:cs="Times New Roman"/>
                      <w:b w:val="0"/>
                      <w:bCs w:val="0"/>
                      <w:color w:val="auto"/>
                      <w:kern w:val="2"/>
                      <w:sz w:val="21"/>
                      <w:szCs w:val="20"/>
                      <w:highlight w:val="none"/>
                      <w:lang w:val="en-US" w:eastAsia="zh-CN" w:bidi="ar-SA"/>
                    </w:rPr>
                    <w:t>51</w:t>
                  </w:r>
                </w:p>
              </w:tc>
              <w:tc>
                <w:tcPr>
                  <w:tcW w:w="463" w:type="dxa"/>
                  <w:tcBorders>
                    <w:tl2br w:val="nil"/>
                    <w:tr2bl w:val="nil"/>
                  </w:tcBorders>
                  <w:noWrap w:val="0"/>
                  <w:vAlign w:val="center"/>
                </w:tcPr>
                <w:p w14:paraId="58698A1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56</w:t>
                  </w:r>
                </w:p>
              </w:tc>
              <w:tc>
                <w:tcPr>
                  <w:tcW w:w="509" w:type="dxa"/>
                  <w:tcBorders>
                    <w:tl2br w:val="nil"/>
                    <w:tr2bl w:val="nil"/>
                  </w:tcBorders>
                  <w:noWrap w:val="0"/>
                  <w:vAlign w:val="center"/>
                </w:tcPr>
                <w:p w14:paraId="4A81F960">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35</w:t>
                  </w:r>
                </w:p>
              </w:tc>
              <w:tc>
                <w:tcPr>
                  <w:tcW w:w="549" w:type="dxa"/>
                  <w:tcBorders>
                    <w:tl2br w:val="nil"/>
                    <w:tr2bl w:val="nil"/>
                  </w:tcBorders>
                  <w:noWrap w:val="0"/>
                  <w:vAlign w:val="center"/>
                </w:tcPr>
                <w:p w14:paraId="5864BAD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50</w:t>
                  </w:r>
                </w:p>
              </w:tc>
              <w:tc>
                <w:tcPr>
                  <w:tcW w:w="509" w:type="dxa"/>
                  <w:vMerge w:val="restart"/>
                  <w:tcBorders>
                    <w:tl2br w:val="nil"/>
                    <w:tr2bl w:val="nil"/>
                  </w:tcBorders>
                  <w:noWrap w:val="0"/>
                  <w:vAlign w:val="center"/>
                </w:tcPr>
                <w:p w14:paraId="1AF7D9B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val="0"/>
                      <w:bCs w:val="0"/>
                      <w:color w:val="auto"/>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8</w:t>
                  </w:r>
                  <w:r>
                    <w:rPr>
                      <w:rFonts w:hint="eastAsia" w:ascii="Times New Roman" w:hAnsi="Times New Roman" w:eastAsia="宋体" w:cs="Times New Roman"/>
                      <w:b w:val="0"/>
                      <w:bCs w:val="0"/>
                      <w:snapToGrid/>
                      <w:color w:val="auto"/>
                      <w:spacing w:val="0"/>
                      <w:kern w:val="0"/>
                      <w:position w:val="0"/>
                      <w:sz w:val="21"/>
                      <w:szCs w:val="21"/>
                      <w:highlight w:val="none"/>
                      <w:lang w:val="en-US" w:eastAsia="zh-CN"/>
                    </w:rPr>
                    <w:t>h</w:t>
                  </w:r>
                </w:p>
              </w:tc>
              <w:tc>
                <w:tcPr>
                  <w:tcW w:w="788" w:type="dxa"/>
                  <w:vMerge w:val="restart"/>
                  <w:tcBorders>
                    <w:tl2br w:val="nil"/>
                    <w:tr2bl w:val="nil"/>
                  </w:tcBorders>
                  <w:noWrap w:val="0"/>
                  <w:vAlign w:val="center"/>
                </w:tcPr>
                <w:p w14:paraId="2F8BED7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788" w:type="dxa"/>
                  <w:tcBorders>
                    <w:tl2br w:val="nil"/>
                    <w:tr2bl w:val="nil"/>
                  </w:tcBorders>
                  <w:noWrap w:val="0"/>
                  <w:vAlign w:val="center"/>
                </w:tcPr>
                <w:p w14:paraId="471AB58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42</w:t>
                  </w:r>
                </w:p>
              </w:tc>
              <w:tc>
                <w:tcPr>
                  <w:tcW w:w="667" w:type="dxa"/>
                  <w:vMerge w:val="restart"/>
                  <w:tcBorders>
                    <w:tl2br w:val="nil"/>
                    <w:tr2bl w:val="nil"/>
                  </w:tcBorders>
                  <w:noWrap w:val="0"/>
                  <w:vAlign w:val="center"/>
                </w:tcPr>
                <w:p w14:paraId="74D2E1B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1m</w:t>
                  </w:r>
                </w:p>
              </w:tc>
            </w:tr>
            <w:tr w14:paraId="232E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5" w:type="pct"/>
                  <w:vMerge w:val="continue"/>
                  <w:tcBorders>
                    <w:tl2br w:val="nil"/>
                    <w:tr2bl w:val="nil"/>
                  </w:tcBorders>
                  <w:noWrap w:val="0"/>
                  <w:vAlign w:val="center"/>
                </w:tcPr>
                <w:p w14:paraId="263F1BB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color w:val="auto"/>
                      <w:highlight w:val="none"/>
                    </w:rPr>
                  </w:pPr>
                </w:p>
              </w:tc>
              <w:tc>
                <w:tcPr>
                  <w:tcW w:w="175" w:type="pct"/>
                  <w:vMerge w:val="continue"/>
                  <w:tcBorders>
                    <w:tl2br w:val="nil"/>
                    <w:tr2bl w:val="nil"/>
                  </w:tcBorders>
                  <w:noWrap w:val="0"/>
                  <w:vAlign w:val="center"/>
                </w:tcPr>
                <w:p w14:paraId="217E023F">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color w:val="auto"/>
                      <w:highlight w:val="none"/>
                    </w:rPr>
                  </w:pPr>
                </w:p>
              </w:tc>
              <w:tc>
                <w:tcPr>
                  <w:tcW w:w="475" w:type="pct"/>
                  <w:vMerge w:val="continue"/>
                  <w:tcBorders>
                    <w:tl2br w:val="nil"/>
                    <w:tr2bl w:val="nil"/>
                  </w:tcBorders>
                  <w:noWrap w:val="0"/>
                  <w:vAlign w:val="center"/>
                </w:tcPr>
                <w:p w14:paraId="21BF3478">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color w:val="auto"/>
                      <w:highlight w:val="none"/>
                    </w:rPr>
                  </w:pPr>
                </w:p>
              </w:tc>
              <w:tc>
                <w:tcPr>
                  <w:tcW w:w="492" w:type="pct"/>
                  <w:tcBorders>
                    <w:tl2br w:val="nil"/>
                    <w:tr2bl w:val="nil"/>
                  </w:tcBorders>
                  <w:noWrap w:val="0"/>
                  <w:vAlign w:val="center"/>
                </w:tcPr>
                <w:p w14:paraId="2C1E473D">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default" w:ascii="Times New Roman" w:hAnsi="Times New Roman" w:eastAsia="宋体" w:cs="Times New Roman"/>
                      <w:color w:val="auto"/>
                      <w:sz w:val="21"/>
                      <w:szCs w:val="21"/>
                      <w:highlight w:val="none"/>
                    </w:rPr>
                    <w:t>JM60</w:t>
                  </w:r>
                </w:p>
              </w:tc>
              <w:tc>
                <w:tcPr>
                  <w:tcW w:w="246" w:type="pct"/>
                  <w:vMerge w:val="continue"/>
                  <w:tcBorders>
                    <w:tl2br w:val="nil"/>
                    <w:tr2bl w:val="nil"/>
                  </w:tcBorders>
                  <w:noWrap w:val="0"/>
                  <w:vAlign w:val="center"/>
                </w:tcPr>
                <w:p w14:paraId="512C29D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p>
              </w:tc>
              <w:tc>
                <w:tcPr>
                  <w:tcW w:w="262" w:type="pct"/>
                  <w:vMerge w:val="continue"/>
                  <w:tcBorders>
                    <w:tl2br w:val="nil"/>
                    <w:tr2bl w:val="nil"/>
                  </w:tcBorders>
                  <w:noWrap w:val="0"/>
                  <w:vAlign w:val="center"/>
                </w:tcPr>
                <w:p w14:paraId="2E6FB7D7">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p>
              </w:tc>
              <w:tc>
                <w:tcPr>
                  <w:tcW w:w="569" w:type="dxa"/>
                  <w:tcBorders>
                    <w:tl2br w:val="nil"/>
                    <w:tr2bl w:val="nil"/>
                  </w:tcBorders>
                  <w:noWrap w:val="0"/>
                  <w:vAlign w:val="center"/>
                </w:tcPr>
                <w:p w14:paraId="16533B7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-66</w:t>
                  </w:r>
                </w:p>
              </w:tc>
              <w:tc>
                <w:tcPr>
                  <w:tcW w:w="525" w:type="dxa"/>
                  <w:tcBorders>
                    <w:tl2br w:val="nil"/>
                    <w:tr2bl w:val="nil"/>
                  </w:tcBorders>
                  <w:noWrap w:val="0"/>
                  <w:vAlign w:val="center"/>
                </w:tcPr>
                <w:p w14:paraId="5A0A57D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9</w:t>
                  </w:r>
                </w:p>
              </w:tc>
              <w:tc>
                <w:tcPr>
                  <w:tcW w:w="495" w:type="dxa"/>
                  <w:tcBorders>
                    <w:tl2br w:val="nil"/>
                    <w:tr2bl w:val="nil"/>
                  </w:tcBorders>
                  <w:noWrap w:val="0"/>
                  <w:vAlign w:val="center"/>
                </w:tcPr>
                <w:p w14:paraId="2350A8D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w:t>
                  </w:r>
                </w:p>
              </w:tc>
              <w:tc>
                <w:tcPr>
                  <w:tcW w:w="531" w:type="dxa"/>
                  <w:tcBorders>
                    <w:tl2br w:val="nil"/>
                    <w:tr2bl w:val="nil"/>
                  </w:tcBorders>
                  <w:noWrap w:val="0"/>
                  <w:vAlign w:val="center"/>
                </w:tcPr>
                <w:p w14:paraId="201B0669">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27</w:t>
                  </w:r>
                </w:p>
              </w:tc>
              <w:tc>
                <w:tcPr>
                  <w:tcW w:w="503" w:type="dxa"/>
                  <w:tcBorders>
                    <w:tl2br w:val="nil"/>
                    <w:tr2bl w:val="nil"/>
                  </w:tcBorders>
                  <w:noWrap w:val="0"/>
                  <w:vAlign w:val="center"/>
                </w:tcPr>
                <w:p w14:paraId="2BEBDF10">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15</w:t>
                  </w:r>
                </w:p>
              </w:tc>
              <w:tc>
                <w:tcPr>
                  <w:tcW w:w="531" w:type="dxa"/>
                  <w:tcBorders>
                    <w:tl2br w:val="nil"/>
                    <w:tr2bl w:val="nil"/>
                  </w:tcBorders>
                  <w:noWrap w:val="0"/>
                  <w:vAlign w:val="center"/>
                </w:tcPr>
                <w:p w14:paraId="55AAB445">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173</w:t>
                  </w:r>
                </w:p>
              </w:tc>
              <w:tc>
                <w:tcPr>
                  <w:tcW w:w="554" w:type="dxa"/>
                  <w:tcBorders>
                    <w:tl2br w:val="nil"/>
                    <w:tr2bl w:val="nil"/>
                  </w:tcBorders>
                  <w:noWrap w:val="0"/>
                  <w:vAlign w:val="center"/>
                </w:tcPr>
                <w:p w14:paraId="1681821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30</w:t>
                  </w:r>
                </w:p>
              </w:tc>
              <w:tc>
                <w:tcPr>
                  <w:tcW w:w="509" w:type="dxa"/>
                  <w:tcBorders>
                    <w:tl2br w:val="nil"/>
                    <w:tr2bl w:val="nil"/>
                  </w:tcBorders>
                  <w:noWrap w:val="0"/>
                  <w:vAlign w:val="center"/>
                </w:tcPr>
                <w:p w14:paraId="42A237C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51</w:t>
                  </w:r>
                </w:p>
              </w:tc>
              <w:tc>
                <w:tcPr>
                  <w:tcW w:w="463" w:type="dxa"/>
                  <w:tcBorders>
                    <w:tl2br w:val="nil"/>
                    <w:tr2bl w:val="nil"/>
                  </w:tcBorders>
                  <w:noWrap w:val="0"/>
                  <w:vAlign w:val="center"/>
                </w:tcPr>
                <w:p w14:paraId="7DEB119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56</w:t>
                  </w:r>
                </w:p>
              </w:tc>
              <w:tc>
                <w:tcPr>
                  <w:tcW w:w="509" w:type="dxa"/>
                  <w:tcBorders>
                    <w:tl2br w:val="nil"/>
                    <w:tr2bl w:val="nil"/>
                  </w:tcBorders>
                  <w:noWrap w:val="0"/>
                  <w:vAlign w:val="center"/>
                </w:tcPr>
                <w:p w14:paraId="0CEEA18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35</w:t>
                  </w:r>
                </w:p>
              </w:tc>
              <w:tc>
                <w:tcPr>
                  <w:tcW w:w="549" w:type="dxa"/>
                  <w:tcBorders>
                    <w:tl2br w:val="nil"/>
                    <w:tr2bl w:val="nil"/>
                  </w:tcBorders>
                  <w:noWrap w:val="0"/>
                  <w:vAlign w:val="center"/>
                </w:tcPr>
                <w:p w14:paraId="4E01390B">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50</w:t>
                  </w:r>
                </w:p>
              </w:tc>
              <w:tc>
                <w:tcPr>
                  <w:tcW w:w="509" w:type="dxa"/>
                  <w:vMerge w:val="continue"/>
                  <w:tcBorders>
                    <w:tl2br w:val="nil"/>
                    <w:tr2bl w:val="nil"/>
                  </w:tcBorders>
                  <w:noWrap w:val="0"/>
                  <w:vAlign w:val="center"/>
                </w:tcPr>
                <w:p w14:paraId="72E12C03">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p>
              </w:tc>
              <w:tc>
                <w:tcPr>
                  <w:tcW w:w="788" w:type="dxa"/>
                  <w:vMerge w:val="continue"/>
                  <w:tcBorders>
                    <w:tl2br w:val="nil"/>
                    <w:tr2bl w:val="nil"/>
                  </w:tcBorders>
                  <w:noWrap w:val="0"/>
                  <w:vAlign w:val="center"/>
                </w:tcPr>
                <w:p w14:paraId="252B4432">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p>
              </w:tc>
              <w:tc>
                <w:tcPr>
                  <w:tcW w:w="788" w:type="dxa"/>
                  <w:tcBorders>
                    <w:tl2br w:val="nil"/>
                    <w:tr2bl w:val="nil"/>
                  </w:tcBorders>
                  <w:noWrap w:val="0"/>
                  <w:vAlign w:val="center"/>
                </w:tcPr>
                <w:p w14:paraId="127FFE4C">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42</w:t>
                  </w:r>
                </w:p>
              </w:tc>
              <w:tc>
                <w:tcPr>
                  <w:tcW w:w="667" w:type="dxa"/>
                  <w:vMerge w:val="continue"/>
                  <w:tcBorders>
                    <w:tl2br w:val="nil"/>
                    <w:tr2bl w:val="nil"/>
                  </w:tcBorders>
                  <w:noWrap w:val="0"/>
                  <w:vAlign w:val="center"/>
                </w:tcPr>
                <w:p w14:paraId="20419A1A">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p>
              </w:tc>
            </w:tr>
            <w:tr w14:paraId="24BE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 w:type="pct"/>
                  <w:tcBorders>
                    <w:tl2br w:val="nil"/>
                    <w:tr2bl w:val="nil"/>
                  </w:tcBorders>
                  <w:noWrap w:val="0"/>
                  <w:vAlign w:val="center"/>
                </w:tcPr>
                <w:p w14:paraId="3ACF66C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2</w:t>
                  </w:r>
                </w:p>
              </w:tc>
              <w:tc>
                <w:tcPr>
                  <w:tcW w:w="175" w:type="pct"/>
                  <w:vMerge w:val="continue"/>
                  <w:tcBorders>
                    <w:tl2br w:val="nil"/>
                    <w:tr2bl w:val="nil"/>
                  </w:tcBorders>
                  <w:noWrap w:val="0"/>
                  <w:vAlign w:val="center"/>
                </w:tcPr>
                <w:p w14:paraId="13F0189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475" w:type="pct"/>
                  <w:tcBorders>
                    <w:tl2br w:val="nil"/>
                    <w:tr2bl w:val="nil"/>
                  </w:tcBorders>
                  <w:noWrap w:val="0"/>
                  <w:vAlign w:val="center"/>
                </w:tcPr>
                <w:p w14:paraId="7AEF1C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高精密平面磨床</w:t>
                  </w:r>
                </w:p>
              </w:tc>
              <w:tc>
                <w:tcPr>
                  <w:tcW w:w="492" w:type="pct"/>
                  <w:tcBorders>
                    <w:tl2br w:val="nil"/>
                    <w:tr2bl w:val="nil"/>
                  </w:tcBorders>
                  <w:noWrap w:val="0"/>
                  <w:vAlign w:val="center"/>
                </w:tcPr>
                <w:p w14:paraId="54C83E2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default" w:ascii="Times New Roman" w:hAnsi="Times New Roman" w:eastAsia="宋体" w:cs="Times New Roman"/>
                      <w:color w:val="auto"/>
                      <w:sz w:val="21"/>
                      <w:szCs w:val="21"/>
                      <w:highlight w:val="none"/>
                    </w:rPr>
                    <w:t>MYM7650</w:t>
                  </w:r>
                </w:p>
              </w:tc>
              <w:tc>
                <w:tcPr>
                  <w:tcW w:w="246" w:type="pct"/>
                  <w:tcBorders>
                    <w:tl2br w:val="nil"/>
                    <w:tr2bl w:val="nil"/>
                  </w:tcBorders>
                  <w:noWrap w:val="0"/>
                  <w:vAlign w:val="center"/>
                </w:tcPr>
                <w:p w14:paraId="5F48E474">
                  <w:pPr>
                    <w:widowControl/>
                    <w:jc w:val="center"/>
                    <w:rPr>
                      <w:rFonts w:hint="default" w:ascii="Times New Roman" w:hAnsi="Times New Roman" w:eastAsia="宋体" w:cs="Times New Roman"/>
                      <w:b w:val="0"/>
                      <w:bCs w:val="0"/>
                      <w:snapToGrid/>
                      <w:color w:val="auto"/>
                      <w:spacing w:val="0"/>
                      <w:kern w:val="0"/>
                      <w:position w:val="0"/>
                      <w:sz w:val="21"/>
                      <w:szCs w:val="22"/>
                      <w:highlight w:val="none"/>
                      <w:lang w:val="en-US" w:eastAsia="zh-CN" w:bidi="ar-SA"/>
                    </w:rPr>
                  </w:pPr>
                  <w:r>
                    <w:rPr>
                      <w:rFonts w:hint="eastAsia" w:cs="Times New Roman"/>
                      <w:b w:val="0"/>
                      <w:bCs w:val="0"/>
                      <w:snapToGrid/>
                      <w:color w:val="auto"/>
                      <w:spacing w:val="0"/>
                      <w:kern w:val="0"/>
                      <w:position w:val="0"/>
                      <w:sz w:val="21"/>
                      <w:szCs w:val="22"/>
                      <w:highlight w:val="none"/>
                      <w:lang w:val="en-US" w:eastAsia="zh-CN" w:bidi="ar-SA"/>
                    </w:rPr>
                    <w:t>85</w:t>
                  </w:r>
                </w:p>
              </w:tc>
              <w:tc>
                <w:tcPr>
                  <w:tcW w:w="262" w:type="pct"/>
                  <w:vMerge w:val="continue"/>
                  <w:tcBorders>
                    <w:tl2br w:val="nil"/>
                    <w:tr2bl w:val="nil"/>
                  </w:tcBorders>
                  <w:noWrap w:val="0"/>
                  <w:vAlign w:val="center"/>
                </w:tcPr>
                <w:p w14:paraId="3C531CA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569" w:type="dxa"/>
                  <w:tcBorders>
                    <w:tl2br w:val="nil"/>
                    <w:tr2bl w:val="nil"/>
                  </w:tcBorders>
                  <w:noWrap w:val="0"/>
                  <w:vAlign w:val="center"/>
                </w:tcPr>
                <w:p w14:paraId="2BFEC6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-46</w:t>
                  </w:r>
                </w:p>
              </w:tc>
              <w:tc>
                <w:tcPr>
                  <w:tcW w:w="525" w:type="dxa"/>
                  <w:tcBorders>
                    <w:tl2br w:val="nil"/>
                    <w:tr2bl w:val="nil"/>
                  </w:tcBorders>
                  <w:noWrap w:val="0"/>
                  <w:vAlign w:val="center"/>
                </w:tcPr>
                <w:p w14:paraId="4F6F70F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-11</w:t>
                  </w:r>
                </w:p>
              </w:tc>
              <w:tc>
                <w:tcPr>
                  <w:tcW w:w="495" w:type="dxa"/>
                  <w:tcBorders>
                    <w:tl2br w:val="nil"/>
                    <w:tr2bl w:val="nil"/>
                  </w:tcBorders>
                  <w:noWrap w:val="0"/>
                  <w:vAlign w:val="center"/>
                </w:tcPr>
                <w:p w14:paraId="6986411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w:t>
                  </w:r>
                </w:p>
              </w:tc>
              <w:tc>
                <w:tcPr>
                  <w:tcW w:w="531" w:type="dxa"/>
                  <w:tcBorders>
                    <w:tl2br w:val="nil"/>
                    <w:tr2bl w:val="nil"/>
                  </w:tcBorders>
                  <w:noWrap w:val="0"/>
                  <w:vAlign w:val="center"/>
                </w:tcPr>
                <w:p w14:paraId="1A2DA13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48</w:t>
                  </w:r>
                </w:p>
              </w:tc>
              <w:tc>
                <w:tcPr>
                  <w:tcW w:w="503" w:type="dxa"/>
                  <w:tcBorders>
                    <w:tl2br w:val="nil"/>
                    <w:tr2bl w:val="nil"/>
                  </w:tcBorders>
                  <w:noWrap w:val="0"/>
                  <w:vAlign w:val="center"/>
                </w:tcPr>
                <w:p w14:paraId="1DDFFC5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531" w:type="dxa"/>
                  <w:tcBorders>
                    <w:tl2br w:val="nil"/>
                    <w:tr2bl w:val="nil"/>
                  </w:tcBorders>
                  <w:noWrap w:val="0"/>
                  <w:vAlign w:val="center"/>
                </w:tcPr>
                <w:p w14:paraId="73C0AA0C">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152</w:t>
                  </w:r>
                </w:p>
              </w:tc>
              <w:tc>
                <w:tcPr>
                  <w:tcW w:w="554" w:type="dxa"/>
                  <w:tcBorders>
                    <w:tl2br w:val="nil"/>
                    <w:tr2bl w:val="nil"/>
                  </w:tcBorders>
                  <w:noWrap w:val="0"/>
                  <w:vAlign w:val="center"/>
                </w:tcPr>
                <w:p w14:paraId="1F4B7287">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宋体"/>
                      <w:b w:val="0"/>
                      <w:bCs w:val="0"/>
                      <w:color w:val="auto"/>
                      <w:spacing w:val="-2"/>
                      <w:sz w:val="21"/>
                      <w:szCs w:val="20"/>
                      <w:highlight w:val="none"/>
                      <w:lang w:val="en-US" w:eastAsia="zh-CN" w:bidi="ar-SA"/>
                    </w:rPr>
                  </w:pPr>
                  <w:r>
                    <w:rPr>
                      <w:rFonts w:hint="eastAsia" w:ascii="Times New Roman" w:hAnsi="Times New Roman" w:eastAsia="宋体" w:cs="宋体"/>
                      <w:b w:val="0"/>
                      <w:bCs w:val="0"/>
                      <w:color w:val="auto"/>
                      <w:spacing w:val="-2"/>
                      <w:sz w:val="21"/>
                      <w:szCs w:val="20"/>
                      <w:highlight w:val="none"/>
                      <w:lang w:val="en-US" w:eastAsia="zh-CN" w:bidi="ar-SA"/>
                    </w:rPr>
                    <w:t>30</w:t>
                  </w:r>
                </w:p>
              </w:tc>
              <w:tc>
                <w:tcPr>
                  <w:tcW w:w="509" w:type="dxa"/>
                  <w:tcBorders>
                    <w:tl2br w:val="nil"/>
                    <w:tr2bl w:val="nil"/>
                  </w:tcBorders>
                  <w:noWrap w:val="0"/>
                  <w:vAlign w:val="center"/>
                </w:tcPr>
                <w:p w14:paraId="2533102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ascii="Times New Roman" w:hAnsi="Times New Roman" w:eastAsia="宋体" w:cs="Times New Roman"/>
                      <w:b w:val="0"/>
                      <w:bCs w:val="0"/>
                      <w:color w:val="auto"/>
                      <w:kern w:val="2"/>
                      <w:sz w:val="21"/>
                      <w:szCs w:val="20"/>
                      <w:highlight w:val="none"/>
                      <w:lang w:val="en-US" w:eastAsia="zh-CN" w:bidi="ar-SA"/>
                    </w:rPr>
                    <w:t>51</w:t>
                  </w:r>
                </w:p>
              </w:tc>
              <w:tc>
                <w:tcPr>
                  <w:tcW w:w="463" w:type="dxa"/>
                  <w:tcBorders>
                    <w:tl2br w:val="nil"/>
                    <w:tr2bl w:val="nil"/>
                  </w:tcBorders>
                  <w:noWrap w:val="0"/>
                  <w:vAlign w:val="center"/>
                </w:tcPr>
                <w:p w14:paraId="5FFEAEB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61</w:t>
                  </w:r>
                </w:p>
              </w:tc>
              <w:tc>
                <w:tcPr>
                  <w:tcW w:w="509" w:type="dxa"/>
                  <w:tcBorders>
                    <w:tl2br w:val="nil"/>
                    <w:tr2bl w:val="nil"/>
                  </w:tcBorders>
                  <w:noWrap w:val="0"/>
                  <w:vAlign w:val="center"/>
                </w:tcPr>
                <w:p w14:paraId="5307692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41</w:t>
                  </w:r>
                </w:p>
              </w:tc>
              <w:tc>
                <w:tcPr>
                  <w:tcW w:w="549" w:type="dxa"/>
                  <w:tcBorders>
                    <w:tl2br w:val="nil"/>
                    <w:tr2bl w:val="nil"/>
                  </w:tcBorders>
                  <w:noWrap w:val="0"/>
                  <w:vAlign w:val="center"/>
                </w:tcPr>
                <w:p w14:paraId="43742A3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55</w:t>
                  </w:r>
                </w:p>
              </w:tc>
              <w:tc>
                <w:tcPr>
                  <w:tcW w:w="509" w:type="dxa"/>
                  <w:tcBorders>
                    <w:tl2br w:val="nil"/>
                    <w:tr2bl w:val="nil"/>
                  </w:tcBorders>
                  <w:noWrap w:val="0"/>
                  <w:vAlign w:val="center"/>
                </w:tcPr>
                <w:p w14:paraId="0C466FB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val="0"/>
                      <w:bCs w:val="0"/>
                      <w:color w:val="auto"/>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8</w:t>
                  </w:r>
                  <w:r>
                    <w:rPr>
                      <w:rFonts w:hint="eastAsia" w:ascii="Times New Roman" w:hAnsi="Times New Roman" w:eastAsia="宋体" w:cs="Times New Roman"/>
                      <w:b w:val="0"/>
                      <w:bCs w:val="0"/>
                      <w:snapToGrid/>
                      <w:color w:val="auto"/>
                      <w:spacing w:val="0"/>
                      <w:kern w:val="0"/>
                      <w:position w:val="0"/>
                      <w:sz w:val="21"/>
                      <w:szCs w:val="21"/>
                      <w:highlight w:val="none"/>
                      <w:lang w:val="en-US" w:eastAsia="zh-CN"/>
                    </w:rPr>
                    <w:t>h</w:t>
                  </w:r>
                </w:p>
              </w:tc>
              <w:tc>
                <w:tcPr>
                  <w:tcW w:w="788" w:type="dxa"/>
                  <w:tcBorders>
                    <w:tl2br w:val="nil"/>
                    <w:tr2bl w:val="nil"/>
                  </w:tcBorders>
                  <w:noWrap w:val="0"/>
                  <w:vAlign w:val="center"/>
                </w:tcPr>
                <w:p w14:paraId="57E59B85">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788" w:type="dxa"/>
                  <w:tcBorders>
                    <w:tl2br w:val="nil"/>
                    <w:tr2bl w:val="nil"/>
                  </w:tcBorders>
                  <w:noWrap w:val="0"/>
                  <w:vAlign w:val="center"/>
                </w:tcPr>
                <w:p w14:paraId="09EAD2E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val="0"/>
                      <w:bCs w:val="0"/>
                      <w:color w:val="auto"/>
                      <w:sz w:val="21"/>
                      <w:szCs w:val="20"/>
                      <w:highlight w:val="none"/>
                      <w:lang w:val="en-US" w:eastAsia="zh-CN"/>
                    </w:rPr>
                  </w:pPr>
                  <w:r>
                    <w:rPr>
                      <w:rFonts w:hint="eastAsia"/>
                      <w:b w:val="0"/>
                      <w:bCs w:val="0"/>
                      <w:color w:val="auto"/>
                      <w:sz w:val="21"/>
                      <w:szCs w:val="20"/>
                      <w:highlight w:val="none"/>
                      <w:lang w:val="en-US" w:eastAsia="zh-CN"/>
                    </w:rPr>
                    <w:t>47</w:t>
                  </w:r>
                </w:p>
              </w:tc>
              <w:tc>
                <w:tcPr>
                  <w:tcW w:w="667" w:type="dxa"/>
                  <w:tcBorders>
                    <w:tl2br w:val="nil"/>
                    <w:tr2bl w:val="nil"/>
                  </w:tcBorders>
                  <w:noWrap w:val="0"/>
                  <w:vAlign w:val="center"/>
                </w:tcPr>
                <w:p w14:paraId="6BB3486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1m</w:t>
                  </w:r>
                </w:p>
              </w:tc>
            </w:tr>
            <w:tr w14:paraId="0FB1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5" w:type="pct"/>
                  <w:vMerge w:val="restart"/>
                  <w:tcBorders>
                    <w:tl2br w:val="nil"/>
                    <w:tr2bl w:val="nil"/>
                  </w:tcBorders>
                  <w:noWrap w:val="0"/>
                  <w:vAlign w:val="center"/>
                </w:tcPr>
                <w:p w14:paraId="5240619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eastAsia" w:ascii="Times New Roman" w:hAnsi="Times New Roman" w:eastAsia="宋体" w:cs="宋体"/>
                      <w:b w:val="0"/>
                      <w:bCs w:val="0"/>
                      <w:color w:val="auto"/>
                      <w:spacing w:val="-2"/>
                      <w:sz w:val="21"/>
                      <w:szCs w:val="20"/>
                      <w:highlight w:val="none"/>
                      <w:lang w:val="en-US" w:eastAsia="zh-CN" w:bidi="ar-SA"/>
                    </w:rPr>
                  </w:pPr>
                  <w:r>
                    <w:rPr>
                      <w:rFonts w:hint="eastAsia"/>
                      <w:b w:val="0"/>
                      <w:bCs w:val="0"/>
                      <w:color w:val="auto"/>
                      <w:highlight w:val="none"/>
                      <w:lang w:val="en-US" w:eastAsia="zh-CN"/>
                    </w:rPr>
                    <w:t>3</w:t>
                  </w:r>
                </w:p>
              </w:tc>
              <w:tc>
                <w:tcPr>
                  <w:tcW w:w="175" w:type="pct"/>
                  <w:vMerge w:val="continue"/>
                  <w:tcBorders>
                    <w:tl2br w:val="nil"/>
                    <w:tr2bl w:val="nil"/>
                  </w:tcBorders>
                  <w:noWrap w:val="0"/>
                  <w:vAlign w:val="center"/>
                </w:tcPr>
                <w:p w14:paraId="184A231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475" w:type="pct"/>
                  <w:vMerge w:val="restart"/>
                  <w:tcBorders>
                    <w:tl2br w:val="nil"/>
                    <w:tr2bl w:val="nil"/>
                  </w:tcBorders>
                  <w:noWrap w:val="0"/>
                  <w:vAlign w:val="center"/>
                </w:tcPr>
                <w:p w14:paraId="0B26EA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4"/>
                      <w:highlight w:val="none"/>
                      <w:lang w:val="en-US" w:eastAsia="zh-CN" w:bidi="ar-SA"/>
                    </w:rPr>
                  </w:pPr>
                  <w:r>
                    <w:rPr>
                      <w:rFonts w:hint="eastAsia" w:cs="Times New Roman"/>
                      <w:b w:val="0"/>
                      <w:bCs w:val="0"/>
                      <w:snapToGrid/>
                      <w:color w:val="auto"/>
                      <w:spacing w:val="0"/>
                      <w:kern w:val="0"/>
                      <w:position w:val="0"/>
                      <w:sz w:val="21"/>
                      <w:szCs w:val="24"/>
                      <w:highlight w:val="none"/>
                      <w:lang w:val="en-US" w:eastAsia="zh-CN" w:bidi="ar-SA"/>
                    </w:rPr>
                    <w:t>高精密无心磨床</w:t>
                  </w:r>
                </w:p>
              </w:tc>
              <w:tc>
                <w:tcPr>
                  <w:tcW w:w="492" w:type="pct"/>
                  <w:tcBorders>
                    <w:tl2br w:val="nil"/>
                    <w:tr2bl w:val="nil"/>
                  </w:tcBorders>
                  <w:noWrap w:val="0"/>
                  <w:vAlign w:val="center"/>
                </w:tcPr>
                <w:p w14:paraId="75964938">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default" w:ascii="Times New Roman" w:hAnsi="Times New Roman" w:eastAsia="宋体" w:cs="Times New Roman"/>
                      <w:color w:val="auto"/>
                      <w:sz w:val="21"/>
                      <w:szCs w:val="21"/>
                      <w:highlight w:val="none"/>
                    </w:rPr>
                    <w:t>MGM</w:t>
                  </w:r>
                  <w:r>
                    <w:rPr>
                      <w:rFonts w:hint="eastAsia" w:cs="Times New Roman"/>
                      <w:color w:val="auto"/>
                      <w:sz w:val="21"/>
                      <w:szCs w:val="21"/>
                      <w:highlight w:val="none"/>
                      <w:lang w:val="en-US" w:eastAsia="zh-CN"/>
                    </w:rPr>
                    <w:t>11100</w:t>
                  </w:r>
                </w:p>
              </w:tc>
              <w:tc>
                <w:tcPr>
                  <w:tcW w:w="246" w:type="pct"/>
                  <w:vMerge w:val="restart"/>
                  <w:tcBorders>
                    <w:tl2br w:val="nil"/>
                    <w:tr2bl w:val="nil"/>
                  </w:tcBorders>
                  <w:noWrap w:val="0"/>
                  <w:vAlign w:val="center"/>
                </w:tcPr>
                <w:p w14:paraId="6879E63A">
                  <w:pPr>
                    <w:widowControl/>
                    <w:jc w:val="center"/>
                    <w:rPr>
                      <w:rFonts w:hint="default" w:ascii="Times New Roman" w:hAnsi="Times New Roman" w:eastAsia="宋体" w:cs="Times New Roman"/>
                      <w:b w:val="0"/>
                      <w:bCs w:val="0"/>
                      <w:snapToGrid/>
                      <w:color w:val="auto"/>
                      <w:spacing w:val="0"/>
                      <w:kern w:val="0"/>
                      <w:position w:val="0"/>
                      <w:sz w:val="21"/>
                      <w:szCs w:val="22"/>
                      <w:highlight w:val="none"/>
                      <w:lang w:val="en-US" w:eastAsia="zh-CN" w:bidi="ar-SA"/>
                    </w:rPr>
                  </w:pPr>
                  <w:r>
                    <w:rPr>
                      <w:rFonts w:hint="eastAsia" w:cs="Times New Roman"/>
                      <w:b w:val="0"/>
                      <w:bCs w:val="0"/>
                      <w:snapToGrid/>
                      <w:color w:val="auto"/>
                      <w:spacing w:val="0"/>
                      <w:kern w:val="0"/>
                      <w:position w:val="0"/>
                      <w:sz w:val="21"/>
                      <w:szCs w:val="22"/>
                      <w:highlight w:val="none"/>
                      <w:lang w:val="en-US" w:eastAsia="zh-CN" w:bidi="ar-SA"/>
                    </w:rPr>
                    <w:t>85</w:t>
                  </w:r>
                </w:p>
              </w:tc>
              <w:tc>
                <w:tcPr>
                  <w:tcW w:w="262" w:type="pct"/>
                  <w:vMerge w:val="continue"/>
                  <w:tcBorders>
                    <w:tl2br w:val="nil"/>
                    <w:tr2bl w:val="nil"/>
                  </w:tcBorders>
                  <w:noWrap w:val="0"/>
                  <w:vAlign w:val="center"/>
                </w:tcPr>
                <w:p w14:paraId="6CF3CFB2">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569" w:type="dxa"/>
                  <w:tcBorders>
                    <w:tl2br w:val="nil"/>
                    <w:tr2bl w:val="nil"/>
                  </w:tcBorders>
                  <w:noWrap w:val="0"/>
                  <w:vAlign w:val="center"/>
                </w:tcPr>
                <w:p w14:paraId="50D341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-18</w:t>
                  </w:r>
                </w:p>
              </w:tc>
              <w:tc>
                <w:tcPr>
                  <w:tcW w:w="525" w:type="dxa"/>
                  <w:tcBorders>
                    <w:tl2br w:val="nil"/>
                    <w:tr2bl w:val="nil"/>
                  </w:tcBorders>
                  <w:noWrap w:val="0"/>
                  <w:vAlign w:val="center"/>
                </w:tcPr>
                <w:p w14:paraId="30CD4B8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0</w:t>
                  </w:r>
                </w:p>
              </w:tc>
              <w:tc>
                <w:tcPr>
                  <w:tcW w:w="495" w:type="dxa"/>
                  <w:tcBorders>
                    <w:tl2br w:val="nil"/>
                    <w:tr2bl w:val="nil"/>
                  </w:tcBorders>
                  <w:noWrap w:val="0"/>
                  <w:vAlign w:val="center"/>
                </w:tcPr>
                <w:p w14:paraId="6FC4950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w:t>
                  </w:r>
                </w:p>
              </w:tc>
              <w:tc>
                <w:tcPr>
                  <w:tcW w:w="531" w:type="dxa"/>
                  <w:tcBorders>
                    <w:tl2br w:val="nil"/>
                    <w:tr2bl w:val="nil"/>
                  </w:tcBorders>
                  <w:noWrap w:val="0"/>
                  <w:vAlign w:val="center"/>
                </w:tcPr>
                <w:p w14:paraId="1FBE38A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73</w:t>
                  </w:r>
                </w:p>
              </w:tc>
              <w:tc>
                <w:tcPr>
                  <w:tcW w:w="503" w:type="dxa"/>
                  <w:tcBorders>
                    <w:tl2br w:val="nil"/>
                    <w:tr2bl w:val="nil"/>
                  </w:tcBorders>
                  <w:noWrap w:val="0"/>
                  <w:vAlign w:val="center"/>
                </w:tcPr>
                <w:p w14:paraId="6D0474A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531" w:type="dxa"/>
                  <w:tcBorders>
                    <w:tl2br w:val="nil"/>
                    <w:tr2bl w:val="nil"/>
                  </w:tcBorders>
                  <w:noWrap w:val="0"/>
                  <w:vAlign w:val="center"/>
                </w:tcPr>
                <w:p w14:paraId="4077D80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127</w:t>
                  </w:r>
                </w:p>
              </w:tc>
              <w:tc>
                <w:tcPr>
                  <w:tcW w:w="554" w:type="dxa"/>
                  <w:tcBorders>
                    <w:tl2br w:val="nil"/>
                    <w:tr2bl w:val="nil"/>
                  </w:tcBorders>
                  <w:noWrap w:val="0"/>
                  <w:vAlign w:val="center"/>
                </w:tcPr>
                <w:p w14:paraId="072909F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宋体"/>
                      <w:b w:val="0"/>
                      <w:bCs w:val="0"/>
                      <w:color w:val="auto"/>
                      <w:spacing w:val="-2"/>
                      <w:sz w:val="21"/>
                      <w:szCs w:val="20"/>
                      <w:highlight w:val="none"/>
                      <w:lang w:val="en-US" w:eastAsia="zh-CN" w:bidi="ar-SA"/>
                    </w:rPr>
                  </w:pPr>
                  <w:r>
                    <w:rPr>
                      <w:rFonts w:hint="eastAsia" w:ascii="Times New Roman" w:hAnsi="Times New Roman" w:eastAsia="宋体" w:cs="宋体"/>
                      <w:b w:val="0"/>
                      <w:bCs w:val="0"/>
                      <w:color w:val="auto"/>
                      <w:spacing w:val="-2"/>
                      <w:sz w:val="21"/>
                      <w:szCs w:val="20"/>
                      <w:highlight w:val="none"/>
                      <w:lang w:val="en-US" w:eastAsia="zh-CN" w:bidi="ar-SA"/>
                    </w:rPr>
                    <w:t>30</w:t>
                  </w:r>
                </w:p>
              </w:tc>
              <w:tc>
                <w:tcPr>
                  <w:tcW w:w="509" w:type="dxa"/>
                  <w:tcBorders>
                    <w:tl2br w:val="nil"/>
                    <w:tr2bl w:val="nil"/>
                  </w:tcBorders>
                  <w:noWrap w:val="0"/>
                  <w:vAlign w:val="center"/>
                </w:tcPr>
                <w:p w14:paraId="2144FD82">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0"/>
                      <w:highlight w:val="none"/>
                      <w:lang w:val="en-US" w:eastAsia="zh-CN" w:bidi="ar-SA"/>
                    </w:rPr>
                  </w:pPr>
                  <w:r>
                    <w:rPr>
                      <w:rFonts w:hint="eastAsia" w:ascii="Times New Roman" w:hAnsi="Times New Roman" w:eastAsia="宋体" w:cs="Times New Roman"/>
                      <w:b w:val="0"/>
                      <w:bCs w:val="0"/>
                      <w:color w:val="auto"/>
                      <w:kern w:val="2"/>
                      <w:sz w:val="21"/>
                      <w:szCs w:val="20"/>
                      <w:highlight w:val="none"/>
                      <w:lang w:val="en-US" w:eastAsia="zh-CN" w:bidi="ar-SA"/>
                    </w:rPr>
                    <w:t>47</w:t>
                  </w:r>
                </w:p>
              </w:tc>
              <w:tc>
                <w:tcPr>
                  <w:tcW w:w="463" w:type="dxa"/>
                  <w:tcBorders>
                    <w:tl2br w:val="nil"/>
                    <w:tr2bl w:val="nil"/>
                  </w:tcBorders>
                  <w:noWrap w:val="0"/>
                  <w:vAlign w:val="center"/>
                </w:tcPr>
                <w:p w14:paraId="310FFB1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61</w:t>
                  </w:r>
                </w:p>
              </w:tc>
              <w:tc>
                <w:tcPr>
                  <w:tcW w:w="509" w:type="dxa"/>
                  <w:tcBorders>
                    <w:tl2br w:val="nil"/>
                    <w:tr2bl w:val="nil"/>
                  </w:tcBorders>
                  <w:noWrap w:val="0"/>
                  <w:vAlign w:val="center"/>
                </w:tcPr>
                <w:p w14:paraId="599CB30D">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42</w:t>
                  </w:r>
                </w:p>
              </w:tc>
              <w:tc>
                <w:tcPr>
                  <w:tcW w:w="549" w:type="dxa"/>
                  <w:tcBorders>
                    <w:tl2br w:val="nil"/>
                    <w:tr2bl w:val="nil"/>
                  </w:tcBorders>
                  <w:noWrap w:val="0"/>
                  <w:vAlign w:val="center"/>
                </w:tcPr>
                <w:p w14:paraId="7B90870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55</w:t>
                  </w:r>
                </w:p>
              </w:tc>
              <w:tc>
                <w:tcPr>
                  <w:tcW w:w="509" w:type="dxa"/>
                  <w:vMerge w:val="restart"/>
                  <w:tcBorders>
                    <w:tl2br w:val="nil"/>
                    <w:tr2bl w:val="nil"/>
                  </w:tcBorders>
                  <w:noWrap w:val="0"/>
                  <w:vAlign w:val="center"/>
                </w:tcPr>
                <w:p w14:paraId="2516A04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val="0"/>
                      <w:bCs w:val="0"/>
                      <w:color w:val="auto"/>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8</w:t>
                  </w:r>
                  <w:r>
                    <w:rPr>
                      <w:rFonts w:hint="eastAsia" w:ascii="Times New Roman" w:hAnsi="Times New Roman" w:eastAsia="宋体" w:cs="Times New Roman"/>
                      <w:b w:val="0"/>
                      <w:bCs w:val="0"/>
                      <w:snapToGrid/>
                      <w:color w:val="auto"/>
                      <w:spacing w:val="0"/>
                      <w:kern w:val="0"/>
                      <w:position w:val="0"/>
                      <w:sz w:val="21"/>
                      <w:szCs w:val="21"/>
                      <w:highlight w:val="none"/>
                      <w:lang w:val="en-US" w:eastAsia="zh-CN"/>
                    </w:rPr>
                    <w:t>h</w:t>
                  </w:r>
                </w:p>
              </w:tc>
              <w:tc>
                <w:tcPr>
                  <w:tcW w:w="788" w:type="dxa"/>
                  <w:vMerge w:val="restart"/>
                  <w:tcBorders>
                    <w:tl2br w:val="nil"/>
                    <w:tr2bl w:val="nil"/>
                  </w:tcBorders>
                  <w:noWrap w:val="0"/>
                  <w:vAlign w:val="center"/>
                </w:tcPr>
                <w:p w14:paraId="7FF0E3EF">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788" w:type="dxa"/>
                  <w:tcBorders>
                    <w:tl2br w:val="nil"/>
                    <w:tr2bl w:val="nil"/>
                  </w:tcBorders>
                  <w:noWrap w:val="0"/>
                  <w:vAlign w:val="center"/>
                </w:tcPr>
                <w:p w14:paraId="4A5F7F69">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sz w:val="21"/>
                      <w:szCs w:val="20"/>
                      <w:highlight w:val="none"/>
                      <w:lang w:val="en-US" w:eastAsia="zh-CN"/>
                    </w:rPr>
                  </w:pPr>
                  <w:r>
                    <w:rPr>
                      <w:rFonts w:hint="eastAsia"/>
                      <w:b w:val="0"/>
                      <w:bCs w:val="0"/>
                      <w:color w:val="auto"/>
                      <w:sz w:val="21"/>
                      <w:szCs w:val="20"/>
                      <w:highlight w:val="none"/>
                      <w:lang w:val="en-US" w:eastAsia="zh-CN"/>
                    </w:rPr>
                    <w:t>47</w:t>
                  </w:r>
                </w:p>
              </w:tc>
              <w:tc>
                <w:tcPr>
                  <w:tcW w:w="667" w:type="dxa"/>
                  <w:vMerge w:val="restart"/>
                  <w:tcBorders>
                    <w:tl2br w:val="nil"/>
                    <w:tr2bl w:val="nil"/>
                  </w:tcBorders>
                  <w:noWrap w:val="0"/>
                  <w:vAlign w:val="center"/>
                </w:tcPr>
                <w:p w14:paraId="01EB8BB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1m</w:t>
                  </w:r>
                </w:p>
              </w:tc>
            </w:tr>
            <w:tr w14:paraId="321F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5" w:type="pct"/>
                  <w:vMerge w:val="continue"/>
                  <w:tcBorders>
                    <w:tl2br w:val="nil"/>
                    <w:tr2bl w:val="nil"/>
                  </w:tcBorders>
                  <w:noWrap w:val="0"/>
                  <w:vAlign w:val="center"/>
                </w:tcPr>
                <w:p w14:paraId="615B52A9">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color w:val="auto"/>
                      <w:highlight w:val="none"/>
                    </w:rPr>
                  </w:pPr>
                </w:p>
              </w:tc>
              <w:tc>
                <w:tcPr>
                  <w:tcW w:w="175" w:type="pct"/>
                  <w:vMerge w:val="continue"/>
                  <w:tcBorders>
                    <w:tl2br w:val="nil"/>
                    <w:tr2bl w:val="nil"/>
                  </w:tcBorders>
                  <w:noWrap w:val="0"/>
                  <w:vAlign w:val="center"/>
                </w:tcPr>
                <w:p w14:paraId="279D3FD7">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color w:val="auto"/>
                      <w:highlight w:val="none"/>
                    </w:rPr>
                  </w:pPr>
                </w:p>
              </w:tc>
              <w:tc>
                <w:tcPr>
                  <w:tcW w:w="475" w:type="pct"/>
                  <w:vMerge w:val="continue"/>
                  <w:tcBorders>
                    <w:tl2br w:val="nil"/>
                    <w:tr2bl w:val="nil"/>
                  </w:tcBorders>
                  <w:noWrap w:val="0"/>
                  <w:vAlign w:val="center"/>
                </w:tcPr>
                <w:p w14:paraId="3D8FADF7">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color w:val="auto"/>
                      <w:highlight w:val="none"/>
                    </w:rPr>
                  </w:pPr>
                </w:p>
              </w:tc>
              <w:tc>
                <w:tcPr>
                  <w:tcW w:w="492" w:type="pct"/>
                  <w:tcBorders>
                    <w:tl2br w:val="nil"/>
                    <w:tr2bl w:val="nil"/>
                  </w:tcBorders>
                  <w:noWrap w:val="0"/>
                  <w:vAlign w:val="center"/>
                </w:tcPr>
                <w:p w14:paraId="57B2B1D7">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default" w:ascii="Times New Roman" w:hAnsi="Times New Roman" w:eastAsia="宋体" w:cs="Times New Roman"/>
                      <w:color w:val="auto"/>
                      <w:sz w:val="21"/>
                      <w:szCs w:val="21"/>
                      <w:highlight w:val="none"/>
                    </w:rPr>
                    <w:t>MGM</w:t>
                  </w:r>
                  <w:r>
                    <w:rPr>
                      <w:rFonts w:hint="eastAsia" w:cs="Times New Roman"/>
                      <w:color w:val="auto"/>
                      <w:sz w:val="21"/>
                      <w:szCs w:val="21"/>
                      <w:highlight w:val="none"/>
                      <w:lang w:val="en-US" w:eastAsia="zh-CN"/>
                    </w:rPr>
                    <w:t>11200</w:t>
                  </w:r>
                </w:p>
              </w:tc>
              <w:tc>
                <w:tcPr>
                  <w:tcW w:w="246" w:type="pct"/>
                  <w:vMerge w:val="continue"/>
                  <w:tcBorders>
                    <w:tl2br w:val="nil"/>
                    <w:tr2bl w:val="nil"/>
                  </w:tcBorders>
                  <w:noWrap w:val="0"/>
                  <w:vAlign w:val="center"/>
                </w:tcPr>
                <w:p w14:paraId="03BD0BD1">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p>
              </w:tc>
              <w:tc>
                <w:tcPr>
                  <w:tcW w:w="262" w:type="pct"/>
                  <w:vMerge w:val="continue"/>
                  <w:tcBorders>
                    <w:tl2br w:val="nil"/>
                    <w:tr2bl w:val="nil"/>
                  </w:tcBorders>
                  <w:noWrap w:val="0"/>
                  <w:vAlign w:val="center"/>
                </w:tcPr>
                <w:p w14:paraId="6772B7DA">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p>
              </w:tc>
              <w:tc>
                <w:tcPr>
                  <w:tcW w:w="569" w:type="dxa"/>
                  <w:tcBorders>
                    <w:tl2br w:val="nil"/>
                    <w:tr2bl w:val="nil"/>
                  </w:tcBorders>
                  <w:noWrap w:val="0"/>
                  <w:vAlign w:val="center"/>
                </w:tcPr>
                <w:p w14:paraId="4CA194A8">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-19</w:t>
                  </w:r>
                </w:p>
              </w:tc>
              <w:tc>
                <w:tcPr>
                  <w:tcW w:w="525" w:type="dxa"/>
                  <w:tcBorders>
                    <w:tl2br w:val="nil"/>
                    <w:tr2bl w:val="nil"/>
                  </w:tcBorders>
                  <w:noWrap w:val="0"/>
                  <w:vAlign w:val="center"/>
                </w:tcPr>
                <w:p w14:paraId="2AA1A8A6">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-1</w:t>
                  </w:r>
                </w:p>
              </w:tc>
              <w:tc>
                <w:tcPr>
                  <w:tcW w:w="495" w:type="dxa"/>
                  <w:tcBorders>
                    <w:tl2br w:val="nil"/>
                    <w:tr2bl w:val="nil"/>
                  </w:tcBorders>
                  <w:noWrap w:val="0"/>
                  <w:vAlign w:val="center"/>
                </w:tcPr>
                <w:p w14:paraId="45528478">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w:t>
                  </w:r>
                </w:p>
              </w:tc>
              <w:tc>
                <w:tcPr>
                  <w:tcW w:w="531" w:type="dxa"/>
                  <w:tcBorders>
                    <w:tl2br w:val="nil"/>
                    <w:tr2bl w:val="nil"/>
                  </w:tcBorders>
                  <w:noWrap w:val="0"/>
                  <w:vAlign w:val="center"/>
                </w:tcPr>
                <w:p w14:paraId="6A04E87A">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74</w:t>
                  </w:r>
                </w:p>
              </w:tc>
              <w:tc>
                <w:tcPr>
                  <w:tcW w:w="503" w:type="dxa"/>
                  <w:tcBorders>
                    <w:tl2br w:val="nil"/>
                    <w:tr2bl w:val="nil"/>
                  </w:tcBorders>
                  <w:noWrap w:val="0"/>
                  <w:vAlign w:val="center"/>
                </w:tcPr>
                <w:p w14:paraId="688AC71B">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15</w:t>
                  </w:r>
                </w:p>
              </w:tc>
              <w:tc>
                <w:tcPr>
                  <w:tcW w:w="531" w:type="dxa"/>
                  <w:tcBorders>
                    <w:tl2br w:val="nil"/>
                    <w:tr2bl w:val="nil"/>
                  </w:tcBorders>
                  <w:noWrap w:val="0"/>
                  <w:vAlign w:val="center"/>
                </w:tcPr>
                <w:p w14:paraId="67F7B485">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126</w:t>
                  </w:r>
                </w:p>
              </w:tc>
              <w:tc>
                <w:tcPr>
                  <w:tcW w:w="554" w:type="dxa"/>
                  <w:tcBorders>
                    <w:tl2br w:val="nil"/>
                    <w:tr2bl w:val="nil"/>
                  </w:tcBorders>
                  <w:noWrap w:val="0"/>
                  <w:vAlign w:val="center"/>
                </w:tcPr>
                <w:p w14:paraId="5FBA9F91">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30</w:t>
                  </w:r>
                </w:p>
              </w:tc>
              <w:tc>
                <w:tcPr>
                  <w:tcW w:w="509" w:type="dxa"/>
                  <w:tcBorders>
                    <w:tl2br w:val="nil"/>
                    <w:tr2bl w:val="nil"/>
                  </w:tcBorders>
                  <w:noWrap w:val="0"/>
                  <w:vAlign w:val="center"/>
                </w:tcPr>
                <w:p w14:paraId="139B48B2">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47</w:t>
                  </w:r>
                </w:p>
              </w:tc>
              <w:tc>
                <w:tcPr>
                  <w:tcW w:w="463" w:type="dxa"/>
                  <w:tcBorders>
                    <w:tl2br w:val="nil"/>
                    <w:tr2bl w:val="nil"/>
                  </w:tcBorders>
                  <w:noWrap w:val="0"/>
                  <w:vAlign w:val="center"/>
                </w:tcPr>
                <w:p w14:paraId="1D1F3DB0">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61</w:t>
                  </w:r>
                </w:p>
              </w:tc>
              <w:tc>
                <w:tcPr>
                  <w:tcW w:w="509" w:type="dxa"/>
                  <w:tcBorders>
                    <w:tl2br w:val="nil"/>
                    <w:tr2bl w:val="nil"/>
                  </w:tcBorders>
                  <w:noWrap w:val="0"/>
                  <w:vAlign w:val="center"/>
                </w:tcPr>
                <w:p w14:paraId="11D58CC3">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42</w:t>
                  </w:r>
                </w:p>
              </w:tc>
              <w:tc>
                <w:tcPr>
                  <w:tcW w:w="549" w:type="dxa"/>
                  <w:tcBorders>
                    <w:tl2br w:val="nil"/>
                    <w:tr2bl w:val="nil"/>
                  </w:tcBorders>
                  <w:noWrap w:val="0"/>
                  <w:vAlign w:val="center"/>
                </w:tcPr>
                <w:p w14:paraId="07E0E057">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55</w:t>
                  </w:r>
                </w:p>
              </w:tc>
              <w:tc>
                <w:tcPr>
                  <w:tcW w:w="509" w:type="dxa"/>
                  <w:vMerge w:val="continue"/>
                  <w:tcBorders>
                    <w:tl2br w:val="nil"/>
                    <w:tr2bl w:val="nil"/>
                  </w:tcBorders>
                  <w:noWrap w:val="0"/>
                  <w:vAlign w:val="center"/>
                </w:tcPr>
                <w:p w14:paraId="35F93F25">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p>
              </w:tc>
              <w:tc>
                <w:tcPr>
                  <w:tcW w:w="788" w:type="dxa"/>
                  <w:vMerge w:val="continue"/>
                  <w:tcBorders>
                    <w:tl2br w:val="nil"/>
                    <w:tr2bl w:val="nil"/>
                  </w:tcBorders>
                  <w:noWrap w:val="0"/>
                  <w:vAlign w:val="center"/>
                </w:tcPr>
                <w:p w14:paraId="76E6C374">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p>
              </w:tc>
              <w:tc>
                <w:tcPr>
                  <w:tcW w:w="788" w:type="dxa"/>
                  <w:tcBorders>
                    <w:tl2br w:val="nil"/>
                    <w:tr2bl w:val="nil"/>
                  </w:tcBorders>
                  <w:noWrap w:val="0"/>
                  <w:vAlign w:val="center"/>
                </w:tcPr>
                <w:p w14:paraId="447EC3A7">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lang w:val="en-US" w:eastAsia="zh-CN" w:bidi="ar-SA"/>
                    </w:rPr>
                    <w:t>47</w:t>
                  </w:r>
                </w:p>
              </w:tc>
              <w:tc>
                <w:tcPr>
                  <w:tcW w:w="667" w:type="dxa"/>
                  <w:vMerge w:val="continue"/>
                  <w:tcBorders>
                    <w:tl2br w:val="nil"/>
                    <w:tr2bl w:val="nil"/>
                  </w:tcBorders>
                  <w:noWrap w:val="0"/>
                  <w:vAlign w:val="center"/>
                </w:tcPr>
                <w:p w14:paraId="02B92F7B">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bidi="ar-SA"/>
                    </w:rPr>
                  </w:pPr>
                </w:p>
              </w:tc>
            </w:tr>
            <w:tr w14:paraId="1884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 w:type="pct"/>
                  <w:tcBorders>
                    <w:tl2br w:val="nil"/>
                    <w:tr2bl w:val="nil"/>
                  </w:tcBorders>
                  <w:noWrap w:val="0"/>
                  <w:vAlign w:val="center"/>
                </w:tcPr>
                <w:p w14:paraId="73139E1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75" w:type="pct"/>
                  <w:vMerge w:val="continue"/>
                  <w:tcBorders>
                    <w:tl2br w:val="nil"/>
                    <w:tr2bl w:val="nil"/>
                  </w:tcBorders>
                  <w:noWrap w:val="0"/>
                  <w:vAlign w:val="center"/>
                </w:tcPr>
                <w:p w14:paraId="69D073F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475" w:type="pct"/>
                  <w:tcBorders>
                    <w:tl2br w:val="nil"/>
                    <w:tr2bl w:val="nil"/>
                  </w:tcBorders>
                  <w:noWrap w:val="0"/>
                  <w:vAlign w:val="center"/>
                </w:tcPr>
                <w:p w14:paraId="4ADA82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空气回火炉</w:t>
                  </w:r>
                </w:p>
              </w:tc>
              <w:tc>
                <w:tcPr>
                  <w:tcW w:w="492" w:type="pct"/>
                  <w:tcBorders>
                    <w:tl2br w:val="nil"/>
                    <w:tr2bl w:val="nil"/>
                  </w:tcBorders>
                  <w:noWrap w:val="0"/>
                  <w:vAlign w:val="center"/>
                </w:tcPr>
                <w:p w14:paraId="4FE0FA94">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w:t>
                  </w:r>
                </w:p>
              </w:tc>
              <w:tc>
                <w:tcPr>
                  <w:tcW w:w="246" w:type="pct"/>
                  <w:tcBorders>
                    <w:tl2br w:val="nil"/>
                    <w:tr2bl w:val="nil"/>
                  </w:tcBorders>
                  <w:noWrap w:val="0"/>
                  <w:vAlign w:val="center"/>
                </w:tcPr>
                <w:p w14:paraId="6ABAEBF9">
                  <w:pPr>
                    <w:widowControl/>
                    <w:jc w:val="center"/>
                    <w:rPr>
                      <w:rFonts w:hint="default" w:cs="Times New Roman"/>
                      <w:b w:val="0"/>
                      <w:bCs w:val="0"/>
                      <w:snapToGrid/>
                      <w:color w:val="auto"/>
                      <w:spacing w:val="0"/>
                      <w:kern w:val="0"/>
                      <w:position w:val="0"/>
                      <w:sz w:val="21"/>
                      <w:szCs w:val="22"/>
                      <w:highlight w:val="none"/>
                      <w:lang w:val="en-US" w:eastAsia="zh-CN" w:bidi="ar-SA"/>
                    </w:rPr>
                  </w:pPr>
                  <w:r>
                    <w:rPr>
                      <w:rFonts w:hint="eastAsia" w:cs="Times New Roman"/>
                      <w:b w:val="0"/>
                      <w:bCs w:val="0"/>
                      <w:snapToGrid/>
                      <w:color w:val="auto"/>
                      <w:spacing w:val="0"/>
                      <w:kern w:val="0"/>
                      <w:position w:val="0"/>
                      <w:sz w:val="21"/>
                      <w:szCs w:val="22"/>
                      <w:highlight w:val="none"/>
                      <w:lang w:val="en-US" w:eastAsia="zh-CN" w:bidi="ar-SA"/>
                    </w:rPr>
                    <w:t>80</w:t>
                  </w:r>
                </w:p>
              </w:tc>
              <w:tc>
                <w:tcPr>
                  <w:tcW w:w="262" w:type="pct"/>
                  <w:vMerge w:val="continue"/>
                  <w:tcBorders>
                    <w:tl2br w:val="nil"/>
                    <w:tr2bl w:val="nil"/>
                  </w:tcBorders>
                  <w:noWrap w:val="0"/>
                  <w:vAlign w:val="center"/>
                </w:tcPr>
                <w:p w14:paraId="74C4C8B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569" w:type="dxa"/>
                  <w:tcBorders>
                    <w:tl2br w:val="nil"/>
                    <w:tr2bl w:val="nil"/>
                  </w:tcBorders>
                  <w:noWrap w:val="0"/>
                  <w:vAlign w:val="center"/>
                </w:tcPr>
                <w:p w14:paraId="1D3DBA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snapToGrid/>
                      <w:color w:val="auto"/>
                      <w:spacing w:val="0"/>
                      <w:kern w:val="0"/>
                      <w:position w:val="0"/>
                      <w:sz w:val="21"/>
                      <w:szCs w:val="21"/>
                      <w:highlight w:val="none"/>
                      <w:lang w:val="en-US" w:eastAsia="zh-CN" w:bidi="ar-SA"/>
                    </w:rPr>
                  </w:pPr>
                  <w:r>
                    <w:rPr>
                      <w:rFonts w:hint="eastAsia" w:ascii="Times New Roman" w:hAnsi="Times New Roman" w:cs="Times New Roman"/>
                      <w:b w:val="0"/>
                      <w:bCs w:val="0"/>
                      <w:snapToGrid/>
                      <w:color w:val="auto"/>
                      <w:spacing w:val="0"/>
                      <w:kern w:val="0"/>
                      <w:position w:val="0"/>
                      <w:sz w:val="21"/>
                      <w:szCs w:val="21"/>
                      <w:highlight w:val="none"/>
                      <w:lang w:val="en-US" w:eastAsia="zh-CN" w:bidi="ar-SA"/>
                    </w:rPr>
                    <w:t>-4</w:t>
                  </w:r>
                </w:p>
              </w:tc>
              <w:tc>
                <w:tcPr>
                  <w:tcW w:w="525" w:type="dxa"/>
                  <w:tcBorders>
                    <w:tl2br w:val="nil"/>
                    <w:tr2bl w:val="nil"/>
                  </w:tcBorders>
                  <w:noWrap w:val="0"/>
                  <w:vAlign w:val="center"/>
                </w:tcPr>
                <w:p w14:paraId="76B9C0B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-4</w:t>
                  </w:r>
                </w:p>
              </w:tc>
              <w:tc>
                <w:tcPr>
                  <w:tcW w:w="495" w:type="dxa"/>
                  <w:tcBorders>
                    <w:tl2br w:val="nil"/>
                    <w:tr2bl w:val="nil"/>
                  </w:tcBorders>
                  <w:noWrap w:val="0"/>
                  <w:vAlign w:val="center"/>
                </w:tcPr>
                <w:p w14:paraId="7D3C29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w:t>
                  </w:r>
                </w:p>
              </w:tc>
              <w:tc>
                <w:tcPr>
                  <w:tcW w:w="531" w:type="dxa"/>
                  <w:tcBorders>
                    <w:tl2br w:val="nil"/>
                    <w:tr2bl w:val="nil"/>
                  </w:tcBorders>
                  <w:noWrap w:val="0"/>
                  <w:vAlign w:val="center"/>
                </w:tcPr>
                <w:p w14:paraId="5309A97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97</w:t>
                  </w:r>
                </w:p>
              </w:tc>
              <w:tc>
                <w:tcPr>
                  <w:tcW w:w="503" w:type="dxa"/>
                  <w:tcBorders>
                    <w:tl2br w:val="nil"/>
                    <w:tr2bl w:val="nil"/>
                  </w:tcBorders>
                  <w:noWrap w:val="0"/>
                  <w:vAlign w:val="center"/>
                </w:tcPr>
                <w:p w14:paraId="37120A0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531" w:type="dxa"/>
                  <w:tcBorders>
                    <w:tl2br w:val="nil"/>
                    <w:tr2bl w:val="nil"/>
                  </w:tcBorders>
                  <w:noWrap w:val="0"/>
                  <w:vAlign w:val="center"/>
                </w:tcPr>
                <w:p w14:paraId="7A4AE26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103</w:t>
                  </w:r>
                </w:p>
              </w:tc>
              <w:tc>
                <w:tcPr>
                  <w:tcW w:w="554" w:type="dxa"/>
                  <w:tcBorders>
                    <w:tl2br w:val="nil"/>
                    <w:tr2bl w:val="nil"/>
                  </w:tcBorders>
                  <w:noWrap w:val="0"/>
                  <w:vAlign w:val="center"/>
                </w:tcPr>
                <w:p w14:paraId="3E8B46CD">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宋体"/>
                      <w:b w:val="0"/>
                      <w:bCs w:val="0"/>
                      <w:color w:val="auto"/>
                      <w:spacing w:val="-2"/>
                      <w:sz w:val="21"/>
                      <w:szCs w:val="20"/>
                      <w:highlight w:val="none"/>
                      <w:lang w:val="en-US" w:eastAsia="zh-CN" w:bidi="ar-SA"/>
                    </w:rPr>
                  </w:pPr>
                  <w:r>
                    <w:rPr>
                      <w:rFonts w:hint="eastAsia" w:cs="宋体"/>
                      <w:b w:val="0"/>
                      <w:bCs w:val="0"/>
                      <w:color w:val="auto"/>
                      <w:spacing w:val="-2"/>
                      <w:sz w:val="21"/>
                      <w:szCs w:val="20"/>
                      <w:highlight w:val="none"/>
                      <w:lang w:val="en-US" w:eastAsia="zh-CN" w:bidi="ar-SA"/>
                    </w:rPr>
                    <w:t>30</w:t>
                  </w:r>
                </w:p>
              </w:tc>
              <w:tc>
                <w:tcPr>
                  <w:tcW w:w="509" w:type="dxa"/>
                  <w:tcBorders>
                    <w:tl2br w:val="nil"/>
                    <w:tr2bl w:val="nil"/>
                  </w:tcBorders>
                  <w:noWrap w:val="0"/>
                  <w:vAlign w:val="center"/>
                </w:tcPr>
                <w:p w14:paraId="04ABF34D">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40</w:t>
                  </w:r>
                </w:p>
              </w:tc>
              <w:tc>
                <w:tcPr>
                  <w:tcW w:w="463" w:type="dxa"/>
                  <w:tcBorders>
                    <w:tl2br w:val="nil"/>
                    <w:tr2bl w:val="nil"/>
                  </w:tcBorders>
                  <w:noWrap w:val="0"/>
                  <w:vAlign w:val="center"/>
                </w:tcPr>
                <w:p w14:paraId="378855CD">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56</w:t>
                  </w:r>
                </w:p>
              </w:tc>
              <w:tc>
                <w:tcPr>
                  <w:tcW w:w="509" w:type="dxa"/>
                  <w:tcBorders>
                    <w:tl2br w:val="nil"/>
                    <w:tr2bl w:val="nil"/>
                  </w:tcBorders>
                  <w:noWrap w:val="0"/>
                  <w:vAlign w:val="center"/>
                </w:tcPr>
                <w:p w14:paraId="7ED9685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39</w:t>
                  </w:r>
                </w:p>
              </w:tc>
              <w:tc>
                <w:tcPr>
                  <w:tcW w:w="549" w:type="dxa"/>
                  <w:tcBorders>
                    <w:tl2br w:val="nil"/>
                    <w:tr2bl w:val="nil"/>
                  </w:tcBorders>
                  <w:noWrap w:val="0"/>
                  <w:vAlign w:val="center"/>
                </w:tcPr>
                <w:p w14:paraId="048EDE70">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50</w:t>
                  </w:r>
                </w:p>
              </w:tc>
              <w:tc>
                <w:tcPr>
                  <w:tcW w:w="509" w:type="dxa"/>
                  <w:tcBorders>
                    <w:tl2br w:val="nil"/>
                    <w:tr2bl w:val="nil"/>
                  </w:tcBorders>
                  <w:noWrap w:val="0"/>
                  <w:vAlign w:val="center"/>
                </w:tcPr>
                <w:p w14:paraId="5A6F4DE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8</w:t>
                  </w:r>
                  <w:r>
                    <w:rPr>
                      <w:rFonts w:hint="eastAsia" w:ascii="Times New Roman" w:hAnsi="Times New Roman" w:eastAsia="宋体" w:cs="Times New Roman"/>
                      <w:b w:val="0"/>
                      <w:bCs w:val="0"/>
                      <w:snapToGrid/>
                      <w:color w:val="auto"/>
                      <w:spacing w:val="0"/>
                      <w:kern w:val="0"/>
                      <w:position w:val="0"/>
                      <w:sz w:val="21"/>
                      <w:szCs w:val="21"/>
                      <w:highlight w:val="none"/>
                      <w:lang w:val="en-US" w:eastAsia="zh-CN"/>
                    </w:rPr>
                    <w:t>h</w:t>
                  </w:r>
                </w:p>
              </w:tc>
              <w:tc>
                <w:tcPr>
                  <w:tcW w:w="788" w:type="dxa"/>
                  <w:tcBorders>
                    <w:tl2br w:val="nil"/>
                    <w:tr2bl w:val="nil"/>
                  </w:tcBorders>
                  <w:noWrap w:val="0"/>
                  <w:vAlign w:val="center"/>
                </w:tcPr>
                <w:p w14:paraId="701DC84C">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788" w:type="dxa"/>
                  <w:tcBorders>
                    <w:tl2br w:val="nil"/>
                    <w:tr2bl w:val="nil"/>
                  </w:tcBorders>
                  <w:noWrap w:val="0"/>
                  <w:vAlign w:val="center"/>
                </w:tcPr>
                <w:p w14:paraId="66007BE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sz w:val="21"/>
                      <w:szCs w:val="20"/>
                      <w:highlight w:val="none"/>
                      <w:lang w:val="en-US" w:eastAsia="zh-CN"/>
                    </w:rPr>
                  </w:pPr>
                  <w:r>
                    <w:rPr>
                      <w:rFonts w:hint="eastAsia"/>
                      <w:b w:val="0"/>
                      <w:bCs w:val="0"/>
                      <w:color w:val="auto"/>
                      <w:sz w:val="21"/>
                      <w:szCs w:val="20"/>
                      <w:highlight w:val="none"/>
                      <w:lang w:val="en-US" w:eastAsia="zh-CN"/>
                    </w:rPr>
                    <w:t>42</w:t>
                  </w:r>
                </w:p>
              </w:tc>
              <w:tc>
                <w:tcPr>
                  <w:tcW w:w="667" w:type="dxa"/>
                  <w:tcBorders>
                    <w:tl2br w:val="nil"/>
                    <w:tr2bl w:val="nil"/>
                  </w:tcBorders>
                  <w:noWrap w:val="0"/>
                  <w:vAlign w:val="center"/>
                </w:tcPr>
                <w:p w14:paraId="2950117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1m</w:t>
                  </w:r>
                </w:p>
              </w:tc>
            </w:tr>
            <w:tr w14:paraId="64B9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 w:type="pct"/>
                  <w:tcBorders>
                    <w:tl2br w:val="nil"/>
                    <w:tr2bl w:val="nil"/>
                  </w:tcBorders>
                  <w:noWrap w:val="0"/>
                  <w:vAlign w:val="center"/>
                </w:tcPr>
                <w:p w14:paraId="22159CD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w:t>
                  </w:r>
                </w:p>
              </w:tc>
              <w:tc>
                <w:tcPr>
                  <w:tcW w:w="175" w:type="pct"/>
                  <w:vMerge w:val="continue"/>
                  <w:tcBorders>
                    <w:tl2br w:val="nil"/>
                    <w:tr2bl w:val="nil"/>
                  </w:tcBorders>
                  <w:noWrap w:val="0"/>
                  <w:vAlign w:val="center"/>
                </w:tcPr>
                <w:p w14:paraId="4369B5C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475" w:type="pct"/>
                  <w:tcBorders>
                    <w:tl2br w:val="nil"/>
                    <w:tr2bl w:val="nil"/>
                  </w:tcBorders>
                  <w:noWrap w:val="0"/>
                  <w:vAlign w:val="center"/>
                </w:tcPr>
                <w:p w14:paraId="52CC18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轴承套圈数字化车削线</w:t>
                  </w:r>
                </w:p>
              </w:tc>
              <w:tc>
                <w:tcPr>
                  <w:tcW w:w="492" w:type="pct"/>
                  <w:tcBorders>
                    <w:tl2br w:val="nil"/>
                    <w:tr2bl w:val="nil"/>
                  </w:tcBorders>
                  <w:noWrap w:val="0"/>
                  <w:vAlign w:val="center"/>
                </w:tcPr>
                <w:p w14:paraId="5C555BFE">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top"/>
                    <w:rPr>
                      <w:rFonts w:hint="eastAsia" w:cs="Times New Roman"/>
                      <w:b w:val="0"/>
                      <w:bCs w:val="0"/>
                      <w:snapToGrid/>
                      <w:color w:val="auto"/>
                      <w:spacing w:val="0"/>
                      <w:kern w:val="0"/>
                      <w:position w:val="0"/>
                      <w:sz w:val="21"/>
                      <w:szCs w:val="21"/>
                      <w:highlight w:val="none"/>
                      <w:lang w:val="en-US" w:eastAsia="zh-CN" w:bidi="ar-SA"/>
                    </w:rPr>
                  </w:pPr>
                  <w:r>
                    <w:rPr>
                      <w:rFonts w:hint="default" w:ascii="Times New Roman" w:hAnsi="Times New Roman" w:eastAsia="宋体" w:cs="Times New Roman"/>
                      <w:color w:val="auto"/>
                      <w:sz w:val="21"/>
                      <w:szCs w:val="21"/>
                      <w:highlight w:val="none"/>
                    </w:rPr>
                    <w:t>TMZC92</w:t>
                  </w:r>
                  <w:r>
                    <w:rPr>
                      <w:rFonts w:hint="eastAsia" w:cs="Times New Roman"/>
                      <w:color w:val="auto"/>
                      <w:sz w:val="21"/>
                      <w:szCs w:val="21"/>
                      <w:highlight w:val="none"/>
                      <w:lang w:val="en-US" w:eastAsia="zh-CN"/>
                    </w:rPr>
                    <w:t>06</w:t>
                  </w:r>
                </w:p>
              </w:tc>
              <w:tc>
                <w:tcPr>
                  <w:tcW w:w="246" w:type="pct"/>
                  <w:tcBorders>
                    <w:tl2br w:val="nil"/>
                    <w:tr2bl w:val="nil"/>
                  </w:tcBorders>
                  <w:noWrap w:val="0"/>
                  <w:vAlign w:val="center"/>
                </w:tcPr>
                <w:p w14:paraId="1AAC24D7">
                  <w:pPr>
                    <w:widowControl/>
                    <w:jc w:val="center"/>
                    <w:rPr>
                      <w:rFonts w:hint="default" w:cs="Times New Roman"/>
                      <w:b w:val="0"/>
                      <w:bCs w:val="0"/>
                      <w:snapToGrid/>
                      <w:color w:val="auto"/>
                      <w:spacing w:val="0"/>
                      <w:kern w:val="0"/>
                      <w:position w:val="0"/>
                      <w:sz w:val="21"/>
                      <w:szCs w:val="22"/>
                      <w:highlight w:val="none"/>
                      <w:lang w:val="en-US" w:eastAsia="zh-CN" w:bidi="ar-SA"/>
                    </w:rPr>
                  </w:pPr>
                  <w:r>
                    <w:rPr>
                      <w:rFonts w:hint="eastAsia" w:cs="Times New Roman"/>
                      <w:b w:val="0"/>
                      <w:bCs w:val="0"/>
                      <w:snapToGrid/>
                      <w:color w:val="auto"/>
                      <w:spacing w:val="0"/>
                      <w:kern w:val="0"/>
                      <w:position w:val="0"/>
                      <w:sz w:val="21"/>
                      <w:szCs w:val="22"/>
                      <w:highlight w:val="none"/>
                      <w:lang w:val="en-US" w:eastAsia="zh-CN" w:bidi="ar-SA"/>
                    </w:rPr>
                    <w:t>85</w:t>
                  </w:r>
                </w:p>
              </w:tc>
              <w:tc>
                <w:tcPr>
                  <w:tcW w:w="262" w:type="pct"/>
                  <w:vMerge w:val="continue"/>
                  <w:tcBorders>
                    <w:tl2br w:val="nil"/>
                    <w:tr2bl w:val="nil"/>
                  </w:tcBorders>
                  <w:noWrap w:val="0"/>
                  <w:vAlign w:val="center"/>
                </w:tcPr>
                <w:p w14:paraId="44C058D7">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569" w:type="dxa"/>
                  <w:tcBorders>
                    <w:tl2br w:val="nil"/>
                    <w:tr2bl w:val="nil"/>
                  </w:tcBorders>
                  <w:noWrap w:val="0"/>
                  <w:vAlign w:val="center"/>
                </w:tcPr>
                <w:p w14:paraId="6109640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40</w:t>
                  </w:r>
                </w:p>
              </w:tc>
              <w:tc>
                <w:tcPr>
                  <w:tcW w:w="525" w:type="dxa"/>
                  <w:tcBorders>
                    <w:tl2br w:val="nil"/>
                    <w:tr2bl w:val="nil"/>
                  </w:tcBorders>
                  <w:noWrap w:val="0"/>
                  <w:vAlign w:val="center"/>
                </w:tcPr>
                <w:p w14:paraId="3FA3FE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-15</w:t>
                  </w:r>
                </w:p>
              </w:tc>
              <w:tc>
                <w:tcPr>
                  <w:tcW w:w="495" w:type="dxa"/>
                  <w:tcBorders>
                    <w:tl2br w:val="nil"/>
                    <w:tr2bl w:val="nil"/>
                  </w:tcBorders>
                  <w:noWrap w:val="0"/>
                  <w:vAlign w:val="center"/>
                </w:tcPr>
                <w:p w14:paraId="6E81F0D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w:t>
                  </w:r>
                </w:p>
              </w:tc>
              <w:tc>
                <w:tcPr>
                  <w:tcW w:w="531" w:type="dxa"/>
                  <w:tcBorders>
                    <w:tl2br w:val="nil"/>
                    <w:tr2bl w:val="nil"/>
                  </w:tcBorders>
                  <w:noWrap w:val="0"/>
                  <w:vAlign w:val="center"/>
                </w:tcPr>
                <w:p w14:paraId="57A0B73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143</w:t>
                  </w:r>
                </w:p>
              </w:tc>
              <w:tc>
                <w:tcPr>
                  <w:tcW w:w="503" w:type="dxa"/>
                  <w:tcBorders>
                    <w:tl2br w:val="nil"/>
                    <w:tr2bl w:val="nil"/>
                  </w:tcBorders>
                  <w:noWrap w:val="0"/>
                  <w:vAlign w:val="center"/>
                </w:tcPr>
                <w:p w14:paraId="64D1B2A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531" w:type="dxa"/>
                  <w:tcBorders>
                    <w:tl2br w:val="nil"/>
                    <w:tr2bl w:val="nil"/>
                  </w:tcBorders>
                  <w:noWrap w:val="0"/>
                  <w:vAlign w:val="center"/>
                </w:tcPr>
                <w:p w14:paraId="2E6DE68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57</w:t>
                  </w:r>
                </w:p>
              </w:tc>
              <w:tc>
                <w:tcPr>
                  <w:tcW w:w="554" w:type="dxa"/>
                  <w:tcBorders>
                    <w:tl2br w:val="nil"/>
                    <w:tr2bl w:val="nil"/>
                  </w:tcBorders>
                  <w:noWrap w:val="0"/>
                  <w:vAlign w:val="center"/>
                </w:tcPr>
                <w:p w14:paraId="63826B6D">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宋体"/>
                      <w:b w:val="0"/>
                      <w:bCs w:val="0"/>
                      <w:color w:val="auto"/>
                      <w:spacing w:val="-2"/>
                      <w:sz w:val="21"/>
                      <w:szCs w:val="20"/>
                      <w:highlight w:val="none"/>
                      <w:lang w:val="en-US" w:eastAsia="zh-CN" w:bidi="ar-SA"/>
                    </w:rPr>
                  </w:pPr>
                  <w:r>
                    <w:rPr>
                      <w:rFonts w:hint="eastAsia" w:cs="宋体"/>
                      <w:b w:val="0"/>
                      <w:bCs w:val="0"/>
                      <w:color w:val="auto"/>
                      <w:spacing w:val="-2"/>
                      <w:sz w:val="21"/>
                      <w:szCs w:val="20"/>
                      <w:highlight w:val="none"/>
                      <w:lang w:val="en-US" w:eastAsia="zh-CN" w:bidi="ar-SA"/>
                    </w:rPr>
                    <w:t>30</w:t>
                  </w:r>
                </w:p>
              </w:tc>
              <w:tc>
                <w:tcPr>
                  <w:tcW w:w="509" w:type="dxa"/>
                  <w:tcBorders>
                    <w:tl2br w:val="nil"/>
                    <w:tr2bl w:val="nil"/>
                  </w:tcBorders>
                  <w:noWrap w:val="0"/>
                  <w:vAlign w:val="center"/>
                </w:tcPr>
                <w:p w14:paraId="7FD4BE9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41</w:t>
                  </w:r>
                </w:p>
              </w:tc>
              <w:tc>
                <w:tcPr>
                  <w:tcW w:w="463" w:type="dxa"/>
                  <w:tcBorders>
                    <w:tl2br w:val="nil"/>
                    <w:tr2bl w:val="nil"/>
                  </w:tcBorders>
                  <w:noWrap w:val="0"/>
                  <w:vAlign w:val="center"/>
                </w:tcPr>
                <w:p w14:paraId="5777886F">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61</w:t>
                  </w:r>
                </w:p>
              </w:tc>
              <w:tc>
                <w:tcPr>
                  <w:tcW w:w="509" w:type="dxa"/>
                  <w:tcBorders>
                    <w:tl2br w:val="nil"/>
                    <w:tr2bl w:val="nil"/>
                  </w:tcBorders>
                  <w:noWrap w:val="0"/>
                  <w:vAlign w:val="center"/>
                </w:tcPr>
                <w:p w14:paraId="767E8D16">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49</w:t>
                  </w:r>
                </w:p>
              </w:tc>
              <w:tc>
                <w:tcPr>
                  <w:tcW w:w="549" w:type="dxa"/>
                  <w:tcBorders>
                    <w:tl2br w:val="nil"/>
                    <w:tr2bl w:val="nil"/>
                  </w:tcBorders>
                  <w:noWrap w:val="0"/>
                  <w:vAlign w:val="center"/>
                </w:tcPr>
                <w:p w14:paraId="553E17F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55</w:t>
                  </w:r>
                </w:p>
              </w:tc>
              <w:tc>
                <w:tcPr>
                  <w:tcW w:w="509" w:type="dxa"/>
                  <w:tcBorders>
                    <w:tl2br w:val="nil"/>
                    <w:tr2bl w:val="nil"/>
                  </w:tcBorders>
                  <w:noWrap w:val="0"/>
                  <w:vAlign w:val="center"/>
                </w:tcPr>
                <w:p w14:paraId="39755CD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8</w:t>
                  </w:r>
                  <w:r>
                    <w:rPr>
                      <w:rFonts w:hint="eastAsia" w:ascii="Times New Roman" w:hAnsi="Times New Roman" w:eastAsia="宋体" w:cs="Times New Roman"/>
                      <w:b w:val="0"/>
                      <w:bCs w:val="0"/>
                      <w:snapToGrid/>
                      <w:color w:val="auto"/>
                      <w:spacing w:val="0"/>
                      <w:kern w:val="0"/>
                      <w:position w:val="0"/>
                      <w:sz w:val="21"/>
                      <w:szCs w:val="21"/>
                      <w:highlight w:val="none"/>
                      <w:lang w:val="en-US" w:eastAsia="zh-CN"/>
                    </w:rPr>
                    <w:t>h</w:t>
                  </w:r>
                </w:p>
              </w:tc>
              <w:tc>
                <w:tcPr>
                  <w:tcW w:w="788" w:type="dxa"/>
                  <w:tcBorders>
                    <w:tl2br w:val="nil"/>
                    <w:tr2bl w:val="nil"/>
                  </w:tcBorders>
                  <w:noWrap w:val="0"/>
                  <w:vAlign w:val="center"/>
                </w:tcPr>
                <w:p w14:paraId="1F11DF96">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788" w:type="dxa"/>
                  <w:tcBorders>
                    <w:tl2br w:val="nil"/>
                    <w:tr2bl w:val="nil"/>
                  </w:tcBorders>
                  <w:noWrap w:val="0"/>
                  <w:vAlign w:val="center"/>
                </w:tcPr>
                <w:p w14:paraId="5FBDD537">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sz w:val="21"/>
                      <w:szCs w:val="20"/>
                      <w:highlight w:val="none"/>
                      <w:lang w:val="en-US" w:eastAsia="zh-CN"/>
                    </w:rPr>
                  </w:pPr>
                  <w:r>
                    <w:rPr>
                      <w:rFonts w:hint="eastAsia"/>
                      <w:b w:val="0"/>
                      <w:bCs w:val="0"/>
                      <w:color w:val="auto"/>
                      <w:sz w:val="21"/>
                      <w:szCs w:val="20"/>
                      <w:highlight w:val="none"/>
                      <w:lang w:val="en-US" w:eastAsia="zh-CN"/>
                    </w:rPr>
                    <w:t>47</w:t>
                  </w:r>
                </w:p>
              </w:tc>
              <w:tc>
                <w:tcPr>
                  <w:tcW w:w="667" w:type="dxa"/>
                  <w:tcBorders>
                    <w:tl2br w:val="nil"/>
                    <w:tr2bl w:val="nil"/>
                  </w:tcBorders>
                  <w:noWrap w:val="0"/>
                  <w:vAlign w:val="center"/>
                </w:tcPr>
                <w:p w14:paraId="2CB13F8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1m</w:t>
                  </w:r>
                </w:p>
              </w:tc>
            </w:tr>
            <w:tr w14:paraId="3816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 w:type="pct"/>
                  <w:tcBorders>
                    <w:tl2br w:val="nil"/>
                    <w:tr2bl w:val="nil"/>
                  </w:tcBorders>
                  <w:noWrap w:val="0"/>
                  <w:vAlign w:val="center"/>
                </w:tcPr>
                <w:p w14:paraId="51EC7E6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w:t>
                  </w:r>
                </w:p>
              </w:tc>
              <w:tc>
                <w:tcPr>
                  <w:tcW w:w="175" w:type="pct"/>
                  <w:vMerge w:val="continue"/>
                  <w:tcBorders>
                    <w:tl2br w:val="nil"/>
                    <w:tr2bl w:val="nil"/>
                  </w:tcBorders>
                  <w:noWrap w:val="0"/>
                  <w:vAlign w:val="center"/>
                </w:tcPr>
                <w:p w14:paraId="66E1518E">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475" w:type="pct"/>
                  <w:tcBorders>
                    <w:tl2br w:val="nil"/>
                    <w:tr2bl w:val="nil"/>
                  </w:tcBorders>
                  <w:noWrap w:val="0"/>
                  <w:vAlign w:val="center"/>
                </w:tcPr>
                <w:p w14:paraId="705DB1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空气压缩机</w:t>
                  </w:r>
                </w:p>
              </w:tc>
              <w:tc>
                <w:tcPr>
                  <w:tcW w:w="492" w:type="pct"/>
                  <w:tcBorders>
                    <w:tl2br w:val="nil"/>
                    <w:tr2bl w:val="nil"/>
                  </w:tcBorders>
                  <w:noWrap w:val="0"/>
                  <w:vAlign w:val="center"/>
                </w:tcPr>
                <w:p w14:paraId="09D74924">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w:t>
                  </w:r>
                </w:p>
              </w:tc>
              <w:tc>
                <w:tcPr>
                  <w:tcW w:w="246" w:type="pct"/>
                  <w:tcBorders>
                    <w:tl2br w:val="nil"/>
                    <w:tr2bl w:val="nil"/>
                  </w:tcBorders>
                  <w:noWrap w:val="0"/>
                  <w:vAlign w:val="center"/>
                </w:tcPr>
                <w:p w14:paraId="55414979">
                  <w:pPr>
                    <w:widowControl/>
                    <w:jc w:val="center"/>
                    <w:rPr>
                      <w:rFonts w:hint="default" w:cs="Times New Roman"/>
                      <w:b w:val="0"/>
                      <w:bCs w:val="0"/>
                      <w:snapToGrid/>
                      <w:color w:val="auto"/>
                      <w:spacing w:val="0"/>
                      <w:kern w:val="0"/>
                      <w:position w:val="0"/>
                      <w:sz w:val="21"/>
                      <w:szCs w:val="22"/>
                      <w:highlight w:val="none"/>
                      <w:lang w:val="en-US" w:eastAsia="zh-CN" w:bidi="ar-SA"/>
                    </w:rPr>
                  </w:pPr>
                  <w:r>
                    <w:rPr>
                      <w:rFonts w:hint="eastAsia" w:cs="Times New Roman"/>
                      <w:b w:val="0"/>
                      <w:bCs w:val="0"/>
                      <w:snapToGrid/>
                      <w:color w:val="auto"/>
                      <w:spacing w:val="0"/>
                      <w:kern w:val="0"/>
                      <w:position w:val="0"/>
                      <w:sz w:val="21"/>
                      <w:szCs w:val="22"/>
                      <w:highlight w:val="none"/>
                      <w:lang w:val="en-US" w:eastAsia="zh-CN" w:bidi="ar-SA"/>
                    </w:rPr>
                    <w:t>90</w:t>
                  </w:r>
                </w:p>
              </w:tc>
              <w:tc>
                <w:tcPr>
                  <w:tcW w:w="262" w:type="pct"/>
                  <w:vMerge w:val="continue"/>
                  <w:tcBorders>
                    <w:tl2br w:val="nil"/>
                    <w:tr2bl w:val="nil"/>
                  </w:tcBorders>
                  <w:noWrap w:val="0"/>
                  <w:vAlign w:val="center"/>
                </w:tcPr>
                <w:p w14:paraId="32734FA8">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b w:val="0"/>
                      <w:bCs w:val="0"/>
                      <w:color w:val="auto"/>
                      <w:highlight w:val="none"/>
                      <w:lang w:val="en-US" w:eastAsia="zh-CN"/>
                    </w:rPr>
                  </w:pPr>
                </w:p>
              </w:tc>
              <w:tc>
                <w:tcPr>
                  <w:tcW w:w="569" w:type="dxa"/>
                  <w:tcBorders>
                    <w:tl2br w:val="nil"/>
                    <w:tr2bl w:val="nil"/>
                  </w:tcBorders>
                  <w:noWrap w:val="0"/>
                  <w:vAlign w:val="center"/>
                </w:tcPr>
                <w:p w14:paraId="4DFC9C8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29</w:t>
                  </w:r>
                </w:p>
              </w:tc>
              <w:tc>
                <w:tcPr>
                  <w:tcW w:w="525" w:type="dxa"/>
                  <w:tcBorders>
                    <w:tl2br w:val="nil"/>
                    <w:tr2bl w:val="nil"/>
                  </w:tcBorders>
                  <w:noWrap w:val="0"/>
                  <w:vAlign w:val="center"/>
                </w:tcPr>
                <w:p w14:paraId="555917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11</w:t>
                  </w:r>
                </w:p>
              </w:tc>
              <w:tc>
                <w:tcPr>
                  <w:tcW w:w="495" w:type="dxa"/>
                  <w:tcBorders>
                    <w:tl2br w:val="nil"/>
                    <w:tr2bl w:val="nil"/>
                  </w:tcBorders>
                  <w:noWrap w:val="0"/>
                  <w:vAlign w:val="center"/>
                </w:tcPr>
                <w:p w14:paraId="59B48E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bidi="ar-SA"/>
                    </w:rPr>
                  </w:pPr>
                  <w:r>
                    <w:rPr>
                      <w:rFonts w:hint="eastAsia" w:cs="Times New Roman"/>
                      <w:b w:val="0"/>
                      <w:bCs w:val="0"/>
                      <w:snapToGrid/>
                      <w:color w:val="auto"/>
                      <w:spacing w:val="0"/>
                      <w:kern w:val="0"/>
                      <w:position w:val="0"/>
                      <w:sz w:val="21"/>
                      <w:szCs w:val="21"/>
                      <w:highlight w:val="none"/>
                      <w:lang w:val="en-US" w:eastAsia="zh-CN" w:bidi="ar-SA"/>
                    </w:rPr>
                    <w:t>1</w:t>
                  </w:r>
                </w:p>
              </w:tc>
              <w:tc>
                <w:tcPr>
                  <w:tcW w:w="531" w:type="dxa"/>
                  <w:tcBorders>
                    <w:tl2br w:val="nil"/>
                    <w:tr2bl w:val="nil"/>
                  </w:tcBorders>
                  <w:noWrap w:val="0"/>
                  <w:vAlign w:val="center"/>
                </w:tcPr>
                <w:p w14:paraId="099CCA73">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126</w:t>
                  </w:r>
                </w:p>
              </w:tc>
              <w:tc>
                <w:tcPr>
                  <w:tcW w:w="503" w:type="dxa"/>
                  <w:tcBorders>
                    <w:tl2br w:val="nil"/>
                    <w:tr2bl w:val="nil"/>
                  </w:tcBorders>
                  <w:noWrap w:val="0"/>
                  <w:vAlign w:val="center"/>
                </w:tcPr>
                <w:p w14:paraId="70BC5351">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531" w:type="dxa"/>
                  <w:tcBorders>
                    <w:tl2br w:val="nil"/>
                    <w:tr2bl w:val="nil"/>
                  </w:tcBorders>
                  <w:noWrap w:val="0"/>
                  <w:vAlign w:val="center"/>
                </w:tcPr>
                <w:p w14:paraId="3581FB37">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74</w:t>
                  </w:r>
                </w:p>
              </w:tc>
              <w:tc>
                <w:tcPr>
                  <w:tcW w:w="554" w:type="dxa"/>
                  <w:tcBorders>
                    <w:tl2br w:val="nil"/>
                    <w:tr2bl w:val="nil"/>
                  </w:tcBorders>
                  <w:noWrap w:val="0"/>
                  <w:vAlign w:val="center"/>
                </w:tcPr>
                <w:p w14:paraId="117A937B">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宋体"/>
                      <w:b w:val="0"/>
                      <w:bCs w:val="0"/>
                      <w:color w:val="auto"/>
                      <w:spacing w:val="-2"/>
                      <w:sz w:val="21"/>
                      <w:szCs w:val="20"/>
                      <w:highlight w:val="none"/>
                      <w:lang w:val="en-US" w:eastAsia="zh-CN" w:bidi="ar-SA"/>
                    </w:rPr>
                  </w:pPr>
                  <w:r>
                    <w:rPr>
                      <w:rFonts w:hint="eastAsia" w:cs="宋体"/>
                      <w:b w:val="0"/>
                      <w:bCs w:val="0"/>
                      <w:color w:val="auto"/>
                      <w:spacing w:val="-2"/>
                      <w:sz w:val="21"/>
                      <w:szCs w:val="20"/>
                      <w:highlight w:val="none"/>
                      <w:lang w:val="en-US" w:eastAsia="zh-CN" w:bidi="ar-SA"/>
                    </w:rPr>
                    <w:t>30</w:t>
                  </w:r>
                </w:p>
              </w:tc>
              <w:tc>
                <w:tcPr>
                  <w:tcW w:w="509" w:type="dxa"/>
                  <w:tcBorders>
                    <w:tl2br w:val="nil"/>
                    <w:tr2bl w:val="nil"/>
                  </w:tcBorders>
                  <w:noWrap w:val="0"/>
                  <w:vAlign w:val="center"/>
                </w:tcPr>
                <w:p w14:paraId="7F5FACD5">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b w:val="0"/>
                      <w:bCs w:val="0"/>
                      <w:color w:val="auto"/>
                      <w:kern w:val="2"/>
                      <w:sz w:val="21"/>
                      <w:szCs w:val="20"/>
                      <w:highlight w:val="none"/>
                      <w:lang w:val="en-US" w:eastAsia="zh-CN" w:bidi="ar-SA"/>
                    </w:rPr>
                  </w:pPr>
                  <w:r>
                    <w:rPr>
                      <w:rFonts w:hint="eastAsia" w:cs="Times New Roman"/>
                      <w:b w:val="0"/>
                      <w:bCs w:val="0"/>
                      <w:color w:val="auto"/>
                      <w:kern w:val="2"/>
                      <w:sz w:val="21"/>
                      <w:szCs w:val="20"/>
                      <w:highlight w:val="none"/>
                      <w:lang w:val="en-US" w:eastAsia="zh-CN" w:bidi="ar-SA"/>
                    </w:rPr>
                    <w:t>47</w:t>
                  </w:r>
                </w:p>
              </w:tc>
              <w:tc>
                <w:tcPr>
                  <w:tcW w:w="463" w:type="dxa"/>
                  <w:tcBorders>
                    <w:tl2br w:val="nil"/>
                    <w:tr2bl w:val="nil"/>
                  </w:tcBorders>
                  <w:noWrap w:val="0"/>
                  <w:vAlign w:val="center"/>
                </w:tcPr>
                <w:p w14:paraId="6208EEB4">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66</w:t>
                  </w:r>
                </w:p>
              </w:tc>
              <w:tc>
                <w:tcPr>
                  <w:tcW w:w="509" w:type="dxa"/>
                  <w:tcBorders>
                    <w:tl2br w:val="nil"/>
                    <w:tr2bl w:val="nil"/>
                  </w:tcBorders>
                  <w:noWrap w:val="0"/>
                  <w:vAlign w:val="center"/>
                </w:tcPr>
                <w:p w14:paraId="1192B2BC">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52</w:t>
                  </w:r>
                </w:p>
              </w:tc>
              <w:tc>
                <w:tcPr>
                  <w:tcW w:w="549" w:type="dxa"/>
                  <w:tcBorders>
                    <w:tl2br w:val="nil"/>
                    <w:tr2bl w:val="nil"/>
                  </w:tcBorders>
                  <w:noWrap w:val="0"/>
                  <w:vAlign w:val="center"/>
                </w:tcPr>
                <w:p w14:paraId="084123B2">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60</w:t>
                  </w:r>
                </w:p>
              </w:tc>
              <w:tc>
                <w:tcPr>
                  <w:tcW w:w="509" w:type="dxa"/>
                  <w:tcBorders>
                    <w:tl2br w:val="nil"/>
                    <w:tr2bl w:val="nil"/>
                  </w:tcBorders>
                  <w:noWrap w:val="0"/>
                  <w:vAlign w:val="center"/>
                </w:tcPr>
                <w:p w14:paraId="249407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8</w:t>
                  </w:r>
                  <w:r>
                    <w:rPr>
                      <w:rFonts w:hint="eastAsia" w:ascii="Times New Roman" w:hAnsi="Times New Roman" w:eastAsia="宋体" w:cs="Times New Roman"/>
                      <w:b w:val="0"/>
                      <w:bCs w:val="0"/>
                      <w:snapToGrid/>
                      <w:color w:val="auto"/>
                      <w:spacing w:val="0"/>
                      <w:kern w:val="0"/>
                      <w:position w:val="0"/>
                      <w:sz w:val="21"/>
                      <w:szCs w:val="21"/>
                      <w:highlight w:val="none"/>
                      <w:lang w:val="en-US" w:eastAsia="zh-CN"/>
                    </w:rPr>
                    <w:t>h</w:t>
                  </w:r>
                </w:p>
              </w:tc>
              <w:tc>
                <w:tcPr>
                  <w:tcW w:w="788" w:type="dxa"/>
                  <w:tcBorders>
                    <w:tl2br w:val="nil"/>
                    <w:tr2bl w:val="nil"/>
                  </w:tcBorders>
                  <w:noWrap w:val="0"/>
                  <w:vAlign w:val="center"/>
                </w:tcPr>
                <w:p w14:paraId="5611B70D">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15</w:t>
                  </w:r>
                </w:p>
              </w:tc>
              <w:tc>
                <w:tcPr>
                  <w:tcW w:w="788" w:type="dxa"/>
                  <w:tcBorders>
                    <w:tl2br w:val="nil"/>
                    <w:tr2bl w:val="nil"/>
                  </w:tcBorders>
                  <w:noWrap w:val="0"/>
                  <w:vAlign w:val="center"/>
                </w:tcPr>
                <w:p w14:paraId="02FF97C2">
                  <w:pPr>
                    <w:pStyle w:val="3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b w:val="0"/>
                      <w:bCs w:val="0"/>
                      <w:color w:val="auto"/>
                      <w:sz w:val="21"/>
                      <w:szCs w:val="20"/>
                      <w:highlight w:val="none"/>
                      <w:lang w:val="en-US" w:eastAsia="zh-CN"/>
                    </w:rPr>
                  </w:pPr>
                  <w:r>
                    <w:rPr>
                      <w:rFonts w:hint="eastAsia"/>
                      <w:b w:val="0"/>
                      <w:bCs w:val="0"/>
                      <w:color w:val="auto"/>
                      <w:sz w:val="21"/>
                      <w:szCs w:val="20"/>
                      <w:highlight w:val="none"/>
                      <w:lang w:val="en-US" w:eastAsia="zh-CN"/>
                    </w:rPr>
                    <w:t>52</w:t>
                  </w:r>
                </w:p>
              </w:tc>
              <w:tc>
                <w:tcPr>
                  <w:tcW w:w="667" w:type="dxa"/>
                  <w:tcBorders>
                    <w:tl2br w:val="nil"/>
                    <w:tr2bl w:val="nil"/>
                  </w:tcBorders>
                  <w:noWrap w:val="0"/>
                  <w:vAlign w:val="center"/>
                </w:tcPr>
                <w:p w14:paraId="33274E0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1m</w:t>
                  </w:r>
                </w:p>
              </w:tc>
            </w:tr>
          </w:tbl>
          <w:p w14:paraId="7E8D0E69">
            <w:pPr>
              <w:pStyle w:val="4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注：室内声源以建筑物中心为原点。</w:t>
            </w:r>
          </w:p>
        </w:tc>
      </w:tr>
    </w:tbl>
    <w:p w14:paraId="02B76413">
      <w:pPr>
        <w:pStyle w:val="2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snapToGrid w:val="0"/>
          <w:color w:val="auto"/>
          <w:sz w:val="30"/>
          <w:szCs w:val="30"/>
        </w:rPr>
        <w:sectPr>
          <w:pgSz w:w="16838" w:h="11906" w:orient="landscape"/>
          <w:pgMar w:top="1803" w:right="1440" w:bottom="1803" w:left="144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4"/>
        <w:tblW w:w="89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8438"/>
      </w:tblGrid>
      <w:tr w14:paraId="22E18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9" w:hRule="atLeast"/>
          <w:jc w:val="center"/>
        </w:trPr>
        <w:tc>
          <w:tcPr>
            <w:tcW w:w="553" w:type="dxa"/>
            <w:tcBorders>
              <w:tl2br w:val="nil"/>
              <w:tr2bl w:val="nil"/>
            </w:tcBorders>
            <w:noWrap w:val="0"/>
            <w:vAlign w:val="center"/>
          </w:tcPr>
          <w:p w14:paraId="6695D9BB">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运</w:t>
            </w:r>
          </w:p>
          <w:p w14:paraId="04C89CC7">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营</w:t>
            </w:r>
          </w:p>
          <w:p w14:paraId="3860BE35">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期</w:t>
            </w:r>
          </w:p>
          <w:p w14:paraId="226BB075">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环</w:t>
            </w:r>
          </w:p>
          <w:p w14:paraId="3FC438A5">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境</w:t>
            </w:r>
          </w:p>
          <w:p w14:paraId="5127A46A">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影</w:t>
            </w:r>
          </w:p>
          <w:p w14:paraId="238971ED">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响</w:t>
            </w:r>
          </w:p>
          <w:p w14:paraId="56F655C5">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和</w:t>
            </w:r>
          </w:p>
          <w:p w14:paraId="77708E3F">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保</w:t>
            </w:r>
          </w:p>
          <w:p w14:paraId="3D565F3B">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护</w:t>
            </w:r>
          </w:p>
          <w:p w14:paraId="6EB701E0">
            <w:pPr>
              <w:pStyle w:val="2"/>
              <w:spacing w:line="240" w:lineRule="auto"/>
              <w:ind w:left="0" w:leftChars="0" w:firstLine="0" w:firstLineChars="0"/>
              <w:jc w:val="center"/>
              <w:rPr>
                <w:rFonts w:hint="default" w:ascii="Times New Roman" w:hAnsi="Times New Roman" w:eastAsia="宋体" w:cs="Times New Roman"/>
                <w:snapToGrid/>
                <w:color w:val="auto"/>
                <w:spacing w:val="0"/>
                <w:kern w:val="0"/>
                <w:position w:val="0"/>
                <w:vertAlign w:val="baseline"/>
              </w:rPr>
            </w:pPr>
            <w:r>
              <w:rPr>
                <w:rFonts w:hint="default" w:ascii="Times New Roman" w:hAnsi="Times New Roman" w:eastAsia="宋体" w:cs="Times New Roman"/>
                <w:b w:val="0"/>
                <w:bCs w:val="0"/>
                <w:snapToGrid/>
                <w:color w:val="auto"/>
                <w:spacing w:val="0"/>
                <w:kern w:val="0"/>
                <w:position w:val="0"/>
                <w:sz w:val="24"/>
                <w:szCs w:val="24"/>
              </w:rPr>
              <w:t>措施</w:t>
            </w:r>
          </w:p>
        </w:tc>
        <w:tc>
          <w:tcPr>
            <w:tcW w:w="8438" w:type="dxa"/>
            <w:tcBorders>
              <w:tl2br w:val="nil"/>
              <w:tr2bl w:val="nil"/>
            </w:tcBorders>
            <w:noWrap w:val="0"/>
            <w:vAlign w:val="center"/>
          </w:tcPr>
          <w:p w14:paraId="27C0EF5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厂界和环境保护目标达标情况分析：</w:t>
            </w:r>
          </w:p>
          <w:p w14:paraId="144565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根据设备噪声强度，采用距离衰减模式分析该项目对声环境的影响。预测模式采用《环境影响评价技术导则</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声环境》</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HJ2.4-2021</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中推荐的噪声预测模式，噪声衰减公式：</w:t>
            </w:r>
          </w:p>
          <w:p w14:paraId="105E0F4E">
            <w:pPr>
              <w:pStyle w:val="22"/>
              <w:keepNext w:val="0"/>
              <w:keepLines w:val="0"/>
              <w:pageBreakBefore w:val="0"/>
              <w:widowControl/>
              <w:kinsoku/>
              <w:wordWrap/>
              <w:overflowPunct/>
              <w:topLinePunct w:val="0"/>
              <w:autoSpaceDE/>
              <w:autoSpaceDN/>
              <w:bidi w:val="0"/>
              <w:adjustRightInd w:val="0"/>
              <w:snapToGrid w:val="0"/>
              <w:spacing w:before="0" w:after="0" w:line="360" w:lineRule="auto"/>
              <w:ind w:right="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①如图B.1所示，声源位于室内，室内声源可采用等效室外声源声功率级法进行计算。设靠近开口处（或窗户）室内、室外某倍频带的声压级或A声级分别为L</w:t>
            </w:r>
            <w:r>
              <w:rPr>
                <w:rFonts w:hint="default" w:ascii="Times New Roman" w:hAnsi="Times New Roman" w:eastAsia="宋体" w:cs="Times New Roman"/>
                <w:color w:val="auto"/>
                <w:sz w:val="24"/>
                <w:szCs w:val="24"/>
                <w:vertAlign w:val="subscript"/>
              </w:rPr>
              <w:t>p1</w:t>
            </w:r>
            <w:r>
              <w:rPr>
                <w:rFonts w:hint="default" w:ascii="Times New Roman" w:hAnsi="Times New Roman" w:eastAsia="宋体" w:cs="Times New Roman"/>
                <w:color w:val="auto"/>
                <w:sz w:val="24"/>
                <w:szCs w:val="24"/>
              </w:rPr>
              <w:t>和L</w:t>
            </w:r>
            <w:r>
              <w:rPr>
                <w:rFonts w:hint="default" w:ascii="Times New Roman" w:hAnsi="Times New Roman" w:eastAsia="宋体" w:cs="Times New Roman"/>
                <w:color w:val="auto"/>
                <w:sz w:val="24"/>
                <w:szCs w:val="24"/>
                <w:vertAlign w:val="subscript"/>
              </w:rPr>
              <w:t>p2</w:t>
            </w:r>
            <w:r>
              <w:rPr>
                <w:rFonts w:hint="default" w:ascii="Times New Roman" w:hAnsi="Times New Roman" w:eastAsia="宋体" w:cs="Times New Roman"/>
                <w:color w:val="auto"/>
                <w:sz w:val="24"/>
                <w:szCs w:val="24"/>
              </w:rPr>
              <w:t>。若声源所在室内声场为近似扩散声场，则室外的倍频带声压级可按式（B.1）近似求出：</w:t>
            </w:r>
          </w:p>
          <w:p w14:paraId="1FDAF444">
            <w:pPr>
              <w:pStyle w:val="22"/>
              <w:keepNext w:val="0"/>
              <w:keepLines w:val="0"/>
              <w:pageBreakBefore w:val="0"/>
              <w:kinsoku/>
              <w:wordWrap/>
              <w:overflowPunct/>
              <w:topLinePunct w:val="0"/>
              <w:autoSpaceDE/>
              <w:autoSpaceDN/>
              <w:bidi w:val="0"/>
              <w:adjustRightInd w:val="0"/>
              <w:snapToGrid w:val="0"/>
              <w:spacing w:before="0" w:after="0" w:line="360" w:lineRule="auto"/>
              <w:ind w:right="0"/>
              <w:jc w:val="righ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rPr>
              <w:drawing>
                <wp:inline distT="0" distB="0" distL="114300" distR="114300">
                  <wp:extent cx="3482975" cy="373380"/>
                  <wp:effectExtent l="0" t="0" r="3175" b="762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3"/>
                          <a:stretch>
                            <a:fillRect/>
                          </a:stretch>
                        </pic:blipFill>
                        <pic:spPr>
                          <a:xfrm>
                            <a:off x="0" y="0"/>
                            <a:ext cx="3482975" cy="373380"/>
                          </a:xfrm>
                          <a:prstGeom prst="rect">
                            <a:avLst/>
                          </a:prstGeom>
                          <a:noFill/>
                          <a:ln>
                            <a:noFill/>
                          </a:ln>
                        </pic:spPr>
                      </pic:pic>
                    </a:graphicData>
                  </a:graphic>
                </wp:inline>
              </w:drawing>
            </w:r>
            <w:r>
              <w:rPr>
                <w:rFonts w:hint="default" w:ascii="Times New Roman" w:hAnsi="Times New Roman" w:eastAsia="宋体" w:cs="Times New Roman"/>
                <w:color w:val="auto"/>
                <w:lang w:val="en-US" w:eastAsia="zh-CN"/>
              </w:rPr>
              <w:t xml:space="preserve"> </w:t>
            </w:r>
          </w:p>
          <w:p w14:paraId="20D0691F">
            <w:pPr>
              <w:pStyle w:val="22"/>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p1</w:t>
            </w:r>
            <w:r>
              <w:rPr>
                <w:rFonts w:hint="default" w:ascii="Times New Roman" w:hAnsi="Times New Roman" w:eastAsia="宋体" w:cs="Times New Roman"/>
                <w:color w:val="auto"/>
              </w:rPr>
              <w:t>——</w:t>
            </w:r>
            <w:r>
              <w:rPr>
                <w:rFonts w:hint="default" w:ascii="Times New Roman" w:hAnsi="Times New Roman" w:eastAsia="宋体" w:cs="Times New Roman"/>
                <w:color w:val="auto"/>
                <w:sz w:val="24"/>
                <w:szCs w:val="24"/>
              </w:rPr>
              <w:t>靠近开口处（或窗户）室内某倍频带的声压级或A声级，dB；</w:t>
            </w:r>
          </w:p>
          <w:p w14:paraId="4FBEAFAC">
            <w:pPr>
              <w:pStyle w:val="22"/>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p2</w:t>
            </w:r>
            <w:r>
              <w:rPr>
                <w:rFonts w:hint="default" w:ascii="Times New Roman" w:hAnsi="Times New Roman" w:eastAsia="宋体" w:cs="Times New Roman"/>
                <w:color w:val="auto"/>
              </w:rPr>
              <w:t>——</w:t>
            </w:r>
            <w:r>
              <w:rPr>
                <w:rFonts w:hint="default" w:ascii="Times New Roman" w:hAnsi="Times New Roman" w:eastAsia="宋体" w:cs="Times New Roman"/>
                <w:color w:val="auto"/>
                <w:sz w:val="24"/>
                <w:szCs w:val="24"/>
              </w:rPr>
              <w:t>靠近开口处（或窗户）室外某倍频带的声压级或A声级，dB；</w:t>
            </w:r>
          </w:p>
          <w:p w14:paraId="4C6187D5">
            <w:pPr>
              <w:pStyle w:val="22"/>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TL</w:t>
            </w:r>
            <w:r>
              <w:rPr>
                <w:rFonts w:hint="default" w:ascii="Times New Roman" w:hAnsi="Times New Roman" w:eastAsia="宋体" w:cs="Times New Roman"/>
                <w:color w:val="auto"/>
              </w:rPr>
              <w:t>——</w:t>
            </w:r>
            <w:r>
              <w:rPr>
                <w:rFonts w:hint="default" w:ascii="Times New Roman" w:hAnsi="Times New Roman" w:eastAsia="宋体" w:cs="Times New Roman"/>
                <w:color w:val="auto"/>
                <w:sz w:val="24"/>
                <w:szCs w:val="24"/>
              </w:rPr>
              <w:t>隔墙（或窗户）倍频带或A声级的隔声量，dB。</w:t>
            </w:r>
          </w:p>
          <w:p w14:paraId="7C1BE081">
            <w:pPr>
              <w:pStyle w:val="22"/>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3236595" cy="1656080"/>
                  <wp:effectExtent l="0" t="0" r="1905" b="127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4"/>
                          <a:stretch>
                            <a:fillRect/>
                          </a:stretch>
                        </pic:blipFill>
                        <pic:spPr>
                          <a:xfrm>
                            <a:off x="0" y="0"/>
                            <a:ext cx="3236595" cy="1656080"/>
                          </a:xfrm>
                          <a:prstGeom prst="rect">
                            <a:avLst/>
                          </a:prstGeom>
                          <a:noFill/>
                          <a:ln>
                            <a:noFill/>
                          </a:ln>
                        </pic:spPr>
                      </pic:pic>
                    </a:graphicData>
                  </a:graphic>
                </wp:inline>
              </w:drawing>
            </w:r>
          </w:p>
          <w:p w14:paraId="19E36AF6">
            <w:pPr>
              <w:pStyle w:val="22"/>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图</w:t>
            </w:r>
            <w:r>
              <w:rPr>
                <w:rFonts w:hint="default" w:ascii="Times New Roman" w:hAnsi="Times New Roman" w:eastAsia="宋体" w:cs="Times New Roman"/>
                <w:b/>
                <w:bCs/>
                <w:color w:val="auto"/>
                <w:sz w:val="24"/>
                <w:szCs w:val="24"/>
                <w:lang w:val="en-US" w:eastAsia="zh-CN"/>
              </w:rPr>
              <w:t>B.1  室内声源等效为室外声源图例</w:t>
            </w:r>
          </w:p>
          <w:p w14:paraId="27D30D96">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②也可按式（B.2）计算某一室内声源靠近围护结构处产生的倍频带声压级或A声级：</w:t>
            </w:r>
          </w:p>
          <w:p w14:paraId="6828B820">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0" w:firstLineChars="0"/>
              <w:jc w:val="right"/>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rPr>
              <w:drawing>
                <wp:inline distT="0" distB="0" distL="114300" distR="114300">
                  <wp:extent cx="3904615" cy="575310"/>
                  <wp:effectExtent l="0" t="0" r="635" b="1524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5"/>
                          <a:stretch>
                            <a:fillRect/>
                          </a:stretch>
                        </pic:blipFill>
                        <pic:spPr>
                          <a:xfrm>
                            <a:off x="0" y="0"/>
                            <a:ext cx="3904615" cy="575310"/>
                          </a:xfrm>
                          <a:prstGeom prst="rect">
                            <a:avLst/>
                          </a:prstGeom>
                          <a:noFill/>
                          <a:ln>
                            <a:noFill/>
                          </a:ln>
                        </pic:spPr>
                      </pic:pic>
                    </a:graphicData>
                  </a:graphic>
                </wp:inline>
              </w:drawing>
            </w:r>
          </w:p>
          <w:p w14:paraId="73AC6F9F">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式中：L</w:t>
            </w:r>
            <w:r>
              <w:rPr>
                <w:rFonts w:hint="default" w:ascii="Times New Roman" w:hAnsi="Times New Roman" w:eastAsia="宋体" w:cs="Times New Roman"/>
                <w:bCs/>
                <w:color w:val="auto"/>
                <w:sz w:val="24"/>
                <w:szCs w:val="24"/>
                <w:vertAlign w:val="subscript"/>
              </w:rPr>
              <w:t>p1</w:t>
            </w:r>
            <w:r>
              <w:rPr>
                <w:rFonts w:hint="default" w:ascii="Times New Roman" w:hAnsi="Times New Roman" w:eastAsia="宋体" w:cs="Times New Roman"/>
                <w:bCs/>
                <w:color w:val="auto"/>
                <w:sz w:val="24"/>
                <w:szCs w:val="24"/>
              </w:rPr>
              <w:t>——靠近开口处（或窗户）室内某倍频带的声压级或A声级，dB；</w:t>
            </w:r>
          </w:p>
          <w:p w14:paraId="0F30F47C">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1200" w:firstLineChars="5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L</w:t>
            </w:r>
            <w:r>
              <w:rPr>
                <w:rFonts w:hint="default" w:ascii="Times New Roman" w:hAnsi="Times New Roman" w:eastAsia="宋体" w:cs="Times New Roman"/>
                <w:bCs/>
                <w:color w:val="auto"/>
                <w:sz w:val="24"/>
                <w:szCs w:val="24"/>
                <w:vertAlign w:val="subscript"/>
              </w:rPr>
              <w:t xml:space="preserve">w </w:t>
            </w:r>
            <w:r>
              <w:rPr>
                <w:rFonts w:hint="default" w:ascii="Times New Roman" w:hAnsi="Times New Roman" w:eastAsia="宋体" w:cs="Times New Roman"/>
                <w:bCs/>
                <w:color w:val="auto"/>
                <w:sz w:val="24"/>
                <w:szCs w:val="24"/>
              </w:rPr>
              <w:t>——点声源声功率级（A计权或倍频带），dB；</w:t>
            </w:r>
          </w:p>
          <w:p w14:paraId="0F8E9ECD">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1200" w:firstLineChars="5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Q——指向性因数；通常对无指向性声源，当声源放在房间中心时，Q=1；当放在一面墙的中心时，Q=2；当放在两面墙夹角处时，Q=4；当放在三面墙夹角处时，Q=8；</w:t>
            </w:r>
          </w:p>
          <w:p w14:paraId="7D9F3073">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720" w:firstLineChars="3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R——房间常数；</w:t>
            </w:r>
            <w:r>
              <w:rPr>
                <w:rFonts w:hint="default" w:ascii="Times New Roman" w:hAnsi="Times New Roman" w:eastAsia="宋体" w:cs="Times New Roman"/>
                <w:caps w:val="0"/>
                <w:smallCaps w:val="0"/>
                <w:color w:val="auto"/>
                <w:spacing w:val="0"/>
                <w:w w:val="100"/>
                <w:kern w:val="0"/>
                <w:position w:val="0"/>
                <w:sz w:val="24"/>
                <w:szCs w:val="24"/>
                <w:lang w:val="en-US" w:eastAsia="zh-CN"/>
              </w:rPr>
              <w:t>R=Sα/（1-α）</w:t>
            </w:r>
            <w:r>
              <w:rPr>
                <w:rFonts w:hint="default" w:ascii="Times New Roman" w:hAnsi="Times New Roman" w:eastAsia="宋体" w:cs="Times New Roman"/>
                <w:bCs/>
                <w:color w:val="auto"/>
                <w:sz w:val="24"/>
                <w:szCs w:val="24"/>
              </w:rPr>
              <w:t>，S为房间内表面面积，m</w:t>
            </w:r>
            <w:r>
              <w:rPr>
                <w:rFonts w:hint="default" w:ascii="Times New Roman" w:hAnsi="Times New Roman" w:eastAsia="宋体" w:cs="Times New Roman"/>
                <w:bCs/>
                <w:color w:val="auto"/>
                <w:sz w:val="24"/>
                <w:szCs w:val="24"/>
                <w:vertAlign w:val="superscript"/>
              </w:rPr>
              <w:t>2</w:t>
            </w:r>
            <w:r>
              <w:rPr>
                <w:rFonts w:hint="default" w:ascii="Times New Roman" w:hAnsi="Times New Roman" w:eastAsia="宋体" w:cs="Times New Roman"/>
                <w:bCs/>
                <w:color w:val="auto"/>
                <w:sz w:val="24"/>
                <w:szCs w:val="24"/>
              </w:rPr>
              <w:t>；α为平均吸声系数；</w:t>
            </w:r>
          </w:p>
          <w:p w14:paraId="41EF8498">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720" w:firstLineChars="3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r ——声源到靠近围护结构某点处的距离，m。</w:t>
            </w:r>
          </w:p>
          <w:p w14:paraId="3C70D13D">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③然后按式（B.3）计算出所有室内声源在围护结构处产生的i倍频带叠加声压级：</w:t>
            </w:r>
          </w:p>
          <w:p w14:paraId="27CA4ABE">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0" w:firstLineChars="0"/>
              <w:jc w:val="right"/>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rPr>
              <w:drawing>
                <wp:inline distT="0" distB="0" distL="114300" distR="114300">
                  <wp:extent cx="3957955" cy="560705"/>
                  <wp:effectExtent l="0" t="0" r="4445" b="1079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6"/>
                          <a:stretch>
                            <a:fillRect/>
                          </a:stretch>
                        </pic:blipFill>
                        <pic:spPr>
                          <a:xfrm>
                            <a:off x="0" y="0"/>
                            <a:ext cx="3957955" cy="560705"/>
                          </a:xfrm>
                          <a:prstGeom prst="rect">
                            <a:avLst/>
                          </a:prstGeom>
                          <a:noFill/>
                          <a:ln>
                            <a:noFill/>
                          </a:ln>
                        </pic:spPr>
                      </pic:pic>
                    </a:graphicData>
                  </a:graphic>
                </wp:inline>
              </w:drawing>
            </w:r>
          </w:p>
          <w:p w14:paraId="053FB2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aps w:val="0"/>
                <w:smallCaps w:val="0"/>
                <w:color w:val="auto"/>
                <w:spacing w:val="0"/>
                <w:w w:val="100"/>
                <w:kern w:val="0"/>
                <w:position w:val="0"/>
                <w:sz w:val="24"/>
                <w:szCs w:val="24"/>
                <w:lang w:eastAsia="zh-CN"/>
              </w:rPr>
            </w:pPr>
            <w:r>
              <w:rPr>
                <w:rFonts w:hint="default" w:ascii="Times New Roman" w:hAnsi="Times New Roman" w:eastAsia="宋体" w:cs="Times New Roman"/>
                <w:caps w:val="0"/>
                <w:smallCaps w:val="0"/>
                <w:color w:val="auto"/>
                <w:spacing w:val="0"/>
                <w:w w:val="100"/>
                <w:kern w:val="0"/>
                <w:position w:val="0"/>
                <w:sz w:val="24"/>
                <w:szCs w:val="24"/>
              </w:rPr>
              <w:t>式中：L</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pli</w:t>
            </w:r>
            <w:r>
              <w:rPr>
                <w:rFonts w:hint="default" w:ascii="Times New Roman" w:hAnsi="Times New Roman" w:eastAsia="宋体" w:cs="Times New Roman"/>
                <w:caps w:val="0"/>
                <w:smallCaps w:val="0"/>
                <w:color w:val="auto"/>
                <w:spacing w:val="0"/>
                <w:w w:val="100"/>
                <w:kern w:val="0"/>
                <w:position w:val="0"/>
                <w:sz w:val="24"/>
                <w:szCs w:val="24"/>
                <w:vertAlign w:val="baseline"/>
                <w:lang w:val="en-US" w:eastAsia="zh-CN"/>
              </w:rPr>
              <w:t>（T）</w:t>
            </w:r>
            <w:r>
              <w:rPr>
                <w:rFonts w:hint="default" w:ascii="Times New Roman" w:hAnsi="Times New Roman" w:eastAsia="宋体" w:cs="Times New Roman"/>
                <w:caps w:val="0"/>
                <w:smallCaps w:val="0"/>
                <w:color w:val="auto"/>
                <w:spacing w:val="0"/>
                <w:w w:val="100"/>
                <w:kern w:val="0"/>
                <w:position w:val="0"/>
                <w:sz w:val="24"/>
                <w:szCs w:val="24"/>
              </w:rPr>
              <w:t>——靠近围护结构处室内N个声源i倍频带的叠加声压级，dB</w:t>
            </w:r>
            <w:r>
              <w:rPr>
                <w:rFonts w:hint="default" w:ascii="Times New Roman" w:hAnsi="Times New Roman" w:eastAsia="宋体" w:cs="Times New Roman"/>
                <w:caps w:val="0"/>
                <w:smallCaps w:val="0"/>
                <w:color w:val="auto"/>
                <w:spacing w:val="0"/>
                <w:w w:val="100"/>
                <w:kern w:val="0"/>
                <w:position w:val="0"/>
                <w:sz w:val="24"/>
                <w:szCs w:val="24"/>
                <w:lang w:eastAsia="zh-CN"/>
              </w:rPr>
              <w:t>；</w:t>
            </w:r>
          </w:p>
          <w:p w14:paraId="2DCD62CC">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rPr>
              <w:t>L</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plij</w:t>
            </w:r>
            <w:r>
              <w:rPr>
                <w:rFonts w:hint="default" w:ascii="Times New Roman" w:hAnsi="Times New Roman" w:eastAsia="宋体" w:cs="Times New Roman"/>
                <w:caps w:val="0"/>
                <w:smallCaps w:val="0"/>
                <w:color w:val="auto"/>
                <w:spacing w:val="0"/>
                <w:w w:val="100"/>
                <w:kern w:val="0"/>
                <w:position w:val="0"/>
                <w:sz w:val="24"/>
                <w:szCs w:val="24"/>
              </w:rPr>
              <w:t>——室内j声源i倍频带的声压级，dB；</w:t>
            </w:r>
          </w:p>
          <w:p w14:paraId="725B75DF">
            <w:pPr>
              <w:keepNext w:val="0"/>
              <w:keepLines w:val="0"/>
              <w:pageBreakBefore w:val="0"/>
              <w:widowControl w:val="0"/>
              <w:kinsoku/>
              <w:wordWrap/>
              <w:overflowPunct/>
              <w:topLinePunct w:val="0"/>
              <w:autoSpaceDE/>
              <w:autoSpaceDN/>
              <w:bidi w:val="0"/>
              <w:adjustRightInd w:val="0"/>
              <w:snapToGrid w:val="0"/>
              <w:spacing w:line="360" w:lineRule="auto"/>
              <w:ind w:firstLine="1260" w:firstLineChars="6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N</w:t>
            </w:r>
            <w:r>
              <w:rPr>
                <w:rFonts w:hint="default" w:ascii="Times New Roman" w:hAnsi="Times New Roman" w:eastAsia="宋体" w:cs="Times New Roman"/>
                <w:caps w:val="0"/>
                <w:smallCaps w:val="0"/>
                <w:color w:val="auto"/>
                <w:spacing w:val="0"/>
                <w:w w:val="100"/>
                <w:kern w:val="0"/>
                <w:position w:val="0"/>
                <w:sz w:val="24"/>
                <w:szCs w:val="24"/>
              </w:rPr>
              <w:t>——室内</w:t>
            </w:r>
            <w:r>
              <w:rPr>
                <w:rFonts w:hint="default" w:ascii="Times New Roman" w:hAnsi="Times New Roman" w:eastAsia="宋体" w:cs="Times New Roman"/>
                <w:caps w:val="0"/>
                <w:smallCaps w:val="0"/>
                <w:color w:val="auto"/>
                <w:spacing w:val="0"/>
                <w:w w:val="100"/>
                <w:kern w:val="0"/>
                <w:position w:val="0"/>
                <w:sz w:val="24"/>
                <w:szCs w:val="24"/>
                <w:lang w:eastAsia="zh-CN"/>
              </w:rPr>
              <w:t>声源总数。</w:t>
            </w:r>
          </w:p>
          <w:p w14:paraId="64130678">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④在室内近似为扩散声场时，按式（B.4）计算出靠近室外围护结构处的声压级：</w:t>
            </w:r>
          </w:p>
          <w:p w14:paraId="41802E14">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0" w:firstLineChars="0"/>
              <w:jc w:val="right"/>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rPr>
              <w:drawing>
                <wp:inline distT="0" distB="0" distL="114300" distR="114300">
                  <wp:extent cx="4064000" cy="332740"/>
                  <wp:effectExtent l="0" t="0" r="12700" b="1016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7"/>
                          <a:stretch>
                            <a:fillRect/>
                          </a:stretch>
                        </pic:blipFill>
                        <pic:spPr>
                          <a:xfrm>
                            <a:off x="0" y="0"/>
                            <a:ext cx="4064000" cy="332740"/>
                          </a:xfrm>
                          <a:prstGeom prst="rect">
                            <a:avLst/>
                          </a:prstGeom>
                          <a:noFill/>
                          <a:ln>
                            <a:noFill/>
                          </a:ln>
                        </pic:spPr>
                      </pic:pic>
                    </a:graphicData>
                  </a:graphic>
                </wp:inline>
              </w:drawing>
            </w:r>
          </w:p>
          <w:p w14:paraId="61D2F2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aps w:val="0"/>
                <w:smallCaps w:val="0"/>
                <w:color w:val="auto"/>
                <w:spacing w:val="0"/>
                <w:w w:val="100"/>
                <w:kern w:val="0"/>
                <w:position w:val="0"/>
                <w:sz w:val="24"/>
                <w:szCs w:val="24"/>
                <w:lang w:eastAsia="zh-CN"/>
              </w:rPr>
            </w:pPr>
            <w:r>
              <w:rPr>
                <w:rFonts w:hint="default" w:ascii="Times New Roman" w:hAnsi="Times New Roman" w:eastAsia="宋体" w:cs="Times New Roman"/>
                <w:caps w:val="0"/>
                <w:smallCaps w:val="0"/>
                <w:color w:val="auto"/>
                <w:spacing w:val="0"/>
                <w:w w:val="100"/>
                <w:kern w:val="0"/>
                <w:position w:val="0"/>
                <w:sz w:val="24"/>
                <w:szCs w:val="24"/>
              </w:rPr>
              <w:t>式中：L</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p2i</w:t>
            </w:r>
            <w:r>
              <w:rPr>
                <w:rFonts w:hint="default" w:ascii="Times New Roman" w:hAnsi="Times New Roman" w:eastAsia="宋体" w:cs="Times New Roman"/>
                <w:caps w:val="0"/>
                <w:smallCaps w:val="0"/>
                <w:color w:val="auto"/>
                <w:spacing w:val="0"/>
                <w:w w:val="100"/>
                <w:kern w:val="0"/>
                <w:position w:val="0"/>
                <w:sz w:val="24"/>
                <w:szCs w:val="24"/>
                <w:vertAlign w:val="baseline"/>
                <w:lang w:val="en-US" w:eastAsia="zh-CN"/>
              </w:rPr>
              <w:t>（T）</w:t>
            </w:r>
            <w:r>
              <w:rPr>
                <w:rFonts w:hint="default" w:ascii="Times New Roman" w:hAnsi="Times New Roman" w:eastAsia="宋体" w:cs="Times New Roman"/>
                <w:caps w:val="0"/>
                <w:smallCaps w:val="0"/>
                <w:color w:val="auto"/>
                <w:spacing w:val="0"/>
                <w:w w:val="100"/>
                <w:kern w:val="0"/>
                <w:position w:val="0"/>
                <w:sz w:val="24"/>
                <w:szCs w:val="24"/>
              </w:rPr>
              <w:t>——靠近围护结构处室外N个声源i倍频带的叠加声压级，dB</w:t>
            </w:r>
            <w:r>
              <w:rPr>
                <w:rFonts w:hint="default" w:ascii="Times New Roman" w:hAnsi="Times New Roman" w:eastAsia="宋体" w:cs="Times New Roman"/>
                <w:caps w:val="0"/>
                <w:smallCaps w:val="0"/>
                <w:color w:val="auto"/>
                <w:spacing w:val="0"/>
                <w:w w:val="100"/>
                <w:kern w:val="0"/>
                <w:position w:val="0"/>
                <w:sz w:val="24"/>
                <w:szCs w:val="24"/>
                <w:lang w:eastAsia="zh-CN"/>
              </w:rPr>
              <w:t>；</w:t>
            </w:r>
          </w:p>
          <w:p w14:paraId="1EBED56C">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aps w:val="0"/>
                <w:smallCaps w:val="0"/>
                <w:color w:val="auto"/>
                <w:spacing w:val="0"/>
                <w:w w:val="100"/>
                <w:kern w:val="0"/>
                <w:position w:val="0"/>
                <w:sz w:val="24"/>
                <w:szCs w:val="24"/>
                <w:lang w:eastAsia="zh-CN"/>
              </w:rPr>
            </w:pPr>
            <w:r>
              <w:rPr>
                <w:rFonts w:hint="default" w:ascii="Times New Roman" w:hAnsi="Times New Roman" w:eastAsia="宋体" w:cs="Times New Roman"/>
                <w:caps w:val="0"/>
                <w:smallCaps w:val="0"/>
                <w:color w:val="auto"/>
                <w:spacing w:val="0"/>
                <w:w w:val="100"/>
                <w:kern w:val="0"/>
                <w:position w:val="0"/>
                <w:sz w:val="24"/>
                <w:szCs w:val="24"/>
              </w:rPr>
              <w:t>L</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pli</w:t>
            </w:r>
            <w:r>
              <w:rPr>
                <w:rFonts w:hint="default" w:ascii="Times New Roman" w:hAnsi="Times New Roman" w:eastAsia="宋体" w:cs="Times New Roman"/>
                <w:caps w:val="0"/>
                <w:smallCaps w:val="0"/>
                <w:color w:val="auto"/>
                <w:spacing w:val="0"/>
                <w:w w:val="100"/>
                <w:kern w:val="0"/>
                <w:position w:val="0"/>
                <w:sz w:val="24"/>
                <w:szCs w:val="24"/>
                <w:vertAlign w:val="baseline"/>
                <w:lang w:val="en-US" w:eastAsia="zh-CN"/>
              </w:rPr>
              <w:t>（T）</w:t>
            </w:r>
            <w:r>
              <w:rPr>
                <w:rFonts w:hint="default" w:ascii="Times New Roman" w:hAnsi="Times New Roman" w:eastAsia="宋体" w:cs="Times New Roman"/>
                <w:caps w:val="0"/>
                <w:smallCaps w:val="0"/>
                <w:color w:val="auto"/>
                <w:spacing w:val="0"/>
                <w:w w:val="100"/>
                <w:kern w:val="0"/>
                <w:position w:val="0"/>
                <w:sz w:val="24"/>
                <w:szCs w:val="24"/>
              </w:rPr>
              <w:t>——靠近围护结构处室内N个声源i倍频带的叠加声压级</w:t>
            </w:r>
            <w:r>
              <w:rPr>
                <w:rFonts w:hint="default" w:ascii="Times New Roman" w:hAnsi="Times New Roman" w:eastAsia="宋体" w:cs="Times New Roman"/>
                <w:caps w:val="0"/>
                <w:smallCaps w:val="0"/>
                <w:color w:val="auto"/>
                <w:spacing w:val="0"/>
                <w:w w:val="100"/>
                <w:kern w:val="0"/>
                <w:position w:val="0"/>
                <w:sz w:val="24"/>
                <w:szCs w:val="24"/>
                <w:lang w:eastAsia="zh-CN"/>
              </w:rPr>
              <w:t>，dB；</w:t>
            </w:r>
          </w:p>
          <w:p w14:paraId="533CD2EC">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lang w:val="en-US" w:eastAsia="zh-CN"/>
              </w:rPr>
              <w:t>T</w:t>
            </w:r>
            <w:r>
              <w:rPr>
                <w:rFonts w:hint="default" w:ascii="Times New Roman" w:hAnsi="Times New Roman" w:eastAsia="宋体" w:cs="Times New Roman"/>
                <w:caps w:val="0"/>
                <w:smallCaps w:val="0"/>
                <w:color w:val="auto"/>
                <w:spacing w:val="0"/>
                <w:w w:val="100"/>
                <w:kern w:val="0"/>
                <w:position w:val="0"/>
                <w:sz w:val="24"/>
                <w:szCs w:val="24"/>
              </w:rPr>
              <w:t>L</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i</w:t>
            </w:r>
            <w:r>
              <w:rPr>
                <w:rFonts w:hint="default" w:ascii="Times New Roman" w:hAnsi="Times New Roman" w:eastAsia="宋体" w:cs="Times New Roman"/>
                <w:caps w:val="0"/>
                <w:smallCaps w:val="0"/>
                <w:color w:val="auto"/>
                <w:spacing w:val="0"/>
                <w:w w:val="100"/>
                <w:kern w:val="0"/>
                <w:position w:val="0"/>
                <w:sz w:val="24"/>
                <w:szCs w:val="24"/>
              </w:rPr>
              <w:t>——围护结构i倍频带的隔声量，dB；</w:t>
            </w:r>
          </w:p>
          <w:p w14:paraId="5F6EF294">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⑤然后按式（B.5）将室外声源的声压级和透过面积换算成等效的室外声源，计算出中心位置位于透声面积（S）处的等效声源的倍频带声功率级。</w:t>
            </w:r>
          </w:p>
          <w:p w14:paraId="4A38B81C">
            <w:pPr>
              <w:pStyle w:val="22"/>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0" w:firstLineChars="0"/>
              <w:jc w:val="right"/>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rPr>
              <w:drawing>
                <wp:inline distT="0" distB="0" distL="114300" distR="114300">
                  <wp:extent cx="3923665" cy="304165"/>
                  <wp:effectExtent l="0" t="0" r="635" b="635"/>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8"/>
                          <a:stretch>
                            <a:fillRect/>
                          </a:stretch>
                        </pic:blipFill>
                        <pic:spPr>
                          <a:xfrm>
                            <a:off x="0" y="0"/>
                            <a:ext cx="3923665" cy="304165"/>
                          </a:xfrm>
                          <a:prstGeom prst="rect">
                            <a:avLst/>
                          </a:prstGeom>
                          <a:noFill/>
                          <a:ln>
                            <a:noFill/>
                          </a:ln>
                        </pic:spPr>
                      </pic:pic>
                    </a:graphicData>
                  </a:graphic>
                </wp:inline>
              </w:drawing>
            </w:r>
          </w:p>
          <w:p w14:paraId="46F3EA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式中：</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lang w:val="en-US" w:eastAsia="zh-CN"/>
              </w:rPr>
              <w:t>W</w:t>
            </w:r>
            <w:r>
              <w:rPr>
                <w:rFonts w:hint="default" w:ascii="Times New Roman" w:hAnsi="Times New Roman" w:eastAsia="宋体" w:cs="Times New Roman"/>
                <w:color w:val="auto"/>
                <w:sz w:val="24"/>
                <w:szCs w:val="24"/>
              </w:rPr>
              <w:t>——中心位置位于透声面积（S）处的等效声源的倍频带声功率级，dB；</w:t>
            </w:r>
          </w:p>
          <w:p w14:paraId="1D167C19">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lang w:val="en-US" w:eastAsia="zh-CN"/>
              </w:rPr>
              <w:t>p2</w:t>
            </w:r>
            <w:r>
              <w:rPr>
                <w:rFonts w:hint="default" w:ascii="Times New Roman" w:hAnsi="Times New Roman" w:eastAsia="宋体" w:cs="Times New Roman"/>
                <w:color w:val="auto"/>
                <w:sz w:val="24"/>
                <w:szCs w:val="24"/>
                <w:vertAlign w:val="baseline"/>
                <w:lang w:val="en-US" w:eastAsia="zh-CN"/>
              </w:rPr>
              <w:t>（T）</w:t>
            </w:r>
            <w:r>
              <w:rPr>
                <w:rFonts w:hint="default" w:ascii="Times New Roman" w:hAnsi="Times New Roman" w:eastAsia="宋体" w:cs="Times New Roman"/>
                <w:color w:val="auto"/>
                <w:sz w:val="24"/>
                <w:szCs w:val="24"/>
              </w:rPr>
              <w:t>——靠近围护结构处室外声源的声压级，dB；</w:t>
            </w:r>
          </w:p>
          <w:p w14:paraId="02602138">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rPr>
              <w:t>——透声面积，m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14:paraId="6AE35C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然后按室外声源预测方法计算预测点处的 A 声级。</w:t>
            </w:r>
          </w:p>
          <w:p w14:paraId="25C513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⑥工业企业噪声计算</w:t>
            </w:r>
          </w:p>
          <w:p w14:paraId="3F08FE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rPr>
              <w:t>设第i个室外声源在预测点产生的A声级为L</w:t>
            </w:r>
            <w:r>
              <w:rPr>
                <w:rFonts w:hint="default" w:ascii="Times New Roman" w:hAnsi="Times New Roman" w:eastAsia="宋体" w:cs="Times New Roman"/>
                <w:caps w:val="0"/>
                <w:smallCaps w:val="0"/>
                <w:color w:val="auto"/>
                <w:spacing w:val="0"/>
                <w:w w:val="100"/>
                <w:kern w:val="0"/>
                <w:position w:val="0"/>
                <w:sz w:val="24"/>
                <w:szCs w:val="24"/>
                <w:vertAlign w:val="subscript"/>
              </w:rPr>
              <w:t>Ai</w:t>
            </w:r>
            <w:r>
              <w:rPr>
                <w:rFonts w:hint="default" w:ascii="Times New Roman" w:hAnsi="Times New Roman" w:eastAsia="宋体" w:cs="Times New Roman"/>
                <w:caps w:val="0"/>
                <w:smallCaps w:val="0"/>
                <w:color w:val="auto"/>
                <w:spacing w:val="0"/>
                <w:w w:val="100"/>
                <w:kern w:val="0"/>
                <w:position w:val="0"/>
                <w:sz w:val="24"/>
                <w:szCs w:val="24"/>
              </w:rPr>
              <w:t>，在T时间内该声源工作时间为t</w:t>
            </w:r>
            <w:r>
              <w:rPr>
                <w:rFonts w:hint="default" w:ascii="Times New Roman" w:hAnsi="Times New Roman" w:eastAsia="宋体" w:cs="Times New Roman"/>
                <w:caps w:val="0"/>
                <w:smallCaps w:val="0"/>
                <w:color w:val="auto"/>
                <w:spacing w:val="0"/>
                <w:w w:val="100"/>
                <w:kern w:val="0"/>
                <w:position w:val="0"/>
                <w:sz w:val="24"/>
                <w:szCs w:val="24"/>
                <w:vertAlign w:val="subscript"/>
              </w:rPr>
              <w:t>i</w:t>
            </w:r>
            <w:r>
              <w:rPr>
                <w:rFonts w:hint="default" w:ascii="Times New Roman" w:hAnsi="Times New Roman" w:eastAsia="宋体" w:cs="Times New Roman"/>
                <w:caps w:val="0"/>
                <w:smallCaps w:val="0"/>
                <w:color w:val="auto"/>
                <w:spacing w:val="0"/>
                <w:w w:val="100"/>
                <w:kern w:val="0"/>
                <w:position w:val="0"/>
                <w:sz w:val="24"/>
                <w:szCs w:val="24"/>
              </w:rPr>
              <w:t>；第j个等效室外声源在预测点产生的A声级为L</w:t>
            </w:r>
            <w:r>
              <w:rPr>
                <w:rFonts w:hint="default" w:ascii="Times New Roman" w:hAnsi="Times New Roman" w:eastAsia="宋体" w:cs="Times New Roman"/>
                <w:caps w:val="0"/>
                <w:smallCaps w:val="0"/>
                <w:color w:val="auto"/>
                <w:spacing w:val="0"/>
                <w:w w:val="100"/>
                <w:kern w:val="0"/>
                <w:position w:val="0"/>
                <w:sz w:val="24"/>
                <w:szCs w:val="24"/>
                <w:vertAlign w:val="subscript"/>
              </w:rPr>
              <w:t xml:space="preserve">Aj </w:t>
            </w:r>
            <w:r>
              <w:rPr>
                <w:rFonts w:hint="default" w:ascii="Times New Roman" w:hAnsi="Times New Roman" w:eastAsia="宋体" w:cs="Times New Roman"/>
                <w:caps w:val="0"/>
                <w:smallCaps w:val="0"/>
                <w:color w:val="auto"/>
                <w:spacing w:val="0"/>
                <w:w w:val="100"/>
                <w:kern w:val="0"/>
                <w:position w:val="0"/>
                <w:sz w:val="24"/>
                <w:szCs w:val="24"/>
              </w:rPr>
              <w:t>，在T时间内该声源工作时间为t</w:t>
            </w:r>
            <w:r>
              <w:rPr>
                <w:rFonts w:hint="default" w:ascii="Times New Roman" w:hAnsi="Times New Roman" w:eastAsia="宋体" w:cs="Times New Roman"/>
                <w:caps w:val="0"/>
                <w:smallCaps w:val="0"/>
                <w:color w:val="auto"/>
                <w:spacing w:val="0"/>
                <w:w w:val="100"/>
                <w:kern w:val="0"/>
                <w:position w:val="0"/>
                <w:sz w:val="24"/>
                <w:szCs w:val="24"/>
                <w:vertAlign w:val="subscript"/>
              </w:rPr>
              <w:t>j</w:t>
            </w:r>
            <w:r>
              <w:rPr>
                <w:rFonts w:hint="default" w:ascii="Times New Roman" w:hAnsi="Times New Roman" w:eastAsia="宋体" w:cs="Times New Roman"/>
                <w:caps w:val="0"/>
                <w:smallCaps w:val="0"/>
                <w:color w:val="auto"/>
                <w:spacing w:val="0"/>
                <w:w w:val="100"/>
                <w:kern w:val="0"/>
                <w:position w:val="0"/>
                <w:sz w:val="24"/>
                <w:szCs w:val="24"/>
              </w:rPr>
              <w:t>，则拟建工程声源对预测点产生的贡献值（L</w:t>
            </w:r>
            <w:r>
              <w:rPr>
                <w:rFonts w:hint="default" w:ascii="Times New Roman" w:hAnsi="Times New Roman" w:eastAsia="宋体" w:cs="Times New Roman"/>
                <w:caps w:val="0"/>
                <w:smallCaps w:val="0"/>
                <w:color w:val="auto"/>
                <w:spacing w:val="0"/>
                <w:w w:val="100"/>
                <w:kern w:val="0"/>
                <w:position w:val="0"/>
                <w:sz w:val="24"/>
                <w:szCs w:val="24"/>
                <w:vertAlign w:val="subscript"/>
              </w:rPr>
              <w:t>eqg</w:t>
            </w:r>
            <w:r>
              <w:rPr>
                <w:rFonts w:hint="default" w:ascii="Times New Roman" w:hAnsi="Times New Roman" w:eastAsia="宋体" w:cs="Times New Roman"/>
                <w:caps w:val="0"/>
                <w:smallCaps w:val="0"/>
                <w:color w:val="auto"/>
                <w:spacing w:val="0"/>
                <w:w w:val="100"/>
                <w:kern w:val="0"/>
                <w:position w:val="0"/>
                <w:sz w:val="24"/>
                <w:szCs w:val="24"/>
              </w:rPr>
              <w:t>）为：</w:t>
            </w:r>
          </w:p>
          <w:p w14:paraId="183A9F39">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olor w:val="auto"/>
              </w:rPr>
              <w:drawing>
                <wp:inline distT="0" distB="0" distL="114300" distR="114300">
                  <wp:extent cx="4066540" cy="510540"/>
                  <wp:effectExtent l="0" t="0" r="10160" b="381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9"/>
                          <a:stretch>
                            <a:fillRect/>
                          </a:stretch>
                        </pic:blipFill>
                        <pic:spPr>
                          <a:xfrm>
                            <a:off x="0" y="0"/>
                            <a:ext cx="4066540" cy="510540"/>
                          </a:xfrm>
                          <a:prstGeom prst="rect">
                            <a:avLst/>
                          </a:prstGeom>
                          <a:noFill/>
                          <a:ln>
                            <a:noFill/>
                          </a:ln>
                        </pic:spPr>
                      </pic:pic>
                    </a:graphicData>
                  </a:graphic>
                </wp:inline>
              </w:drawing>
            </w:r>
          </w:p>
          <w:p w14:paraId="4FE544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aps w:val="0"/>
                <w:smallCaps w:val="0"/>
                <w:color w:val="auto"/>
                <w:spacing w:val="0"/>
                <w:w w:val="100"/>
                <w:kern w:val="0"/>
                <w:position w:val="0"/>
                <w:sz w:val="24"/>
                <w:szCs w:val="24"/>
                <w:vertAlign w:val="subscript"/>
              </w:rPr>
            </w:pPr>
            <w:r>
              <w:rPr>
                <w:rFonts w:hint="default" w:ascii="Times New Roman" w:hAnsi="Times New Roman" w:eastAsia="宋体" w:cs="Times New Roman"/>
                <w:caps w:val="0"/>
                <w:smallCaps w:val="0"/>
                <w:color w:val="auto"/>
                <w:spacing w:val="0"/>
                <w:w w:val="100"/>
                <w:kern w:val="0"/>
                <w:position w:val="0"/>
                <w:sz w:val="24"/>
                <w:szCs w:val="24"/>
              </w:rPr>
              <w:t>式中：L</w:t>
            </w:r>
            <w:r>
              <w:rPr>
                <w:rFonts w:hint="default" w:ascii="Times New Roman" w:hAnsi="Times New Roman" w:eastAsia="宋体" w:cs="Times New Roman"/>
                <w:caps w:val="0"/>
                <w:smallCaps w:val="0"/>
                <w:color w:val="auto"/>
                <w:spacing w:val="0"/>
                <w:w w:val="100"/>
                <w:kern w:val="0"/>
                <w:position w:val="0"/>
                <w:sz w:val="24"/>
                <w:szCs w:val="24"/>
                <w:vertAlign w:val="subscript"/>
              </w:rPr>
              <w:t>eqg</w:t>
            </w:r>
            <w:r>
              <w:rPr>
                <w:rFonts w:hint="default" w:ascii="Times New Roman" w:hAnsi="Times New Roman" w:eastAsia="宋体" w:cs="Times New Roman"/>
                <w:caps w:val="0"/>
                <w:smallCaps w:val="0"/>
                <w:color w:val="auto"/>
                <w:spacing w:val="0"/>
                <w:w w:val="100"/>
                <w:kern w:val="0"/>
                <w:position w:val="0"/>
                <w:sz w:val="24"/>
                <w:szCs w:val="24"/>
              </w:rPr>
              <w:t>——建设项目声源在预测点产生的噪声贡献值，dB；</w:t>
            </w:r>
          </w:p>
          <w:p w14:paraId="142FB42F">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rPr>
              <w:t>T——用于计算等效声级的时间，s；</w:t>
            </w:r>
          </w:p>
          <w:p w14:paraId="6901AF5E">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caps w:val="0"/>
                <w:smallCaps w:val="0"/>
                <w:color w:val="auto"/>
                <w:spacing w:val="0"/>
                <w:w w:val="100"/>
                <w:kern w:val="0"/>
                <w:position w:val="0"/>
                <w:sz w:val="24"/>
                <w:szCs w:val="24"/>
                <w:lang w:eastAsia="zh-CN"/>
              </w:rPr>
            </w:pPr>
            <w:r>
              <w:rPr>
                <w:rFonts w:hint="default" w:ascii="Times New Roman" w:hAnsi="Times New Roman" w:eastAsia="宋体" w:cs="Times New Roman"/>
                <w:caps w:val="0"/>
                <w:smallCaps w:val="0"/>
                <w:color w:val="auto"/>
                <w:spacing w:val="0"/>
                <w:w w:val="100"/>
                <w:kern w:val="0"/>
                <w:position w:val="0"/>
                <w:sz w:val="24"/>
                <w:szCs w:val="24"/>
              </w:rPr>
              <w:t>N——室外声源个数</w:t>
            </w:r>
            <w:r>
              <w:rPr>
                <w:rFonts w:hint="default" w:ascii="Times New Roman" w:hAnsi="Times New Roman" w:eastAsia="宋体" w:cs="Times New Roman"/>
                <w:caps w:val="0"/>
                <w:smallCaps w:val="0"/>
                <w:color w:val="auto"/>
                <w:spacing w:val="0"/>
                <w:w w:val="100"/>
                <w:kern w:val="0"/>
                <w:position w:val="0"/>
                <w:sz w:val="24"/>
                <w:szCs w:val="24"/>
                <w:lang w:eastAsia="zh-CN"/>
              </w:rPr>
              <w:t>；</w:t>
            </w:r>
          </w:p>
          <w:p w14:paraId="0C366276">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rPr>
              <w:t xml:space="preserve">t </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i</w:t>
            </w:r>
            <w:r>
              <w:rPr>
                <w:rFonts w:hint="default" w:ascii="Times New Roman" w:hAnsi="Times New Roman" w:eastAsia="宋体" w:cs="Times New Roman"/>
                <w:caps w:val="0"/>
                <w:smallCaps w:val="0"/>
                <w:color w:val="auto"/>
                <w:spacing w:val="0"/>
                <w:w w:val="100"/>
                <w:kern w:val="0"/>
                <w:position w:val="0"/>
                <w:sz w:val="24"/>
                <w:szCs w:val="24"/>
              </w:rPr>
              <w:t>——在T时间内i声源工作时间，s；</w:t>
            </w:r>
          </w:p>
          <w:p w14:paraId="1C63A1BE">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caps w:val="0"/>
                <w:smallCaps w:val="0"/>
                <w:color w:val="auto"/>
                <w:spacing w:val="0"/>
                <w:w w:val="100"/>
                <w:kern w:val="0"/>
                <w:position w:val="0"/>
                <w:sz w:val="24"/>
                <w:szCs w:val="24"/>
                <w:lang w:eastAsia="zh-CN"/>
              </w:rPr>
            </w:pPr>
            <w:r>
              <w:rPr>
                <w:rFonts w:hint="default" w:ascii="Times New Roman" w:hAnsi="Times New Roman" w:eastAsia="宋体" w:cs="Times New Roman"/>
                <w:caps w:val="0"/>
                <w:smallCaps w:val="0"/>
                <w:color w:val="auto"/>
                <w:spacing w:val="0"/>
                <w:w w:val="100"/>
                <w:kern w:val="0"/>
                <w:position w:val="0"/>
                <w:sz w:val="24"/>
                <w:szCs w:val="24"/>
              </w:rPr>
              <w:t>M——等效室外声源个数</w:t>
            </w:r>
            <w:r>
              <w:rPr>
                <w:rFonts w:hint="default" w:ascii="Times New Roman" w:hAnsi="Times New Roman" w:eastAsia="宋体" w:cs="Times New Roman"/>
                <w:caps w:val="0"/>
                <w:smallCaps w:val="0"/>
                <w:color w:val="auto"/>
                <w:spacing w:val="0"/>
                <w:w w:val="100"/>
                <w:kern w:val="0"/>
                <w:position w:val="0"/>
                <w:sz w:val="24"/>
                <w:szCs w:val="24"/>
                <w:lang w:eastAsia="zh-CN"/>
              </w:rPr>
              <w:t>；</w:t>
            </w:r>
          </w:p>
          <w:p w14:paraId="2FA3F367">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rPr>
              <w:t>t</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j</w:t>
            </w:r>
            <w:r>
              <w:rPr>
                <w:rFonts w:hint="default" w:ascii="Times New Roman" w:hAnsi="Times New Roman" w:eastAsia="宋体" w:cs="Times New Roman"/>
                <w:caps w:val="0"/>
                <w:smallCaps w:val="0"/>
                <w:color w:val="auto"/>
                <w:spacing w:val="0"/>
                <w:w w:val="100"/>
                <w:kern w:val="0"/>
                <w:position w:val="0"/>
                <w:sz w:val="24"/>
                <w:szCs w:val="24"/>
              </w:rPr>
              <w:t>——在T时间内j声源工作时间，s。</w:t>
            </w:r>
          </w:p>
          <w:p w14:paraId="53640FD6">
            <w:pPr>
              <w:keepNext w:val="0"/>
              <w:keepLines w:val="0"/>
              <w:pageBreakBefore w:val="0"/>
              <w:widowControl w:val="0"/>
              <w:tabs>
                <w:tab w:val="left" w:pos="1219"/>
              </w:tabs>
              <w:kinsoku/>
              <w:wordWrap/>
              <w:overflowPunct/>
              <w:topLinePunct w:val="0"/>
              <w:autoSpaceDE w:val="0"/>
              <w:autoSpaceDN w:val="0"/>
              <w:bidi w:val="0"/>
              <w:adjustRightInd w:val="0"/>
              <w:snapToGrid w:val="0"/>
              <w:spacing w:line="360" w:lineRule="auto"/>
              <w:ind w:right="193" w:firstLine="436" w:firstLineChars="182"/>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⑦预测结果</w:t>
            </w:r>
          </w:p>
          <w:p w14:paraId="31C82C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根据噪声源衰减计算程序，</w:t>
            </w:r>
            <w:r>
              <w:rPr>
                <w:rFonts w:hint="eastAsia"/>
                <w:color w:val="auto"/>
                <w:sz w:val="24"/>
                <w:szCs w:val="24"/>
              </w:rPr>
              <w:t>预测结果详见下表</w:t>
            </w:r>
            <w:r>
              <w:rPr>
                <w:rFonts w:hint="eastAsia"/>
                <w:color w:val="auto"/>
                <w:sz w:val="24"/>
                <w:szCs w:val="24"/>
                <w:lang w:eastAsia="zh-CN"/>
              </w:rPr>
              <w:t>。</w:t>
            </w:r>
          </w:p>
          <w:p w14:paraId="53A805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eastAsia" w:ascii="Times New Roman" w:hAnsi="Times New Roman" w:eastAsia="宋体" w:cs="Times New Roman"/>
                <w:b/>
                <w:bCs/>
                <w:snapToGrid/>
                <w:color w:val="auto"/>
                <w:spacing w:val="0"/>
                <w:kern w:val="0"/>
                <w:position w:val="0"/>
                <w:sz w:val="24"/>
                <w:szCs w:val="24"/>
                <w:lang w:eastAsia="zh-CN"/>
              </w:rPr>
              <w:t>表</w:t>
            </w:r>
            <w:r>
              <w:rPr>
                <w:rFonts w:hint="eastAsia" w:ascii="Times New Roman" w:hAnsi="Times New Roman" w:eastAsia="宋体" w:cs="Times New Roman"/>
                <w:b/>
                <w:bCs/>
                <w:snapToGrid/>
                <w:color w:val="auto"/>
                <w:spacing w:val="0"/>
                <w:kern w:val="0"/>
                <w:position w:val="0"/>
                <w:sz w:val="24"/>
                <w:szCs w:val="24"/>
                <w:lang w:val="en-US" w:eastAsia="zh-CN"/>
              </w:rPr>
              <w:t>4.</w:t>
            </w:r>
            <w:r>
              <w:rPr>
                <w:rFonts w:hint="eastAsia" w:cs="Times New Roman"/>
                <w:b/>
                <w:bCs/>
                <w:snapToGrid/>
                <w:color w:val="auto"/>
                <w:spacing w:val="0"/>
                <w:kern w:val="0"/>
                <w:position w:val="0"/>
                <w:sz w:val="24"/>
                <w:szCs w:val="24"/>
                <w:lang w:val="en-US" w:eastAsia="zh-CN"/>
              </w:rPr>
              <w:t>7</w:t>
            </w:r>
            <w:r>
              <w:rPr>
                <w:rFonts w:hint="eastAsia" w:ascii="Times New Roman" w:hAnsi="Times New Roman" w:eastAsia="宋体" w:cs="Times New Roman"/>
                <w:b/>
                <w:bCs/>
                <w:snapToGrid/>
                <w:color w:val="auto"/>
                <w:spacing w:val="0"/>
                <w:kern w:val="0"/>
                <w:position w:val="0"/>
                <w:sz w:val="24"/>
                <w:szCs w:val="24"/>
                <w:lang w:val="en-US" w:eastAsia="zh-CN"/>
              </w:rPr>
              <w:t xml:space="preserve">  </w:t>
            </w:r>
            <w:r>
              <w:rPr>
                <w:rFonts w:hint="eastAsia" w:cs="Times New Roman"/>
                <w:b/>
                <w:bCs/>
                <w:color w:val="auto"/>
                <w:sz w:val="24"/>
                <w:szCs w:val="24"/>
                <w:lang w:val="en-US" w:eastAsia="zh-CN"/>
              </w:rPr>
              <w:t>一期工程</w:t>
            </w:r>
            <w:r>
              <w:rPr>
                <w:rFonts w:hint="eastAsia"/>
                <w:b/>
                <w:bCs/>
                <w:color w:val="auto"/>
                <w:sz w:val="24"/>
              </w:rPr>
              <w:t>厂界噪声预测结果一览表</w:t>
            </w:r>
            <w:r>
              <w:rPr>
                <w:rFonts w:hint="eastAsia"/>
                <w:b/>
                <w:bCs/>
                <w:snapToGrid/>
                <w:color w:val="auto"/>
                <w:spacing w:val="0"/>
                <w:kern w:val="0"/>
                <w:position w:val="0"/>
                <w:sz w:val="24"/>
                <w:lang w:val="en-US" w:eastAsia="zh-CN"/>
              </w:rPr>
              <w:t xml:space="preserve"> 单位：dB（A）</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366"/>
              <w:gridCol w:w="1375"/>
              <w:gridCol w:w="1366"/>
              <w:gridCol w:w="1375"/>
              <w:gridCol w:w="1367"/>
            </w:tblGrid>
            <w:tr w14:paraId="17D3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vMerge w:val="restart"/>
                  <w:noWrap w:val="0"/>
                  <w:vAlign w:val="center"/>
                </w:tcPr>
                <w:p w14:paraId="21F1F2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厂界</w:t>
                  </w:r>
                </w:p>
              </w:tc>
              <w:tc>
                <w:tcPr>
                  <w:tcW w:w="1669" w:type="pct"/>
                  <w:gridSpan w:val="2"/>
                  <w:noWrap w:val="0"/>
                  <w:vAlign w:val="center"/>
                </w:tcPr>
                <w:p w14:paraId="06CD17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贡献值</w:t>
                  </w:r>
                </w:p>
              </w:tc>
              <w:tc>
                <w:tcPr>
                  <w:tcW w:w="1669" w:type="pct"/>
                  <w:gridSpan w:val="2"/>
                  <w:noWrap w:val="0"/>
                  <w:vAlign w:val="center"/>
                </w:tcPr>
                <w:p w14:paraId="1ADC0B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评价标准</w:t>
                  </w:r>
                </w:p>
              </w:tc>
              <w:tc>
                <w:tcPr>
                  <w:tcW w:w="832" w:type="pct"/>
                  <w:vMerge w:val="restart"/>
                  <w:noWrap w:val="0"/>
                  <w:vAlign w:val="center"/>
                </w:tcPr>
                <w:p w14:paraId="7987BF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达标情况</w:t>
                  </w:r>
                </w:p>
              </w:tc>
            </w:tr>
            <w:tr w14:paraId="32C6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vMerge w:val="continue"/>
                  <w:noWrap w:val="0"/>
                  <w:vAlign w:val="center"/>
                </w:tcPr>
                <w:p w14:paraId="1AEB55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p>
              </w:tc>
              <w:tc>
                <w:tcPr>
                  <w:tcW w:w="832" w:type="pct"/>
                  <w:noWrap w:val="0"/>
                  <w:vAlign w:val="center"/>
                </w:tcPr>
                <w:p w14:paraId="23242B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昼间</w:t>
                  </w:r>
                </w:p>
              </w:tc>
              <w:tc>
                <w:tcPr>
                  <w:tcW w:w="837" w:type="pct"/>
                  <w:noWrap w:val="0"/>
                  <w:vAlign w:val="center"/>
                </w:tcPr>
                <w:p w14:paraId="278EE7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夜间</w:t>
                  </w:r>
                </w:p>
              </w:tc>
              <w:tc>
                <w:tcPr>
                  <w:tcW w:w="832" w:type="pct"/>
                  <w:noWrap w:val="0"/>
                  <w:vAlign w:val="center"/>
                </w:tcPr>
                <w:p w14:paraId="5D5A19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昼间</w:t>
                  </w:r>
                </w:p>
              </w:tc>
              <w:tc>
                <w:tcPr>
                  <w:tcW w:w="837" w:type="pct"/>
                  <w:noWrap w:val="0"/>
                  <w:vAlign w:val="center"/>
                </w:tcPr>
                <w:p w14:paraId="718FD2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夜间</w:t>
                  </w:r>
                </w:p>
              </w:tc>
              <w:tc>
                <w:tcPr>
                  <w:tcW w:w="832" w:type="pct"/>
                  <w:vMerge w:val="continue"/>
                  <w:noWrap w:val="0"/>
                  <w:vAlign w:val="center"/>
                </w:tcPr>
                <w:p w14:paraId="19E4F9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p>
              </w:tc>
            </w:tr>
            <w:tr w14:paraId="35E3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noWrap w:val="0"/>
                  <w:vAlign w:val="center"/>
                </w:tcPr>
                <w:p w14:paraId="0BB2EA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厂界东侧</w:t>
                  </w:r>
                </w:p>
              </w:tc>
              <w:tc>
                <w:tcPr>
                  <w:tcW w:w="832" w:type="pct"/>
                  <w:noWrap w:val="0"/>
                  <w:vAlign w:val="center"/>
                </w:tcPr>
                <w:p w14:paraId="758916F1">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41</w:t>
                  </w:r>
                </w:p>
              </w:tc>
              <w:tc>
                <w:tcPr>
                  <w:tcW w:w="837" w:type="pct"/>
                  <w:noWrap w:val="0"/>
                  <w:vAlign w:val="center"/>
                </w:tcPr>
                <w:p w14:paraId="0DFC6C22">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3FC38C11">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黑体" w:cs="Times New Roman"/>
                      <w:snapToGrid/>
                      <w:color w:val="auto"/>
                      <w:spacing w:val="0"/>
                      <w:kern w:val="0"/>
                      <w:position w:val="0"/>
                      <w:sz w:val="21"/>
                      <w:szCs w:val="21"/>
                      <w:lang w:val="en-US" w:eastAsia="zh-CN"/>
                    </w:rPr>
                    <w:t>6</w:t>
                  </w:r>
                  <w:r>
                    <w:rPr>
                      <w:rFonts w:hint="eastAsia" w:ascii="Times New Roman" w:hAnsi="Times New Roman" w:eastAsia="黑体" w:cs="Times New Roman"/>
                      <w:snapToGrid/>
                      <w:color w:val="auto"/>
                      <w:spacing w:val="0"/>
                      <w:kern w:val="0"/>
                      <w:position w:val="0"/>
                      <w:sz w:val="21"/>
                      <w:szCs w:val="21"/>
                      <w:lang w:val="en-US" w:eastAsia="zh-CN"/>
                    </w:rPr>
                    <w:t>5</w:t>
                  </w:r>
                </w:p>
              </w:tc>
              <w:tc>
                <w:tcPr>
                  <w:tcW w:w="837" w:type="pct"/>
                  <w:noWrap w:val="0"/>
                  <w:vAlign w:val="center"/>
                </w:tcPr>
                <w:p w14:paraId="6ECED384">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2D7A30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达标</w:t>
                  </w:r>
                </w:p>
              </w:tc>
            </w:tr>
            <w:tr w14:paraId="7E9A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noWrap w:val="0"/>
                  <w:vAlign w:val="center"/>
                </w:tcPr>
                <w:p w14:paraId="52E1D6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厂界南侧</w:t>
                  </w:r>
                </w:p>
              </w:tc>
              <w:tc>
                <w:tcPr>
                  <w:tcW w:w="832" w:type="pct"/>
                  <w:noWrap w:val="0"/>
                  <w:vAlign w:val="center"/>
                </w:tcPr>
                <w:p w14:paraId="4203C545">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48</w:t>
                  </w:r>
                </w:p>
              </w:tc>
              <w:tc>
                <w:tcPr>
                  <w:tcW w:w="837" w:type="pct"/>
                  <w:noWrap w:val="0"/>
                  <w:vAlign w:val="center"/>
                </w:tcPr>
                <w:p w14:paraId="11A79846">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1CB0A8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黑体" w:cs="Times New Roman"/>
                      <w:snapToGrid/>
                      <w:color w:val="auto"/>
                      <w:spacing w:val="0"/>
                      <w:kern w:val="0"/>
                      <w:position w:val="0"/>
                      <w:sz w:val="21"/>
                      <w:szCs w:val="21"/>
                      <w:lang w:val="en-US" w:eastAsia="zh-CN"/>
                    </w:rPr>
                    <w:t>6</w:t>
                  </w:r>
                  <w:r>
                    <w:rPr>
                      <w:rFonts w:hint="eastAsia" w:ascii="Times New Roman" w:hAnsi="Times New Roman" w:eastAsia="黑体" w:cs="Times New Roman"/>
                      <w:snapToGrid/>
                      <w:color w:val="auto"/>
                      <w:spacing w:val="0"/>
                      <w:kern w:val="0"/>
                      <w:position w:val="0"/>
                      <w:sz w:val="21"/>
                      <w:szCs w:val="21"/>
                      <w:lang w:val="en-US" w:eastAsia="zh-CN"/>
                    </w:rPr>
                    <w:t>5</w:t>
                  </w:r>
                </w:p>
              </w:tc>
              <w:tc>
                <w:tcPr>
                  <w:tcW w:w="837" w:type="pct"/>
                  <w:noWrap w:val="0"/>
                  <w:vAlign w:val="center"/>
                </w:tcPr>
                <w:p w14:paraId="1C114C92">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0E9EB2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达标</w:t>
                  </w:r>
                </w:p>
              </w:tc>
            </w:tr>
            <w:tr w14:paraId="7A9C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noWrap w:val="0"/>
                  <w:vAlign w:val="center"/>
                </w:tcPr>
                <w:p w14:paraId="381AAB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厂界西侧</w:t>
                  </w:r>
                </w:p>
              </w:tc>
              <w:tc>
                <w:tcPr>
                  <w:tcW w:w="832" w:type="pct"/>
                  <w:noWrap w:val="0"/>
                  <w:vAlign w:val="center"/>
                </w:tcPr>
                <w:p w14:paraId="50FB4F12">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41</w:t>
                  </w:r>
                </w:p>
              </w:tc>
              <w:tc>
                <w:tcPr>
                  <w:tcW w:w="837" w:type="pct"/>
                  <w:noWrap w:val="0"/>
                  <w:vAlign w:val="center"/>
                </w:tcPr>
                <w:p w14:paraId="191E4FDA">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150862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黑体" w:cs="Times New Roman"/>
                      <w:snapToGrid/>
                      <w:color w:val="auto"/>
                      <w:spacing w:val="0"/>
                      <w:kern w:val="0"/>
                      <w:position w:val="0"/>
                      <w:sz w:val="21"/>
                      <w:szCs w:val="21"/>
                      <w:lang w:val="en-US" w:eastAsia="zh-CN"/>
                    </w:rPr>
                    <w:t>6</w:t>
                  </w:r>
                  <w:r>
                    <w:rPr>
                      <w:rFonts w:hint="eastAsia" w:ascii="Times New Roman" w:hAnsi="Times New Roman" w:eastAsia="黑体" w:cs="Times New Roman"/>
                      <w:snapToGrid/>
                      <w:color w:val="auto"/>
                      <w:spacing w:val="0"/>
                      <w:kern w:val="0"/>
                      <w:position w:val="0"/>
                      <w:sz w:val="21"/>
                      <w:szCs w:val="21"/>
                      <w:lang w:val="en-US" w:eastAsia="zh-CN"/>
                    </w:rPr>
                    <w:t>5</w:t>
                  </w:r>
                </w:p>
              </w:tc>
              <w:tc>
                <w:tcPr>
                  <w:tcW w:w="837" w:type="pct"/>
                  <w:noWrap w:val="0"/>
                  <w:vAlign w:val="center"/>
                </w:tcPr>
                <w:p w14:paraId="7A649B5F">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084FBF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达标</w:t>
                  </w:r>
                </w:p>
              </w:tc>
            </w:tr>
            <w:tr w14:paraId="35A0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noWrap w:val="0"/>
                  <w:vAlign w:val="center"/>
                </w:tcPr>
                <w:p w14:paraId="757183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厂界北侧</w:t>
                  </w:r>
                </w:p>
              </w:tc>
              <w:tc>
                <w:tcPr>
                  <w:tcW w:w="832" w:type="pct"/>
                  <w:noWrap w:val="0"/>
                  <w:vAlign w:val="center"/>
                </w:tcPr>
                <w:p w14:paraId="593B0323">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44</w:t>
                  </w:r>
                </w:p>
              </w:tc>
              <w:tc>
                <w:tcPr>
                  <w:tcW w:w="837" w:type="pct"/>
                  <w:noWrap w:val="0"/>
                  <w:vAlign w:val="center"/>
                </w:tcPr>
                <w:p w14:paraId="43A5450A">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5CF10B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黑体" w:cs="Times New Roman"/>
                      <w:snapToGrid/>
                      <w:color w:val="auto"/>
                      <w:spacing w:val="0"/>
                      <w:kern w:val="0"/>
                      <w:position w:val="0"/>
                      <w:sz w:val="21"/>
                      <w:szCs w:val="21"/>
                      <w:lang w:val="en-US" w:eastAsia="zh-CN"/>
                    </w:rPr>
                    <w:t>6</w:t>
                  </w:r>
                  <w:r>
                    <w:rPr>
                      <w:rFonts w:hint="eastAsia" w:ascii="Times New Roman" w:hAnsi="Times New Roman" w:eastAsia="黑体" w:cs="Times New Roman"/>
                      <w:snapToGrid/>
                      <w:color w:val="auto"/>
                      <w:spacing w:val="0"/>
                      <w:kern w:val="0"/>
                      <w:position w:val="0"/>
                      <w:sz w:val="21"/>
                      <w:szCs w:val="21"/>
                      <w:lang w:val="en-US" w:eastAsia="zh-CN"/>
                    </w:rPr>
                    <w:t>5</w:t>
                  </w:r>
                </w:p>
              </w:tc>
              <w:tc>
                <w:tcPr>
                  <w:tcW w:w="837" w:type="pct"/>
                  <w:noWrap w:val="0"/>
                  <w:vAlign w:val="center"/>
                </w:tcPr>
                <w:p w14:paraId="0EF749C1">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39495A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达标</w:t>
                  </w:r>
                </w:p>
              </w:tc>
            </w:tr>
          </w:tbl>
          <w:p w14:paraId="6CC8D80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eastAsia" w:ascii="Times New Roman" w:hAnsi="Times New Roman" w:eastAsia="宋体" w:cs="Times New Roman"/>
                <w:b/>
                <w:bCs/>
                <w:snapToGrid/>
                <w:color w:val="auto"/>
                <w:spacing w:val="0"/>
                <w:kern w:val="0"/>
                <w:position w:val="0"/>
                <w:sz w:val="24"/>
                <w:szCs w:val="24"/>
                <w:lang w:eastAsia="zh-CN"/>
              </w:rPr>
              <w:t>表</w:t>
            </w:r>
            <w:r>
              <w:rPr>
                <w:rFonts w:hint="eastAsia" w:ascii="Times New Roman" w:hAnsi="Times New Roman" w:eastAsia="宋体" w:cs="Times New Roman"/>
                <w:b/>
                <w:bCs/>
                <w:snapToGrid/>
                <w:color w:val="auto"/>
                <w:spacing w:val="0"/>
                <w:kern w:val="0"/>
                <w:position w:val="0"/>
                <w:sz w:val="24"/>
                <w:szCs w:val="24"/>
                <w:lang w:val="en-US" w:eastAsia="zh-CN"/>
              </w:rPr>
              <w:t>4.</w:t>
            </w:r>
            <w:r>
              <w:rPr>
                <w:rFonts w:hint="eastAsia" w:cs="Times New Roman"/>
                <w:b/>
                <w:bCs/>
                <w:snapToGrid/>
                <w:color w:val="auto"/>
                <w:spacing w:val="0"/>
                <w:kern w:val="0"/>
                <w:position w:val="0"/>
                <w:sz w:val="24"/>
                <w:szCs w:val="24"/>
                <w:lang w:val="en-US" w:eastAsia="zh-CN"/>
              </w:rPr>
              <w:t>8</w:t>
            </w:r>
            <w:r>
              <w:rPr>
                <w:rFonts w:hint="eastAsia" w:ascii="Times New Roman" w:hAnsi="Times New Roman" w:eastAsia="宋体" w:cs="Times New Roman"/>
                <w:b/>
                <w:bCs/>
                <w:snapToGrid/>
                <w:color w:val="auto"/>
                <w:spacing w:val="0"/>
                <w:kern w:val="0"/>
                <w:position w:val="0"/>
                <w:sz w:val="24"/>
                <w:szCs w:val="24"/>
                <w:lang w:val="en-US" w:eastAsia="zh-CN"/>
              </w:rPr>
              <w:t xml:space="preserve">  </w:t>
            </w:r>
            <w:r>
              <w:rPr>
                <w:rFonts w:hint="eastAsia" w:cs="Times New Roman"/>
                <w:b/>
                <w:bCs/>
                <w:color w:val="auto"/>
                <w:sz w:val="24"/>
                <w:szCs w:val="24"/>
                <w:lang w:val="en-US" w:eastAsia="zh-CN"/>
              </w:rPr>
              <w:t>二期建成后全厂</w:t>
            </w:r>
            <w:r>
              <w:rPr>
                <w:rFonts w:hint="eastAsia"/>
                <w:b/>
                <w:bCs/>
                <w:color w:val="auto"/>
                <w:sz w:val="24"/>
              </w:rPr>
              <w:t>厂界噪声预测结果一览表</w:t>
            </w:r>
            <w:r>
              <w:rPr>
                <w:rFonts w:hint="eastAsia"/>
                <w:b/>
                <w:bCs/>
                <w:snapToGrid/>
                <w:color w:val="auto"/>
                <w:spacing w:val="0"/>
                <w:kern w:val="0"/>
                <w:position w:val="0"/>
                <w:sz w:val="24"/>
                <w:lang w:val="en-US" w:eastAsia="zh-CN"/>
              </w:rPr>
              <w:t xml:space="preserve"> 单位：dB（A）</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366"/>
              <w:gridCol w:w="1375"/>
              <w:gridCol w:w="1366"/>
              <w:gridCol w:w="1375"/>
              <w:gridCol w:w="1367"/>
            </w:tblGrid>
            <w:tr w14:paraId="51CB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vMerge w:val="restart"/>
                  <w:noWrap w:val="0"/>
                  <w:vAlign w:val="center"/>
                </w:tcPr>
                <w:p w14:paraId="74F149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厂界</w:t>
                  </w:r>
                </w:p>
              </w:tc>
              <w:tc>
                <w:tcPr>
                  <w:tcW w:w="1669" w:type="pct"/>
                  <w:gridSpan w:val="2"/>
                  <w:noWrap w:val="0"/>
                  <w:vAlign w:val="center"/>
                </w:tcPr>
                <w:p w14:paraId="66387D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贡献值</w:t>
                  </w:r>
                </w:p>
              </w:tc>
              <w:tc>
                <w:tcPr>
                  <w:tcW w:w="1669" w:type="pct"/>
                  <w:gridSpan w:val="2"/>
                  <w:noWrap w:val="0"/>
                  <w:vAlign w:val="center"/>
                </w:tcPr>
                <w:p w14:paraId="58E438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评价标准</w:t>
                  </w:r>
                </w:p>
              </w:tc>
              <w:tc>
                <w:tcPr>
                  <w:tcW w:w="832" w:type="pct"/>
                  <w:vMerge w:val="restart"/>
                  <w:noWrap w:val="0"/>
                  <w:vAlign w:val="center"/>
                </w:tcPr>
                <w:p w14:paraId="4A5517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达标情况</w:t>
                  </w:r>
                </w:p>
              </w:tc>
            </w:tr>
            <w:tr w14:paraId="7EC7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vMerge w:val="continue"/>
                  <w:noWrap w:val="0"/>
                  <w:vAlign w:val="center"/>
                </w:tcPr>
                <w:p w14:paraId="2C1A46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p>
              </w:tc>
              <w:tc>
                <w:tcPr>
                  <w:tcW w:w="832" w:type="pct"/>
                  <w:noWrap w:val="0"/>
                  <w:vAlign w:val="center"/>
                </w:tcPr>
                <w:p w14:paraId="7684BD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昼间</w:t>
                  </w:r>
                </w:p>
              </w:tc>
              <w:tc>
                <w:tcPr>
                  <w:tcW w:w="837" w:type="pct"/>
                  <w:noWrap w:val="0"/>
                  <w:vAlign w:val="center"/>
                </w:tcPr>
                <w:p w14:paraId="57ED9E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夜间</w:t>
                  </w:r>
                </w:p>
              </w:tc>
              <w:tc>
                <w:tcPr>
                  <w:tcW w:w="832" w:type="pct"/>
                  <w:noWrap w:val="0"/>
                  <w:vAlign w:val="center"/>
                </w:tcPr>
                <w:p w14:paraId="370C2E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昼间</w:t>
                  </w:r>
                </w:p>
              </w:tc>
              <w:tc>
                <w:tcPr>
                  <w:tcW w:w="837" w:type="pct"/>
                  <w:noWrap w:val="0"/>
                  <w:vAlign w:val="center"/>
                </w:tcPr>
                <w:p w14:paraId="0369A2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夜间</w:t>
                  </w:r>
                </w:p>
              </w:tc>
              <w:tc>
                <w:tcPr>
                  <w:tcW w:w="832" w:type="pct"/>
                  <w:vMerge w:val="continue"/>
                  <w:noWrap w:val="0"/>
                  <w:vAlign w:val="center"/>
                </w:tcPr>
                <w:p w14:paraId="17F407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p>
              </w:tc>
            </w:tr>
            <w:tr w14:paraId="5044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noWrap w:val="0"/>
                  <w:vAlign w:val="center"/>
                </w:tcPr>
                <w:p w14:paraId="7C9AEC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厂界东侧</w:t>
                  </w:r>
                </w:p>
              </w:tc>
              <w:tc>
                <w:tcPr>
                  <w:tcW w:w="832" w:type="pct"/>
                  <w:noWrap w:val="0"/>
                  <w:vAlign w:val="center"/>
                </w:tcPr>
                <w:p w14:paraId="4A53A95B">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43</w:t>
                  </w:r>
                </w:p>
              </w:tc>
              <w:tc>
                <w:tcPr>
                  <w:tcW w:w="837" w:type="pct"/>
                  <w:noWrap w:val="0"/>
                  <w:vAlign w:val="center"/>
                </w:tcPr>
                <w:p w14:paraId="52BDE37E">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39196573">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黑体" w:cs="Times New Roman"/>
                      <w:snapToGrid/>
                      <w:color w:val="auto"/>
                      <w:spacing w:val="0"/>
                      <w:kern w:val="0"/>
                      <w:position w:val="0"/>
                      <w:sz w:val="21"/>
                      <w:szCs w:val="21"/>
                      <w:lang w:val="en-US" w:eastAsia="zh-CN"/>
                    </w:rPr>
                    <w:t>6</w:t>
                  </w:r>
                  <w:r>
                    <w:rPr>
                      <w:rFonts w:hint="eastAsia" w:ascii="Times New Roman" w:hAnsi="Times New Roman" w:eastAsia="黑体" w:cs="Times New Roman"/>
                      <w:snapToGrid/>
                      <w:color w:val="auto"/>
                      <w:spacing w:val="0"/>
                      <w:kern w:val="0"/>
                      <w:position w:val="0"/>
                      <w:sz w:val="21"/>
                      <w:szCs w:val="21"/>
                      <w:lang w:val="en-US" w:eastAsia="zh-CN"/>
                    </w:rPr>
                    <w:t>5</w:t>
                  </w:r>
                </w:p>
              </w:tc>
              <w:tc>
                <w:tcPr>
                  <w:tcW w:w="837" w:type="pct"/>
                  <w:noWrap w:val="0"/>
                  <w:vAlign w:val="center"/>
                </w:tcPr>
                <w:p w14:paraId="5C46987E">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01C8F5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达标</w:t>
                  </w:r>
                </w:p>
              </w:tc>
            </w:tr>
            <w:tr w14:paraId="2ACC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noWrap w:val="0"/>
                  <w:vAlign w:val="center"/>
                </w:tcPr>
                <w:p w14:paraId="6CDD7F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厂界南侧</w:t>
                  </w:r>
                </w:p>
              </w:tc>
              <w:tc>
                <w:tcPr>
                  <w:tcW w:w="832" w:type="pct"/>
                  <w:noWrap w:val="0"/>
                  <w:vAlign w:val="center"/>
                </w:tcPr>
                <w:p w14:paraId="6B1B6A43">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51</w:t>
                  </w:r>
                </w:p>
              </w:tc>
              <w:tc>
                <w:tcPr>
                  <w:tcW w:w="837" w:type="pct"/>
                  <w:noWrap w:val="0"/>
                  <w:vAlign w:val="center"/>
                </w:tcPr>
                <w:p w14:paraId="0C68BC12">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4373E0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黑体" w:cs="Times New Roman"/>
                      <w:snapToGrid/>
                      <w:color w:val="auto"/>
                      <w:spacing w:val="0"/>
                      <w:kern w:val="0"/>
                      <w:position w:val="0"/>
                      <w:sz w:val="21"/>
                      <w:szCs w:val="21"/>
                      <w:lang w:val="en-US" w:eastAsia="zh-CN"/>
                    </w:rPr>
                    <w:t>6</w:t>
                  </w:r>
                  <w:r>
                    <w:rPr>
                      <w:rFonts w:hint="eastAsia" w:ascii="Times New Roman" w:hAnsi="Times New Roman" w:eastAsia="黑体" w:cs="Times New Roman"/>
                      <w:snapToGrid/>
                      <w:color w:val="auto"/>
                      <w:spacing w:val="0"/>
                      <w:kern w:val="0"/>
                      <w:position w:val="0"/>
                      <w:sz w:val="21"/>
                      <w:szCs w:val="21"/>
                      <w:lang w:val="en-US" w:eastAsia="zh-CN"/>
                    </w:rPr>
                    <w:t>5</w:t>
                  </w:r>
                </w:p>
              </w:tc>
              <w:tc>
                <w:tcPr>
                  <w:tcW w:w="837" w:type="pct"/>
                  <w:noWrap w:val="0"/>
                  <w:vAlign w:val="center"/>
                </w:tcPr>
                <w:p w14:paraId="169CA039">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2A4B98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达标</w:t>
                  </w:r>
                </w:p>
              </w:tc>
            </w:tr>
            <w:tr w14:paraId="5329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noWrap w:val="0"/>
                  <w:vAlign w:val="center"/>
                </w:tcPr>
                <w:p w14:paraId="053554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厂界西侧</w:t>
                  </w:r>
                </w:p>
              </w:tc>
              <w:tc>
                <w:tcPr>
                  <w:tcW w:w="832" w:type="pct"/>
                  <w:noWrap w:val="0"/>
                  <w:vAlign w:val="center"/>
                </w:tcPr>
                <w:p w14:paraId="3A9B8701">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44</w:t>
                  </w:r>
                </w:p>
              </w:tc>
              <w:tc>
                <w:tcPr>
                  <w:tcW w:w="837" w:type="pct"/>
                  <w:noWrap w:val="0"/>
                  <w:vAlign w:val="center"/>
                </w:tcPr>
                <w:p w14:paraId="0FE766F6">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55944A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黑体" w:cs="Times New Roman"/>
                      <w:snapToGrid/>
                      <w:color w:val="auto"/>
                      <w:spacing w:val="0"/>
                      <w:kern w:val="0"/>
                      <w:position w:val="0"/>
                      <w:sz w:val="21"/>
                      <w:szCs w:val="21"/>
                      <w:lang w:val="en-US" w:eastAsia="zh-CN"/>
                    </w:rPr>
                    <w:t>6</w:t>
                  </w:r>
                  <w:r>
                    <w:rPr>
                      <w:rFonts w:hint="eastAsia" w:ascii="Times New Roman" w:hAnsi="Times New Roman" w:eastAsia="黑体" w:cs="Times New Roman"/>
                      <w:snapToGrid/>
                      <w:color w:val="auto"/>
                      <w:spacing w:val="0"/>
                      <w:kern w:val="0"/>
                      <w:position w:val="0"/>
                      <w:sz w:val="21"/>
                      <w:szCs w:val="21"/>
                      <w:lang w:val="en-US" w:eastAsia="zh-CN"/>
                    </w:rPr>
                    <w:t>5</w:t>
                  </w:r>
                </w:p>
              </w:tc>
              <w:tc>
                <w:tcPr>
                  <w:tcW w:w="837" w:type="pct"/>
                  <w:noWrap w:val="0"/>
                  <w:vAlign w:val="center"/>
                </w:tcPr>
                <w:p w14:paraId="23C24049">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27EFA0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达标</w:t>
                  </w:r>
                </w:p>
              </w:tc>
            </w:tr>
            <w:tr w14:paraId="1B29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pct"/>
                  <w:noWrap w:val="0"/>
                  <w:vAlign w:val="center"/>
                </w:tcPr>
                <w:p w14:paraId="2CCF51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厂界北侧</w:t>
                  </w:r>
                </w:p>
              </w:tc>
              <w:tc>
                <w:tcPr>
                  <w:tcW w:w="832" w:type="pct"/>
                  <w:noWrap w:val="0"/>
                  <w:vAlign w:val="center"/>
                </w:tcPr>
                <w:p w14:paraId="4D66D08F">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47</w:t>
                  </w:r>
                </w:p>
              </w:tc>
              <w:tc>
                <w:tcPr>
                  <w:tcW w:w="837" w:type="pct"/>
                  <w:noWrap w:val="0"/>
                  <w:vAlign w:val="center"/>
                </w:tcPr>
                <w:p w14:paraId="5A7E1CE8">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09E6BF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黑体" w:cs="Times New Roman"/>
                      <w:snapToGrid/>
                      <w:color w:val="auto"/>
                      <w:spacing w:val="0"/>
                      <w:kern w:val="0"/>
                      <w:position w:val="0"/>
                      <w:sz w:val="21"/>
                      <w:szCs w:val="21"/>
                      <w:lang w:val="en-US" w:eastAsia="zh-CN"/>
                    </w:rPr>
                    <w:t>6</w:t>
                  </w:r>
                  <w:r>
                    <w:rPr>
                      <w:rFonts w:hint="eastAsia" w:ascii="Times New Roman" w:hAnsi="Times New Roman" w:eastAsia="黑体" w:cs="Times New Roman"/>
                      <w:snapToGrid/>
                      <w:color w:val="auto"/>
                      <w:spacing w:val="0"/>
                      <w:kern w:val="0"/>
                      <w:position w:val="0"/>
                      <w:sz w:val="21"/>
                      <w:szCs w:val="21"/>
                      <w:lang w:val="en-US" w:eastAsia="zh-CN"/>
                    </w:rPr>
                    <w:t>5</w:t>
                  </w:r>
                </w:p>
              </w:tc>
              <w:tc>
                <w:tcPr>
                  <w:tcW w:w="837" w:type="pct"/>
                  <w:noWrap w:val="0"/>
                  <w:vAlign w:val="center"/>
                </w:tcPr>
                <w:p w14:paraId="65A953E7">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832" w:type="pct"/>
                  <w:noWrap w:val="0"/>
                  <w:vAlign w:val="center"/>
                </w:tcPr>
                <w:p w14:paraId="70E12C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达标</w:t>
                  </w:r>
                </w:p>
              </w:tc>
            </w:tr>
          </w:tbl>
          <w:p w14:paraId="5C23DA1C">
            <w:pPr>
              <w:keepNext w:val="0"/>
              <w:keepLines w:val="0"/>
              <w:pageBreakBefore w:val="0"/>
              <w:widowControl w:val="0"/>
              <w:tabs>
                <w:tab w:val="left" w:pos="1380"/>
                <w:tab w:val="left" w:pos="1860"/>
                <w:tab w:val="center" w:pos="4535"/>
                <w:tab w:val="left" w:pos="5985"/>
                <w:tab w:val="left" w:pos="7740"/>
              </w:tabs>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snapToGrid/>
                <w:color w:val="auto"/>
                <w:spacing w:val="0"/>
                <w:kern w:val="0"/>
                <w:position w:val="0"/>
                <w:sz w:val="24"/>
                <w:szCs w:val="24"/>
                <w:highlight w:val="none"/>
              </w:rPr>
            </w:pPr>
            <w:r>
              <w:rPr>
                <w:rFonts w:hint="default" w:ascii="Times New Roman" w:hAnsi="Times New Roman" w:cs="Times New Roman"/>
                <w:snapToGrid/>
                <w:color w:val="auto"/>
                <w:spacing w:val="0"/>
                <w:kern w:val="0"/>
                <w:position w:val="0"/>
                <w:sz w:val="24"/>
              </w:rPr>
              <w:t>由上表可见，东侧、</w:t>
            </w:r>
            <w:r>
              <w:rPr>
                <w:rFonts w:hint="default" w:ascii="Times New Roman" w:hAnsi="Times New Roman" w:cs="Times New Roman"/>
                <w:snapToGrid/>
                <w:color w:val="auto"/>
                <w:spacing w:val="0"/>
                <w:kern w:val="0"/>
                <w:position w:val="0"/>
                <w:sz w:val="24"/>
                <w:lang w:eastAsia="zh-CN"/>
              </w:rPr>
              <w:t>南</w:t>
            </w:r>
            <w:r>
              <w:rPr>
                <w:rFonts w:hint="default" w:ascii="Times New Roman" w:hAnsi="Times New Roman" w:cs="Times New Roman"/>
                <w:snapToGrid/>
                <w:color w:val="auto"/>
                <w:spacing w:val="0"/>
                <w:kern w:val="0"/>
                <w:position w:val="0"/>
                <w:sz w:val="24"/>
              </w:rPr>
              <w:t>侧</w:t>
            </w:r>
            <w:r>
              <w:rPr>
                <w:rFonts w:hint="default" w:ascii="Times New Roman" w:hAnsi="Times New Roman" w:cs="Times New Roman"/>
                <w:snapToGrid/>
                <w:color w:val="auto"/>
                <w:spacing w:val="0"/>
                <w:kern w:val="0"/>
                <w:position w:val="0"/>
                <w:sz w:val="24"/>
                <w:lang w:eastAsia="zh-CN"/>
              </w:rPr>
              <w:t>、西侧、北侧</w:t>
            </w:r>
            <w:r>
              <w:rPr>
                <w:rFonts w:hint="default" w:ascii="Times New Roman" w:hAnsi="Times New Roman" w:cs="Times New Roman"/>
                <w:snapToGrid/>
                <w:color w:val="auto"/>
                <w:spacing w:val="0"/>
                <w:kern w:val="0"/>
                <w:position w:val="0"/>
                <w:sz w:val="24"/>
              </w:rPr>
              <w:t>厂界噪声排放</w:t>
            </w:r>
            <w:r>
              <w:rPr>
                <w:rFonts w:hint="eastAsia" w:cs="Times New Roman"/>
                <w:snapToGrid/>
                <w:color w:val="auto"/>
                <w:spacing w:val="0"/>
                <w:kern w:val="0"/>
                <w:position w:val="0"/>
                <w:sz w:val="24"/>
                <w:lang w:eastAsia="zh-CN"/>
              </w:rPr>
              <w:t>满足</w:t>
            </w:r>
            <w:r>
              <w:rPr>
                <w:rFonts w:hint="default" w:ascii="Times New Roman" w:hAnsi="Times New Roman" w:cs="Times New Roman"/>
                <w:snapToGrid/>
                <w:color w:val="auto"/>
                <w:spacing w:val="0"/>
                <w:kern w:val="0"/>
                <w:position w:val="0"/>
                <w:sz w:val="24"/>
              </w:rPr>
              <w:t>《工业企业厂界环境噪声排放标准》（GB12348-2008）中</w:t>
            </w:r>
            <w:r>
              <w:rPr>
                <w:rFonts w:hint="eastAsia" w:ascii="Times New Roman" w:hAnsi="Times New Roman" w:cs="Times New Roman"/>
                <w:snapToGrid/>
                <w:color w:val="auto"/>
                <w:spacing w:val="0"/>
                <w:kern w:val="0"/>
                <w:position w:val="0"/>
                <w:sz w:val="24"/>
                <w:lang w:val="en-US" w:eastAsia="zh-CN"/>
              </w:rPr>
              <w:t>3</w:t>
            </w:r>
            <w:r>
              <w:rPr>
                <w:rFonts w:hint="default" w:ascii="Times New Roman" w:hAnsi="Times New Roman" w:cs="Times New Roman"/>
                <w:snapToGrid/>
                <w:color w:val="auto"/>
                <w:spacing w:val="0"/>
                <w:kern w:val="0"/>
                <w:position w:val="0"/>
                <w:sz w:val="24"/>
              </w:rPr>
              <w:t>类标准要求</w:t>
            </w:r>
            <w:r>
              <w:rPr>
                <w:rFonts w:hint="default" w:ascii="Times New Roman" w:hAnsi="Times New Roman" w:cs="Times New Roman"/>
                <w:snapToGrid/>
                <w:color w:val="auto"/>
                <w:spacing w:val="0"/>
                <w:kern w:val="0"/>
                <w:position w:val="0"/>
                <w:sz w:val="24"/>
                <w:lang w:eastAsia="zh-CN"/>
              </w:rPr>
              <w:t>（昼间：</w:t>
            </w:r>
            <w:r>
              <w:rPr>
                <w:rFonts w:hint="eastAsia" w:ascii="Times New Roman" w:hAnsi="Times New Roman" w:cs="Times New Roman"/>
                <w:snapToGrid/>
                <w:color w:val="auto"/>
                <w:spacing w:val="0"/>
                <w:kern w:val="0"/>
                <w:position w:val="0"/>
                <w:sz w:val="24"/>
                <w:lang w:val="en-US" w:eastAsia="zh-CN"/>
              </w:rPr>
              <w:t>65</w:t>
            </w:r>
            <w:r>
              <w:rPr>
                <w:rFonts w:hint="default" w:ascii="Times New Roman" w:hAnsi="Times New Roman" w:cs="Times New Roman"/>
                <w:snapToGrid/>
                <w:color w:val="auto"/>
                <w:spacing w:val="0"/>
                <w:kern w:val="0"/>
                <w:position w:val="0"/>
                <w:sz w:val="24"/>
                <w:lang w:val="en-US" w:eastAsia="zh-CN"/>
              </w:rPr>
              <w:t>dB（A）；夜间</w:t>
            </w:r>
            <w:r>
              <w:rPr>
                <w:rFonts w:hint="eastAsia" w:ascii="Times New Roman" w:hAnsi="Times New Roman" w:cs="Times New Roman"/>
                <w:snapToGrid/>
                <w:color w:val="auto"/>
                <w:spacing w:val="0"/>
                <w:kern w:val="0"/>
                <w:position w:val="0"/>
                <w:sz w:val="24"/>
                <w:lang w:val="en-US" w:eastAsia="zh-CN"/>
              </w:rPr>
              <w:t>55</w:t>
            </w:r>
            <w:r>
              <w:rPr>
                <w:rFonts w:hint="default" w:ascii="Times New Roman" w:hAnsi="Times New Roman" w:cs="Times New Roman"/>
                <w:snapToGrid/>
                <w:color w:val="auto"/>
                <w:spacing w:val="0"/>
                <w:kern w:val="0"/>
                <w:position w:val="0"/>
                <w:sz w:val="24"/>
                <w:lang w:val="en-US" w:eastAsia="zh-CN"/>
              </w:rPr>
              <w:t>dB（A）</w:t>
            </w:r>
            <w:r>
              <w:rPr>
                <w:rFonts w:hint="default" w:ascii="Times New Roman" w:hAnsi="Times New Roman" w:cs="Times New Roman"/>
                <w:snapToGrid/>
                <w:color w:val="auto"/>
                <w:spacing w:val="0"/>
                <w:kern w:val="0"/>
                <w:position w:val="0"/>
                <w:sz w:val="24"/>
                <w:lang w:eastAsia="zh-CN"/>
              </w:rPr>
              <w:t>）</w:t>
            </w:r>
            <w:r>
              <w:rPr>
                <w:rFonts w:hint="eastAsia" w:cs="Times New Roman"/>
                <w:snapToGrid/>
                <w:color w:val="auto"/>
                <w:spacing w:val="0"/>
                <w:kern w:val="0"/>
                <w:position w:val="0"/>
                <w:sz w:val="24"/>
                <w:lang w:eastAsia="zh-CN"/>
              </w:rPr>
              <w:t>，</w:t>
            </w:r>
            <w:r>
              <w:rPr>
                <w:rFonts w:hint="default" w:ascii="Times New Roman" w:hAnsi="Times New Roman" w:cs="Times New Roman"/>
                <w:snapToGrid/>
                <w:color w:val="auto"/>
                <w:spacing w:val="0"/>
                <w:kern w:val="0"/>
                <w:position w:val="0"/>
                <w:sz w:val="24"/>
              </w:rPr>
              <w:t>对外环境的影响不大。</w:t>
            </w:r>
            <w:r>
              <w:rPr>
                <w:rFonts w:hint="default" w:ascii="Times New Roman" w:hAnsi="Times New Roman" w:eastAsia="宋体" w:cs="Times New Roman"/>
                <w:b w:val="0"/>
                <w:bCs w:val="0"/>
                <w:snapToGrid/>
                <w:color w:val="auto"/>
                <w:spacing w:val="0"/>
                <w:kern w:val="0"/>
                <w:position w:val="0"/>
                <w:sz w:val="24"/>
                <w:szCs w:val="24"/>
                <w:highlight w:val="none"/>
                <w:lang w:val="en-US" w:eastAsia="zh-CN"/>
              </w:rPr>
              <w:t>因此，本项目噪声源噪声值经厂房隔声和距离减震降噪措施后，可保证厂界噪声达标排放，</w:t>
            </w:r>
            <w:r>
              <w:rPr>
                <w:rFonts w:hint="default" w:ascii="Times New Roman" w:hAnsi="Times New Roman" w:eastAsia="宋体" w:cs="Times New Roman"/>
                <w:snapToGrid/>
                <w:color w:val="auto"/>
                <w:spacing w:val="0"/>
                <w:kern w:val="0"/>
                <w:position w:val="0"/>
                <w:sz w:val="24"/>
                <w:szCs w:val="24"/>
                <w:highlight w:val="none"/>
              </w:rPr>
              <w:t>对</w:t>
            </w:r>
            <w:r>
              <w:rPr>
                <w:rFonts w:hint="default" w:ascii="Times New Roman" w:hAnsi="Times New Roman" w:eastAsia="宋体" w:cs="Times New Roman"/>
                <w:snapToGrid/>
                <w:color w:val="auto"/>
                <w:spacing w:val="0"/>
                <w:kern w:val="0"/>
                <w:position w:val="0"/>
                <w:sz w:val="24"/>
                <w:szCs w:val="24"/>
                <w:highlight w:val="none"/>
                <w:lang w:eastAsia="zh-CN"/>
              </w:rPr>
              <w:t>区域</w:t>
            </w:r>
            <w:r>
              <w:rPr>
                <w:rFonts w:hint="default" w:ascii="Times New Roman" w:hAnsi="Times New Roman" w:eastAsia="宋体" w:cs="Times New Roman"/>
                <w:snapToGrid/>
                <w:color w:val="auto"/>
                <w:spacing w:val="0"/>
                <w:kern w:val="0"/>
                <w:position w:val="0"/>
                <w:sz w:val="24"/>
                <w:szCs w:val="24"/>
                <w:highlight w:val="none"/>
              </w:rPr>
              <w:t>环境的影响</w:t>
            </w:r>
            <w:r>
              <w:rPr>
                <w:rFonts w:hint="default" w:ascii="Times New Roman" w:hAnsi="Times New Roman" w:eastAsia="宋体" w:cs="Times New Roman"/>
                <w:snapToGrid/>
                <w:color w:val="auto"/>
                <w:spacing w:val="0"/>
                <w:kern w:val="0"/>
                <w:position w:val="0"/>
                <w:sz w:val="24"/>
                <w:szCs w:val="24"/>
                <w:highlight w:val="none"/>
                <w:lang w:eastAsia="zh-CN"/>
              </w:rPr>
              <w:t>较小</w:t>
            </w:r>
            <w:r>
              <w:rPr>
                <w:rFonts w:hint="default" w:ascii="Times New Roman" w:hAnsi="Times New Roman" w:eastAsia="宋体" w:cs="Times New Roman"/>
                <w:snapToGrid/>
                <w:color w:val="auto"/>
                <w:spacing w:val="0"/>
                <w:kern w:val="0"/>
                <w:position w:val="0"/>
                <w:sz w:val="24"/>
                <w:szCs w:val="24"/>
                <w:highlight w:val="none"/>
              </w:rPr>
              <w:t>。</w:t>
            </w:r>
          </w:p>
          <w:p w14:paraId="03706D1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cs="Times New Roman"/>
                <w:b/>
                <w:bCs/>
                <w:snapToGrid/>
                <w:color w:val="auto"/>
                <w:spacing w:val="0"/>
                <w:kern w:val="0"/>
                <w:position w:val="0"/>
                <w:sz w:val="24"/>
                <w:szCs w:val="24"/>
                <w:lang w:val="en-US" w:eastAsia="zh-CN"/>
              </w:rPr>
              <w:t>监测计划</w:t>
            </w:r>
          </w:p>
          <w:p w14:paraId="4E0ED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cs="Times New Roman"/>
                <w:b w:val="0"/>
                <w:bCs w:val="0"/>
                <w:snapToGrid/>
                <w:color w:val="auto"/>
                <w:spacing w:val="0"/>
                <w:kern w:val="0"/>
                <w:position w:val="0"/>
                <w:sz w:val="24"/>
                <w:szCs w:val="24"/>
                <w:lang w:val="en-US" w:eastAsia="zh-CN"/>
              </w:rPr>
              <w:t>根据《</w:t>
            </w:r>
            <w:r>
              <w:rPr>
                <w:rFonts w:hint="eastAsia"/>
                <w:color w:val="auto"/>
                <w:sz w:val="24"/>
                <w:szCs w:val="24"/>
                <w:lang w:val="en-US" w:eastAsia="zh-CN"/>
              </w:rPr>
              <w:t>排污许可证申请与核发技术规范</w:t>
            </w:r>
            <w:r>
              <w:rPr>
                <w:rFonts w:hint="default" w:ascii="Times New Roman" w:hAnsi="Times New Roman" w:cs="Times New Roman"/>
                <w:b w:val="0"/>
                <w:bCs w:val="0"/>
                <w:snapToGrid/>
                <w:color w:val="auto"/>
                <w:spacing w:val="0"/>
                <w:kern w:val="0"/>
                <w:position w:val="0"/>
                <w:sz w:val="24"/>
                <w:szCs w:val="24"/>
                <w:lang w:val="en-US" w:eastAsia="zh-CN"/>
              </w:rPr>
              <w:t xml:space="preserve"> </w:t>
            </w:r>
            <w:r>
              <w:rPr>
                <w:rFonts w:hint="eastAsia" w:cs="Times New Roman"/>
                <w:b w:val="0"/>
                <w:bCs w:val="0"/>
                <w:snapToGrid/>
                <w:color w:val="auto"/>
                <w:spacing w:val="0"/>
                <w:kern w:val="0"/>
                <w:position w:val="0"/>
                <w:sz w:val="24"/>
                <w:szCs w:val="24"/>
                <w:lang w:val="en-US" w:eastAsia="zh-CN"/>
              </w:rPr>
              <w:t>工业噪声</w:t>
            </w:r>
            <w:r>
              <w:rPr>
                <w:rFonts w:hint="default" w:ascii="Times New Roman" w:hAnsi="Times New Roman" w:cs="Times New Roman"/>
                <w:b w:val="0"/>
                <w:bCs w:val="0"/>
                <w:snapToGrid/>
                <w:color w:val="auto"/>
                <w:spacing w:val="0"/>
                <w:kern w:val="0"/>
                <w:position w:val="0"/>
                <w:sz w:val="24"/>
                <w:szCs w:val="24"/>
                <w:lang w:val="en-US" w:eastAsia="zh-CN"/>
              </w:rPr>
              <w:t>》（HJ</w:t>
            </w:r>
            <w:r>
              <w:rPr>
                <w:rFonts w:hint="eastAsia" w:cs="Times New Roman"/>
                <w:b w:val="0"/>
                <w:bCs w:val="0"/>
                <w:snapToGrid/>
                <w:color w:val="auto"/>
                <w:spacing w:val="0"/>
                <w:kern w:val="0"/>
                <w:position w:val="0"/>
                <w:sz w:val="24"/>
                <w:szCs w:val="24"/>
                <w:lang w:val="en-US" w:eastAsia="zh-CN"/>
              </w:rPr>
              <w:t>1301</w:t>
            </w:r>
            <w:r>
              <w:rPr>
                <w:rFonts w:hint="default" w:ascii="Times New Roman" w:hAnsi="Times New Roman" w:cs="Times New Roman"/>
                <w:b w:val="0"/>
                <w:bCs w:val="0"/>
                <w:snapToGrid/>
                <w:color w:val="auto"/>
                <w:spacing w:val="0"/>
                <w:kern w:val="0"/>
                <w:position w:val="0"/>
                <w:sz w:val="24"/>
                <w:szCs w:val="24"/>
                <w:lang w:val="en-US" w:eastAsia="zh-CN"/>
              </w:rPr>
              <w:t>-20</w:t>
            </w:r>
            <w:r>
              <w:rPr>
                <w:rFonts w:hint="eastAsia" w:cs="Times New Roman"/>
                <w:b w:val="0"/>
                <w:bCs w:val="0"/>
                <w:snapToGrid/>
                <w:color w:val="auto"/>
                <w:spacing w:val="0"/>
                <w:kern w:val="0"/>
                <w:position w:val="0"/>
                <w:sz w:val="24"/>
                <w:szCs w:val="24"/>
                <w:lang w:val="en-US" w:eastAsia="zh-CN"/>
              </w:rPr>
              <w:t>23</w:t>
            </w:r>
            <w:r>
              <w:rPr>
                <w:rFonts w:hint="default" w:ascii="Times New Roman" w:hAnsi="Times New Roman" w:cs="Times New Roman"/>
                <w:b w:val="0"/>
                <w:bCs w:val="0"/>
                <w:snapToGrid/>
                <w:color w:val="auto"/>
                <w:spacing w:val="0"/>
                <w:kern w:val="0"/>
                <w:position w:val="0"/>
                <w:sz w:val="24"/>
                <w:szCs w:val="24"/>
                <w:lang w:val="en-US" w:eastAsia="zh-CN"/>
              </w:rPr>
              <w:t>），制定本项目噪声监测计划如下：</w:t>
            </w:r>
          </w:p>
          <w:p w14:paraId="426A5F3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cs="Times New Roman"/>
                <w:b/>
                <w:bCs/>
                <w:snapToGrid/>
                <w:color w:val="auto"/>
                <w:spacing w:val="0"/>
                <w:kern w:val="0"/>
                <w:position w:val="0"/>
                <w:sz w:val="24"/>
                <w:szCs w:val="24"/>
                <w:lang w:val="en-US" w:eastAsia="zh-CN"/>
              </w:rPr>
              <w:t>表4.</w:t>
            </w:r>
            <w:r>
              <w:rPr>
                <w:rFonts w:hint="eastAsia" w:cs="Times New Roman"/>
                <w:b/>
                <w:bCs/>
                <w:snapToGrid/>
                <w:color w:val="auto"/>
                <w:spacing w:val="0"/>
                <w:kern w:val="0"/>
                <w:position w:val="0"/>
                <w:sz w:val="24"/>
                <w:szCs w:val="24"/>
                <w:lang w:val="en-US" w:eastAsia="zh-CN"/>
              </w:rPr>
              <w:t>9</w:t>
            </w:r>
            <w:r>
              <w:rPr>
                <w:rFonts w:hint="default" w:ascii="Times New Roman" w:hAnsi="Times New Roman" w:cs="Times New Roman"/>
                <w:b/>
                <w:bCs/>
                <w:snapToGrid/>
                <w:color w:val="auto"/>
                <w:spacing w:val="0"/>
                <w:kern w:val="0"/>
                <w:position w:val="0"/>
                <w:sz w:val="24"/>
                <w:szCs w:val="24"/>
                <w:lang w:val="en-US" w:eastAsia="zh-CN"/>
              </w:rPr>
              <w:t xml:space="preserve">  噪声监测一览表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500"/>
              <w:gridCol w:w="2540"/>
              <w:gridCol w:w="2739"/>
            </w:tblGrid>
            <w:tr w14:paraId="1ADE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pct"/>
                  <w:noWrap w:val="0"/>
                  <w:vAlign w:val="center"/>
                </w:tcPr>
                <w:p w14:paraId="1A7D93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类别</w:t>
                  </w:r>
                </w:p>
              </w:tc>
              <w:tc>
                <w:tcPr>
                  <w:tcW w:w="913" w:type="pct"/>
                  <w:noWrap w:val="0"/>
                  <w:vAlign w:val="center"/>
                </w:tcPr>
                <w:p w14:paraId="41EFCE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监测点位</w:t>
                  </w:r>
                </w:p>
              </w:tc>
              <w:tc>
                <w:tcPr>
                  <w:tcW w:w="1546" w:type="pct"/>
                  <w:noWrap w:val="0"/>
                  <w:vAlign w:val="center"/>
                </w:tcPr>
                <w:p w14:paraId="304DE4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监测项目</w:t>
                  </w:r>
                </w:p>
              </w:tc>
              <w:tc>
                <w:tcPr>
                  <w:tcW w:w="1667" w:type="pct"/>
                  <w:noWrap w:val="0"/>
                  <w:vAlign w:val="center"/>
                </w:tcPr>
                <w:p w14:paraId="16C198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监测频率</w:t>
                  </w:r>
                </w:p>
              </w:tc>
            </w:tr>
            <w:tr w14:paraId="60F4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pct"/>
                  <w:noWrap w:val="0"/>
                  <w:vAlign w:val="center"/>
                </w:tcPr>
                <w:p w14:paraId="601BBF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厂界噪声</w:t>
                  </w:r>
                </w:p>
              </w:tc>
              <w:tc>
                <w:tcPr>
                  <w:tcW w:w="913" w:type="pct"/>
                  <w:noWrap w:val="0"/>
                  <w:vAlign w:val="center"/>
                </w:tcPr>
                <w:p w14:paraId="6A7334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厂界</w:t>
                  </w:r>
                </w:p>
              </w:tc>
              <w:tc>
                <w:tcPr>
                  <w:tcW w:w="1546" w:type="pct"/>
                  <w:noWrap w:val="0"/>
                  <w:vAlign w:val="center"/>
                </w:tcPr>
                <w:p w14:paraId="2D156B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等效连续A声级</w:t>
                  </w:r>
                </w:p>
              </w:tc>
              <w:tc>
                <w:tcPr>
                  <w:tcW w:w="1667" w:type="pct"/>
                  <w:noWrap w:val="0"/>
                  <w:vAlign w:val="center"/>
                </w:tcPr>
                <w:p w14:paraId="441FEE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1次/季度</w:t>
                  </w:r>
                </w:p>
              </w:tc>
            </w:tr>
          </w:tbl>
          <w:p w14:paraId="1EB3DF48">
            <w:pPr>
              <w:pStyle w:val="41"/>
              <w:keepNext w:val="0"/>
              <w:keepLines w:val="0"/>
              <w:pageBreakBefore w:val="0"/>
              <w:widowControl w:val="0"/>
              <w:kinsoku/>
              <w:wordWrap/>
              <w:overflowPunct/>
              <w:topLinePunct w:val="0"/>
              <w:autoSpaceDE/>
              <w:autoSpaceDN/>
              <w:bidi w:val="0"/>
              <w:adjustRightInd w:val="0"/>
              <w:snapToGrid w:val="0"/>
              <w:spacing w:before="157" w:beforeLines="50" w:beforeAutospacing="0" w:afterAutospacing="0" w:line="360" w:lineRule="auto"/>
              <w:ind w:left="0" w:leftChars="0" w:firstLine="0" w:firstLineChars="0"/>
              <w:jc w:val="both"/>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lang w:val="en-US" w:eastAsia="zh-CN"/>
              </w:rPr>
              <w:t>4、</w:t>
            </w:r>
            <w:r>
              <w:rPr>
                <w:rFonts w:hint="default" w:ascii="Times New Roman" w:hAnsi="Times New Roman" w:eastAsia="宋体" w:cs="Times New Roman"/>
                <w:b/>
                <w:bCs/>
                <w:snapToGrid/>
                <w:color w:val="auto"/>
                <w:spacing w:val="0"/>
                <w:kern w:val="0"/>
                <w:position w:val="0"/>
                <w:sz w:val="24"/>
                <w:szCs w:val="24"/>
              </w:rPr>
              <w:t>固</w:t>
            </w:r>
            <w:r>
              <w:rPr>
                <w:rFonts w:hint="default" w:ascii="Times New Roman" w:hAnsi="Times New Roman" w:eastAsia="宋体" w:cs="Times New Roman"/>
                <w:b/>
                <w:bCs/>
                <w:snapToGrid/>
                <w:color w:val="auto"/>
                <w:spacing w:val="0"/>
                <w:kern w:val="0"/>
                <w:position w:val="0"/>
                <w:sz w:val="24"/>
                <w:szCs w:val="24"/>
                <w:lang w:eastAsia="zh-CN"/>
              </w:rPr>
              <w:t>体</w:t>
            </w:r>
            <w:r>
              <w:rPr>
                <w:rFonts w:hint="default" w:ascii="Times New Roman" w:hAnsi="Times New Roman" w:eastAsia="宋体" w:cs="Times New Roman"/>
                <w:b/>
                <w:bCs/>
                <w:snapToGrid/>
                <w:color w:val="auto"/>
                <w:spacing w:val="0"/>
                <w:kern w:val="0"/>
                <w:position w:val="0"/>
                <w:sz w:val="24"/>
                <w:szCs w:val="24"/>
              </w:rPr>
              <w:t>废</w:t>
            </w:r>
            <w:r>
              <w:rPr>
                <w:rFonts w:hint="default" w:ascii="Times New Roman" w:hAnsi="Times New Roman" w:eastAsia="宋体" w:cs="Times New Roman"/>
                <w:b/>
                <w:bCs/>
                <w:snapToGrid/>
                <w:color w:val="auto"/>
                <w:spacing w:val="0"/>
                <w:kern w:val="0"/>
                <w:position w:val="0"/>
                <w:sz w:val="24"/>
                <w:szCs w:val="24"/>
                <w:lang w:eastAsia="zh-CN"/>
              </w:rPr>
              <w:t>物</w:t>
            </w:r>
          </w:p>
          <w:p w14:paraId="00B7BED0">
            <w:pPr>
              <w:pStyle w:val="41"/>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eastAsia"/>
                <w:color w:val="auto"/>
                <w:sz w:val="24"/>
                <w:lang w:eastAsia="zh-CN"/>
              </w:rPr>
              <w:t>本项目</w:t>
            </w:r>
            <w:r>
              <w:rPr>
                <w:rFonts w:hint="eastAsia"/>
                <w:color w:val="auto"/>
                <w:sz w:val="24"/>
              </w:rPr>
              <w:t>运营期</w:t>
            </w:r>
            <w:r>
              <w:rPr>
                <w:rFonts w:hint="eastAsia" w:ascii="Times New Roman" w:hAnsi="Times New Roman" w:eastAsia="宋体" w:cs="Times New Roman"/>
                <w:color w:val="auto"/>
                <w:kern w:val="0"/>
                <w:sz w:val="24"/>
                <w:szCs w:val="24"/>
                <w:lang w:eastAsia="zh-CN"/>
              </w:rPr>
              <w:t>项目固废主要包括生活垃圾、一般工业固体废物及危险废物。</w:t>
            </w:r>
          </w:p>
          <w:p w14:paraId="51EB87C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（1）生活垃圾</w:t>
            </w:r>
            <w:r>
              <w:rPr>
                <w:rFonts w:hint="eastAsia" w:ascii="Times New Roman" w:hAnsi="Times New Roman" w:cs="Times New Roman"/>
                <w:snapToGrid/>
                <w:color w:val="auto"/>
                <w:spacing w:val="0"/>
                <w:kern w:val="0"/>
                <w:position w:val="0"/>
                <w:sz w:val="24"/>
                <w:lang w:eastAsia="zh-CN"/>
              </w:rPr>
              <w:t>及</w:t>
            </w:r>
            <w:r>
              <w:rPr>
                <w:rFonts w:hint="default" w:ascii="Times New Roman" w:hAnsi="Times New Roman" w:cs="Times New Roman"/>
                <w:b w:val="0"/>
                <w:bCs w:val="0"/>
                <w:color w:val="auto"/>
                <w:sz w:val="24"/>
                <w:szCs w:val="24"/>
                <w:lang w:val="en-US" w:eastAsia="zh-CN"/>
              </w:rPr>
              <w:t>废弃含油抹布、劳保用品</w:t>
            </w:r>
          </w:p>
          <w:p w14:paraId="021E1450">
            <w:pPr>
              <w:pStyle w:val="41"/>
              <w:keepNext w:val="0"/>
              <w:keepLines w:val="0"/>
              <w:pageBreakBefore w:val="0"/>
              <w:widowControl w:val="0"/>
              <w:kinsoku/>
              <w:wordWrap/>
              <w:overflowPunct/>
              <w:topLinePunct w:val="0"/>
              <w:autoSpaceDE/>
              <w:autoSpaceDN/>
              <w:bidi w:val="0"/>
              <w:adjustRightInd w:val="0"/>
              <w:snapToGrid w:val="0"/>
              <w:ind w:firstLine="480"/>
              <w:jc w:val="both"/>
              <w:textAlignment w:val="auto"/>
              <w:rPr>
                <w:rFonts w:hint="default" w:ascii="Times New Roman" w:hAnsi="Times New Roman" w:cs="Times New Roman"/>
                <w:color w:val="auto"/>
                <w:sz w:val="24"/>
                <w:highlight w:val="none"/>
                <w:lang w:eastAsia="zh-CN"/>
              </w:rPr>
            </w:pPr>
            <w:r>
              <w:rPr>
                <w:rFonts w:hint="default" w:ascii="Times New Roman" w:hAnsi="Times New Roman" w:eastAsia="宋体" w:cs="Times New Roman"/>
                <w:color w:val="auto"/>
                <w:kern w:val="0"/>
                <w:sz w:val="24"/>
                <w:szCs w:val="28"/>
                <w:lang w:val="en-US" w:eastAsia="zh-CN" w:bidi="ar-SA"/>
              </w:rPr>
              <w:t>本项目</w:t>
            </w:r>
            <w:r>
              <w:rPr>
                <w:rFonts w:hint="eastAsia" w:ascii="Times New Roman" w:hAnsi="Times New Roman" w:cs="Times New Roman"/>
                <w:color w:val="auto"/>
                <w:kern w:val="0"/>
                <w:sz w:val="24"/>
                <w:szCs w:val="28"/>
                <w:lang w:val="en-US" w:eastAsia="zh-CN" w:bidi="ar-SA"/>
              </w:rPr>
              <w:t>一期工程</w:t>
            </w:r>
            <w:r>
              <w:rPr>
                <w:rFonts w:hint="default" w:ascii="Times New Roman" w:hAnsi="Times New Roman" w:eastAsia="宋体" w:cs="Times New Roman"/>
                <w:color w:val="auto"/>
                <w:kern w:val="0"/>
                <w:sz w:val="24"/>
                <w:szCs w:val="28"/>
                <w:lang w:val="en-US" w:eastAsia="zh-CN" w:bidi="ar-SA"/>
              </w:rPr>
              <w:t>劳动定员</w:t>
            </w:r>
            <w:r>
              <w:rPr>
                <w:rFonts w:hint="eastAsia" w:ascii="Times New Roman" w:hAnsi="Times New Roman" w:eastAsia="宋体" w:cs="Times New Roman"/>
                <w:color w:val="auto"/>
                <w:kern w:val="0"/>
                <w:sz w:val="24"/>
                <w:szCs w:val="28"/>
                <w:lang w:val="en-US" w:eastAsia="zh-CN" w:bidi="ar-SA"/>
              </w:rPr>
              <w:t>30</w:t>
            </w:r>
            <w:r>
              <w:rPr>
                <w:rFonts w:hint="default" w:ascii="Times New Roman" w:hAnsi="Times New Roman" w:eastAsia="宋体" w:cs="Times New Roman"/>
                <w:color w:val="auto"/>
                <w:kern w:val="0"/>
                <w:sz w:val="24"/>
                <w:szCs w:val="28"/>
                <w:lang w:val="en-US" w:eastAsia="zh-CN" w:bidi="ar-SA"/>
              </w:rPr>
              <w:t>人</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二期建成后全厂劳动定员60人，</w:t>
            </w:r>
            <w:r>
              <w:rPr>
                <w:rFonts w:hint="default" w:ascii="Times New Roman" w:hAnsi="Times New Roman" w:cs="Times New Roman"/>
                <w:color w:val="auto"/>
                <w:sz w:val="24"/>
              </w:rPr>
              <w:t>按每人每日排放生活垃圾0.5kg计，</w:t>
            </w:r>
            <w:r>
              <w:rPr>
                <w:rFonts w:hint="default" w:ascii="Times New Roman" w:hAnsi="Times New Roman" w:eastAsia="宋体" w:cs="Times New Roman"/>
                <w:b w:val="0"/>
                <w:i w:val="0"/>
                <w:snapToGrid/>
                <w:color w:val="auto"/>
                <w:spacing w:val="0"/>
                <w:kern w:val="0"/>
                <w:position w:val="0"/>
                <w:sz w:val="24"/>
                <w:szCs w:val="24"/>
                <w:highlight w:val="none"/>
                <w:lang w:eastAsia="zh-CN"/>
              </w:rPr>
              <w:t>年工作天数</w:t>
            </w:r>
            <w:r>
              <w:rPr>
                <w:rFonts w:hint="default" w:ascii="Times New Roman" w:hAnsi="Times New Roman" w:cs="Times New Roman"/>
                <w:b w:val="0"/>
                <w:i w:val="0"/>
                <w:snapToGrid/>
                <w:color w:val="auto"/>
                <w:spacing w:val="0"/>
                <w:kern w:val="0"/>
                <w:position w:val="0"/>
                <w:sz w:val="24"/>
                <w:szCs w:val="24"/>
                <w:highlight w:val="none"/>
                <w:lang w:val="en-US" w:eastAsia="zh-CN"/>
              </w:rPr>
              <w:t>3</w:t>
            </w:r>
            <w:r>
              <w:rPr>
                <w:rFonts w:hint="eastAsia" w:ascii="Times New Roman" w:hAnsi="Times New Roman" w:cs="Times New Roman"/>
                <w:b w:val="0"/>
                <w:i w:val="0"/>
                <w:snapToGrid/>
                <w:color w:val="auto"/>
                <w:spacing w:val="0"/>
                <w:kern w:val="0"/>
                <w:position w:val="0"/>
                <w:sz w:val="24"/>
                <w:szCs w:val="24"/>
                <w:highlight w:val="none"/>
                <w:lang w:val="en-US" w:eastAsia="zh-CN"/>
              </w:rPr>
              <w:t>00</w:t>
            </w:r>
            <w:r>
              <w:rPr>
                <w:rFonts w:hint="default" w:ascii="Times New Roman" w:hAnsi="Times New Roman" w:eastAsia="宋体" w:cs="Times New Roman"/>
                <w:b w:val="0"/>
                <w:i w:val="0"/>
                <w:snapToGrid/>
                <w:color w:val="auto"/>
                <w:spacing w:val="0"/>
                <w:kern w:val="0"/>
                <w:position w:val="0"/>
                <w:sz w:val="24"/>
                <w:szCs w:val="24"/>
                <w:highlight w:val="none"/>
                <w:lang w:eastAsia="zh-CN"/>
              </w:rPr>
              <w:t>天</w:t>
            </w:r>
            <w:r>
              <w:rPr>
                <w:rFonts w:hint="default" w:ascii="Times New Roman" w:hAnsi="Times New Roman" w:cs="Times New Roman"/>
                <w:snapToGrid/>
                <w:color w:val="auto"/>
                <w:spacing w:val="0"/>
                <w:kern w:val="0"/>
                <w:position w:val="0"/>
                <w:sz w:val="24"/>
                <w:highlight w:val="none"/>
                <w:lang w:val="en-US" w:eastAsia="zh-CN"/>
              </w:rPr>
              <w:t>，</w:t>
            </w:r>
            <w:r>
              <w:rPr>
                <w:rFonts w:hint="default" w:ascii="Times New Roman" w:hAnsi="Times New Roman" w:cs="Times New Roman"/>
                <w:color w:val="auto"/>
                <w:sz w:val="24"/>
              </w:rPr>
              <w:t>则</w:t>
            </w:r>
            <w:r>
              <w:rPr>
                <w:rFonts w:hint="eastAsia" w:ascii="Times New Roman" w:hAnsi="Times New Roman" w:cs="Times New Roman"/>
                <w:color w:val="auto"/>
                <w:sz w:val="24"/>
                <w:lang w:val="en-US" w:eastAsia="zh-CN"/>
              </w:rPr>
              <w:t>一期工程</w:t>
            </w:r>
            <w:r>
              <w:rPr>
                <w:rFonts w:hint="default" w:ascii="Times New Roman" w:hAnsi="Times New Roman" w:cs="Times New Roman"/>
                <w:color w:val="auto"/>
                <w:sz w:val="24"/>
              </w:rPr>
              <w:t>生活垃圾产生量约</w:t>
            </w:r>
            <w:r>
              <w:rPr>
                <w:rFonts w:hint="eastAsia" w:ascii="Times New Roman" w:hAnsi="Times New Roman" w:cs="Times New Roman"/>
                <w:color w:val="auto"/>
                <w:sz w:val="24"/>
                <w:lang w:val="en-US" w:eastAsia="zh-CN"/>
              </w:rPr>
              <w:t>4.5</w:t>
            </w:r>
            <w:r>
              <w:rPr>
                <w:rFonts w:hint="default" w:ascii="Times New Roman" w:hAnsi="Times New Roman" w:cs="Times New Roman"/>
                <w:color w:val="auto"/>
                <w:sz w:val="24"/>
              </w:rPr>
              <w:t>t/a，</w:t>
            </w:r>
            <w:r>
              <w:rPr>
                <w:rFonts w:hint="eastAsia" w:ascii="Times New Roman" w:hAnsi="Times New Roman" w:cs="Times New Roman"/>
                <w:color w:val="auto"/>
                <w:sz w:val="24"/>
                <w:lang w:val="en-US" w:eastAsia="zh-CN"/>
              </w:rPr>
              <w:t>二期建成后全厂生活垃圾产生量为9t/a，</w:t>
            </w:r>
            <w:r>
              <w:rPr>
                <w:rFonts w:hint="default" w:ascii="Times New Roman" w:hAnsi="Times New Roman" w:cs="Times New Roman"/>
                <w:color w:val="auto"/>
                <w:sz w:val="24"/>
                <w:lang w:val="en-US" w:eastAsia="zh-CN"/>
              </w:rPr>
              <w:t>员工在工作期间会产生</w:t>
            </w:r>
            <w:r>
              <w:rPr>
                <w:rFonts w:hint="default" w:ascii="Times New Roman" w:hAnsi="Times New Roman" w:cs="Times New Roman"/>
                <w:b w:val="0"/>
                <w:bCs w:val="0"/>
                <w:color w:val="auto"/>
                <w:sz w:val="24"/>
                <w:szCs w:val="24"/>
                <w:lang w:val="en-US" w:eastAsia="zh-CN"/>
              </w:rPr>
              <w:t>废弃含油抹布、劳保用品</w:t>
            </w:r>
            <w:r>
              <w:rPr>
                <w:rFonts w:hint="eastAsia" w:ascii="Times New Roman" w:hAnsi="Times New Roman" w:cs="Times New Roman"/>
                <w:color w:val="auto"/>
                <w:kern w:val="0"/>
                <w:sz w:val="24"/>
                <w:szCs w:val="28"/>
                <w:lang w:val="en-US" w:eastAsia="zh-CN" w:bidi="ar-SA"/>
              </w:rPr>
              <w:t>一期工程</w:t>
            </w:r>
            <w:r>
              <w:rPr>
                <w:rFonts w:hint="default" w:ascii="Times New Roman" w:hAnsi="Times New Roman" w:cs="Times New Roman"/>
                <w:b w:val="0"/>
                <w:bCs w:val="0"/>
                <w:color w:val="auto"/>
                <w:sz w:val="24"/>
                <w:szCs w:val="24"/>
                <w:lang w:val="en-US" w:eastAsia="zh-CN"/>
              </w:rPr>
              <w:t>约0.</w:t>
            </w:r>
            <w:r>
              <w:rPr>
                <w:rFonts w:hint="eastAsia" w:ascii="Times New Roman" w:hAnsi="Times New Roman" w:cs="Times New Roman"/>
                <w:b w:val="0"/>
                <w:bCs w:val="0"/>
                <w:color w:val="auto"/>
                <w:sz w:val="24"/>
                <w:szCs w:val="24"/>
                <w:lang w:val="en-US" w:eastAsia="zh-CN"/>
              </w:rPr>
              <w:t>15</w:t>
            </w:r>
            <w:r>
              <w:rPr>
                <w:rFonts w:hint="default" w:ascii="Times New Roman" w:hAnsi="Times New Roman" w:cs="Times New Roman"/>
                <w:snapToGrid/>
                <w:color w:val="auto"/>
                <w:spacing w:val="0"/>
                <w:kern w:val="0"/>
                <w:position w:val="0"/>
                <w:sz w:val="24"/>
              </w:rPr>
              <w:t>t/a</w:t>
            </w:r>
            <w:r>
              <w:rPr>
                <w:rFonts w:hint="default" w:ascii="Times New Roman" w:hAnsi="Times New Roman" w:cs="Times New Roman"/>
                <w:snapToGrid/>
                <w:color w:val="auto"/>
                <w:spacing w:val="0"/>
                <w:kern w:val="0"/>
                <w:position w:val="0"/>
                <w:sz w:val="24"/>
                <w:lang w:eastAsia="zh-CN"/>
              </w:rPr>
              <w:t>，</w:t>
            </w:r>
            <w:r>
              <w:rPr>
                <w:rFonts w:hint="eastAsia" w:ascii="Times New Roman" w:hAnsi="Times New Roman" w:cs="Times New Roman"/>
                <w:color w:val="auto"/>
                <w:sz w:val="24"/>
                <w:lang w:val="en-US" w:eastAsia="zh-CN"/>
              </w:rPr>
              <w:t>二期建成后约0.3t/a，</w:t>
            </w:r>
            <w:r>
              <w:rPr>
                <w:rFonts w:hint="default" w:ascii="Times New Roman" w:hAnsi="Times New Roman" w:cs="Times New Roman"/>
                <w:snapToGrid/>
                <w:color w:val="auto"/>
                <w:spacing w:val="0"/>
                <w:kern w:val="0"/>
                <w:position w:val="0"/>
                <w:sz w:val="24"/>
                <w:lang w:val="en-US" w:eastAsia="zh-CN"/>
              </w:rPr>
              <w:t>属于</w:t>
            </w:r>
            <w:r>
              <w:rPr>
                <w:rFonts w:hint="default" w:ascii="Times New Roman" w:hAnsi="Times New Roman" w:cs="Times New Roman"/>
                <w:snapToGrid/>
                <w:color w:val="auto"/>
                <w:spacing w:val="0"/>
                <w:kern w:val="0"/>
                <w:position w:val="0"/>
                <w:sz w:val="24"/>
                <w:lang w:eastAsia="zh-CN"/>
              </w:rPr>
              <w:t>危险废物豁免管理清单，</w:t>
            </w:r>
            <w:r>
              <w:rPr>
                <w:rFonts w:hint="default" w:ascii="Times New Roman" w:hAnsi="Times New Roman" w:cs="Times New Roman"/>
                <w:snapToGrid/>
                <w:color w:val="auto"/>
                <w:spacing w:val="0"/>
                <w:kern w:val="0"/>
                <w:position w:val="0"/>
                <w:sz w:val="24"/>
                <w:lang w:val="en-US" w:eastAsia="zh-CN"/>
              </w:rPr>
              <w:t>并入生活垃圾处理。</w:t>
            </w:r>
            <w:r>
              <w:rPr>
                <w:rFonts w:hint="eastAsia" w:ascii="Times New Roman" w:hAnsi="Times New Roman" w:cs="Times New Roman"/>
                <w:color w:val="auto"/>
                <w:sz w:val="24"/>
                <w:lang w:val="en-US" w:eastAsia="zh-CN"/>
              </w:rPr>
              <w:t>一期工程建成后</w:t>
            </w:r>
            <w:r>
              <w:rPr>
                <w:rFonts w:hint="default" w:ascii="Times New Roman" w:hAnsi="Times New Roman" w:cs="Times New Roman"/>
                <w:snapToGrid/>
                <w:color w:val="auto"/>
                <w:spacing w:val="0"/>
                <w:kern w:val="0"/>
                <w:position w:val="0"/>
                <w:sz w:val="24"/>
                <w:lang w:val="en-US" w:eastAsia="zh-CN"/>
              </w:rPr>
              <w:t>生活垃圾</w:t>
            </w:r>
            <w:r>
              <w:rPr>
                <w:rFonts w:hint="eastAsia" w:ascii="Times New Roman" w:hAnsi="Times New Roman" w:cs="Times New Roman"/>
                <w:snapToGrid/>
                <w:color w:val="auto"/>
                <w:spacing w:val="0"/>
                <w:kern w:val="0"/>
                <w:position w:val="0"/>
                <w:sz w:val="24"/>
                <w:lang w:eastAsia="zh-CN"/>
              </w:rPr>
              <w:t>及</w:t>
            </w:r>
            <w:r>
              <w:rPr>
                <w:rFonts w:hint="default" w:ascii="Times New Roman" w:hAnsi="Times New Roman" w:cs="Times New Roman"/>
                <w:b w:val="0"/>
                <w:bCs w:val="0"/>
                <w:color w:val="auto"/>
                <w:sz w:val="24"/>
                <w:szCs w:val="24"/>
                <w:lang w:val="en-US" w:eastAsia="zh-CN"/>
              </w:rPr>
              <w:t>废弃含油抹布、劳保用品</w:t>
            </w:r>
            <w:r>
              <w:rPr>
                <w:rFonts w:hint="default" w:ascii="Times New Roman" w:hAnsi="Times New Roman" w:cs="Times New Roman"/>
                <w:snapToGrid/>
                <w:color w:val="auto"/>
                <w:spacing w:val="0"/>
                <w:kern w:val="0"/>
                <w:position w:val="0"/>
                <w:sz w:val="24"/>
                <w:lang w:val="en-US" w:eastAsia="zh-CN"/>
              </w:rPr>
              <w:t>共</w:t>
            </w:r>
            <w:r>
              <w:rPr>
                <w:rFonts w:hint="eastAsia" w:ascii="Times New Roman" w:hAnsi="Times New Roman" w:cs="Times New Roman"/>
                <w:snapToGrid/>
                <w:color w:val="auto"/>
                <w:spacing w:val="0"/>
                <w:kern w:val="0"/>
                <w:position w:val="0"/>
                <w:sz w:val="24"/>
                <w:lang w:val="en-US" w:eastAsia="zh-CN"/>
              </w:rPr>
              <w:t>4.65</w:t>
            </w:r>
            <w:r>
              <w:rPr>
                <w:rFonts w:hint="default" w:ascii="Times New Roman" w:hAnsi="Times New Roman" w:cs="Times New Roman"/>
                <w:snapToGrid/>
                <w:color w:val="auto"/>
                <w:spacing w:val="0"/>
                <w:kern w:val="0"/>
                <w:position w:val="0"/>
                <w:sz w:val="24"/>
              </w:rPr>
              <w:t>t/a</w:t>
            </w:r>
            <w:r>
              <w:rPr>
                <w:rFonts w:hint="eastAsia" w:ascii="Times New Roman" w:hAnsi="Times New Roman" w:cs="Times New Roman"/>
                <w:snapToGrid/>
                <w:color w:val="auto"/>
                <w:spacing w:val="0"/>
                <w:kern w:val="0"/>
                <w:position w:val="0"/>
                <w:sz w:val="24"/>
                <w:lang w:eastAsia="zh-CN"/>
              </w:rPr>
              <w:t>，</w:t>
            </w:r>
            <w:r>
              <w:rPr>
                <w:rFonts w:hint="eastAsia" w:ascii="Times New Roman" w:hAnsi="Times New Roman" w:cs="Times New Roman"/>
                <w:color w:val="auto"/>
                <w:sz w:val="24"/>
                <w:lang w:val="en-US" w:eastAsia="zh-CN"/>
              </w:rPr>
              <w:t>二期建成后</w:t>
            </w:r>
            <w:r>
              <w:rPr>
                <w:rFonts w:hint="default" w:ascii="Times New Roman" w:hAnsi="Times New Roman" w:cs="Times New Roman"/>
                <w:snapToGrid/>
                <w:color w:val="auto"/>
                <w:spacing w:val="0"/>
                <w:kern w:val="0"/>
                <w:position w:val="0"/>
                <w:sz w:val="24"/>
                <w:lang w:val="en-US" w:eastAsia="zh-CN"/>
              </w:rPr>
              <w:t>生活垃圾</w:t>
            </w:r>
            <w:r>
              <w:rPr>
                <w:rFonts w:hint="eastAsia" w:ascii="Times New Roman" w:hAnsi="Times New Roman" w:cs="Times New Roman"/>
                <w:snapToGrid/>
                <w:color w:val="auto"/>
                <w:spacing w:val="0"/>
                <w:kern w:val="0"/>
                <w:position w:val="0"/>
                <w:sz w:val="24"/>
                <w:lang w:eastAsia="zh-CN"/>
              </w:rPr>
              <w:t>及</w:t>
            </w:r>
            <w:r>
              <w:rPr>
                <w:rFonts w:hint="default" w:ascii="Times New Roman" w:hAnsi="Times New Roman" w:cs="Times New Roman"/>
                <w:b w:val="0"/>
                <w:bCs w:val="0"/>
                <w:color w:val="auto"/>
                <w:sz w:val="24"/>
                <w:szCs w:val="24"/>
                <w:lang w:val="en-US" w:eastAsia="zh-CN"/>
              </w:rPr>
              <w:t>废弃含油抹布、劳保用品</w:t>
            </w:r>
            <w:r>
              <w:rPr>
                <w:rFonts w:hint="default" w:ascii="Times New Roman" w:hAnsi="Times New Roman" w:cs="Times New Roman"/>
                <w:snapToGrid/>
                <w:color w:val="auto"/>
                <w:spacing w:val="0"/>
                <w:kern w:val="0"/>
                <w:position w:val="0"/>
                <w:sz w:val="24"/>
                <w:lang w:val="en-US" w:eastAsia="zh-CN"/>
              </w:rPr>
              <w:t>共</w:t>
            </w:r>
            <w:r>
              <w:rPr>
                <w:rFonts w:hint="eastAsia" w:ascii="Times New Roman" w:hAnsi="Times New Roman" w:cs="Times New Roman"/>
                <w:snapToGrid/>
                <w:color w:val="auto"/>
                <w:spacing w:val="0"/>
                <w:kern w:val="0"/>
                <w:position w:val="0"/>
                <w:sz w:val="24"/>
                <w:lang w:val="en-US" w:eastAsia="zh-CN"/>
              </w:rPr>
              <w:t>9.3</w:t>
            </w:r>
            <w:r>
              <w:rPr>
                <w:rFonts w:hint="default" w:ascii="Times New Roman" w:hAnsi="Times New Roman" w:cs="Times New Roman"/>
                <w:snapToGrid/>
                <w:color w:val="auto"/>
                <w:spacing w:val="0"/>
                <w:kern w:val="0"/>
                <w:position w:val="0"/>
                <w:sz w:val="24"/>
              </w:rPr>
              <w:t>t/a</w:t>
            </w:r>
            <w:r>
              <w:rPr>
                <w:rFonts w:hint="default" w:ascii="Times New Roman" w:hAnsi="Times New Roman" w:cs="Times New Roman"/>
                <w:snapToGrid/>
                <w:color w:val="auto"/>
                <w:spacing w:val="0"/>
                <w:kern w:val="0"/>
                <w:position w:val="0"/>
                <w:sz w:val="24"/>
                <w:lang w:eastAsia="zh-CN"/>
              </w:rPr>
              <w:t>，</w:t>
            </w:r>
            <w:r>
              <w:rPr>
                <w:rFonts w:hint="default" w:ascii="Times New Roman" w:hAnsi="Times New Roman" w:cs="Times New Roman"/>
                <w:snapToGrid/>
                <w:color w:val="auto"/>
                <w:spacing w:val="0"/>
                <w:kern w:val="0"/>
                <w:position w:val="0"/>
                <w:sz w:val="24"/>
              </w:rPr>
              <w:t>集中收集后交</w:t>
            </w:r>
            <w:r>
              <w:rPr>
                <w:rFonts w:hint="default" w:ascii="Times New Roman" w:hAnsi="Times New Roman" w:cs="Times New Roman"/>
                <w:snapToGrid/>
                <w:color w:val="auto"/>
                <w:spacing w:val="0"/>
                <w:kern w:val="0"/>
                <w:position w:val="0"/>
                <w:sz w:val="24"/>
                <w:lang w:eastAsia="zh-CN"/>
              </w:rPr>
              <w:t>由</w:t>
            </w:r>
            <w:r>
              <w:rPr>
                <w:rFonts w:hint="default" w:ascii="Times New Roman" w:hAnsi="Times New Roman" w:cs="Times New Roman"/>
                <w:snapToGrid/>
                <w:color w:val="auto"/>
                <w:spacing w:val="0"/>
                <w:kern w:val="0"/>
                <w:position w:val="0"/>
                <w:sz w:val="24"/>
              </w:rPr>
              <w:t>环卫部门</w:t>
            </w:r>
            <w:r>
              <w:rPr>
                <w:rFonts w:hint="default" w:ascii="Times New Roman" w:hAnsi="Times New Roman" w:cs="Times New Roman"/>
                <w:snapToGrid/>
                <w:color w:val="auto"/>
                <w:spacing w:val="0"/>
                <w:kern w:val="0"/>
                <w:position w:val="0"/>
                <w:sz w:val="24"/>
                <w:lang w:eastAsia="zh-CN"/>
              </w:rPr>
              <w:t>清运</w:t>
            </w:r>
            <w:r>
              <w:rPr>
                <w:rFonts w:hint="default" w:ascii="Times New Roman" w:hAnsi="Times New Roman" w:cs="Times New Roman"/>
                <w:snapToGrid/>
                <w:color w:val="auto"/>
                <w:spacing w:val="0"/>
                <w:kern w:val="0"/>
                <w:position w:val="0"/>
                <w:sz w:val="24"/>
              </w:rPr>
              <w:t>处理</w:t>
            </w:r>
          </w:p>
          <w:p w14:paraId="3F9B54C3">
            <w:pPr>
              <w:pStyle w:val="41"/>
              <w:keepNext w:val="0"/>
              <w:keepLines w:val="0"/>
              <w:pageBreakBefore w:val="0"/>
              <w:widowControl w:val="0"/>
              <w:kinsoku/>
              <w:wordWrap/>
              <w:overflowPunct/>
              <w:topLinePunct w:val="0"/>
              <w:autoSpaceDE/>
              <w:autoSpaceDN/>
              <w:bidi w:val="0"/>
              <w:adjustRightInd w:val="0"/>
              <w:snapToGrid w:val="0"/>
              <w:ind w:firstLine="48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eastAsia="zh-CN"/>
              </w:rPr>
              <w:t>）一般工业固体废物</w:t>
            </w:r>
          </w:p>
          <w:p w14:paraId="234961B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① 废边角料</w:t>
            </w:r>
          </w:p>
          <w:p w14:paraId="483DC1D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本项目磨加工过程产生废边角料量约为原材料的1‰，项目</w:t>
            </w:r>
            <w:r>
              <w:rPr>
                <w:rFonts w:hint="eastAsia" w:ascii="Times New Roman" w:hAnsi="Times New Roman" w:cs="Times New Roman"/>
                <w:color w:val="auto"/>
                <w:sz w:val="24"/>
                <w:lang w:val="en-US" w:eastAsia="zh-CN"/>
              </w:rPr>
              <w:t>一期工程</w:t>
            </w:r>
            <w:r>
              <w:rPr>
                <w:rFonts w:hint="default" w:ascii="Times New Roman" w:hAnsi="Times New Roman" w:eastAsia="宋体" w:cs="Times New Roman"/>
                <w:b w:val="0"/>
                <w:bCs w:val="0"/>
                <w:color w:val="auto"/>
                <w:sz w:val="24"/>
                <w:szCs w:val="24"/>
                <w:highlight w:val="none"/>
                <w:lang w:val="en-US" w:eastAsia="zh-CN"/>
              </w:rPr>
              <w:t>合计使用原料折合钢材料重约为</w:t>
            </w:r>
            <w:r>
              <w:rPr>
                <w:rFonts w:hint="eastAsia" w:cs="Times New Roman"/>
                <w:b w:val="0"/>
                <w:bCs w:val="0"/>
                <w:color w:val="auto"/>
                <w:sz w:val="24"/>
                <w:szCs w:val="24"/>
                <w:highlight w:val="none"/>
                <w:lang w:val="en-US" w:eastAsia="zh-CN"/>
              </w:rPr>
              <w:t>4000</w:t>
            </w:r>
            <w:r>
              <w:rPr>
                <w:rFonts w:hint="default" w:ascii="Times New Roman" w:hAnsi="Times New Roman" w:eastAsia="宋体" w:cs="Times New Roman"/>
                <w:b w:val="0"/>
                <w:bCs w:val="0"/>
                <w:color w:val="auto"/>
                <w:sz w:val="24"/>
                <w:szCs w:val="24"/>
                <w:highlight w:val="none"/>
                <w:lang w:val="en-US" w:eastAsia="zh-CN"/>
              </w:rPr>
              <w:t>t/a，则废边角料产生量为</w:t>
            </w:r>
            <w:r>
              <w:rPr>
                <w:rFonts w:hint="eastAsia"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t/a，</w:t>
            </w:r>
            <w:r>
              <w:rPr>
                <w:rFonts w:hint="eastAsia" w:ascii="Times New Roman" w:hAnsi="Times New Roman" w:cs="Times New Roman"/>
                <w:color w:val="auto"/>
                <w:sz w:val="24"/>
                <w:lang w:val="en-US" w:eastAsia="zh-CN"/>
              </w:rPr>
              <w:t>二期建成后</w:t>
            </w:r>
            <w:r>
              <w:rPr>
                <w:rFonts w:hint="default" w:ascii="Times New Roman" w:hAnsi="Times New Roman" w:eastAsia="宋体" w:cs="Times New Roman"/>
                <w:b w:val="0"/>
                <w:bCs w:val="0"/>
                <w:color w:val="auto"/>
                <w:sz w:val="24"/>
                <w:szCs w:val="24"/>
                <w:highlight w:val="none"/>
                <w:lang w:val="en-US" w:eastAsia="zh-CN"/>
              </w:rPr>
              <w:t>合计使用原料折合钢材料重约为</w:t>
            </w:r>
            <w:r>
              <w:rPr>
                <w:rFonts w:hint="eastAsia" w:ascii="Times New Roman" w:hAnsi="Times New Roman" w:eastAsia="宋体" w:cs="Times New Roman"/>
                <w:b w:val="0"/>
                <w:bCs w:val="0"/>
                <w:color w:val="auto"/>
                <w:sz w:val="24"/>
                <w:szCs w:val="24"/>
                <w:highlight w:val="none"/>
                <w:lang w:val="en-US" w:eastAsia="zh-CN"/>
              </w:rPr>
              <w:t>8</w:t>
            </w:r>
            <w:r>
              <w:rPr>
                <w:rFonts w:hint="eastAsia" w:cs="Times New Roman"/>
                <w:b w:val="0"/>
                <w:bCs w:val="0"/>
                <w:color w:val="auto"/>
                <w:sz w:val="24"/>
                <w:szCs w:val="24"/>
                <w:highlight w:val="none"/>
                <w:lang w:val="en-US" w:eastAsia="zh-CN"/>
              </w:rPr>
              <w:t>000</w:t>
            </w:r>
            <w:r>
              <w:rPr>
                <w:rFonts w:hint="default" w:ascii="Times New Roman" w:hAnsi="Times New Roman" w:eastAsia="宋体" w:cs="Times New Roman"/>
                <w:b w:val="0"/>
                <w:bCs w:val="0"/>
                <w:color w:val="auto"/>
                <w:sz w:val="24"/>
                <w:szCs w:val="24"/>
                <w:highlight w:val="none"/>
                <w:lang w:val="en-US" w:eastAsia="zh-CN"/>
              </w:rPr>
              <w:t>t/a，则废边角料产生量为</w:t>
            </w:r>
            <w:r>
              <w:rPr>
                <w:rFonts w:hint="eastAsia" w:ascii="Times New Roman" w:hAnsi="Times New Roman" w:eastAsia="宋体"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z w:val="24"/>
                <w:szCs w:val="24"/>
                <w:highlight w:val="none"/>
                <w:lang w:val="en-US" w:eastAsia="zh-CN"/>
              </w:rPr>
              <w:t>t/a，</w:t>
            </w:r>
            <w:r>
              <w:rPr>
                <w:rFonts w:hint="eastAsia" w:cs="Times New Roman"/>
                <w:b w:val="0"/>
                <w:bCs w:val="0"/>
                <w:color w:val="auto"/>
                <w:sz w:val="24"/>
                <w:szCs w:val="24"/>
                <w:highlight w:val="none"/>
                <w:lang w:val="en-US" w:eastAsia="zh-CN"/>
              </w:rPr>
              <w:t>沥</w:t>
            </w:r>
            <w:r>
              <w:rPr>
                <w:rFonts w:hint="default" w:ascii="Times New Roman" w:hAnsi="Times New Roman" w:eastAsia="宋体" w:cs="Times New Roman"/>
                <w:b w:val="0"/>
                <w:bCs w:val="0"/>
                <w:color w:val="auto"/>
                <w:sz w:val="24"/>
                <w:szCs w:val="24"/>
                <w:highlight w:val="none"/>
                <w:lang w:val="en-US" w:eastAsia="zh-CN"/>
              </w:rPr>
              <w:t>干其沾染的液体后外售给物资回收公司进行综合利用。</w:t>
            </w:r>
          </w:p>
          <w:p w14:paraId="5C12E3B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② 不合格品</w:t>
            </w:r>
          </w:p>
          <w:p w14:paraId="419E21B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本项目轴承不合格率取2‰，项目</w:t>
            </w:r>
            <w:r>
              <w:rPr>
                <w:rFonts w:hint="eastAsia" w:ascii="Times New Roman" w:hAnsi="Times New Roman" w:cs="Times New Roman"/>
                <w:color w:val="auto"/>
                <w:sz w:val="24"/>
                <w:lang w:val="en-US" w:eastAsia="zh-CN"/>
              </w:rPr>
              <w:t>一期工程</w:t>
            </w:r>
            <w:r>
              <w:rPr>
                <w:rFonts w:hint="default" w:ascii="Times New Roman" w:hAnsi="Times New Roman" w:eastAsia="宋体" w:cs="Times New Roman"/>
                <w:b w:val="0"/>
                <w:bCs w:val="0"/>
                <w:color w:val="auto"/>
                <w:sz w:val="24"/>
                <w:szCs w:val="24"/>
                <w:highlight w:val="none"/>
                <w:lang w:val="en-US" w:eastAsia="zh-CN"/>
              </w:rPr>
              <w:t>折合重量约为</w:t>
            </w:r>
            <w:r>
              <w:rPr>
                <w:rFonts w:hint="eastAsia"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z w:val="24"/>
                <w:szCs w:val="24"/>
                <w:highlight w:val="none"/>
                <w:lang w:val="en-US" w:eastAsia="zh-CN"/>
              </w:rPr>
              <w:t>t/a</w:t>
            </w:r>
            <w:r>
              <w:rPr>
                <w:rFonts w:hint="eastAsia" w:cs="Times New Roman"/>
                <w:b w:val="0"/>
                <w:bCs w:val="0"/>
                <w:color w:val="auto"/>
                <w:sz w:val="24"/>
                <w:szCs w:val="24"/>
                <w:highlight w:val="none"/>
                <w:lang w:val="en-US" w:eastAsia="zh-CN"/>
              </w:rPr>
              <w:t>，</w:t>
            </w:r>
            <w:r>
              <w:rPr>
                <w:rFonts w:hint="eastAsia" w:ascii="Times New Roman" w:hAnsi="Times New Roman" w:cs="Times New Roman"/>
                <w:color w:val="auto"/>
                <w:sz w:val="24"/>
                <w:lang w:val="en-US" w:eastAsia="zh-CN"/>
              </w:rPr>
              <w:t>二期建成后</w:t>
            </w:r>
            <w:r>
              <w:rPr>
                <w:rFonts w:hint="default" w:ascii="Times New Roman" w:hAnsi="Times New Roman" w:eastAsia="宋体" w:cs="Times New Roman"/>
                <w:b w:val="0"/>
                <w:bCs w:val="0"/>
                <w:color w:val="auto"/>
                <w:sz w:val="24"/>
                <w:szCs w:val="24"/>
                <w:highlight w:val="none"/>
                <w:lang w:val="en-US" w:eastAsia="zh-CN"/>
              </w:rPr>
              <w:t>合计</w:t>
            </w:r>
            <w:r>
              <w:rPr>
                <w:rFonts w:hint="eastAsia" w:ascii="Times New Roman" w:hAnsi="Times New Roman" w:eastAsia="宋体" w:cs="Times New Roman"/>
                <w:b w:val="0"/>
                <w:bCs w:val="0"/>
                <w:color w:val="auto"/>
                <w:sz w:val="24"/>
                <w:szCs w:val="24"/>
                <w:highlight w:val="none"/>
                <w:lang w:val="en-US" w:eastAsia="zh-CN"/>
              </w:rPr>
              <w:t>折合重量约为16</w:t>
            </w:r>
            <w:r>
              <w:rPr>
                <w:rFonts w:hint="default" w:ascii="Times New Roman" w:hAnsi="Times New Roman" w:eastAsia="宋体" w:cs="Times New Roman"/>
                <w:b w:val="0"/>
                <w:bCs w:val="0"/>
                <w:color w:val="auto"/>
                <w:sz w:val="24"/>
                <w:szCs w:val="24"/>
                <w:highlight w:val="none"/>
                <w:lang w:val="en-US" w:eastAsia="zh-CN"/>
              </w:rPr>
              <w:t>t/a</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统一收集外售给物资回收公司进行综合利用。</w:t>
            </w:r>
          </w:p>
          <w:p w14:paraId="342EF28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③ 废包装</w:t>
            </w:r>
            <w:r>
              <w:rPr>
                <w:rFonts w:hint="eastAsia" w:cs="Times New Roman"/>
                <w:b w:val="0"/>
                <w:bCs w:val="0"/>
                <w:color w:val="auto"/>
                <w:sz w:val="24"/>
                <w:szCs w:val="24"/>
                <w:highlight w:val="none"/>
                <w:lang w:val="en-US" w:eastAsia="zh-CN"/>
              </w:rPr>
              <w:t>材料</w:t>
            </w:r>
          </w:p>
          <w:p w14:paraId="70565BA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包装过程会产生少量废包装</w:t>
            </w:r>
            <w:r>
              <w:rPr>
                <w:rFonts w:hint="eastAsia" w:cs="Times New Roman"/>
                <w:b w:val="0"/>
                <w:bCs w:val="0"/>
                <w:color w:val="auto"/>
                <w:sz w:val="24"/>
                <w:szCs w:val="24"/>
                <w:highlight w:val="none"/>
                <w:lang w:val="en-US" w:eastAsia="zh-CN"/>
              </w:rPr>
              <w:t>材料</w:t>
            </w:r>
            <w:r>
              <w:rPr>
                <w:rFonts w:hint="default" w:ascii="Times New Roman" w:hAnsi="Times New Roman" w:eastAsia="宋体" w:cs="Times New Roman"/>
                <w:b w:val="0"/>
                <w:bCs w:val="0"/>
                <w:color w:val="auto"/>
                <w:sz w:val="24"/>
                <w:szCs w:val="24"/>
                <w:highlight w:val="none"/>
                <w:lang w:val="en-US" w:eastAsia="zh-CN"/>
              </w:rPr>
              <w:t>，项目</w:t>
            </w:r>
            <w:r>
              <w:rPr>
                <w:rFonts w:hint="eastAsia" w:ascii="Times New Roman" w:hAnsi="Times New Roman" w:cs="Times New Roman"/>
                <w:color w:val="auto"/>
                <w:sz w:val="24"/>
                <w:lang w:val="en-US" w:eastAsia="zh-CN"/>
              </w:rPr>
              <w:t>一期工程</w:t>
            </w:r>
            <w:r>
              <w:rPr>
                <w:rFonts w:hint="default" w:ascii="Times New Roman" w:hAnsi="Times New Roman" w:eastAsia="宋体" w:cs="Times New Roman"/>
                <w:b w:val="0"/>
                <w:bCs w:val="0"/>
                <w:color w:val="auto"/>
                <w:sz w:val="24"/>
                <w:szCs w:val="24"/>
                <w:highlight w:val="none"/>
                <w:lang w:val="en-US" w:eastAsia="zh-CN"/>
              </w:rPr>
              <w:t>废包装</w:t>
            </w:r>
            <w:r>
              <w:rPr>
                <w:rFonts w:hint="eastAsia" w:cs="Times New Roman"/>
                <w:b w:val="0"/>
                <w:bCs w:val="0"/>
                <w:color w:val="auto"/>
                <w:sz w:val="24"/>
                <w:szCs w:val="24"/>
                <w:highlight w:val="none"/>
                <w:lang w:val="en-US" w:eastAsia="zh-CN"/>
              </w:rPr>
              <w:t>材料</w:t>
            </w:r>
            <w:r>
              <w:rPr>
                <w:rFonts w:hint="default" w:ascii="Times New Roman" w:hAnsi="Times New Roman" w:eastAsia="宋体" w:cs="Times New Roman"/>
                <w:b w:val="0"/>
                <w:bCs w:val="0"/>
                <w:color w:val="auto"/>
                <w:sz w:val="24"/>
                <w:szCs w:val="24"/>
                <w:highlight w:val="none"/>
                <w:lang w:val="en-US" w:eastAsia="zh-CN"/>
              </w:rPr>
              <w:t>产生量约为0.</w:t>
            </w: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en-US" w:eastAsia="zh-CN"/>
              </w:rPr>
              <w:t>t/a，</w:t>
            </w:r>
            <w:r>
              <w:rPr>
                <w:rFonts w:hint="eastAsia" w:ascii="Times New Roman" w:hAnsi="Times New Roman" w:cs="Times New Roman"/>
                <w:color w:val="auto"/>
                <w:sz w:val="24"/>
                <w:lang w:val="en-US" w:eastAsia="zh-CN"/>
              </w:rPr>
              <w:t>二期建成后</w:t>
            </w:r>
            <w:r>
              <w:rPr>
                <w:rFonts w:hint="default" w:ascii="Times New Roman" w:hAnsi="Times New Roman" w:eastAsia="宋体" w:cs="Times New Roman"/>
                <w:b w:val="0"/>
                <w:bCs w:val="0"/>
                <w:color w:val="auto"/>
                <w:sz w:val="24"/>
                <w:szCs w:val="24"/>
                <w:highlight w:val="none"/>
                <w:lang w:val="en-US" w:eastAsia="zh-CN"/>
              </w:rPr>
              <w:t>合计废包装</w:t>
            </w:r>
            <w:r>
              <w:rPr>
                <w:rFonts w:hint="eastAsia" w:cs="Times New Roman"/>
                <w:b w:val="0"/>
                <w:bCs w:val="0"/>
                <w:color w:val="auto"/>
                <w:sz w:val="24"/>
                <w:szCs w:val="24"/>
                <w:highlight w:val="none"/>
                <w:lang w:val="en-US" w:eastAsia="zh-CN"/>
              </w:rPr>
              <w:t>材料</w:t>
            </w:r>
            <w:r>
              <w:rPr>
                <w:rFonts w:hint="default" w:ascii="Times New Roman" w:hAnsi="Times New Roman" w:eastAsia="宋体" w:cs="Times New Roman"/>
                <w:b w:val="0"/>
                <w:bCs w:val="0"/>
                <w:color w:val="auto"/>
                <w:sz w:val="24"/>
                <w:szCs w:val="24"/>
                <w:highlight w:val="none"/>
                <w:lang w:val="en-US" w:eastAsia="zh-CN"/>
              </w:rPr>
              <w:t>产生量约为0.</w:t>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t/a</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厂区集中收集后外售给物资回收公司进行综合利用。</w:t>
            </w:r>
          </w:p>
          <w:p w14:paraId="387D5C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lang w:val="en-US" w:eastAsia="zh-CN"/>
              </w:rPr>
              <w:t>危险废物</w:t>
            </w:r>
          </w:p>
          <w:p w14:paraId="7CF471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lang w:val="en-US" w:eastAsia="zh-CN"/>
              </w:rPr>
            </w:pPr>
            <w:r>
              <w:rPr>
                <w:rFonts w:hint="eastAsia" w:cs="Times New Roman"/>
                <w:b w:val="0"/>
                <w:bCs w:val="0"/>
                <w:color w:val="auto"/>
                <w:sz w:val="24"/>
                <w:szCs w:val="24"/>
                <w:lang w:val="en-US" w:eastAsia="zh-CN"/>
              </w:rPr>
              <w:t>① 废油桶</w:t>
            </w:r>
          </w:p>
          <w:p w14:paraId="65ACF8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4472C4" w:themeColor="accent5"/>
                <w:sz w:val="24"/>
                <w:szCs w:val="24"/>
                <w:lang w:val="en-US" w:eastAsia="zh-CN"/>
                <w14:textFill>
                  <w14:solidFill>
                    <w14:schemeClr w14:val="accent5"/>
                  </w14:solidFill>
                </w14:textFill>
              </w:rPr>
            </w:pPr>
            <w:r>
              <w:rPr>
                <w:rFonts w:hint="eastAsia"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lang w:val="en-US" w:eastAsia="zh-CN"/>
              </w:rPr>
              <w:t>项目</w:t>
            </w:r>
            <w:r>
              <w:rPr>
                <w:rFonts w:hint="eastAsia" w:ascii="Times New Roman" w:hAnsi="Times New Roman" w:cs="Times New Roman"/>
                <w:color w:val="auto"/>
                <w:sz w:val="24"/>
                <w:lang w:val="en-US" w:eastAsia="zh-CN"/>
              </w:rPr>
              <w:t>一期工程</w:t>
            </w:r>
            <w:r>
              <w:rPr>
                <w:rFonts w:hint="eastAsia" w:cs="Times New Roman"/>
                <w:b w:val="0"/>
                <w:bCs w:val="0"/>
                <w:color w:val="auto"/>
                <w:sz w:val="24"/>
                <w:szCs w:val="24"/>
                <w:lang w:val="en-US" w:eastAsia="zh-CN"/>
              </w:rPr>
              <w:t>年使用切削液2t，规格为160kg/桶，则年使用13桶。</w:t>
            </w:r>
            <w:r>
              <w:rPr>
                <w:rFonts w:hint="eastAsia" w:ascii="Times New Roman" w:hAnsi="Times New Roman" w:cs="Times New Roman"/>
                <w:color w:val="auto"/>
                <w:sz w:val="24"/>
                <w:lang w:val="en-US" w:eastAsia="zh-CN"/>
              </w:rPr>
              <w:t>二期建成后</w:t>
            </w:r>
            <w:r>
              <w:rPr>
                <w:rFonts w:hint="default" w:ascii="Times New Roman" w:hAnsi="Times New Roman" w:eastAsia="宋体" w:cs="Times New Roman"/>
                <w:b w:val="0"/>
                <w:bCs w:val="0"/>
                <w:color w:val="auto"/>
                <w:sz w:val="24"/>
                <w:szCs w:val="24"/>
                <w:highlight w:val="none"/>
                <w:lang w:val="en-US" w:eastAsia="zh-CN"/>
              </w:rPr>
              <w:t>合计</w:t>
            </w:r>
            <w:r>
              <w:rPr>
                <w:rFonts w:hint="eastAsia" w:cs="Times New Roman"/>
                <w:b w:val="0"/>
                <w:bCs w:val="0"/>
                <w:color w:val="auto"/>
                <w:sz w:val="24"/>
                <w:szCs w:val="24"/>
                <w:lang w:val="en-US" w:eastAsia="zh-CN"/>
              </w:rPr>
              <w:t>年使用切削液4t，规格为160kg/桶，则年使用25桶。</w:t>
            </w:r>
            <w:r>
              <w:rPr>
                <w:rFonts w:hint="eastAsia"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lang w:val="en-US" w:eastAsia="zh-CN"/>
              </w:rPr>
              <w:t>项目</w:t>
            </w:r>
            <w:r>
              <w:rPr>
                <w:rFonts w:hint="eastAsia" w:ascii="Times New Roman" w:hAnsi="Times New Roman" w:cs="Times New Roman"/>
                <w:color w:val="auto"/>
                <w:sz w:val="24"/>
                <w:lang w:val="en-US" w:eastAsia="zh-CN"/>
              </w:rPr>
              <w:t>一期工程</w:t>
            </w:r>
            <w:r>
              <w:rPr>
                <w:rFonts w:hint="eastAsia" w:cs="Times New Roman"/>
                <w:b w:val="0"/>
                <w:bCs w:val="0"/>
                <w:color w:val="auto"/>
                <w:sz w:val="24"/>
                <w:szCs w:val="24"/>
                <w:lang w:val="en-US" w:eastAsia="zh-CN"/>
              </w:rPr>
              <w:t>年使用抗磨液压油1.5t，规格为160kg/桶，则年使用10桶。</w:t>
            </w:r>
            <w:r>
              <w:rPr>
                <w:rFonts w:hint="eastAsia" w:ascii="Times New Roman" w:hAnsi="Times New Roman" w:cs="Times New Roman"/>
                <w:color w:val="auto"/>
                <w:sz w:val="24"/>
                <w:lang w:val="en-US" w:eastAsia="zh-CN"/>
              </w:rPr>
              <w:t>二期建成后</w:t>
            </w:r>
            <w:r>
              <w:rPr>
                <w:rFonts w:hint="default" w:ascii="Times New Roman" w:hAnsi="Times New Roman" w:eastAsia="宋体" w:cs="Times New Roman"/>
                <w:b w:val="0"/>
                <w:bCs w:val="0"/>
                <w:color w:val="auto"/>
                <w:sz w:val="24"/>
                <w:szCs w:val="24"/>
                <w:highlight w:val="none"/>
                <w:lang w:val="en-US" w:eastAsia="zh-CN"/>
              </w:rPr>
              <w:t>合计</w:t>
            </w:r>
            <w:r>
              <w:rPr>
                <w:rFonts w:hint="eastAsia" w:cs="Times New Roman"/>
                <w:b w:val="0"/>
                <w:bCs w:val="0"/>
                <w:color w:val="auto"/>
                <w:sz w:val="24"/>
                <w:szCs w:val="24"/>
                <w:lang w:val="en-US" w:eastAsia="zh-CN"/>
              </w:rPr>
              <w:t>年使用抗磨液压油3t，规格为160kg/桶，则年使用19桶。</w:t>
            </w:r>
            <w:r>
              <w:rPr>
                <w:rFonts w:hint="eastAsia" w:eastAsia="宋体" w:cs="Times New Roman"/>
                <w:b w:val="0"/>
                <w:bCs w:val="0"/>
                <w:color w:val="auto"/>
                <w:sz w:val="24"/>
                <w:szCs w:val="24"/>
                <w:lang w:val="en-US" w:eastAsia="zh-CN"/>
              </w:rPr>
              <w:t>规格为160kg的桶重以5kg计，则一期项目年产生废油桶计</w:t>
            </w:r>
            <w:r>
              <w:rPr>
                <w:rFonts w:hint="eastAsia" w:cs="Times New Roman"/>
                <w:b w:val="0"/>
                <w:bCs w:val="0"/>
                <w:color w:val="auto"/>
                <w:sz w:val="24"/>
                <w:szCs w:val="24"/>
                <w:lang w:val="en-US" w:eastAsia="zh-CN"/>
              </w:rPr>
              <w:t>0.11</w:t>
            </w:r>
            <w:r>
              <w:rPr>
                <w:rFonts w:hint="eastAsia" w:eastAsia="宋体" w:cs="Times New Roman"/>
                <w:b w:val="0"/>
                <w:bCs w:val="0"/>
                <w:color w:val="auto"/>
                <w:sz w:val="24"/>
                <w:szCs w:val="24"/>
                <w:lang w:val="en-US" w:eastAsia="zh-CN"/>
              </w:rPr>
              <w:t>t，</w:t>
            </w:r>
            <w:r>
              <w:rPr>
                <w:rFonts w:hint="eastAsia" w:ascii="Times New Roman" w:hAnsi="Times New Roman" w:cs="Times New Roman"/>
                <w:color w:val="auto"/>
                <w:sz w:val="24"/>
                <w:lang w:val="en-US" w:eastAsia="zh-CN"/>
              </w:rPr>
              <w:t>二期建成后</w:t>
            </w:r>
            <w:r>
              <w:rPr>
                <w:rFonts w:hint="eastAsia" w:eastAsia="宋体" w:cs="Times New Roman"/>
                <w:b w:val="0"/>
                <w:bCs w:val="0"/>
                <w:color w:val="auto"/>
                <w:sz w:val="24"/>
                <w:szCs w:val="24"/>
                <w:lang w:val="en-US" w:eastAsia="zh-CN"/>
              </w:rPr>
              <w:t>年产生废油桶计</w:t>
            </w:r>
            <w:r>
              <w:rPr>
                <w:rFonts w:hint="eastAsia" w:cs="Times New Roman"/>
                <w:b w:val="0"/>
                <w:bCs w:val="0"/>
                <w:color w:val="auto"/>
                <w:sz w:val="24"/>
                <w:szCs w:val="24"/>
                <w:lang w:val="en-US" w:eastAsia="zh-CN"/>
              </w:rPr>
              <w:t>0.22</w:t>
            </w:r>
            <w:r>
              <w:rPr>
                <w:rFonts w:hint="eastAsia" w:eastAsia="宋体" w:cs="Times New Roman"/>
                <w:b w:val="0"/>
                <w:bCs w:val="0"/>
                <w:color w:val="auto"/>
                <w:sz w:val="24"/>
                <w:szCs w:val="24"/>
                <w:lang w:val="en-US" w:eastAsia="zh-CN"/>
              </w:rPr>
              <w:t>t。</w:t>
            </w:r>
            <w:r>
              <w:rPr>
                <w:rFonts w:hint="default" w:eastAsia="宋体" w:cs="Times New Roman"/>
                <w:b w:val="0"/>
                <w:bCs w:val="0"/>
                <w:color w:val="auto"/>
                <w:sz w:val="24"/>
                <w:szCs w:val="24"/>
                <w:lang w:val="en-US" w:eastAsia="zh-CN"/>
              </w:rPr>
              <w:t>经对照《国家危险废物名录》（20</w:t>
            </w:r>
            <w:r>
              <w:rPr>
                <w:rFonts w:hint="eastAsia" w:eastAsia="宋体" w:cs="Times New Roman"/>
                <w:b w:val="0"/>
                <w:bCs w:val="0"/>
                <w:color w:val="auto"/>
                <w:sz w:val="24"/>
                <w:szCs w:val="24"/>
                <w:lang w:val="en-US" w:eastAsia="zh-CN"/>
              </w:rPr>
              <w:t>2</w:t>
            </w:r>
            <w:r>
              <w:rPr>
                <w:rFonts w:hint="eastAsia" w:cs="Times New Roman"/>
                <w:b w:val="0"/>
                <w:bCs w:val="0"/>
                <w:color w:val="auto"/>
                <w:sz w:val="24"/>
                <w:szCs w:val="24"/>
                <w:lang w:val="en-US" w:eastAsia="zh-CN"/>
              </w:rPr>
              <w:t>5</w:t>
            </w:r>
            <w:r>
              <w:rPr>
                <w:rFonts w:hint="default" w:eastAsia="宋体" w:cs="Times New Roman"/>
                <w:b w:val="0"/>
                <w:bCs w:val="0"/>
                <w:color w:val="auto"/>
                <w:sz w:val="24"/>
                <w:szCs w:val="24"/>
                <w:lang w:val="en-US" w:eastAsia="zh-CN"/>
              </w:rPr>
              <w:t>版），属于危险废物HW</w:t>
            </w:r>
            <w:r>
              <w:rPr>
                <w:rFonts w:hint="eastAsia" w:cs="Times New Roman"/>
                <w:b w:val="0"/>
                <w:bCs w:val="0"/>
                <w:color w:val="auto"/>
                <w:sz w:val="24"/>
                <w:szCs w:val="24"/>
                <w:lang w:val="en-US" w:eastAsia="zh-CN"/>
              </w:rPr>
              <w:t>08</w:t>
            </w:r>
            <w:r>
              <w:rPr>
                <w:rFonts w:hint="eastAsia" w:ascii="Times New Roman" w:hAnsi="Times New Roman" w:eastAsia="宋体" w:cs="Times New Roman"/>
                <w:b w:val="0"/>
                <w:bCs w:val="0"/>
                <w:color w:val="auto"/>
                <w:kern w:val="2"/>
                <w:sz w:val="24"/>
                <w:szCs w:val="24"/>
                <w:highlight w:val="none"/>
                <w:lang w:val="en-US" w:eastAsia="zh-CN" w:bidi="ar-SA"/>
              </w:rPr>
              <w:t>废矿物油与含矿物油废物</w:t>
            </w:r>
            <w:r>
              <w:rPr>
                <w:rFonts w:hint="default" w:eastAsia="宋体" w:cs="Times New Roman"/>
                <w:b w:val="0"/>
                <w:bCs w:val="0"/>
                <w:color w:val="auto"/>
                <w:sz w:val="24"/>
                <w:szCs w:val="24"/>
                <w:lang w:val="en-US" w:eastAsia="zh-CN"/>
              </w:rPr>
              <w:t>，代码为900-249-08</w:t>
            </w:r>
            <w:r>
              <w:rPr>
                <w:rFonts w:hint="eastAsia" w:eastAsia="宋体" w:cs="Times New Roman"/>
                <w:b w:val="0"/>
                <w:bCs w:val="0"/>
                <w:color w:val="auto"/>
                <w:sz w:val="24"/>
                <w:szCs w:val="24"/>
                <w:lang w:val="en-US" w:eastAsia="zh-CN"/>
              </w:rPr>
              <w:t>（其他生产、销售、使用过程中产生的废矿物油及沾染矿物油的废弃包装物），统一收集后交由原厂家回收利用。</w:t>
            </w:r>
          </w:p>
          <w:p w14:paraId="7C3FBCB2">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cs="Times New Roman"/>
                <w:b w:val="0"/>
                <w:bCs/>
                <w:color w:val="auto"/>
                <w:szCs w:val="21"/>
                <w:shd w:val="clear" w:color="auto" w:fill="auto"/>
                <w:lang w:val="en-US" w:eastAsia="zh-CN"/>
              </w:rPr>
            </w:pPr>
            <w:r>
              <w:rPr>
                <w:rFonts w:hint="eastAsia" w:ascii="宋体" w:hAnsi="宋体" w:eastAsia="宋体" w:cs="宋体"/>
                <w:color w:val="auto"/>
                <w:sz w:val="24"/>
                <w:lang w:val="en-US" w:eastAsia="zh-CN"/>
              </w:rPr>
              <w:t>②</w:t>
            </w:r>
            <w:r>
              <w:rPr>
                <w:rFonts w:hint="eastAsia" w:ascii="宋体" w:hAnsi="宋体" w:cs="宋体"/>
                <w:color w:val="auto"/>
                <w:sz w:val="24"/>
                <w:lang w:val="en-US" w:eastAsia="zh-CN"/>
              </w:rPr>
              <w:t xml:space="preserve"> </w:t>
            </w:r>
            <w:r>
              <w:rPr>
                <w:rFonts w:hint="eastAsia" w:cs="Times New Roman"/>
                <w:b w:val="0"/>
                <w:bCs/>
                <w:color w:val="auto"/>
                <w:szCs w:val="21"/>
                <w:shd w:val="clear" w:color="auto" w:fill="auto"/>
                <w:lang w:val="en-US" w:eastAsia="zh-CN"/>
              </w:rPr>
              <w:t>废抗磨液压油</w:t>
            </w:r>
          </w:p>
          <w:p w14:paraId="157265C1">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机加工过程使用</w:t>
            </w:r>
            <w:r>
              <w:rPr>
                <w:rFonts w:hint="eastAsia" w:ascii="Times New Roman" w:hAnsi="Times New Roman" w:eastAsia="宋体" w:cs="Times New Roman"/>
                <w:b w:val="0"/>
                <w:bCs w:val="0"/>
                <w:color w:val="auto"/>
                <w:kern w:val="2"/>
                <w:sz w:val="24"/>
                <w:szCs w:val="24"/>
                <w:highlight w:val="none"/>
                <w:lang w:val="en-US" w:eastAsia="zh-CN" w:bidi="ar-SA"/>
              </w:rPr>
              <w:t>抗磨液压油</w:t>
            </w:r>
            <w:r>
              <w:rPr>
                <w:rFonts w:hint="default" w:ascii="Times New Roman" w:hAnsi="Times New Roman" w:eastAsia="宋体" w:cs="Times New Roman"/>
                <w:b w:val="0"/>
                <w:bCs w:val="0"/>
                <w:color w:val="auto"/>
                <w:kern w:val="2"/>
                <w:sz w:val="24"/>
                <w:szCs w:val="24"/>
                <w:highlight w:val="none"/>
                <w:lang w:val="en-US" w:eastAsia="zh-CN" w:bidi="ar-SA"/>
              </w:rPr>
              <w:t>会定期产生</w:t>
            </w:r>
            <w:r>
              <w:rPr>
                <w:rFonts w:hint="eastAsia" w:cs="Times New Roman"/>
                <w:b w:val="0"/>
                <w:bCs w:val="0"/>
                <w:color w:val="auto"/>
                <w:kern w:val="2"/>
                <w:sz w:val="24"/>
                <w:szCs w:val="24"/>
                <w:highlight w:val="none"/>
                <w:lang w:val="en-US" w:eastAsia="zh-CN" w:bidi="ar-SA"/>
              </w:rPr>
              <w:t>废抗磨液压油</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color w:val="auto"/>
                <w:sz w:val="24"/>
                <w:lang w:val="en-US" w:eastAsia="zh-CN"/>
              </w:rPr>
              <w:t>一期工程</w:t>
            </w:r>
            <w:r>
              <w:rPr>
                <w:rFonts w:hint="eastAsia" w:cs="Times New Roman"/>
                <w:b w:val="0"/>
                <w:bCs w:val="0"/>
                <w:color w:val="auto"/>
                <w:sz w:val="24"/>
                <w:szCs w:val="24"/>
                <w:lang w:val="en-US" w:eastAsia="zh-CN"/>
              </w:rPr>
              <w:t>年</w:t>
            </w:r>
            <w:r>
              <w:rPr>
                <w:rFonts w:hint="default" w:ascii="Times New Roman" w:hAnsi="Times New Roman" w:eastAsia="宋体" w:cs="Times New Roman"/>
                <w:b w:val="0"/>
                <w:bCs w:val="0"/>
                <w:color w:val="auto"/>
                <w:kern w:val="2"/>
                <w:sz w:val="24"/>
                <w:szCs w:val="24"/>
                <w:highlight w:val="none"/>
                <w:lang w:val="en-US" w:eastAsia="zh-CN" w:bidi="ar-SA"/>
              </w:rPr>
              <w:t>产生量约</w:t>
            </w:r>
            <w:r>
              <w:rPr>
                <w:rFonts w:hint="eastAsia" w:cs="Times New Roman"/>
                <w:b w:val="0"/>
                <w:bCs w:val="0"/>
                <w:color w:val="auto"/>
                <w:kern w:val="2"/>
                <w:sz w:val="24"/>
                <w:szCs w:val="24"/>
                <w:highlight w:val="none"/>
                <w:lang w:val="en-US" w:eastAsia="zh-CN" w:bidi="ar-SA"/>
              </w:rPr>
              <w:t>0.2</w:t>
            </w:r>
            <w:r>
              <w:rPr>
                <w:rFonts w:hint="default" w:ascii="Times New Roman" w:hAnsi="Times New Roman" w:eastAsia="宋体" w:cs="Times New Roman"/>
                <w:b w:val="0"/>
                <w:bCs w:val="0"/>
                <w:color w:val="auto"/>
                <w:kern w:val="2"/>
                <w:sz w:val="24"/>
                <w:szCs w:val="24"/>
                <w:highlight w:val="none"/>
                <w:lang w:val="en-US" w:eastAsia="zh-CN" w:bidi="ar-SA"/>
              </w:rPr>
              <w:t>t/a，</w:t>
            </w:r>
            <w:r>
              <w:rPr>
                <w:rFonts w:hint="eastAsia" w:ascii="Times New Roman" w:hAnsi="Times New Roman" w:cs="Times New Roman"/>
                <w:color w:val="auto"/>
                <w:sz w:val="24"/>
                <w:lang w:val="en-US" w:eastAsia="zh-CN"/>
              </w:rPr>
              <w:t>二期建成后</w:t>
            </w:r>
            <w:r>
              <w:rPr>
                <w:rFonts w:hint="eastAsia" w:eastAsia="宋体" w:cs="Times New Roman"/>
                <w:b w:val="0"/>
                <w:bCs w:val="0"/>
                <w:color w:val="auto"/>
                <w:sz w:val="24"/>
                <w:szCs w:val="24"/>
                <w:lang w:val="en-US" w:eastAsia="zh-CN"/>
              </w:rPr>
              <w:t>年产生量</w:t>
            </w:r>
            <w:r>
              <w:rPr>
                <w:rFonts w:hint="default" w:ascii="Times New Roman" w:hAnsi="Times New Roman" w:eastAsia="宋体" w:cs="Times New Roman"/>
                <w:b w:val="0"/>
                <w:bCs w:val="0"/>
                <w:color w:val="auto"/>
                <w:kern w:val="2"/>
                <w:sz w:val="24"/>
                <w:szCs w:val="24"/>
                <w:highlight w:val="none"/>
                <w:lang w:val="en-US" w:eastAsia="zh-CN" w:bidi="ar-SA"/>
              </w:rPr>
              <w:t>约</w:t>
            </w:r>
            <w:r>
              <w:rPr>
                <w:rFonts w:hint="eastAsia" w:cs="Times New Roman"/>
                <w:b w:val="0"/>
                <w:bCs w:val="0"/>
                <w:color w:val="auto"/>
                <w:kern w:val="2"/>
                <w:sz w:val="24"/>
                <w:szCs w:val="24"/>
                <w:highlight w:val="none"/>
                <w:lang w:val="en-US" w:eastAsia="zh-CN" w:bidi="ar-SA"/>
              </w:rPr>
              <w:t>0.4</w:t>
            </w:r>
            <w:r>
              <w:rPr>
                <w:rFonts w:hint="default" w:ascii="Times New Roman" w:hAnsi="Times New Roman" w:eastAsia="宋体" w:cs="Times New Roman"/>
                <w:b w:val="0"/>
                <w:bCs w:val="0"/>
                <w:color w:val="auto"/>
                <w:kern w:val="2"/>
                <w:sz w:val="24"/>
                <w:szCs w:val="24"/>
                <w:highlight w:val="none"/>
                <w:lang w:val="en-US" w:eastAsia="zh-CN" w:bidi="ar-SA"/>
              </w:rPr>
              <w:t>t/a，对照《国家危险废物名录》（20</w:t>
            </w:r>
            <w:r>
              <w:rPr>
                <w:rFonts w:hint="eastAsia" w:ascii="Times New Roman" w:hAnsi="Times New Roman" w:eastAsia="宋体" w:cs="Times New Roman"/>
                <w:b w:val="0"/>
                <w:bCs w:val="0"/>
                <w:color w:val="auto"/>
                <w:kern w:val="2"/>
                <w:sz w:val="24"/>
                <w:szCs w:val="24"/>
                <w:highlight w:val="none"/>
                <w:lang w:val="en-US" w:eastAsia="zh-CN" w:bidi="ar-SA"/>
              </w:rPr>
              <w:t>2</w:t>
            </w:r>
            <w:r>
              <w:rPr>
                <w:rFonts w:hint="eastAsia" w:cs="Times New Roman"/>
                <w:b w:val="0"/>
                <w:bCs w:val="0"/>
                <w:color w:val="auto"/>
                <w:kern w:val="2"/>
                <w:sz w:val="24"/>
                <w:szCs w:val="24"/>
                <w:highlight w:val="none"/>
                <w:lang w:val="en-US" w:eastAsia="zh-CN" w:bidi="ar-SA"/>
              </w:rPr>
              <w:t>5</w:t>
            </w:r>
            <w:r>
              <w:rPr>
                <w:rFonts w:hint="default" w:ascii="Times New Roman" w:hAnsi="Times New Roman" w:eastAsia="宋体" w:cs="Times New Roman"/>
                <w:b w:val="0"/>
                <w:bCs w:val="0"/>
                <w:color w:val="auto"/>
                <w:kern w:val="2"/>
                <w:sz w:val="24"/>
                <w:szCs w:val="24"/>
                <w:highlight w:val="none"/>
                <w:lang w:val="en-US" w:eastAsia="zh-CN" w:bidi="ar-SA"/>
              </w:rPr>
              <w:t>年版），属于危险废物HW0</w:t>
            </w:r>
            <w:r>
              <w:rPr>
                <w:rFonts w:hint="eastAsia" w:ascii="Times New Roman" w:hAnsi="Times New Roman" w:eastAsia="宋体" w:cs="Times New Roman"/>
                <w:b w:val="0"/>
                <w:bCs w:val="0"/>
                <w:color w:val="auto"/>
                <w:kern w:val="2"/>
                <w:sz w:val="24"/>
                <w:szCs w:val="24"/>
                <w:highlight w:val="none"/>
                <w:lang w:val="en-US" w:eastAsia="zh-CN" w:bidi="ar-SA"/>
              </w:rPr>
              <w:t>8废矿物油与含矿物油废物</w:t>
            </w:r>
            <w:r>
              <w:rPr>
                <w:rFonts w:hint="default" w:ascii="Times New Roman" w:hAnsi="Times New Roman" w:eastAsia="宋体" w:cs="Times New Roman"/>
                <w:b w:val="0"/>
                <w:bCs w:val="0"/>
                <w:color w:val="auto"/>
                <w:kern w:val="2"/>
                <w:sz w:val="24"/>
                <w:szCs w:val="24"/>
                <w:highlight w:val="none"/>
                <w:lang w:val="en-US" w:eastAsia="zh-CN" w:bidi="ar-SA"/>
              </w:rPr>
              <w:t>，危废代码900-</w:t>
            </w:r>
            <w:r>
              <w:rPr>
                <w:rFonts w:hint="eastAsia" w:ascii="Times New Roman" w:hAnsi="Times New Roman" w:eastAsia="宋体" w:cs="Times New Roman"/>
                <w:b w:val="0"/>
                <w:bCs w:val="0"/>
                <w:color w:val="auto"/>
                <w:kern w:val="2"/>
                <w:sz w:val="24"/>
                <w:szCs w:val="24"/>
                <w:highlight w:val="none"/>
                <w:lang w:val="en-US" w:eastAsia="zh-CN" w:bidi="ar-SA"/>
              </w:rPr>
              <w:t>218</w:t>
            </w:r>
            <w:r>
              <w:rPr>
                <w:rFonts w:hint="default" w:ascii="Times New Roman" w:hAnsi="Times New Roman" w:eastAsia="宋体" w:cs="Times New Roman"/>
                <w:b w:val="0"/>
                <w:bCs w:val="0"/>
                <w:color w:val="auto"/>
                <w:kern w:val="2"/>
                <w:sz w:val="24"/>
                <w:szCs w:val="24"/>
                <w:highlight w:val="none"/>
                <w:lang w:val="en-US" w:eastAsia="zh-CN" w:bidi="ar-SA"/>
              </w:rPr>
              <w:t>-0</w:t>
            </w:r>
            <w:r>
              <w:rPr>
                <w:rFonts w:hint="eastAsia" w:ascii="Times New Roman" w:hAnsi="Times New Roman" w:eastAsia="宋体" w:cs="Times New Roman"/>
                <w:b w:val="0"/>
                <w:bCs w:val="0"/>
                <w:color w:val="auto"/>
                <w:kern w:val="2"/>
                <w:sz w:val="24"/>
                <w:szCs w:val="24"/>
                <w:highlight w:val="none"/>
                <w:lang w:val="en-US" w:eastAsia="zh-CN" w:bidi="ar-SA"/>
              </w:rPr>
              <w:t>8（液压设备维护、更换和拆解过程中产生的废液压油）</w:t>
            </w:r>
            <w:r>
              <w:rPr>
                <w:rFonts w:hint="default" w:ascii="Times New Roman" w:hAnsi="Times New Roman" w:eastAsia="宋体" w:cs="Times New Roman"/>
                <w:b w:val="0"/>
                <w:bCs w:val="0"/>
                <w:color w:val="auto"/>
                <w:kern w:val="2"/>
                <w:sz w:val="24"/>
                <w:szCs w:val="24"/>
                <w:highlight w:val="none"/>
                <w:lang w:val="en-US" w:eastAsia="zh-CN" w:bidi="ar-SA"/>
              </w:rPr>
              <w:t>，于厂内危废暂存场所暂存后委托有资质单位妥善处置。</w:t>
            </w:r>
          </w:p>
          <w:p w14:paraId="2EA5B29C">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③ 废</w:t>
            </w:r>
            <w:r>
              <w:rPr>
                <w:rFonts w:hint="eastAsia" w:ascii="宋体" w:hAnsi="宋体" w:cs="宋体"/>
                <w:color w:val="auto"/>
                <w:sz w:val="24"/>
                <w:lang w:val="en-US" w:eastAsia="zh-CN"/>
              </w:rPr>
              <w:t>切削液</w:t>
            </w:r>
          </w:p>
          <w:p w14:paraId="06729928">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default" w:ascii="宋体" w:hAnsi="宋体" w:eastAsia="宋体" w:cs="宋体"/>
                <w:color w:val="auto"/>
                <w:sz w:val="24"/>
                <w:lang w:val="en-US" w:eastAsia="zh-CN"/>
              </w:rPr>
            </w:pPr>
            <w:r>
              <w:rPr>
                <w:rFonts w:hint="eastAsia" w:cs="Times New Roman"/>
                <w:color w:val="auto"/>
                <w:sz w:val="24"/>
                <w:lang w:val="en-US" w:eastAsia="zh-CN"/>
              </w:rPr>
              <w:t>车削</w:t>
            </w:r>
            <w:r>
              <w:rPr>
                <w:rFonts w:hint="default" w:ascii="Times New Roman" w:hAnsi="Times New Roman" w:eastAsia="宋体" w:cs="Times New Roman"/>
                <w:b w:val="0"/>
                <w:bCs w:val="0"/>
                <w:color w:val="auto"/>
                <w:kern w:val="2"/>
                <w:sz w:val="24"/>
                <w:szCs w:val="24"/>
                <w:highlight w:val="none"/>
                <w:lang w:val="en-US" w:eastAsia="zh-CN" w:bidi="ar-SA"/>
              </w:rPr>
              <w:t>过程使用</w:t>
            </w:r>
            <w:r>
              <w:rPr>
                <w:rFonts w:hint="eastAsia" w:ascii="Times New Roman" w:hAnsi="Times New Roman" w:eastAsia="宋体" w:cs="Times New Roman"/>
                <w:b w:val="0"/>
                <w:bCs w:val="0"/>
                <w:color w:val="auto"/>
                <w:kern w:val="2"/>
                <w:sz w:val="24"/>
                <w:szCs w:val="24"/>
                <w:highlight w:val="none"/>
                <w:lang w:val="en-US" w:eastAsia="zh-CN" w:bidi="ar-SA"/>
              </w:rPr>
              <w:t>切削液</w:t>
            </w:r>
            <w:r>
              <w:rPr>
                <w:rFonts w:hint="default" w:ascii="Times New Roman" w:hAnsi="Times New Roman" w:eastAsia="宋体" w:cs="Times New Roman"/>
                <w:b w:val="0"/>
                <w:bCs w:val="0"/>
                <w:color w:val="auto"/>
                <w:kern w:val="2"/>
                <w:sz w:val="24"/>
                <w:szCs w:val="24"/>
                <w:highlight w:val="none"/>
                <w:lang w:val="en-US" w:eastAsia="zh-CN" w:bidi="ar-SA"/>
              </w:rPr>
              <w:t>会产生</w:t>
            </w:r>
            <w:r>
              <w:rPr>
                <w:rFonts w:hint="eastAsia" w:ascii="宋体" w:hAnsi="宋体" w:eastAsia="宋体" w:cs="宋体"/>
                <w:color w:val="auto"/>
                <w:sz w:val="24"/>
                <w:lang w:val="en-US" w:eastAsia="zh-CN"/>
              </w:rPr>
              <w:t>废</w:t>
            </w:r>
            <w:r>
              <w:rPr>
                <w:rFonts w:hint="eastAsia" w:ascii="宋体" w:hAnsi="宋体" w:cs="宋体"/>
                <w:color w:val="auto"/>
                <w:sz w:val="24"/>
                <w:lang w:val="en-US" w:eastAsia="zh-CN"/>
              </w:rPr>
              <w:t>切削液</w:t>
            </w:r>
            <w:r>
              <w:rPr>
                <w:rFonts w:hint="default" w:ascii="Times New Roman" w:hAnsi="Times New Roman" w:eastAsia="宋体" w:cs="Times New Roman"/>
                <w:color w:val="auto"/>
                <w:sz w:val="24"/>
                <w:lang w:val="en-US" w:eastAsia="zh-CN"/>
              </w:rPr>
              <w:t>，</w:t>
            </w:r>
            <w:r>
              <w:rPr>
                <w:rFonts w:hint="eastAsia" w:ascii="Times New Roman" w:hAnsi="Times New Roman" w:cs="Times New Roman"/>
                <w:color w:val="auto"/>
                <w:sz w:val="24"/>
                <w:lang w:val="en-US" w:eastAsia="zh-CN"/>
              </w:rPr>
              <w:t>一期工程</w:t>
            </w:r>
            <w:r>
              <w:rPr>
                <w:rFonts w:hint="eastAsia" w:cs="Times New Roman"/>
                <w:b w:val="0"/>
                <w:bCs w:val="0"/>
                <w:color w:val="auto"/>
                <w:sz w:val="24"/>
                <w:szCs w:val="24"/>
                <w:lang w:val="en-US" w:eastAsia="zh-CN"/>
              </w:rPr>
              <w:t>年</w:t>
            </w:r>
            <w:r>
              <w:rPr>
                <w:rFonts w:hint="default" w:ascii="Times New Roman" w:hAnsi="Times New Roman" w:eastAsia="宋体" w:cs="Times New Roman"/>
                <w:b w:val="0"/>
                <w:bCs w:val="0"/>
                <w:color w:val="auto"/>
                <w:kern w:val="2"/>
                <w:sz w:val="24"/>
                <w:szCs w:val="24"/>
                <w:highlight w:val="none"/>
                <w:lang w:val="en-US" w:eastAsia="zh-CN" w:bidi="ar-SA"/>
              </w:rPr>
              <w:t>产生量约</w:t>
            </w:r>
            <w:r>
              <w:rPr>
                <w:rFonts w:hint="eastAsia" w:cs="Times New Roman"/>
                <w:b w:val="0"/>
                <w:bCs w:val="0"/>
                <w:color w:val="auto"/>
                <w:kern w:val="2"/>
                <w:sz w:val="24"/>
                <w:szCs w:val="24"/>
                <w:highlight w:val="none"/>
                <w:lang w:val="en-US" w:eastAsia="zh-CN" w:bidi="ar-SA"/>
              </w:rPr>
              <w:t>0.25</w:t>
            </w:r>
            <w:r>
              <w:rPr>
                <w:rFonts w:hint="default" w:ascii="Times New Roman" w:hAnsi="Times New Roman" w:eastAsia="宋体" w:cs="Times New Roman"/>
                <w:b w:val="0"/>
                <w:bCs w:val="0"/>
                <w:color w:val="auto"/>
                <w:kern w:val="2"/>
                <w:sz w:val="24"/>
                <w:szCs w:val="24"/>
                <w:highlight w:val="none"/>
                <w:lang w:val="en-US" w:eastAsia="zh-CN" w:bidi="ar-SA"/>
              </w:rPr>
              <w:t>t/a，</w:t>
            </w:r>
            <w:r>
              <w:rPr>
                <w:rFonts w:hint="eastAsia" w:ascii="Times New Roman" w:hAnsi="Times New Roman" w:cs="Times New Roman"/>
                <w:color w:val="auto"/>
                <w:sz w:val="24"/>
                <w:lang w:val="en-US" w:eastAsia="zh-CN"/>
              </w:rPr>
              <w:t>二期建成后</w:t>
            </w:r>
            <w:r>
              <w:rPr>
                <w:rFonts w:hint="eastAsia" w:eastAsia="宋体" w:cs="Times New Roman"/>
                <w:b w:val="0"/>
                <w:bCs w:val="0"/>
                <w:color w:val="auto"/>
                <w:sz w:val="24"/>
                <w:szCs w:val="24"/>
                <w:lang w:val="en-US" w:eastAsia="zh-CN"/>
              </w:rPr>
              <w:t>年</w:t>
            </w:r>
            <w:r>
              <w:rPr>
                <w:rFonts w:hint="default" w:ascii="Times New Roman" w:hAnsi="Times New Roman" w:eastAsia="宋体" w:cs="Times New Roman"/>
                <w:color w:val="auto"/>
                <w:sz w:val="24"/>
                <w:lang w:val="en-US" w:eastAsia="zh-CN"/>
              </w:rPr>
              <w:t>产生量约</w:t>
            </w:r>
            <w:r>
              <w:rPr>
                <w:rFonts w:hint="default" w:ascii="Times New Roman" w:hAnsi="Times New Roman" w:cs="Times New Roman"/>
                <w:color w:val="auto"/>
                <w:sz w:val="24"/>
                <w:lang w:val="en-US" w:eastAsia="zh-CN"/>
              </w:rPr>
              <w:t>0.5</w:t>
            </w:r>
            <w:r>
              <w:rPr>
                <w:rFonts w:hint="default" w:ascii="Times New Roman" w:hAnsi="Times New Roman" w:eastAsia="宋体" w:cs="Times New Roman"/>
                <w:color w:val="auto"/>
                <w:sz w:val="24"/>
                <w:lang w:val="en-US" w:eastAsia="zh-CN"/>
              </w:rPr>
              <w:t>t/a，对照《国家危险废物名录》（202</w:t>
            </w:r>
            <w:r>
              <w:rPr>
                <w:rFonts w:hint="eastAsia" w:cs="Times New Roman"/>
                <w:color w:val="auto"/>
                <w:sz w:val="24"/>
                <w:lang w:val="en-US" w:eastAsia="zh-CN"/>
              </w:rPr>
              <w:t>5</w:t>
            </w:r>
            <w:r>
              <w:rPr>
                <w:rFonts w:hint="default" w:ascii="Times New Roman" w:hAnsi="Times New Roman" w:eastAsia="宋体" w:cs="Times New Roman"/>
                <w:color w:val="auto"/>
                <w:sz w:val="24"/>
                <w:lang w:val="en-US" w:eastAsia="zh-CN"/>
              </w:rPr>
              <w:t>年版），属于危险废物HW0</w:t>
            </w:r>
            <w:r>
              <w:rPr>
                <w:rFonts w:hint="eastAsia" w:cs="Times New Roman"/>
                <w:color w:val="auto"/>
                <w:sz w:val="24"/>
                <w:lang w:val="en-US" w:eastAsia="zh-CN"/>
              </w:rPr>
              <w:t>9油/水、烃/水混合物或者乳化液</w:t>
            </w:r>
            <w:r>
              <w:rPr>
                <w:rFonts w:hint="default" w:ascii="Times New Roman" w:hAnsi="Times New Roman" w:eastAsia="宋体" w:cs="Times New Roman"/>
                <w:color w:val="auto"/>
                <w:sz w:val="24"/>
                <w:lang w:val="en-US" w:eastAsia="zh-CN"/>
              </w:rPr>
              <w:t>，危废代码900-006-09（使用切削油或者切削液进行机械加工过程中产生的油/水、烃/水混合物或者乳化液</w:t>
            </w:r>
            <w:r>
              <w:rPr>
                <w:rFonts w:hint="eastAsia" w:ascii="宋体" w:hAnsi="宋体" w:eastAsia="宋体" w:cs="宋体"/>
                <w:color w:val="auto"/>
                <w:sz w:val="24"/>
                <w:lang w:val="en-US" w:eastAsia="zh-CN"/>
              </w:rPr>
              <w:t>）</w:t>
            </w:r>
            <w:r>
              <w:rPr>
                <w:rFonts w:hint="default" w:ascii="宋体" w:hAnsi="宋体" w:eastAsia="宋体" w:cs="宋体"/>
                <w:color w:val="auto"/>
                <w:sz w:val="24"/>
                <w:lang w:val="en-US" w:eastAsia="zh-CN"/>
              </w:rPr>
              <w:t>，于厂内危废暂存场所暂存后委托有资质单位妥善处置</w:t>
            </w:r>
            <w:r>
              <w:rPr>
                <w:rFonts w:hint="default" w:ascii="Times New Roman" w:hAnsi="Times New Roman" w:eastAsia="宋体" w:cs="Times New Roman"/>
                <w:b w:val="0"/>
                <w:bCs w:val="0"/>
                <w:color w:val="auto"/>
                <w:kern w:val="2"/>
                <w:sz w:val="24"/>
                <w:szCs w:val="24"/>
                <w:highlight w:val="none"/>
                <w:lang w:val="en-US" w:eastAsia="zh-CN" w:bidi="ar-SA"/>
              </w:rPr>
              <w:t>。</w:t>
            </w:r>
          </w:p>
          <w:p w14:paraId="547073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b/>
                <w:bCs/>
                <w:snapToGrid/>
                <w:color w:val="auto"/>
                <w:spacing w:val="0"/>
                <w:kern w:val="0"/>
                <w:position w:val="0"/>
                <w:sz w:val="24"/>
                <w:szCs w:val="24"/>
              </w:rPr>
              <w:t>表</w:t>
            </w:r>
            <w:r>
              <w:rPr>
                <w:rFonts w:hint="default" w:ascii="Times New Roman" w:hAnsi="Times New Roman" w:eastAsia="宋体" w:cs="Times New Roman"/>
                <w:b/>
                <w:bCs/>
                <w:snapToGrid/>
                <w:color w:val="auto"/>
                <w:spacing w:val="0"/>
                <w:kern w:val="0"/>
                <w:position w:val="0"/>
                <w:sz w:val="24"/>
                <w:szCs w:val="24"/>
                <w:lang w:val="en-US" w:eastAsia="zh-CN"/>
              </w:rPr>
              <w:t>4.</w:t>
            </w:r>
            <w:r>
              <w:rPr>
                <w:rFonts w:hint="eastAsia" w:cs="Times New Roman"/>
                <w:b/>
                <w:bCs/>
                <w:snapToGrid/>
                <w:color w:val="auto"/>
                <w:spacing w:val="0"/>
                <w:kern w:val="0"/>
                <w:position w:val="0"/>
                <w:sz w:val="24"/>
                <w:szCs w:val="24"/>
                <w:lang w:val="en-US" w:eastAsia="zh-CN"/>
              </w:rPr>
              <w:t xml:space="preserve">10  </w:t>
            </w:r>
            <w:r>
              <w:rPr>
                <w:rFonts w:hint="default" w:ascii="Times New Roman" w:hAnsi="Times New Roman" w:eastAsia="宋体" w:cs="Times New Roman"/>
                <w:b/>
                <w:bCs/>
                <w:color w:val="auto"/>
                <w:sz w:val="24"/>
                <w:szCs w:val="24"/>
              </w:rPr>
              <w:t>项目</w:t>
            </w:r>
            <w:r>
              <w:rPr>
                <w:rFonts w:hint="eastAsia" w:ascii="Times New Roman" w:hAnsi="Times New Roman" w:eastAsia="宋体" w:cs="Times New Roman"/>
                <w:b/>
                <w:bCs/>
                <w:color w:val="auto"/>
                <w:sz w:val="24"/>
                <w:szCs w:val="24"/>
                <w:lang w:val="en-US" w:eastAsia="zh-CN"/>
              </w:rPr>
              <w:t>一</w:t>
            </w:r>
            <w:r>
              <w:rPr>
                <w:rFonts w:hint="eastAsia" w:cs="Times New Roman"/>
                <w:b/>
                <w:bCs/>
                <w:color w:val="auto"/>
                <w:sz w:val="24"/>
                <w:szCs w:val="24"/>
                <w:lang w:val="en-US" w:eastAsia="zh-CN"/>
              </w:rPr>
              <w:t>期建成后全厂</w:t>
            </w:r>
            <w:r>
              <w:rPr>
                <w:rFonts w:hint="default" w:ascii="Times New Roman" w:hAnsi="Times New Roman" w:eastAsia="宋体" w:cs="Times New Roman"/>
                <w:b/>
                <w:bCs/>
                <w:color w:val="auto"/>
                <w:sz w:val="24"/>
                <w:szCs w:val="24"/>
              </w:rPr>
              <w:t>固体废物产</w:t>
            </w:r>
            <w:r>
              <w:rPr>
                <w:rFonts w:hint="eastAsia" w:ascii="Times New Roman" w:hAnsi="Times New Roman" w:eastAsia="宋体" w:cs="Times New Roman"/>
                <w:b/>
                <w:bCs/>
                <w:color w:val="auto"/>
                <w:sz w:val="24"/>
                <w:szCs w:val="24"/>
                <w:lang w:eastAsia="zh-CN"/>
              </w:rPr>
              <w:t>排污</w:t>
            </w:r>
            <w:r>
              <w:rPr>
                <w:rFonts w:hint="default" w:ascii="Times New Roman" w:hAnsi="Times New Roman" w:eastAsia="宋体" w:cs="Times New Roman"/>
                <w:b/>
                <w:bCs/>
                <w:color w:val="auto"/>
                <w:sz w:val="24"/>
                <w:szCs w:val="24"/>
              </w:rPr>
              <w:t>情况</w:t>
            </w:r>
            <w:r>
              <w:rPr>
                <w:rFonts w:hint="eastAsia" w:ascii="Times New Roman" w:hAnsi="Times New Roman" w:eastAsia="宋体" w:cs="Times New Roman"/>
                <w:b/>
                <w:bCs/>
                <w:color w:val="auto"/>
                <w:sz w:val="24"/>
                <w:szCs w:val="24"/>
                <w:lang w:eastAsia="zh-CN"/>
              </w:rPr>
              <w:t>一览</w:t>
            </w:r>
            <w:r>
              <w:rPr>
                <w:rFonts w:hint="default" w:ascii="Times New Roman" w:hAnsi="Times New Roman" w:eastAsia="宋体" w:cs="Times New Roman"/>
                <w:b/>
                <w:bCs/>
                <w:color w:val="auto"/>
                <w:sz w:val="24"/>
                <w:szCs w:val="24"/>
              </w:rPr>
              <w:t>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676"/>
              <w:gridCol w:w="668"/>
              <w:gridCol w:w="518"/>
              <w:gridCol w:w="865"/>
              <w:gridCol w:w="520"/>
              <w:gridCol w:w="839"/>
              <w:gridCol w:w="890"/>
              <w:gridCol w:w="464"/>
              <w:gridCol w:w="865"/>
              <w:gridCol w:w="890"/>
              <w:gridCol w:w="584"/>
            </w:tblGrid>
            <w:tr w14:paraId="5D22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3B2C45EB">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序号</w:t>
                  </w:r>
                </w:p>
              </w:tc>
              <w:tc>
                <w:tcPr>
                  <w:tcW w:w="411" w:type="pct"/>
                  <w:noWrap w:val="0"/>
                  <w:vAlign w:val="center"/>
                </w:tcPr>
                <w:p w14:paraId="4CBF8C4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产生环节</w:t>
                  </w:r>
                </w:p>
              </w:tc>
              <w:tc>
                <w:tcPr>
                  <w:tcW w:w="406" w:type="pct"/>
                  <w:noWrap w:val="0"/>
                  <w:vAlign w:val="center"/>
                </w:tcPr>
                <w:p w14:paraId="7098D97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固废名称</w:t>
                  </w:r>
                </w:p>
              </w:tc>
              <w:tc>
                <w:tcPr>
                  <w:tcW w:w="315" w:type="pct"/>
                  <w:noWrap w:val="0"/>
                  <w:vAlign w:val="center"/>
                </w:tcPr>
                <w:p w14:paraId="7A1B6C1A">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属性</w:t>
                  </w:r>
                </w:p>
              </w:tc>
              <w:tc>
                <w:tcPr>
                  <w:tcW w:w="526" w:type="pct"/>
                  <w:noWrap w:val="0"/>
                  <w:vAlign w:val="center"/>
                </w:tcPr>
                <w:p w14:paraId="6E0AB46D">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主要有毒有害物质名称</w:t>
                  </w:r>
                </w:p>
              </w:tc>
              <w:tc>
                <w:tcPr>
                  <w:tcW w:w="316" w:type="pct"/>
                  <w:noWrap w:val="0"/>
                  <w:vAlign w:val="center"/>
                </w:tcPr>
                <w:p w14:paraId="6873A92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物理性状</w:t>
                  </w:r>
                </w:p>
              </w:tc>
              <w:tc>
                <w:tcPr>
                  <w:tcW w:w="510" w:type="pct"/>
                  <w:noWrap w:val="0"/>
                  <w:vAlign w:val="center"/>
                </w:tcPr>
                <w:p w14:paraId="6939969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环境危险特性</w:t>
                  </w:r>
                </w:p>
              </w:tc>
              <w:tc>
                <w:tcPr>
                  <w:tcW w:w="541" w:type="pct"/>
                  <w:noWrap w:val="0"/>
                  <w:vAlign w:val="center"/>
                </w:tcPr>
                <w:p w14:paraId="4FE7B65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282" w:type="pct"/>
                  <w:noWrap w:val="0"/>
                  <w:vAlign w:val="center"/>
                </w:tcPr>
                <w:p w14:paraId="69AD483D">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贮存方式</w:t>
                  </w:r>
                </w:p>
              </w:tc>
              <w:tc>
                <w:tcPr>
                  <w:tcW w:w="526" w:type="pct"/>
                  <w:noWrap w:val="0"/>
                  <w:vAlign w:val="center"/>
                </w:tcPr>
                <w:p w14:paraId="741E84F8">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利用处置方式和去向</w:t>
                  </w:r>
                </w:p>
              </w:tc>
              <w:tc>
                <w:tcPr>
                  <w:tcW w:w="541" w:type="pct"/>
                  <w:noWrap w:val="0"/>
                  <w:vAlign w:val="center"/>
                </w:tcPr>
                <w:p w14:paraId="05E09B5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利用量或处置量（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355" w:type="pct"/>
                  <w:noWrap w:val="0"/>
                  <w:vAlign w:val="center"/>
                </w:tcPr>
                <w:p w14:paraId="3080BA3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环境管理要求</w:t>
                  </w:r>
                </w:p>
              </w:tc>
            </w:tr>
            <w:tr w14:paraId="5FFF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7056929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w:t>
                  </w:r>
                </w:p>
              </w:tc>
              <w:tc>
                <w:tcPr>
                  <w:tcW w:w="411" w:type="pct"/>
                  <w:noWrap w:val="0"/>
                  <w:vAlign w:val="center"/>
                </w:tcPr>
                <w:p w14:paraId="51019E2F">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eastAsia="zh-CN"/>
                    </w:rPr>
                    <w:t>职工生活</w:t>
                  </w:r>
                </w:p>
              </w:tc>
              <w:tc>
                <w:tcPr>
                  <w:tcW w:w="406" w:type="pct"/>
                  <w:noWrap w:val="0"/>
                  <w:vAlign w:val="center"/>
                </w:tcPr>
                <w:p w14:paraId="7D5E9546">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t>生活垃圾及废弃含油抹布、劳保用品</w:t>
                  </w:r>
                </w:p>
              </w:tc>
              <w:tc>
                <w:tcPr>
                  <w:tcW w:w="315" w:type="pct"/>
                  <w:vMerge w:val="restart"/>
                  <w:noWrap w:val="0"/>
                  <w:vAlign w:val="center"/>
                </w:tcPr>
                <w:p w14:paraId="06F5A8C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一般</w:t>
                  </w:r>
                </w:p>
                <w:p w14:paraId="4DE8123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固废</w:t>
                  </w:r>
                </w:p>
              </w:tc>
              <w:tc>
                <w:tcPr>
                  <w:tcW w:w="526" w:type="pct"/>
                  <w:noWrap w:val="0"/>
                  <w:vAlign w:val="center"/>
                </w:tcPr>
                <w:p w14:paraId="5E5F4F4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316" w:type="pct"/>
                  <w:noWrap w:val="0"/>
                  <w:vAlign w:val="center"/>
                </w:tcPr>
                <w:p w14:paraId="72E167C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435EC4C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541" w:type="pct"/>
                  <w:noWrap w:val="0"/>
                  <w:vAlign w:val="center"/>
                </w:tcPr>
                <w:p w14:paraId="20016CAF">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bidi="ar-SA"/>
                    </w:rPr>
                    <w:t>4.65</w:t>
                  </w:r>
                </w:p>
              </w:tc>
              <w:tc>
                <w:tcPr>
                  <w:tcW w:w="282" w:type="pct"/>
                  <w:noWrap w:val="0"/>
                  <w:vAlign w:val="center"/>
                </w:tcPr>
                <w:p w14:paraId="45BD006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26" w:type="pct"/>
                  <w:noWrap w:val="0"/>
                  <w:vAlign w:val="center"/>
                </w:tcPr>
                <w:p w14:paraId="6AAD581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rPr>
                    <w:t>环卫部门</w:t>
                  </w:r>
                </w:p>
              </w:tc>
              <w:tc>
                <w:tcPr>
                  <w:tcW w:w="541" w:type="pct"/>
                  <w:noWrap w:val="0"/>
                  <w:vAlign w:val="center"/>
                </w:tcPr>
                <w:p w14:paraId="2A9A0DFC">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bidi="ar-SA"/>
                    </w:rPr>
                    <w:t>4.65</w:t>
                  </w:r>
                </w:p>
              </w:tc>
              <w:tc>
                <w:tcPr>
                  <w:tcW w:w="355" w:type="pct"/>
                  <w:noWrap w:val="0"/>
                  <w:vAlign w:val="center"/>
                </w:tcPr>
                <w:p w14:paraId="1C55E53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垃圾桶</w:t>
                  </w:r>
                </w:p>
              </w:tc>
            </w:tr>
            <w:tr w14:paraId="0DA7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5345650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2</w:t>
                  </w:r>
                </w:p>
              </w:tc>
              <w:tc>
                <w:tcPr>
                  <w:tcW w:w="411" w:type="pct"/>
                  <w:noWrap w:val="0"/>
                  <w:vAlign w:val="center"/>
                </w:tcPr>
                <w:p w14:paraId="055EEC05">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snapToGrid/>
                      <w:color w:val="auto"/>
                      <w:spacing w:val="0"/>
                      <w:kern w:val="0"/>
                      <w:position w:val="0"/>
                      <w:sz w:val="21"/>
                      <w:szCs w:val="21"/>
                      <w:lang w:val="en-US" w:eastAsia="zh-CN"/>
                    </w:rPr>
                    <w:t>机加工</w:t>
                  </w:r>
                </w:p>
              </w:tc>
              <w:tc>
                <w:tcPr>
                  <w:tcW w:w="406" w:type="pct"/>
                  <w:noWrap w:val="0"/>
                  <w:vAlign w:val="center"/>
                </w:tcPr>
                <w:p w14:paraId="4FACE5C7">
                  <w:pPr>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t>废</w:t>
                  </w:r>
                  <w:r>
                    <w:rPr>
                      <w:rFonts w:hint="eastAsia" w:cs="Times New Roman"/>
                      <w:b w:val="0"/>
                      <w:bCs w:val="0"/>
                      <w:snapToGrid/>
                      <w:color w:val="auto"/>
                      <w:spacing w:val="0"/>
                      <w:kern w:val="0"/>
                      <w:position w:val="0"/>
                      <w:sz w:val="21"/>
                      <w:szCs w:val="21"/>
                      <w:vertAlign w:val="baseline"/>
                      <w:lang w:val="en-US" w:eastAsia="zh-CN" w:bidi="ar-SA"/>
                    </w:rPr>
                    <w:t>边角料</w:t>
                  </w:r>
                </w:p>
              </w:tc>
              <w:tc>
                <w:tcPr>
                  <w:tcW w:w="315" w:type="pct"/>
                  <w:vMerge w:val="continue"/>
                  <w:noWrap w:val="0"/>
                  <w:vAlign w:val="center"/>
                </w:tcPr>
                <w:p w14:paraId="0C28AC8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526" w:type="pct"/>
                  <w:noWrap w:val="0"/>
                  <w:vAlign w:val="center"/>
                </w:tcPr>
                <w:p w14:paraId="199ED7D1">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316" w:type="pct"/>
                  <w:noWrap w:val="0"/>
                  <w:vAlign w:val="center"/>
                </w:tcPr>
                <w:p w14:paraId="278E80C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2ECCE8C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541" w:type="pct"/>
                  <w:noWrap w:val="0"/>
                  <w:vAlign w:val="center"/>
                </w:tcPr>
                <w:p w14:paraId="2BE78145">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bidi="ar-SA"/>
                    </w:rPr>
                    <w:t>4</w:t>
                  </w:r>
                </w:p>
              </w:tc>
              <w:tc>
                <w:tcPr>
                  <w:tcW w:w="282" w:type="pct"/>
                  <w:noWrap w:val="0"/>
                  <w:vAlign w:val="center"/>
                </w:tcPr>
                <w:p w14:paraId="4A1B0BC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rPr>
                    <w:t>袋装</w:t>
                  </w:r>
                </w:p>
              </w:tc>
              <w:tc>
                <w:tcPr>
                  <w:tcW w:w="526" w:type="pct"/>
                  <w:vMerge w:val="restart"/>
                  <w:noWrap w:val="0"/>
                  <w:vAlign w:val="center"/>
                </w:tcPr>
                <w:p w14:paraId="3CB3954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bidi="ar-SA"/>
                    </w:rPr>
                    <w:t>由资源利用单位回收利用</w:t>
                  </w:r>
                </w:p>
              </w:tc>
              <w:tc>
                <w:tcPr>
                  <w:tcW w:w="541" w:type="pct"/>
                  <w:noWrap w:val="0"/>
                  <w:vAlign w:val="center"/>
                </w:tcPr>
                <w:p w14:paraId="4EA2FDD8">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bidi="ar-SA"/>
                    </w:rPr>
                    <w:t>4</w:t>
                  </w:r>
                </w:p>
              </w:tc>
              <w:tc>
                <w:tcPr>
                  <w:tcW w:w="355" w:type="pct"/>
                  <w:vMerge w:val="restart"/>
                  <w:noWrap w:val="0"/>
                  <w:vAlign w:val="center"/>
                </w:tcPr>
                <w:p w14:paraId="12D0159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固废暂存间</w:t>
                  </w:r>
                </w:p>
              </w:tc>
            </w:tr>
            <w:tr w14:paraId="27AA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2D4DC468">
                  <w:pPr>
                    <w:adjustRightInd w:val="0"/>
                    <w:snapToGrid w:val="0"/>
                    <w:jc w:val="center"/>
                    <w:rPr>
                      <w:rFonts w:hint="eastAsia"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3</w:t>
                  </w:r>
                </w:p>
              </w:tc>
              <w:tc>
                <w:tcPr>
                  <w:tcW w:w="411" w:type="pct"/>
                  <w:noWrap w:val="0"/>
                  <w:vAlign w:val="center"/>
                </w:tcPr>
                <w:p w14:paraId="69ED1255">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检验</w:t>
                  </w:r>
                </w:p>
              </w:tc>
              <w:tc>
                <w:tcPr>
                  <w:tcW w:w="406" w:type="pct"/>
                  <w:noWrap w:val="0"/>
                  <w:vAlign w:val="center"/>
                </w:tcPr>
                <w:p w14:paraId="4BA8C45E">
                  <w:pPr>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不合格品</w:t>
                  </w:r>
                </w:p>
              </w:tc>
              <w:tc>
                <w:tcPr>
                  <w:tcW w:w="315" w:type="pct"/>
                  <w:vMerge w:val="continue"/>
                  <w:noWrap w:val="0"/>
                  <w:vAlign w:val="center"/>
                </w:tcPr>
                <w:p w14:paraId="1C65E4E1">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526" w:type="pct"/>
                  <w:noWrap w:val="0"/>
                  <w:vAlign w:val="center"/>
                </w:tcPr>
                <w:p w14:paraId="32FE30E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16" w:type="pct"/>
                  <w:noWrap w:val="0"/>
                  <w:vAlign w:val="center"/>
                </w:tcPr>
                <w:p w14:paraId="0848A12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353B7E8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541" w:type="pct"/>
                  <w:noWrap w:val="0"/>
                  <w:vAlign w:val="center"/>
                </w:tcPr>
                <w:p w14:paraId="304FCCAA">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8</w:t>
                  </w:r>
                </w:p>
              </w:tc>
              <w:tc>
                <w:tcPr>
                  <w:tcW w:w="282" w:type="pct"/>
                  <w:noWrap w:val="0"/>
                  <w:vAlign w:val="center"/>
                </w:tcPr>
                <w:p w14:paraId="7E53DE7E">
                  <w:pPr>
                    <w:adjustRightInd w:val="0"/>
                    <w:snapToGrid w:val="0"/>
                    <w:jc w:val="center"/>
                    <w:rPr>
                      <w:rFonts w:hint="eastAsia"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26" w:type="pct"/>
                  <w:vMerge w:val="continue"/>
                  <w:noWrap w:val="0"/>
                  <w:vAlign w:val="center"/>
                </w:tcPr>
                <w:p w14:paraId="1611852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p>
              </w:tc>
              <w:tc>
                <w:tcPr>
                  <w:tcW w:w="541" w:type="pct"/>
                  <w:noWrap w:val="0"/>
                  <w:vAlign w:val="center"/>
                </w:tcPr>
                <w:p w14:paraId="19397AA8">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8</w:t>
                  </w:r>
                </w:p>
              </w:tc>
              <w:tc>
                <w:tcPr>
                  <w:tcW w:w="355" w:type="pct"/>
                  <w:vMerge w:val="continue"/>
                  <w:noWrap w:val="0"/>
                  <w:vAlign w:val="center"/>
                </w:tcPr>
                <w:p w14:paraId="11B557EA">
                  <w:pPr>
                    <w:adjustRightInd w:val="0"/>
                    <w:snapToGrid w:val="0"/>
                    <w:jc w:val="center"/>
                    <w:rPr>
                      <w:rFonts w:hint="eastAsia" w:cs="Times New Roman"/>
                      <w:snapToGrid/>
                      <w:color w:val="auto"/>
                      <w:spacing w:val="0"/>
                      <w:kern w:val="0"/>
                      <w:position w:val="0"/>
                      <w:sz w:val="21"/>
                      <w:szCs w:val="21"/>
                      <w:lang w:val="en-US" w:eastAsia="zh-CN"/>
                    </w:rPr>
                  </w:pPr>
                </w:p>
              </w:tc>
            </w:tr>
            <w:tr w14:paraId="3CD2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4949EB6D">
                  <w:pPr>
                    <w:adjustRightInd w:val="0"/>
                    <w:snapToGrid w:val="0"/>
                    <w:jc w:val="center"/>
                    <w:rPr>
                      <w:rFonts w:hint="eastAsia"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4</w:t>
                  </w:r>
                </w:p>
              </w:tc>
              <w:tc>
                <w:tcPr>
                  <w:tcW w:w="411" w:type="pct"/>
                  <w:noWrap w:val="0"/>
                  <w:vAlign w:val="center"/>
                </w:tcPr>
                <w:p w14:paraId="34FDE8E0">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包装</w:t>
                  </w:r>
                </w:p>
              </w:tc>
              <w:tc>
                <w:tcPr>
                  <w:tcW w:w="406" w:type="pct"/>
                  <w:noWrap w:val="0"/>
                  <w:vAlign w:val="center"/>
                </w:tcPr>
                <w:p w14:paraId="468F4E69">
                  <w:pPr>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废包装材料</w:t>
                  </w:r>
                </w:p>
              </w:tc>
              <w:tc>
                <w:tcPr>
                  <w:tcW w:w="315" w:type="pct"/>
                  <w:vMerge w:val="continue"/>
                  <w:noWrap w:val="0"/>
                  <w:vAlign w:val="center"/>
                </w:tcPr>
                <w:p w14:paraId="48126D7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526" w:type="pct"/>
                  <w:noWrap w:val="0"/>
                  <w:vAlign w:val="center"/>
                </w:tcPr>
                <w:p w14:paraId="4B2DE38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316" w:type="pct"/>
                  <w:noWrap w:val="0"/>
                  <w:vAlign w:val="center"/>
                </w:tcPr>
                <w:p w14:paraId="580BB96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0B6D0C7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541" w:type="pct"/>
                  <w:noWrap w:val="0"/>
                  <w:vAlign w:val="center"/>
                </w:tcPr>
                <w:p w14:paraId="33398889">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0.1</w:t>
                  </w:r>
                </w:p>
              </w:tc>
              <w:tc>
                <w:tcPr>
                  <w:tcW w:w="282" w:type="pct"/>
                  <w:noWrap w:val="0"/>
                  <w:vAlign w:val="center"/>
                </w:tcPr>
                <w:p w14:paraId="083BB366">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袋装</w:t>
                  </w:r>
                </w:p>
              </w:tc>
              <w:tc>
                <w:tcPr>
                  <w:tcW w:w="526" w:type="pct"/>
                  <w:vMerge w:val="continue"/>
                  <w:noWrap w:val="0"/>
                  <w:vAlign w:val="center"/>
                </w:tcPr>
                <w:p w14:paraId="78FA38C9">
                  <w:pPr>
                    <w:adjustRightInd w:val="0"/>
                    <w:snapToGrid w:val="0"/>
                    <w:jc w:val="center"/>
                    <w:rPr>
                      <w:rFonts w:hint="eastAsia" w:cs="Times New Roman"/>
                      <w:snapToGrid/>
                      <w:color w:val="auto"/>
                      <w:spacing w:val="0"/>
                      <w:kern w:val="0"/>
                      <w:position w:val="0"/>
                      <w:sz w:val="21"/>
                      <w:szCs w:val="21"/>
                      <w:lang w:val="en-US" w:eastAsia="zh-CN" w:bidi="ar-SA"/>
                    </w:rPr>
                  </w:pPr>
                </w:p>
              </w:tc>
              <w:tc>
                <w:tcPr>
                  <w:tcW w:w="541" w:type="pct"/>
                  <w:noWrap w:val="0"/>
                  <w:vAlign w:val="center"/>
                </w:tcPr>
                <w:p w14:paraId="6094D47D">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0.1</w:t>
                  </w:r>
                </w:p>
              </w:tc>
              <w:tc>
                <w:tcPr>
                  <w:tcW w:w="355" w:type="pct"/>
                  <w:vMerge w:val="continue"/>
                  <w:noWrap w:val="0"/>
                  <w:vAlign w:val="center"/>
                </w:tcPr>
                <w:p w14:paraId="52632F31">
                  <w:pPr>
                    <w:adjustRightInd w:val="0"/>
                    <w:snapToGrid w:val="0"/>
                    <w:jc w:val="center"/>
                    <w:rPr>
                      <w:rFonts w:hint="eastAsia" w:cs="Times New Roman"/>
                      <w:snapToGrid/>
                      <w:color w:val="auto"/>
                      <w:spacing w:val="0"/>
                      <w:kern w:val="0"/>
                      <w:position w:val="0"/>
                      <w:sz w:val="21"/>
                      <w:szCs w:val="21"/>
                      <w:lang w:val="en-US" w:eastAsia="zh-CN"/>
                    </w:rPr>
                  </w:pPr>
                </w:p>
              </w:tc>
            </w:tr>
            <w:tr w14:paraId="41AE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2A86682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5</w:t>
                  </w:r>
                </w:p>
              </w:tc>
              <w:tc>
                <w:tcPr>
                  <w:tcW w:w="411" w:type="pct"/>
                  <w:noWrap w:val="0"/>
                  <w:vAlign w:val="center"/>
                </w:tcPr>
                <w:p w14:paraId="4748F56A">
                  <w:pPr>
                    <w:spacing w:line="240" w:lineRule="auto"/>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物料使用</w:t>
                  </w:r>
                </w:p>
              </w:tc>
              <w:tc>
                <w:tcPr>
                  <w:tcW w:w="406" w:type="pct"/>
                  <w:noWrap w:val="0"/>
                  <w:vAlign w:val="center"/>
                </w:tcPr>
                <w:p w14:paraId="0A66F25F">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bCs/>
                      <w:snapToGrid/>
                      <w:color w:val="auto"/>
                      <w:spacing w:val="0"/>
                      <w:kern w:val="0"/>
                      <w:position w:val="0"/>
                      <w:sz w:val="21"/>
                      <w:szCs w:val="21"/>
                      <w:lang w:val="en-US" w:eastAsia="zh-CN"/>
                    </w:rPr>
                    <w:t>废油桶</w:t>
                  </w:r>
                </w:p>
              </w:tc>
              <w:tc>
                <w:tcPr>
                  <w:tcW w:w="315" w:type="pct"/>
                  <w:vMerge w:val="restart"/>
                  <w:noWrap w:val="0"/>
                  <w:vAlign w:val="center"/>
                </w:tcPr>
                <w:p w14:paraId="2BA442B7">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w:t>
                  </w:r>
                </w:p>
                <w:p w14:paraId="40C89D7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废物</w:t>
                  </w:r>
                </w:p>
              </w:tc>
              <w:tc>
                <w:tcPr>
                  <w:tcW w:w="526" w:type="pct"/>
                  <w:noWrap w:val="0"/>
                  <w:vAlign w:val="center"/>
                </w:tcPr>
                <w:p w14:paraId="0F6A50CF">
                  <w:pPr>
                    <w:adjustRightInd w:val="0"/>
                    <w:snapToGrid w:val="0"/>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废</w:t>
                  </w:r>
                  <w:r>
                    <w:rPr>
                      <w:rFonts w:hint="eastAsia" w:cs="Times New Roman"/>
                      <w:bCs/>
                      <w:snapToGrid/>
                      <w:color w:val="auto"/>
                      <w:spacing w:val="0"/>
                      <w:kern w:val="0"/>
                      <w:position w:val="0"/>
                      <w:sz w:val="21"/>
                      <w:szCs w:val="21"/>
                      <w:lang w:val="en-US" w:eastAsia="zh-CN"/>
                    </w:rPr>
                    <w:t>油桶</w:t>
                  </w:r>
                </w:p>
              </w:tc>
              <w:tc>
                <w:tcPr>
                  <w:tcW w:w="316" w:type="pct"/>
                  <w:noWrap w:val="0"/>
                  <w:vAlign w:val="center"/>
                </w:tcPr>
                <w:p w14:paraId="4ED7BFA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326C2A2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T</w:t>
                  </w:r>
                  <w:r>
                    <w:rPr>
                      <w:rFonts w:hint="default" w:ascii="Times New Roman" w:hAnsi="Times New Roman" w:cs="Times New Roman"/>
                      <w:color w:val="auto"/>
                      <w:szCs w:val="21"/>
                    </w:rPr>
                    <w:t>，I</w:t>
                  </w:r>
                </w:p>
              </w:tc>
              <w:tc>
                <w:tcPr>
                  <w:tcW w:w="541" w:type="pct"/>
                  <w:noWrap w:val="0"/>
                  <w:vAlign w:val="center"/>
                </w:tcPr>
                <w:p w14:paraId="1A575A6A">
                  <w:pPr>
                    <w:spacing w:line="240" w:lineRule="exac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0.11</w:t>
                  </w:r>
                </w:p>
              </w:tc>
              <w:tc>
                <w:tcPr>
                  <w:tcW w:w="282" w:type="pct"/>
                  <w:noWrap w:val="0"/>
                  <w:vAlign w:val="center"/>
                </w:tcPr>
                <w:p w14:paraId="55E68D8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sz w:val="21"/>
                      <w:szCs w:val="21"/>
                      <w:lang w:val="en-US" w:eastAsia="zh-CN"/>
                    </w:rPr>
                    <w:t>袋装</w:t>
                  </w:r>
                </w:p>
              </w:tc>
              <w:tc>
                <w:tcPr>
                  <w:tcW w:w="526" w:type="pct"/>
                  <w:vMerge w:val="restart"/>
                  <w:noWrap w:val="0"/>
                  <w:vAlign w:val="center"/>
                </w:tcPr>
                <w:p w14:paraId="53840561">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委托有资质单位处理</w:t>
                  </w:r>
                </w:p>
              </w:tc>
              <w:tc>
                <w:tcPr>
                  <w:tcW w:w="541" w:type="pct"/>
                  <w:noWrap w:val="0"/>
                  <w:vAlign w:val="center"/>
                </w:tcPr>
                <w:p w14:paraId="277C6C10">
                  <w:pPr>
                    <w:spacing w:line="240" w:lineRule="exac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0.11</w:t>
                  </w:r>
                </w:p>
              </w:tc>
              <w:tc>
                <w:tcPr>
                  <w:tcW w:w="355" w:type="pct"/>
                  <w:vMerge w:val="restart"/>
                  <w:noWrap w:val="0"/>
                  <w:vAlign w:val="center"/>
                </w:tcPr>
                <w:p w14:paraId="5B208BE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危废暂存间</w:t>
                  </w:r>
                </w:p>
              </w:tc>
            </w:tr>
            <w:tr w14:paraId="3743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16CF0F8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6</w:t>
                  </w:r>
                </w:p>
              </w:tc>
              <w:tc>
                <w:tcPr>
                  <w:tcW w:w="411" w:type="pct"/>
                  <w:noWrap w:val="0"/>
                  <w:vAlign w:val="center"/>
                </w:tcPr>
                <w:p w14:paraId="231EF172">
                  <w:pPr>
                    <w:spacing w:line="240" w:lineRule="auto"/>
                    <w:jc w:val="center"/>
                    <w:rPr>
                      <w:rFonts w:hint="eastAsia" w:eastAsia="宋体"/>
                      <w:color w:val="auto"/>
                      <w:szCs w:val="21"/>
                      <w:lang w:val="en-US" w:eastAsia="zh-CN"/>
                    </w:rPr>
                  </w:pPr>
                  <w:r>
                    <w:rPr>
                      <w:rFonts w:hint="eastAsia"/>
                      <w:color w:val="auto"/>
                      <w:szCs w:val="21"/>
                      <w:lang w:val="en-US" w:eastAsia="zh-CN"/>
                    </w:rPr>
                    <w:t>机加工</w:t>
                  </w:r>
                </w:p>
              </w:tc>
              <w:tc>
                <w:tcPr>
                  <w:tcW w:w="406" w:type="pct"/>
                  <w:noWrap w:val="0"/>
                  <w:vAlign w:val="center"/>
                </w:tcPr>
                <w:p w14:paraId="4C969D0E">
                  <w:pPr>
                    <w:jc w:val="center"/>
                    <w:rPr>
                      <w:rFonts w:hint="default" w:eastAsia="宋体"/>
                      <w:color w:val="auto"/>
                      <w:szCs w:val="21"/>
                      <w:lang w:val="en-US" w:eastAsia="zh-CN"/>
                    </w:rPr>
                  </w:pPr>
                  <w:r>
                    <w:rPr>
                      <w:rFonts w:hint="eastAsia"/>
                      <w:color w:val="auto"/>
                      <w:szCs w:val="21"/>
                      <w:lang w:val="en-US" w:eastAsia="zh-CN"/>
                    </w:rPr>
                    <w:t>废抗磨液压油</w:t>
                  </w:r>
                </w:p>
              </w:tc>
              <w:tc>
                <w:tcPr>
                  <w:tcW w:w="315" w:type="pct"/>
                  <w:vMerge w:val="continue"/>
                  <w:noWrap w:val="0"/>
                  <w:vAlign w:val="center"/>
                </w:tcPr>
                <w:p w14:paraId="1BCAA79D">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526" w:type="pct"/>
                  <w:noWrap w:val="0"/>
                  <w:vAlign w:val="center"/>
                </w:tcPr>
                <w:p w14:paraId="25B98865">
                  <w:pPr>
                    <w:adjustRightInd w:val="0"/>
                    <w:snapToGrid w:val="0"/>
                    <w:jc w:val="center"/>
                    <w:rPr>
                      <w:rFonts w:hint="default" w:eastAsia="宋体"/>
                      <w:color w:val="auto"/>
                      <w:lang w:val="en-US" w:eastAsia="zh-CN"/>
                    </w:rPr>
                  </w:pPr>
                  <w:r>
                    <w:rPr>
                      <w:rFonts w:hint="eastAsia"/>
                      <w:color w:val="auto"/>
                      <w:szCs w:val="21"/>
                      <w:lang w:val="en-US" w:eastAsia="zh-CN"/>
                    </w:rPr>
                    <w:t>废抗磨液压油</w:t>
                  </w:r>
                </w:p>
              </w:tc>
              <w:tc>
                <w:tcPr>
                  <w:tcW w:w="316" w:type="pct"/>
                  <w:noWrap w:val="0"/>
                  <w:vAlign w:val="center"/>
                </w:tcPr>
                <w:p w14:paraId="3D77E28E">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液态</w:t>
                  </w:r>
                </w:p>
              </w:tc>
              <w:tc>
                <w:tcPr>
                  <w:tcW w:w="510" w:type="pct"/>
                  <w:noWrap w:val="0"/>
                  <w:vAlign w:val="center"/>
                </w:tcPr>
                <w:p w14:paraId="4F12BA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T</w:t>
                  </w:r>
                  <w:r>
                    <w:rPr>
                      <w:rFonts w:hint="default" w:ascii="Times New Roman" w:hAnsi="Times New Roman" w:cs="Times New Roman"/>
                      <w:color w:val="auto"/>
                      <w:szCs w:val="21"/>
                    </w:rPr>
                    <w:t>，I</w:t>
                  </w:r>
                </w:p>
              </w:tc>
              <w:tc>
                <w:tcPr>
                  <w:tcW w:w="541" w:type="pct"/>
                  <w:noWrap w:val="0"/>
                  <w:vAlign w:val="center"/>
                </w:tcPr>
                <w:p w14:paraId="4DAE1563">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0.2</w:t>
                  </w:r>
                </w:p>
              </w:tc>
              <w:tc>
                <w:tcPr>
                  <w:tcW w:w="282" w:type="pct"/>
                  <w:noWrap w:val="0"/>
                  <w:vAlign w:val="center"/>
                </w:tcPr>
                <w:p w14:paraId="7D0471D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桶装</w:t>
                  </w:r>
                </w:p>
              </w:tc>
              <w:tc>
                <w:tcPr>
                  <w:tcW w:w="526" w:type="pct"/>
                  <w:vMerge w:val="continue"/>
                  <w:noWrap w:val="0"/>
                  <w:vAlign w:val="center"/>
                </w:tcPr>
                <w:p w14:paraId="48D915D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541" w:type="pct"/>
                  <w:noWrap w:val="0"/>
                  <w:vAlign w:val="center"/>
                </w:tcPr>
                <w:p w14:paraId="2EE627B4">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0.2</w:t>
                  </w:r>
                </w:p>
              </w:tc>
              <w:tc>
                <w:tcPr>
                  <w:tcW w:w="355" w:type="pct"/>
                  <w:vMerge w:val="continue"/>
                  <w:noWrap w:val="0"/>
                  <w:vAlign w:val="center"/>
                </w:tcPr>
                <w:p w14:paraId="0F21D829">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r>
            <w:tr w14:paraId="7ECF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113BB3EF">
                  <w:pPr>
                    <w:adjustRightInd w:val="0"/>
                    <w:snapToGrid w:val="0"/>
                    <w:jc w:val="center"/>
                    <w:rPr>
                      <w:rFonts w:hint="default"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7</w:t>
                  </w:r>
                </w:p>
              </w:tc>
              <w:tc>
                <w:tcPr>
                  <w:tcW w:w="411" w:type="pct"/>
                  <w:noWrap w:val="0"/>
                  <w:vAlign w:val="center"/>
                </w:tcPr>
                <w:p w14:paraId="0F4C8325">
                  <w:pPr>
                    <w:spacing w:line="240" w:lineRule="auto"/>
                    <w:jc w:val="center"/>
                    <w:rPr>
                      <w:rFonts w:hint="default"/>
                      <w:color w:val="auto"/>
                      <w:szCs w:val="21"/>
                      <w:lang w:val="en-US" w:eastAsia="zh-CN"/>
                    </w:rPr>
                  </w:pPr>
                  <w:r>
                    <w:rPr>
                      <w:rFonts w:hint="eastAsia"/>
                      <w:color w:val="auto"/>
                      <w:szCs w:val="21"/>
                      <w:lang w:val="en-US" w:eastAsia="zh-CN"/>
                    </w:rPr>
                    <w:t>车削</w:t>
                  </w:r>
                </w:p>
              </w:tc>
              <w:tc>
                <w:tcPr>
                  <w:tcW w:w="406" w:type="pct"/>
                  <w:noWrap w:val="0"/>
                  <w:vAlign w:val="center"/>
                </w:tcPr>
                <w:p w14:paraId="5A1EBFBD">
                  <w:pPr>
                    <w:jc w:val="center"/>
                    <w:rPr>
                      <w:rFonts w:hint="default"/>
                      <w:color w:val="auto"/>
                      <w:szCs w:val="21"/>
                      <w:lang w:val="en-US" w:eastAsia="zh-CN"/>
                    </w:rPr>
                  </w:pPr>
                  <w:r>
                    <w:rPr>
                      <w:rFonts w:hint="eastAsia"/>
                      <w:color w:val="auto"/>
                      <w:szCs w:val="21"/>
                      <w:lang w:val="en-US" w:eastAsia="zh-CN"/>
                    </w:rPr>
                    <w:t>废切削液</w:t>
                  </w:r>
                </w:p>
              </w:tc>
              <w:tc>
                <w:tcPr>
                  <w:tcW w:w="315" w:type="pct"/>
                  <w:vMerge w:val="continue"/>
                  <w:noWrap w:val="0"/>
                  <w:vAlign w:val="center"/>
                </w:tcPr>
                <w:p w14:paraId="52D95B1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526" w:type="pct"/>
                  <w:noWrap w:val="0"/>
                  <w:vAlign w:val="center"/>
                </w:tcPr>
                <w:p w14:paraId="22962654">
                  <w:pPr>
                    <w:adjustRightInd w:val="0"/>
                    <w:snapToGrid w:val="0"/>
                    <w:jc w:val="center"/>
                    <w:rPr>
                      <w:rFonts w:hint="default"/>
                      <w:color w:val="auto"/>
                      <w:lang w:val="en-US" w:eastAsia="zh-CN"/>
                    </w:rPr>
                  </w:pPr>
                  <w:r>
                    <w:rPr>
                      <w:rFonts w:hint="eastAsia"/>
                      <w:color w:val="auto"/>
                      <w:lang w:val="en-US" w:eastAsia="zh-CN"/>
                    </w:rPr>
                    <w:t>废切削液</w:t>
                  </w:r>
                </w:p>
              </w:tc>
              <w:tc>
                <w:tcPr>
                  <w:tcW w:w="316" w:type="pct"/>
                  <w:noWrap w:val="0"/>
                  <w:vAlign w:val="center"/>
                </w:tcPr>
                <w:p w14:paraId="22AB217C">
                  <w:pPr>
                    <w:adjustRightInd w:val="0"/>
                    <w:snapToGrid w:val="0"/>
                    <w:jc w:val="center"/>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液态</w:t>
                  </w:r>
                </w:p>
              </w:tc>
              <w:tc>
                <w:tcPr>
                  <w:tcW w:w="510" w:type="pct"/>
                  <w:noWrap w:val="0"/>
                  <w:vAlign w:val="center"/>
                </w:tcPr>
                <w:p w14:paraId="1990C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default" w:ascii="Times New Roman" w:hAnsi="Times New Roman"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T</w:t>
                  </w:r>
                </w:p>
              </w:tc>
              <w:tc>
                <w:tcPr>
                  <w:tcW w:w="541" w:type="pct"/>
                  <w:noWrap w:val="0"/>
                  <w:vAlign w:val="center"/>
                </w:tcPr>
                <w:p w14:paraId="795E2173">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0.25</w:t>
                  </w:r>
                </w:p>
              </w:tc>
              <w:tc>
                <w:tcPr>
                  <w:tcW w:w="282" w:type="pct"/>
                  <w:noWrap w:val="0"/>
                  <w:vAlign w:val="center"/>
                </w:tcPr>
                <w:p w14:paraId="1A857270">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桶装</w:t>
                  </w:r>
                </w:p>
              </w:tc>
              <w:tc>
                <w:tcPr>
                  <w:tcW w:w="526" w:type="pct"/>
                  <w:vMerge w:val="continue"/>
                  <w:noWrap w:val="0"/>
                  <w:vAlign w:val="center"/>
                </w:tcPr>
                <w:p w14:paraId="0E871A44">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541" w:type="pct"/>
                  <w:noWrap w:val="0"/>
                  <w:vAlign w:val="center"/>
                </w:tcPr>
                <w:p w14:paraId="6EF97F70">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0.25</w:t>
                  </w:r>
                </w:p>
              </w:tc>
              <w:tc>
                <w:tcPr>
                  <w:tcW w:w="355" w:type="pct"/>
                  <w:vMerge w:val="continue"/>
                  <w:noWrap w:val="0"/>
                  <w:vAlign w:val="center"/>
                </w:tcPr>
                <w:p w14:paraId="1FD0344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r>
          </w:tbl>
          <w:p w14:paraId="677A977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b/>
                <w:bCs/>
                <w:snapToGrid/>
                <w:color w:val="auto"/>
                <w:spacing w:val="0"/>
                <w:kern w:val="0"/>
                <w:position w:val="0"/>
                <w:sz w:val="24"/>
                <w:szCs w:val="24"/>
              </w:rPr>
              <w:t>表</w:t>
            </w:r>
            <w:r>
              <w:rPr>
                <w:rFonts w:hint="default" w:ascii="Times New Roman" w:hAnsi="Times New Roman" w:eastAsia="宋体" w:cs="Times New Roman"/>
                <w:b/>
                <w:bCs/>
                <w:snapToGrid/>
                <w:color w:val="auto"/>
                <w:spacing w:val="0"/>
                <w:kern w:val="0"/>
                <w:position w:val="0"/>
                <w:sz w:val="24"/>
                <w:szCs w:val="24"/>
                <w:lang w:val="en-US" w:eastAsia="zh-CN"/>
              </w:rPr>
              <w:t>4.</w:t>
            </w:r>
            <w:r>
              <w:rPr>
                <w:rFonts w:hint="eastAsia" w:cs="Times New Roman"/>
                <w:b/>
                <w:bCs/>
                <w:snapToGrid/>
                <w:color w:val="auto"/>
                <w:spacing w:val="0"/>
                <w:kern w:val="0"/>
                <w:position w:val="0"/>
                <w:sz w:val="24"/>
                <w:szCs w:val="24"/>
                <w:lang w:val="en-US" w:eastAsia="zh-CN"/>
              </w:rPr>
              <w:t xml:space="preserve">11  </w:t>
            </w:r>
            <w:r>
              <w:rPr>
                <w:rFonts w:hint="default" w:ascii="Times New Roman" w:hAnsi="Times New Roman" w:eastAsia="宋体" w:cs="Times New Roman"/>
                <w:b/>
                <w:bCs/>
                <w:color w:val="auto"/>
                <w:sz w:val="24"/>
                <w:szCs w:val="24"/>
              </w:rPr>
              <w:t>项目</w:t>
            </w:r>
            <w:r>
              <w:rPr>
                <w:rFonts w:hint="eastAsia" w:cs="Times New Roman"/>
                <w:b/>
                <w:bCs/>
                <w:color w:val="auto"/>
                <w:sz w:val="24"/>
                <w:szCs w:val="24"/>
                <w:lang w:val="en-US" w:eastAsia="zh-CN"/>
              </w:rPr>
              <w:t>二期建成后全厂</w:t>
            </w:r>
            <w:r>
              <w:rPr>
                <w:rFonts w:hint="default" w:ascii="Times New Roman" w:hAnsi="Times New Roman" w:eastAsia="宋体" w:cs="Times New Roman"/>
                <w:b/>
                <w:bCs/>
                <w:color w:val="auto"/>
                <w:sz w:val="24"/>
                <w:szCs w:val="24"/>
              </w:rPr>
              <w:t>固体废物产</w:t>
            </w:r>
            <w:r>
              <w:rPr>
                <w:rFonts w:hint="eastAsia" w:ascii="Times New Roman" w:hAnsi="Times New Roman" w:eastAsia="宋体" w:cs="Times New Roman"/>
                <w:b/>
                <w:bCs/>
                <w:color w:val="auto"/>
                <w:sz w:val="24"/>
                <w:szCs w:val="24"/>
                <w:lang w:eastAsia="zh-CN"/>
              </w:rPr>
              <w:t>排污</w:t>
            </w:r>
            <w:r>
              <w:rPr>
                <w:rFonts w:hint="default" w:ascii="Times New Roman" w:hAnsi="Times New Roman" w:eastAsia="宋体" w:cs="Times New Roman"/>
                <w:b/>
                <w:bCs/>
                <w:color w:val="auto"/>
                <w:sz w:val="24"/>
                <w:szCs w:val="24"/>
              </w:rPr>
              <w:t>情况</w:t>
            </w:r>
            <w:r>
              <w:rPr>
                <w:rFonts w:hint="eastAsia" w:ascii="Times New Roman" w:hAnsi="Times New Roman" w:eastAsia="宋体" w:cs="Times New Roman"/>
                <w:b/>
                <w:bCs/>
                <w:color w:val="auto"/>
                <w:sz w:val="24"/>
                <w:szCs w:val="24"/>
                <w:lang w:eastAsia="zh-CN"/>
              </w:rPr>
              <w:t>一览</w:t>
            </w:r>
            <w:r>
              <w:rPr>
                <w:rFonts w:hint="default" w:ascii="Times New Roman" w:hAnsi="Times New Roman" w:eastAsia="宋体" w:cs="Times New Roman"/>
                <w:b/>
                <w:bCs/>
                <w:color w:val="auto"/>
                <w:sz w:val="24"/>
                <w:szCs w:val="24"/>
              </w:rPr>
              <w:t>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676"/>
              <w:gridCol w:w="668"/>
              <w:gridCol w:w="518"/>
              <w:gridCol w:w="865"/>
              <w:gridCol w:w="520"/>
              <w:gridCol w:w="839"/>
              <w:gridCol w:w="890"/>
              <w:gridCol w:w="464"/>
              <w:gridCol w:w="865"/>
              <w:gridCol w:w="890"/>
              <w:gridCol w:w="584"/>
            </w:tblGrid>
            <w:tr w14:paraId="6238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00E27BF2">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序号</w:t>
                  </w:r>
                </w:p>
              </w:tc>
              <w:tc>
                <w:tcPr>
                  <w:tcW w:w="411" w:type="pct"/>
                  <w:noWrap w:val="0"/>
                  <w:vAlign w:val="center"/>
                </w:tcPr>
                <w:p w14:paraId="161C1BA4">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产生环节</w:t>
                  </w:r>
                </w:p>
              </w:tc>
              <w:tc>
                <w:tcPr>
                  <w:tcW w:w="406" w:type="pct"/>
                  <w:noWrap w:val="0"/>
                  <w:vAlign w:val="center"/>
                </w:tcPr>
                <w:p w14:paraId="3A44A7E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固废名称</w:t>
                  </w:r>
                </w:p>
              </w:tc>
              <w:tc>
                <w:tcPr>
                  <w:tcW w:w="315" w:type="pct"/>
                  <w:noWrap w:val="0"/>
                  <w:vAlign w:val="center"/>
                </w:tcPr>
                <w:p w14:paraId="2F5DD4C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属性</w:t>
                  </w:r>
                </w:p>
              </w:tc>
              <w:tc>
                <w:tcPr>
                  <w:tcW w:w="526" w:type="pct"/>
                  <w:noWrap w:val="0"/>
                  <w:vAlign w:val="center"/>
                </w:tcPr>
                <w:p w14:paraId="2188D472">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主要有毒有害物质名称</w:t>
                  </w:r>
                </w:p>
              </w:tc>
              <w:tc>
                <w:tcPr>
                  <w:tcW w:w="316" w:type="pct"/>
                  <w:noWrap w:val="0"/>
                  <w:vAlign w:val="center"/>
                </w:tcPr>
                <w:p w14:paraId="500E2B7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物理性状</w:t>
                  </w:r>
                </w:p>
              </w:tc>
              <w:tc>
                <w:tcPr>
                  <w:tcW w:w="510" w:type="pct"/>
                  <w:noWrap w:val="0"/>
                  <w:vAlign w:val="center"/>
                </w:tcPr>
                <w:p w14:paraId="23B07D97">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环境危险特性</w:t>
                  </w:r>
                </w:p>
              </w:tc>
              <w:tc>
                <w:tcPr>
                  <w:tcW w:w="541" w:type="pct"/>
                  <w:noWrap w:val="0"/>
                  <w:vAlign w:val="center"/>
                </w:tcPr>
                <w:p w14:paraId="7B7E8527">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282" w:type="pct"/>
                  <w:noWrap w:val="0"/>
                  <w:vAlign w:val="center"/>
                </w:tcPr>
                <w:p w14:paraId="29ACA0C9">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贮存方式</w:t>
                  </w:r>
                </w:p>
              </w:tc>
              <w:tc>
                <w:tcPr>
                  <w:tcW w:w="526" w:type="pct"/>
                  <w:noWrap w:val="0"/>
                  <w:vAlign w:val="center"/>
                </w:tcPr>
                <w:p w14:paraId="4A83DEAD">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利用处置方式和去向</w:t>
                  </w:r>
                </w:p>
              </w:tc>
              <w:tc>
                <w:tcPr>
                  <w:tcW w:w="541" w:type="pct"/>
                  <w:noWrap w:val="0"/>
                  <w:vAlign w:val="center"/>
                </w:tcPr>
                <w:p w14:paraId="78311B54">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利用量或处置量（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355" w:type="pct"/>
                  <w:noWrap w:val="0"/>
                  <w:vAlign w:val="center"/>
                </w:tcPr>
                <w:p w14:paraId="41564689">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环境管理要求</w:t>
                  </w:r>
                </w:p>
              </w:tc>
            </w:tr>
            <w:tr w14:paraId="4AE9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0847802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w:t>
                  </w:r>
                </w:p>
              </w:tc>
              <w:tc>
                <w:tcPr>
                  <w:tcW w:w="411" w:type="pct"/>
                  <w:noWrap w:val="0"/>
                  <w:vAlign w:val="center"/>
                </w:tcPr>
                <w:p w14:paraId="0BDE2528">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eastAsia="zh-CN"/>
                    </w:rPr>
                    <w:t>职工生活</w:t>
                  </w:r>
                </w:p>
              </w:tc>
              <w:tc>
                <w:tcPr>
                  <w:tcW w:w="406" w:type="pct"/>
                  <w:noWrap w:val="0"/>
                  <w:vAlign w:val="center"/>
                </w:tcPr>
                <w:p w14:paraId="72719FF7">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t>生活垃圾及废弃含油抹布、劳保用品</w:t>
                  </w:r>
                </w:p>
              </w:tc>
              <w:tc>
                <w:tcPr>
                  <w:tcW w:w="315" w:type="pct"/>
                  <w:vMerge w:val="restart"/>
                  <w:noWrap w:val="0"/>
                  <w:vAlign w:val="center"/>
                </w:tcPr>
                <w:p w14:paraId="621C77F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一般</w:t>
                  </w:r>
                </w:p>
                <w:p w14:paraId="7E93BFD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固废</w:t>
                  </w:r>
                </w:p>
              </w:tc>
              <w:tc>
                <w:tcPr>
                  <w:tcW w:w="526" w:type="pct"/>
                  <w:noWrap w:val="0"/>
                  <w:vAlign w:val="center"/>
                </w:tcPr>
                <w:p w14:paraId="141AB2C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316" w:type="pct"/>
                  <w:noWrap w:val="0"/>
                  <w:vAlign w:val="center"/>
                </w:tcPr>
                <w:p w14:paraId="0357C2C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2CC8E0C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541" w:type="pct"/>
                  <w:noWrap w:val="0"/>
                  <w:vAlign w:val="center"/>
                </w:tcPr>
                <w:p w14:paraId="3E234095">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9.3</w:t>
                  </w:r>
                </w:p>
              </w:tc>
              <w:tc>
                <w:tcPr>
                  <w:tcW w:w="282" w:type="pct"/>
                  <w:noWrap w:val="0"/>
                  <w:vAlign w:val="center"/>
                </w:tcPr>
                <w:p w14:paraId="3E2EA83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26" w:type="pct"/>
                  <w:noWrap w:val="0"/>
                  <w:vAlign w:val="center"/>
                </w:tcPr>
                <w:p w14:paraId="39C7800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rPr>
                    <w:t>环卫部门</w:t>
                  </w:r>
                </w:p>
              </w:tc>
              <w:tc>
                <w:tcPr>
                  <w:tcW w:w="541" w:type="pct"/>
                  <w:noWrap w:val="0"/>
                  <w:vAlign w:val="center"/>
                </w:tcPr>
                <w:p w14:paraId="2EAC5E6D">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9.3</w:t>
                  </w:r>
                </w:p>
              </w:tc>
              <w:tc>
                <w:tcPr>
                  <w:tcW w:w="355" w:type="pct"/>
                  <w:noWrap w:val="0"/>
                  <w:vAlign w:val="center"/>
                </w:tcPr>
                <w:p w14:paraId="1973526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垃圾桶</w:t>
                  </w:r>
                </w:p>
              </w:tc>
            </w:tr>
            <w:tr w14:paraId="63B7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3AAF6C3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2</w:t>
                  </w:r>
                </w:p>
              </w:tc>
              <w:tc>
                <w:tcPr>
                  <w:tcW w:w="411" w:type="pct"/>
                  <w:noWrap w:val="0"/>
                  <w:vAlign w:val="center"/>
                </w:tcPr>
                <w:p w14:paraId="12930D87">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snapToGrid/>
                      <w:color w:val="auto"/>
                      <w:spacing w:val="0"/>
                      <w:kern w:val="0"/>
                      <w:position w:val="0"/>
                      <w:sz w:val="21"/>
                      <w:szCs w:val="21"/>
                      <w:lang w:val="en-US" w:eastAsia="zh-CN"/>
                    </w:rPr>
                    <w:t>机加工</w:t>
                  </w:r>
                </w:p>
              </w:tc>
              <w:tc>
                <w:tcPr>
                  <w:tcW w:w="406" w:type="pct"/>
                  <w:noWrap w:val="0"/>
                  <w:vAlign w:val="center"/>
                </w:tcPr>
                <w:p w14:paraId="24676023">
                  <w:pPr>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t>废</w:t>
                  </w:r>
                  <w:r>
                    <w:rPr>
                      <w:rFonts w:hint="eastAsia" w:cs="Times New Roman"/>
                      <w:b w:val="0"/>
                      <w:bCs w:val="0"/>
                      <w:snapToGrid/>
                      <w:color w:val="auto"/>
                      <w:spacing w:val="0"/>
                      <w:kern w:val="0"/>
                      <w:position w:val="0"/>
                      <w:sz w:val="21"/>
                      <w:szCs w:val="21"/>
                      <w:vertAlign w:val="baseline"/>
                      <w:lang w:val="en-US" w:eastAsia="zh-CN" w:bidi="ar-SA"/>
                    </w:rPr>
                    <w:t>边角料</w:t>
                  </w:r>
                </w:p>
              </w:tc>
              <w:tc>
                <w:tcPr>
                  <w:tcW w:w="315" w:type="pct"/>
                  <w:vMerge w:val="continue"/>
                  <w:noWrap w:val="0"/>
                  <w:vAlign w:val="center"/>
                </w:tcPr>
                <w:p w14:paraId="7BDDD73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526" w:type="pct"/>
                  <w:noWrap w:val="0"/>
                  <w:vAlign w:val="center"/>
                </w:tcPr>
                <w:p w14:paraId="4645F3A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316" w:type="pct"/>
                  <w:noWrap w:val="0"/>
                  <w:vAlign w:val="center"/>
                </w:tcPr>
                <w:p w14:paraId="7E15C32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3F4B31F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541" w:type="pct"/>
                  <w:noWrap w:val="0"/>
                  <w:vAlign w:val="center"/>
                </w:tcPr>
                <w:p w14:paraId="5DED5BC4">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8</w:t>
                  </w:r>
                </w:p>
              </w:tc>
              <w:tc>
                <w:tcPr>
                  <w:tcW w:w="282" w:type="pct"/>
                  <w:noWrap w:val="0"/>
                  <w:vAlign w:val="center"/>
                </w:tcPr>
                <w:p w14:paraId="24F9F01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26" w:type="pct"/>
                  <w:vMerge w:val="restart"/>
                  <w:noWrap w:val="0"/>
                  <w:vAlign w:val="center"/>
                </w:tcPr>
                <w:p w14:paraId="51023F51">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bidi="ar-SA"/>
                    </w:rPr>
                    <w:t>由资源利用单位回收利用</w:t>
                  </w:r>
                </w:p>
              </w:tc>
              <w:tc>
                <w:tcPr>
                  <w:tcW w:w="541" w:type="pct"/>
                  <w:noWrap w:val="0"/>
                  <w:vAlign w:val="center"/>
                </w:tcPr>
                <w:p w14:paraId="2FBBADDB">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8</w:t>
                  </w:r>
                </w:p>
              </w:tc>
              <w:tc>
                <w:tcPr>
                  <w:tcW w:w="355" w:type="pct"/>
                  <w:vMerge w:val="restart"/>
                  <w:noWrap w:val="0"/>
                  <w:vAlign w:val="center"/>
                </w:tcPr>
                <w:p w14:paraId="5475F729">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固废暂存间</w:t>
                  </w:r>
                </w:p>
              </w:tc>
            </w:tr>
            <w:tr w14:paraId="44C4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3D609822">
                  <w:pPr>
                    <w:adjustRightInd w:val="0"/>
                    <w:snapToGrid w:val="0"/>
                    <w:jc w:val="center"/>
                    <w:rPr>
                      <w:rFonts w:hint="eastAsia"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3</w:t>
                  </w:r>
                </w:p>
              </w:tc>
              <w:tc>
                <w:tcPr>
                  <w:tcW w:w="411" w:type="pct"/>
                  <w:noWrap w:val="0"/>
                  <w:vAlign w:val="center"/>
                </w:tcPr>
                <w:p w14:paraId="4BB1323B">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检验</w:t>
                  </w:r>
                </w:p>
              </w:tc>
              <w:tc>
                <w:tcPr>
                  <w:tcW w:w="406" w:type="pct"/>
                  <w:noWrap w:val="0"/>
                  <w:vAlign w:val="center"/>
                </w:tcPr>
                <w:p w14:paraId="10655F48">
                  <w:pPr>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不合格品</w:t>
                  </w:r>
                </w:p>
              </w:tc>
              <w:tc>
                <w:tcPr>
                  <w:tcW w:w="315" w:type="pct"/>
                  <w:vMerge w:val="continue"/>
                  <w:noWrap w:val="0"/>
                  <w:vAlign w:val="center"/>
                </w:tcPr>
                <w:p w14:paraId="4B1D58A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526" w:type="pct"/>
                  <w:noWrap w:val="0"/>
                  <w:vAlign w:val="center"/>
                </w:tcPr>
                <w:p w14:paraId="1DAB1769">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16" w:type="pct"/>
                  <w:noWrap w:val="0"/>
                  <w:vAlign w:val="center"/>
                </w:tcPr>
                <w:p w14:paraId="0B4422A1">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04EE7329">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541" w:type="pct"/>
                  <w:noWrap w:val="0"/>
                  <w:vAlign w:val="center"/>
                </w:tcPr>
                <w:p w14:paraId="306BF075">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16</w:t>
                  </w:r>
                </w:p>
              </w:tc>
              <w:tc>
                <w:tcPr>
                  <w:tcW w:w="282" w:type="pct"/>
                  <w:noWrap w:val="0"/>
                  <w:vAlign w:val="center"/>
                </w:tcPr>
                <w:p w14:paraId="5864B5E2">
                  <w:pPr>
                    <w:adjustRightInd w:val="0"/>
                    <w:snapToGrid w:val="0"/>
                    <w:jc w:val="center"/>
                    <w:rPr>
                      <w:rFonts w:hint="eastAsia"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26" w:type="pct"/>
                  <w:vMerge w:val="continue"/>
                  <w:noWrap w:val="0"/>
                  <w:vAlign w:val="center"/>
                </w:tcPr>
                <w:p w14:paraId="1A0C9DB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p>
              </w:tc>
              <w:tc>
                <w:tcPr>
                  <w:tcW w:w="541" w:type="pct"/>
                  <w:noWrap w:val="0"/>
                  <w:vAlign w:val="center"/>
                </w:tcPr>
                <w:p w14:paraId="6969AFA8">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16</w:t>
                  </w:r>
                </w:p>
              </w:tc>
              <w:tc>
                <w:tcPr>
                  <w:tcW w:w="355" w:type="pct"/>
                  <w:vMerge w:val="continue"/>
                  <w:noWrap w:val="0"/>
                  <w:vAlign w:val="center"/>
                </w:tcPr>
                <w:p w14:paraId="20FB30C6">
                  <w:pPr>
                    <w:adjustRightInd w:val="0"/>
                    <w:snapToGrid w:val="0"/>
                    <w:jc w:val="center"/>
                    <w:rPr>
                      <w:rFonts w:hint="eastAsia" w:cs="Times New Roman"/>
                      <w:snapToGrid/>
                      <w:color w:val="auto"/>
                      <w:spacing w:val="0"/>
                      <w:kern w:val="0"/>
                      <w:position w:val="0"/>
                      <w:sz w:val="21"/>
                      <w:szCs w:val="21"/>
                      <w:lang w:val="en-US" w:eastAsia="zh-CN"/>
                    </w:rPr>
                  </w:pPr>
                </w:p>
              </w:tc>
            </w:tr>
            <w:tr w14:paraId="6534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03769E17">
                  <w:pPr>
                    <w:adjustRightInd w:val="0"/>
                    <w:snapToGrid w:val="0"/>
                    <w:jc w:val="center"/>
                    <w:rPr>
                      <w:rFonts w:hint="eastAsia"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4</w:t>
                  </w:r>
                </w:p>
              </w:tc>
              <w:tc>
                <w:tcPr>
                  <w:tcW w:w="411" w:type="pct"/>
                  <w:noWrap w:val="0"/>
                  <w:vAlign w:val="center"/>
                </w:tcPr>
                <w:p w14:paraId="61335173">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包装</w:t>
                  </w:r>
                </w:p>
              </w:tc>
              <w:tc>
                <w:tcPr>
                  <w:tcW w:w="406" w:type="pct"/>
                  <w:noWrap w:val="0"/>
                  <w:vAlign w:val="center"/>
                </w:tcPr>
                <w:p w14:paraId="395312F8">
                  <w:pPr>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废包装材料</w:t>
                  </w:r>
                </w:p>
              </w:tc>
              <w:tc>
                <w:tcPr>
                  <w:tcW w:w="315" w:type="pct"/>
                  <w:vMerge w:val="continue"/>
                  <w:noWrap w:val="0"/>
                  <w:vAlign w:val="center"/>
                </w:tcPr>
                <w:p w14:paraId="295BC51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526" w:type="pct"/>
                  <w:noWrap w:val="0"/>
                  <w:vAlign w:val="center"/>
                </w:tcPr>
                <w:p w14:paraId="75BC0AC7">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316" w:type="pct"/>
                  <w:noWrap w:val="0"/>
                  <w:vAlign w:val="center"/>
                </w:tcPr>
                <w:p w14:paraId="757D2A9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3371E007">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541" w:type="pct"/>
                  <w:noWrap w:val="0"/>
                  <w:vAlign w:val="center"/>
                </w:tcPr>
                <w:p w14:paraId="6BB1230B">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0.2</w:t>
                  </w:r>
                </w:p>
              </w:tc>
              <w:tc>
                <w:tcPr>
                  <w:tcW w:w="282" w:type="pct"/>
                  <w:noWrap w:val="0"/>
                  <w:vAlign w:val="center"/>
                </w:tcPr>
                <w:p w14:paraId="74B2091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袋装</w:t>
                  </w:r>
                </w:p>
              </w:tc>
              <w:tc>
                <w:tcPr>
                  <w:tcW w:w="526" w:type="pct"/>
                  <w:vMerge w:val="continue"/>
                  <w:noWrap w:val="0"/>
                  <w:vAlign w:val="center"/>
                </w:tcPr>
                <w:p w14:paraId="6D50F44E">
                  <w:pPr>
                    <w:adjustRightInd w:val="0"/>
                    <w:snapToGrid w:val="0"/>
                    <w:jc w:val="center"/>
                    <w:rPr>
                      <w:rFonts w:hint="eastAsia" w:cs="Times New Roman"/>
                      <w:snapToGrid/>
                      <w:color w:val="auto"/>
                      <w:spacing w:val="0"/>
                      <w:kern w:val="0"/>
                      <w:position w:val="0"/>
                      <w:sz w:val="21"/>
                      <w:szCs w:val="21"/>
                      <w:lang w:val="en-US" w:eastAsia="zh-CN" w:bidi="ar-SA"/>
                    </w:rPr>
                  </w:pPr>
                </w:p>
              </w:tc>
              <w:tc>
                <w:tcPr>
                  <w:tcW w:w="541" w:type="pct"/>
                  <w:noWrap w:val="0"/>
                  <w:vAlign w:val="center"/>
                </w:tcPr>
                <w:p w14:paraId="1AD57461">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0.2</w:t>
                  </w:r>
                </w:p>
              </w:tc>
              <w:tc>
                <w:tcPr>
                  <w:tcW w:w="355" w:type="pct"/>
                  <w:vMerge w:val="continue"/>
                  <w:noWrap w:val="0"/>
                  <w:vAlign w:val="center"/>
                </w:tcPr>
                <w:p w14:paraId="714D3B36">
                  <w:pPr>
                    <w:adjustRightInd w:val="0"/>
                    <w:snapToGrid w:val="0"/>
                    <w:jc w:val="center"/>
                    <w:rPr>
                      <w:rFonts w:hint="eastAsia" w:cs="Times New Roman"/>
                      <w:snapToGrid/>
                      <w:color w:val="auto"/>
                      <w:spacing w:val="0"/>
                      <w:kern w:val="0"/>
                      <w:position w:val="0"/>
                      <w:sz w:val="21"/>
                      <w:szCs w:val="21"/>
                      <w:lang w:val="en-US" w:eastAsia="zh-CN"/>
                    </w:rPr>
                  </w:pPr>
                </w:p>
              </w:tc>
            </w:tr>
            <w:tr w14:paraId="5654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360C6916">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5</w:t>
                  </w:r>
                </w:p>
              </w:tc>
              <w:tc>
                <w:tcPr>
                  <w:tcW w:w="411" w:type="pct"/>
                  <w:noWrap w:val="0"/>
                  <w:vAlign w:val="center"/>
                </w:tcPr>
                <w:p w14:paraId="3C0E2A8E">
                  <w:pPr>
                    <w:spacing w:line="240" w:lineRule="auto"/>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物料使用</w:t>
                  </w:r>
                </w:p>
              </w:tc>
              <w:tc>
                <w:tcPr>
                  <w:tcW w:w="406" w:type="pct"/>
                  <w:noWrap w:val="0"/>
                  <w:vAlign w:val="center"/>
                </w:tcPr>
                <w:p w14:paraId="2A1AF32F">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bCs/>
                      <w:snapToGrid/>
                      <w:color w:val="auto"/>
                      <w:spacing w:val="0"/>
                      <w:kern w:val="0"/>
                      <w:position w:val="0"/>
                      <w:sz w:val="21"/>
                      <w:szCs w:val="21"/>
                      <w:lang w:val="en-US" w:eastAsia="zh-CN"/>
                    </w:rPr>
                    <w:t>废油桶</w:t>
                  </w:r>
                </w:p>
              </w:tc>
              <w:tc>
                <w:tcPr>
                  <w:tcW w:w="315" w:type="pct"/>
                  <w:vMerge w:val="restart"/>
                  <w:noWrap w:val="0"/>
                  <w:vAlign w:val="center"/>
                </w:tcPr>
                <w:p w14:paraId="155BB824">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w:t>
                  </w:r>
                </w:p>
                <w:p w14:paraId="60F706E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废物</w:t>
                  </w:r>
                </w:p>
              </w:tc>
              <w:tc>
                <w:tcPr>
                  <w:tcW w:w="526" w:type="pct"/>
                  <w:noWrap w:val="0"/>
                  <w:vAlign w:val="center"/>
                </w:tcPr>
                <w:p w14:paraId="6A8CBB38">
                  <w:pPr>
                    <w:adjustRightInd w:val="0"/>
                    <w:snapToGrid w:val="0"/>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废</w:t>
                  </w:r>
                  <w:r>
                    <w:rPr>
                      <w:rFonts w:hint="eastAsia" w:cs="Times New Roman"/>
                      <w:bCs/>
                      <w:snapToGrid/>
                      <w:color w:val="auto"/>
                      <w:spacing w:val="0"/>
                      <w:kern w:val="0"/>
                      <w:position w:val="0"/>
                      <w:sz w:val="21"/>
                      <w:szCs w:val="21"/>
                      <w:lang w:val="en-US" w:eastAsia="zh-CN"/>
                    </w:rPr>
                    <w:t>油桶</w:t>
                  </w:r>
                </w:p>
              </w:tc>
              <w:tc>
                <w:tcPr>
                  <w:tcW w:w="316" w:type="pct"/>
                  <w:noWrap w:val="0"/>
                  <w:vAlign w:val="center"/>
                </w:tcPr>
                <w:p w14:paraId="65A76B0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555B1BF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T</w:t>
                  </w:r>
                  <w:r>
                    <w:rPr>
                      <w:rFonts w:hint="default" w:ascii="Times New Roman" w:hAnsi="Times New Roman" w:cs="Times New Roman"/>
                      <w:color w:val="auto"/>
                      <w:szCs w:val="21"/>
                    </w:rPr>
                    <w:t>，I</w:t>
                  </w:r>
                </w:p>
              </w:tc>
              <w:tc>
                <w:tcPr>
                  <w:tcW w:w="541" w:type="pct"/>
                  <w:noWrap w:val="0"/>
                  <w:vAlign w:val="center"/>
                </w:tcPr>
                <w:p w14:paraId="4F806097">
                  <w:pPr>
                    <w:spacing w:line="240" w:lineRule="exac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0.22</w:t>
                  </w:r>
                </w:p>
              </w:tc>
              <w:tc>
                <w:tcPr>
                  <w:tcW w:w="282" w:type="pct"/>
                  <w:noWrap w:val="0"/>
                  <w:vAlign w:val="center"/>
                </w:tcPr>
                <w:p w14:paraId="2691FAA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sz w:val="21"/>
                      <w:szCs w:val="21"/>
                      <w:lang w:val="en-US" w:eastAsia="zh-CN"/>
                    </w:rPr>
                    <w:t>袋装</w:t>
                  </w:r>
                </w:p>
              </w:tc>
              <w:tc>
                <w:tcPr>
                  <w:tcW w:w="526" w:type="pct"/>
                  <w:vMerge w:val="restart"/>
                  <w:noWrap w:val="0"/>
                  <w:vAlign w:val="center"/>
                </w:tcPr>
                <w:p w14:paraId="4C154818">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委托有资质单位处理</w:t>
                  </w:r>
                </w:p>
              </w:tc>
              <w:tc>
                <w:tcPr>
                  <w:tcW w:w="541" w:type="pct"/>
                  <w:noWrap w:val="0"/>
                  <w:vAlign w:val="center"/>
                </w:tcPr>
                <w:p w14:paraId="021C3C0A">
                  <w:pPr>
                    <w:spacing w:line="240" w:lineRule="exac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0.22</w:t>
                  </w:r>
                </w:p>
              </w:tc>
              <w:tc>
                <w:tcPr>
                  <w:tcW w:w="355" w:type="pct"/>
                  <w:vMerge w:val="restart"/>
                  <w:noWrap w:val="0"/>
                  <w:vAlign w:val="center"/>
                </w:tcPr>
                <w:p w14:paraId="305278D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危废暂存间</w:t>
                  </w:r>
                </w:p>
              </w:tc>
            </w:tr>
            <w:tr w14:paraId="12B3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4E255AD1">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6</w:t>
                  </w:r>
                </w:p>
              </w:tc>
              <w:tc>
                <w:tcPr>
                  <w:tcW w:w="411" w:type="pct"/>
                  <w:noWrap w:val="0"/>
                  <w:vAlign w:val="center"/>
                </w:tcPr>
                <w:p w14:paraId="78B0DAF0">
                  <w:pPr>
                    <w:spacing w:line="240" w:lineRule="auto"/>
                    <w:jc w:val="center"/>
                    <w:rPr>
                      <w:rFonts w:hint="eastAsia" w:eastAsia="宋体"/>
                      <w:color w:val="auto"/>
                      <w:szCs w:val="21"/>
                      <w:lang w:val="en-US" w:eastAsia="zh-CN"/>
                    </w:rPr>
                  </w:pPr>
                  <w:r>
                    <w:rPr>
                      <w:rFonts w:hint="eastAsia"/>
                      <w:color w:val="auto"/>
                      <w:szCs w:val="21"/>
                      <w:lang w:val="en-US" w:eastAsia="zh-CN"/>
                    </w:rPr>
                    <w:t>机加工</w:t>
                  </w:r>
                </w:p>
              </w:tc>
              <w:tc>
                <w:tcPr>
                  <w:tcW w:w="406" w:type="pct"/>
                  <w:noWrap w:val="0"/>
                  <w:vAlign w:val="center"/>
                </w:tcPr>
                <w:p w14:paraId="5B996AF4">
                  <w:pPr>
                    <w:jc w:val="center"/>
                    <w:rPr>
                      <w:rFonts w:hint="default" w:eastAsia="宋体"/>
                      <w:color w:val="auto"/>
                      <w:szCs w:val="21"/>
                      <w:lang w:val="en-US" w:eastAsia="zh-CN"/>
                    </w:rPr>
                  </w:pPr>
                  <w:r>
                    <w:rPr>
                      <w:rFonts w:hint="eastAsia"/>
                      <w:color w:val="auto"/>
                      <w:szCs w:val="21"/>
                      <w:lang w:val="en-US" w:eastAsia="zh-CN"/>
                    </w:rPr>
                    <w:t>废抗磨液压油</w:t>
                  </w:r>
                </w:p>
              </w:tc>
              <w:tc>
                <w:tcPr>
                  <w:tcW w:w="315" w:type="pct"/>
                  <w:vMerge w:val="continue"/>
                  <w:noWrap w:val="0"/>
                  <w:vAlign w:val="center"/>
                </w:tcPr>
                <w:p w14:paraId="3693E9D7">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526" w:type="pct"/>
                  <w:noWrap w:val="0"/>
                  <w:vAlign w:val="center"/>
                </w:tcPr>
                <w:p w14:paraId="2BB9E7D1">
                  <w:pPr>
                    <w:adjustRightInd w:val="0"/>
                    <w:snapToGrid w:val="0"/>
                    <w:jc w:val="center"/>
                    <w:rPr>
                      <w:rFonts w:hint="default" w:eastAsia="宋体"/>
                      <w:color w:val="auto"/>
                      <w:lang w:val="en-US" w:eastAsia="zh-CN"/>
                    </w:rPr>
                  </w:pPr>
                  <w:r>
                    <w:rPr>
                      <w:rFonts w:hint="eastAsia"/>
                      <w:color w:val="auto"/>
                      <w:szCs w:val="21"/>
                      <w:lang w:val="en-US" w:eastAsia="zh-CN"/>
                    </w:rPr>
                    <w:t>废抗磨液压油</w:t>
                  </w:r>
                </w:p>
              </w:tc>
              <w:tc>
                <w:tcPr>
                  <w:tcW w:w="316" w:type="pct"/>
                  <w:noWrap w:val="0"/>
                  <w:vAlign w:val="center"/>
                </w:tcPr>
                <w:p w14:paraId="32EEA517">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液态</w:t>
                  </w:r>
                </w:p>
              </w:tc>
              <w:tc>
                <w:tcPr>
                  <w:tcW w:w="510" w:type="pct"/>
                  <w:noWrap w:val="0"/>
                  <w:vAlign w:val="center"/>
                </w:tcPr>
                <w:p w14:paraId="22B28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T</w:t>
                  </w:r>
                  <w:r>
                    <w:rPr>
                      <w:rFonts w:hint="default" w:ascii="Times New Roman" w:hAnsi="Times New Roman" w:cs="Times New Roman"/>
                      <w:color w:val="auto"/>
                      <w:szCs w:val="21"/>
                    </w:rPr>
                    <w:t>，I</w:t>
                  </w:r>
                </w:p>
              </w:tc>
              <w:tc>
                <w:tcPr>
                  <w:tcW w:w="541" w:type="pct"/>
                  <w:noWrap w:val="0"/>
                  <w:vAlign w:val="center"/>
                </w:tcPr>
                <w:p w14:paraId="03029FD0">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0.4</w:t>
                  </w:r>
                </w:p>
              </w:tc>
              <w:tc>
                <w:tcPr>
                  <w:tcW w:w="282" w:type="pct"/>
                  <w:noWrap w:val="0"/>
                  <w:vAlign w:val="center"/>
                </w:tcPr>
                <w:p w14:paraId="5ED2164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桶装</w:t>
                  </w:r>
                </w:p>
              </w:tc>
              <w:tc>
                <w:tcPr>
                  <w:tcW w:w="526" w:type="pct"/>
                  <w:vMerge w:val="continue"/>
                  <w:noWrap w:val="0"/>
                  <w:vAlign w:val="center"/>
                </w:tcPr>
                <w:p w14:paraId="787A368A">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541" w:type="pct"/>
                  <w:noWrap w:val="0"/>
                  <w:vAlign w:val="center"/>
                </w:tcPr>
                <w:p w14:paraId="28620EFD">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0.4</w:t>
                  </w:r>
                </w:p>
              </w:tc>
              <w:tc>
                <w:tcPr>
                  <w:tcW w:w="355" w:type="pct"/>
                  <w:vMerge w:val="continue"/>
                  <w:noWrap w:val="0"/>
                  <w:vAlign w:val="center"/>
                </w:tcPr>
                <w:p w14:paraId="27DF56B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r>
            <w:tr w14:paraId="2675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noWrap w:val="0"/>
                  <w:vAlign w:val="center"/>
                </w:tcPr>
                <w:p w14:paraId="3BB39A90">
                  <w:pPr>
                    <w:adjustRightInd w:val="0"/>
                    <w:snapToGrid w:val="0"/>
                    <w:jc w:val="center"/>
                    <w:rPr>
                      <w:rFonts w:hint="default"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7</w:t>
                  </w:r>
                </w:p>
              </w:tc>
              <w:tc>
                <w:tcPr>
                  <w:tcW w:w="411" w:type="pct"/>
                  <w:noWrap w:val="0"/>
                  <w:vAlign w:val="center"/>
                </w:tcPr>
                <w:p w14:paraId="28B8CC5A">
                  <w:pPr>
                    <w:spacing w:line="240" w:lineRule="auto"/>
                    <w:jc w:val="center"/>
                    <w:rPr>
                      <w:rFonts w:hint="default"/>
                      <w:color w:val="auto"/>
                      <w:szCs w:val="21"/>
                      <w:lang w:val="en-US" w:eastAsia="zh-CN"/>
                    </w:rPr>
                  </w:pPr>
                  <w:r>
                    <w:rPr>
                      <w:rFonts w:hint="eastAsia"/>
                      <w:color w:val="auto"/>
                      <w:szCs w:val="21"/>
                      <w:lang w:val="en-US" w:eastAsia="zh-CN"/>
                    </w:rPr>
                    <w:t>车削</w:t>
                  </w:r>
                </w:p>
              </w:tc>
              <w:tc>
                <w:tcPr>
                  <w:tcW w:w="406" w:type="pct"/>
                  <w:noWrap w:val="0"/>
                  <w:vAlign w:val="center"/>
                </w:tcPr>
                <w:p w14:paraId="4DDC4EE9">
                  <w:pPr>
                    <w:jc w:val="center"/>
                    <w:rPr>
                      <w:rFonts w:hint="default"/>
                      <w:color w:val="auto"/>
                      <w:szCs w:val="21"/>
                      <w:lang w:val="en-US" w:eastAsia="zh-CN"/>
                    </w:rPr>
                  </w:pPr>
                  <w:r>
                    <w:rPr>
                      <w:rFonts w:hint="eastAsia"/>
                      <w:color w:val="auto"/>
                      <w:szCs w:val="21"/>
                      <w:lang w:val="en-US" w:eastAsia="zh-CN"/>
                    </w:rPr>
                    <w:t>废切削液</w:t>
                  </w:r>
                </w:p>
              </w:tc>
              <w:tc>
                <w:tcPr>
                  <w:tcW w:w="315" w:type="pct"/>
                  <w:vMerge w:val="continue"/>
                  <w:noWrap w:val="0"/>
                  <w:vAlign w:val="center"/>
                </w:tcPr>
                <w:p w14:paraId="39DC86C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526" w:type="pct"/>
                  <w:noWrap w:val="0"/>
                  <w:vAlign w:val="center"/>
                </w:tcPr>
                <w:p w14:paraId="198E1CA5">
                  <w:pPr>
                    <w:adjustRightInd w:val="0"/>
                    <w:snapToGrid w:val="0"/>
                    <w:jc w:val="center"/>
                    <w:rPr>
                      <w:rFonts w:hint="default"/>
                      <w:color w:val="auto"/>
                      <w:lang w:val="en-US" w:eastAsia="zh-CN"/>
                    </w:rPr>
                  </w:pPr>
                  <w:r>
                    <w:rPr>
                      <w:rFonts w:hint="eastAsia"/>
                      <w:color w:val="auto"/>
                      <w:lang w:val="en-US" w:eastAsia="zh-CN"/>
                    </w:rPr>
                    <w:t>废切削液</w:t>
                  </w:r>
                </w:p>
              </w:tc>
              <w:tc>
                <w:tcPr>
                  <w:tcW w:w="316" w:type="pct"/>
                  <w:noWrap w:val="0"/>
                  <w:vAlign w:val="center"/>
                </w:tcPr>
                <w:p w14:paraId="7DF84FDC">
                  <w:pPr>
                    <w:adjustRightInd w:val="0"/>
                    <w:snapToGrid w:val="0"/>
                    <w:jc w:val="center"/>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液态</w:t>
                  </w:r>
                </w:p>
              </w:tc>
              <w:tc>
                <w:tcPr>
                  <w:tcW w:w="510" w:type="pct"/>
                  <w:noWrap w:val="0"/>
                  <w:vAlign w:val="center"/>
                </w:tcPr>
                <w:p w14:paraId="54F8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default" w:ascii="Times New Roman" w:hAnsi="Times New Roman"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T</w:t>
                  </w:r>
                </w:p>
              </w:tc>
              <w:tc>
                <w:tcPr>
                  <w:tcW w:w="541" w:type="pct"/>
                  <w:noWrap w:val="0"/>
                  <w:vAlign w:val="center"/>
                </w:tcPr>
                <w:p w14:paraId="33663747">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0.5</w:t>
                  </w:r>
                </w:p>
              </w:tc>
              <w:tc>
                <w:tcPr>
                  <w:tcW w:w="282" w:type="pct"/>
                  <w:noWrap w:val="0"/>
                  <w:vAlign w:val="center"/>
                </w:tcPr>
                <w:p w14:paraId="2E246ADA">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桶装</w:t>
                  </w:r>
                </w:p>
              </w:tc>
              <w:tc>
                <w:tcPr>
                  <w:tcW w:w="526" w:type="pct"/>
                  <w:vMerge w:val="continue"/>
                  <w:noWrap w:val="0"/>
                  <w:vAlign w:val="center"/>
                </w:tcPr>
                <w:p w14:paraId="797B066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541" w:type="pct"/>
                  <w:noWrap w:val="0"/>
                  <w:vAlign w:val="center"/>
                </w:tcPr>
                <w:p w14:paraId="69A8D525">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0.5</w:t>
                  </w:r>
                </w:p>
              </w:tc>
              <w:tc>
                <w:tcPr>
                  <w:tcW w:w="355" w:type="pct"/>
                  <w:vMerge w:val="continue"/>
                  <w:noWrap w:val="0"/>
                  <w:vAlign w:val="center"/>
                </w:tcPr>
                <w:p w14:paraId="210ED41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r>
          </w:tbl>
          <w:p w14:paraId="0B1902A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color w:val="auto"/>
                <w:lang w:val="en-US" w:eastAsia="zh-CN"/>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12</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 xml:space="preserve"> 项目</w:t>
            </w:r>
            <w:r>
              <w:rPr>
                <w:rFonts w:hint="eastAsia" w:ascii="Times New Roman" w:hAnsi="Times New Roman" w:eastAsia="宋体" w:cs="Times New Roman"/>
                <w:b/>
                <w:bCs/>
                <w:color w:val="auto"/>
                <w:sz w:val="24"/>
                <w:szCs w:val="24"/>
                <w:lang w:eastAsia="zh-CN"/>
              </w:rPr>
              <w:t>一般工业固体废物</w:t>
            </w:r>
            <w:r>
              <w:rPr>
                <w:rFonts w:hint="default" w:ascii="Times New Roman" w:hAnsi="Times New Roman" w:eastAsia="宋体" w:cs="Times New Roman"/>
                <w:b/>
                <w:bCs/>
                <w:color w:val="auto"/>
                <w:sz w:val="24"/>
                <w:szCs w:val="24"/>
              </w:rPr>
              <w:t>产</w:t>
            </w:r>
            <w:r>
              <w:rPr>
                <w:rFonts w:hint="eastAsia" w:ascii="Times New Roman" w:hAnsi="Times New Roman" w:eastAsia="宋体" w:cs="Times New Roman"/>
                <w:b/>
                <w:bCs/>
                <w:color w:val="auto"/>
                <w:sz w:val="24"/>
                <w:szCs w:val="24"/>
                <w:lang w:eastAsia="zh-CN"/>
              </w:rPr>
              <w:t>生及处置统计一览</w:t>
            </w:r>
            <w:r>
              <w:rPr>
                <w:rFonts w:hint="default" w:ascii="Times New Roman" w:hAnsi="Times New Roman" w:eastAsia="宋体" w:cs="Times New Roman"/>
                <w:b/>
                <w:bCs/>
                <w:color w:val="auto"/>
                <w:sz w:val="24"/>
                <w:szCs w:val="24"/>
              </w:rPr>
              <w:t>表</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77"/>
              <w:gridCol w:w="994"/>
              <w:gridCol w:w="1313"/>
              <w:gridCol w:w="846"/>
              <w:gridCol w:w="775"/>
              <w:gridCol w:w="426"/>
              <w:gridCol w:w="719"/>
              <w:gridCol w:w="613"/>
              <w:gridCol w:w="1016"/>
            </w:tblGrid>
            <w:tr w14:paraId="2CC2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 w:type="pct"/>
                  <w:noWrap w:val="0"/>
                  <w:vAlign w:val="center"/>
                </w:tcPr>
                <w:p w14:paraId="7AC921D6">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687" w:type="pct"/>
                  <w:noWrap w:val="0"/>
                  <w:vAlign w:val="center"/>
                </w:tcPr>
                <w:p w14:paraId="438F1634">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一般工业固体废物</w:t>
                  </w:r>
                </w:p>
              </w:tc>
              <w:tc>
                <w:tcPr>
                  <w:tcW w:w="636" w:type="pct"/>
                  <w:noWrap w:val="0"/>
                  <w:vAlign w:val="center"/>
                </w:tcPr>
                <w:p w14:paraId="7EFC267D">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废物种类</w:t>
                  </w:r>
                </w:p>
              </w:tc>
              <w:tc>
                <w:tcPr>
                  <w:tcW w:w="636" w:type="pct"/>
                  <w:noWrap w:val="0"/>
                  <w:vAlign w:val="center"/>
                </w:tcPr>
                <w:p w14:paraId="2D708BBD">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废物</w:t>
                  </w:r>
                </w:p>
                <w:p w14:paraId="564EBDCF">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代码</w:t>
                  </w:r>
                </w:p>
              </w:tc>
              <w:tc>
                <w:tcPr>
                  <w:tcW w:w="511" w:type="pct"/>
                  <w:noWrap w:val="0"/>
                  <w:vAlign w:val="center"/>
                </w:tcPr>
                <w:p w14:paraId="472008E8">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产生量（</w:t>
                  </w:r>
                  <w:r>
                    <w:rPr>
                      <w:rFonts w:hint="default" w:ascii="Times New Roman" w:hAnsi="Times New Roman" w:eastAsia="宋体" w:cs="Times New Roman"/>
                      <w:color w:val="auto"/>
                      <w:sz w:val="21"/>
                      <w:szCs w:val="21"/>
                      <w:lang w:val="en-US" w:eastAsia="zh-CN"/>
                    </w:rPr>
                    <w:t>t/a</w:t>
                  </w:r>
                  <w:r>
                    <w:rPr>
                      <w:rFonts w:hint="default" w:ascii="Times New Roman" w:hAnsi="Times New Roman" w:eastAsia="宋体" w:cs="Times New Roman"/>
                      <w:color w:val="auto"/>
                      <w:sz w:val="21"/>
                      <w:szCs w:val="21"/>
                      <w:lang w:eastAsia="zh-CN"/>
                    </w:rPr>
                    <w:t>）</w:t>
                  </w:r>
                </w:p>
              </w:tc>
              <w:tc>
                <w:tcPr>
                  <w:tcW w:w="503" w:type="pct"/>
                  <w:noWrap w:val="0"/>
                  <w:vAlign w:val="center"/>
                </w:tcPr>
                <w:p w14:paraId="5EAFC444">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产生工序及装置</w:t>
                  </w:r>
                </w:p>
              </w:tc>
              <w:tc>
                <w:tcPr>
                  <w:tcW w:w="253" w:type="pct"/>
                  <w:noWrap w:val="0"/>
                  <w:vAlign w:val="center"/>
                </w:tcPr>
                <w:p w14:paraId="09AD41E5">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形态</w:t>
                  </w:r>
                </w:p>
              </w:tc>
              <w:tc>
                <w:tcPr>
                  <w:tcW w:w="469" w:type="pct"/>
                  <w:noWrap w:val="0"/>
                  <w:vAlign w:val="center"/>
                </w:tcPr>
                <w:p w14:paraId="31B6905E">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主要成分</w:t>
                  </w:r>
                </w:p>
              </w:tc>
              <w:tc>
                <w:tcPr>
                  <w:tcW w:w="404" w:type="pct"/>
                  <w:noWrap w:val="0"/>
                  <w:vAlign w:val="center"/>
                </w:tcPr>
                <w:p w14:paraId="66EDB887">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产废周期</w:t>
                  </w:r>
                </w:p>
              </w:tc>
              <w:tc>
                <w:tcPr>
                  <w:tcW w:w="649" w:type="pct"/>
                  <w:noWrap w:val="0"/>
                  <w:vAlign w:val="center"/>
                </w:tcPr>
                <w:p w14:paraId="53C9A9AD">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防治措施</w:t>
                  </w:r>
                </w:p>
              </w:tc>
            </w:tr>
            <w:tr w14:paraId="483E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 w:type="pct"/>
                  <w:noWrap w:val="0"/>
                  <w:vAlign w:val="center"/>
                </w:tcPr>
                <w:p w14:paraId="1FF81F38">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687" w:type="pct"/>
                  <w:noWrap w:val="0"/>
                  <w:vAlign w:val="center"/>
                </w:tcPr>
                <w:p w14:paraId="535B46DC">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生活垃圾及废弃含油抹布、劳保用品</w:t>
                  </w:r>
                </w:p>
              </w:tc>
              <w:tc>
                <w:tcPr>
                  <w:tcW w:w="636" w:type="pct"/>
                  <w:noWrap w:val="0"/>
                  <w:vAlign w:val="center"/>
                </w:tcPr>
                <w:p w14:paraId="41FA205E">
                  <w:pPr>
                    <w:keepNext w:val="0"/>
                    <w:keepLines w:val="0"/>
                    <w:widowControl/>
                    <w:suppressLineNumbers w:val="0"/>
                    <w:jc w:val="center"/>
                    <w:rPr>
                      <w:rFonts w:hint="default" w:cs="Times New Roman"/>
                      <w:color w:val="auto"/>
                      <w:kern w:val="0"/>
                      <w:sz w:val="21"/>
                      <w:szCs w:val="21"/>
                      <w:lang w:val="en-US" w:eastAsia="zh-CN" w:bidi="ar"/>
                    </w:rPr>
                  </w:pPr>
                  <w:r>
                    <w:rPr>
                      <w:rFonts w:hint="eastAsia" w:cs="Times New Roman"/>
                      <w:color w:val="auto"/>
                      <w:kern w:val="0"/>
                      <w:sz w:val="21"/>
                      <w:szCs w:val="21"/>
                      <w:lang w:val="en-US" w:eastAsia="zh-CN" w:bidi="ar"/>
                    </w:rPr>
                    <w:t>SW64</w:t>
                  </w:r>
                </w:p>
              </w:tc>
              <w:tc>
                <w:tcPr>
                  <w:tcW w:w="636" w:type="pct"/>
                  <w:noWrap w:val="0"/>
                  <w:vAlign w:val="center"/>
                </w:tcPr>
                <w:p w14:paraId="0394D1FA">
                  <w:pPr>
                    <w:keepNext w:val="0"/>
                    <w:keepLines w:val="0"/>
                    <w:widowControl/>
                    <w:suppressLineNumbers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0"/>
                      <w:sz w:val="21"/>
                      <w:szCs w:val="21"/>
                      <w:lang w:val="en-US" w:eastAsia="zh-CN" w:bidi="ar"/>
                    </w:rPr>
                    <w:t>900-099-S64</w:t>
                  </w:r>
                </w:p>
              </w:tc>
              <w:tc>
                <w:tcPr>
                  <w:tcW w:w="511" w:type="pct"/>
                  <w:noWrap w:val="0"/>
                  <w:vAlign w:val="center"/>
                </w:tcPr>
                <w:p w14:paraId="67EC1C41">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9.3</w:t>
                  </w:r>
                </w:p>
              </w:tc>
              <w:tc>
                <w:tcPr>
                  <w:tcW w:w="503" w:type="pct"/>
                  <w:noWrap w:val="0"/>
                  <w:vAlign w:val="center"/>
                </w:tcPr>
                <w:p w14:paraId="60195B99">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eastAsia="zh-CN"/>
                    </w:rPr>
                    <w:t>职工生活</w:t>
                  </w:r>
                </w:p>
              </w:tc>
              <w:tc>
                <w:tcPr>
                  <w:tcW w:w="253" w:type="pct"/>
                  <w:noWrap w:val="0"/>
                  <w:vAlign w:val="center"/>
                </w:tcPr>
                <w:p w14:paraId="14F9D26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固态</w:t>
                  </w:r>
                </w:p>
              </w:tc>
              <w:tc>
                <w:tcPr>
                  <w:tcW w:w="469" w:type="pct"/>
                  <w:noWrap w:val="0"/>
                  <w:vAlign w:val="center"/>
                </w:tcPr>
                <w:p w14:paraId="013B1920">
                  <w:pPr>
                    <w:adjustRightInd w:val="0"/>
                    <w:snapToGrid w:val="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废纸等</w:t>
                  </w:r>
                </w:p>
              </w:tc>
              <w:tc>
                <w:tcPr>
                  <w:tcW w:w="404" w:type="pct"/>
                  <w:noWrap w:val="0"/>
                  <w:vAlign w:val="center"/>
                </w:tcPr>
                <w:p w14:paraId="7FC70512">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1天</w:t>
                  </w:r>
                </w:p>
              </w:tc>
              <w:tc>
                <w:tcPr>
                  <w:tcW w:w="649" w:type="pct"/>
                  <w:noWrap w:val="0"/>
                  <w:vAlign w:val="center"/>
                </w:tcPr>
                <w:p w14:paraId="6B47DAAB">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环卫部门</w:t>
                  </w:r>
                </w:p>
              </w:tc>
            </w:tr>
            <w:tr w14:paraId="4E4B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 w:type="pct"/>
                  <w:noWrap w:val="0"/>
                  <w:vAlign w:val="center"/>
                </w:tcPr>
                <w:p w14:paraId="046C1088">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687" w:type="pct"/>
                  <w:noWrap w:val="0"/>
                  <w:vAlign w:val="center"/>
                </w:tcPr>
                <w:p w14:paraId="6BAFA94E">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t>废</w:t>
                  </w:r>
                  <w:r>
                    <w:rPr>
                      <w:rFonts w:hint="eastAsia" w:cs="Times New Roman"/>
                      <w:b w:val="0"/>
                      <w:bCs w:val="0"/>
                      <w:snapToGrid/>
                      <w:color w:val="auto"/>
                      <w:spacing w:val="0"/>
                      <w:kern w:val="0"/>
                      <w:position w:val="0"/>
                      <w:sz w:val="21"/>
                      <w:szCs w:val="21"/>
                      <w:vertAlign w:val="baseline"/>
                      <w:lang w:val="en-US" w:eastAsia="zh-CN" w:bidi="ar-SA"/>
                    </w:rPr>
                    <w:t>边角料</w:t>
                  </w:r>
                </w:p>
              </w:tc>
              <w:tc>
                <w:tcPr>
                  <w:tcW w:w="636" w:type="pct"/>
                  <w:noWrap w:val="0"/>
                  <w:vAlign w:val="center"/>
                </w:tcPr>
                <w:p w14:paraId="4E9C2D06">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SW17</w:t>
                  </w:r>
                </w:p>
              </w:tc>
              <w:tc>
                <w:tcPr>
                  <w:tcW w:w="636" w:type="pct"/>
                  <w:noWrap w:val="0"/>
                  <w:vAlign w:val="center"/>
                </w:tcPr>
                <w:p w14:paraId="43D82387">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900-001-</w:t>
                  </w:r>
                  <w:r>
                    <w:rPr>
                      <w:rFonts w:hint="eastAsia" w:cs="Times New Roman"/>
                      <w:color w:val="auto"/>
                      <w:kern w:val="2"/>
                      <w:sz w:val="21"/>
                      <w:szCs w:val="24"/>
                      <w:lang w:val="en-US" w:eastAsia="zh-CN" w:bidi="ar-SA"/>
                    </w:rPr>
                    <w:t>S</w:t>
                  </w:r>
                  <w:r>
                    <w:rPr>
                      <w:rFonts w:hint="default" w:ascii="Times New Roman" w:hAnsi="Times New Roman" w:eastAsia="宋体" w:cs="Times New Roman"/>
                      <w:color w:val="auto"/>
                      <w:kern w:val="2"/>
                      <w:sz w:val="21"/>
                      <w:szCs w:val="24"/>
                      <w:lang w:val="en-US" w:eastAsia="zh-CN" w:bidi="ar-SA"/>
                    </w:rPr>
                    <w:t>17</w:t>
                  </w:r>
                </w:p>
              </w:tc>
              <w:tc>
                <w:tcPr>
                  <w:tcW w:w="511" w:type="pct"/>
                  <w:noWrap w:val="0"/>
                  <w:vAlign w:val="center"/>
                </w:tcPr>
                <w:p w14:paraId="1DBB3B86">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8</w:t>
                  </w:r>
                </w:p>
              </w:tc>
              <w:tc>
                <w:tcPr>
                  <w:tcW w:w="503" w:type="pct"/>
                  <w:noWrap w:val="0"/>
                  <w:vAlign w:val="center"/>
                </w:tcPr>
                <w:p w14:paraId="1C922F24">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机加工</w:t>
                  </w:r>
                </w:p>
              </w:tc>
              <w:tc>
                <w:tcPr>
                  <w:tcW w:w="253" w:type="pct"/>
                  <w:noWrap w:val="0"/>
                  <w:vAlign w:val="center"/>
                </w:tcPr>
                <w:p w14:paraId="55EE02F5">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固态</w:t>
                  </w:r>
                </w:p>
              </w:tc>
              <w:tc>
                <w:tcPr>
                  <w:tcW w:w="469" w:type="pct"/>
                  <w:noWrap w:val="0"/>
                  <w:vAlign w:val="center"/>
                </w:tcPr>
                <w:p w14:paraId="7DE1082A">
                  <w:pPr>
                    <w:adjustRightInd w:val="0"/>
                    <w:snapToGrid w:val="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废铁屑</w:t>
                  </w:r>
                </w:p>
              </w:tc>
              <w:tc>
                <w:tcPr>
                  <w:tcW w:w="404" w:type="pct"/>
                  <w:noWrap w:val="0"/>
                  <w:vAlign w:val="center"/>
                </w:tcPr>
                <w:p w14:paraId="70A8FA0C">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1个月</w:t>
                  </w:r>
                </w:p>
              </w:tc>
              <w:tc>
                <w:tcPr>
                  <w:tcW w:w="649" w:type="pct"/>
                  <w:vMerge w:val="restart"/>
                  <w:noWrap w:val="0"/>
                  <w:vAlign w:val="center"/>
                </w:tcPr>
                <w:p w14:paraId="4E2C31A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bidi="ar-SA"/>
                    </w:rPr>
                    <w:t>由资源利用单位回收利用</w:t>
                  </w:r>
                </w:p>
              </w:tc>
            </w:tr>
            <w:tr w14:paraId="5161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 w:type="pct"/>
                  <w:noWrap w:val="0"/>
                  <w:vAlign w:val="center"/>
                </w:tcPr>
                <w:p w14:paraId="3EE6C2EE">
                  <w:pPr>
                    <w:adjustRightInd w:val="0"/>
                    <w:snapToGrid w:val="0"/>
                    <w:jc w:val="center"/>
                    <w:rPr>
                      <w:rFonts w:hint="eastAsia" w:cs="Times New Roman"/>
                      <w:color w:val="auto"/>
                      <w:sz w:val="21"/>
                      <w:szCs w:val="21"/>
                      <w:lang w:val="en-US" w:eastAsia="zh-CN"/>
                    </w:rPr>
                  </w:pPr>
                  <w:r>
                    <w:rPr>
                      <w:rFonts w:hint="eastAsia" w:cs="Times New Roman"/>
                      <w:color w:val="auto"/>
                      <w:sz w:val="21"/>
                      <w:szCs w:val="21"/>
                      <w:lang w:val="en-US" w:eastAsia="zh-CN"/>
                    </w:rPr>
                    <w:t>3</w:t>
                  </w:r>
                </w:p>
              </w:tc>
              <w:tc>
                <w:tcPr>
                  <w:tcW w:w="687" w:type="pct"/>
                  <w:noWrap w:val="0"/>
                  <w:vAlign w:val="center"/>
                </w:tcPr>
                <w:p w14:paraId="2F4BAF32">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不合格品</w:t>
                  </w:r>
                </w:p>
              </w:tc>
              <w:tc>
                <w:tcPr>
                  <w:tcW w:w="994" w:type="dxa"/>
                  <w:noWrap w:val="0"/>
                  <w:vAlign w:val="center"/>
                </w:tcPr>
                <w:p w14:paraId="2653352A">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SW17</w:t>
                  </w:r>
                </w:p>
              </w:tc>
              <w:tc>
                <w:tcPr>
                  <w:tcW w:w="1313" w:type="dxa"/>
                  <w:noWrap w:val="0"/>
                  <w:vAlign w:val="center"/>
                </w:tcPr>
                <w:p w14:paraId="11808D08">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900-001-</w:t>
                  </w:r>
                  <w:r>
                    <w:rPr>
                      <w:rFonts w:hint="eastAsia" w:cs="Times New Roman"/>
                      <w:color w:val="auto"/>
                      <w:kern w:val="2"/>
                      <w:sz w:val="21"/>
                      <w:szCs w:val="24"/>
                      <w:lang w:val="en-US" w:eastAsia="zh-CN" w:bidi="ar-SA"/>
                    </w:rPr>
                    <w:t>S</w:t>
                  </w:r>
                  <w:r>
                    <w:rPr>
                      <w:rFonts w:hint="default" w:ascii="Times New Roman" w:hAnsi="Times New Roman" w:eastAsia="宋体" w:cs="Times New Roman"/>
                      <w:color w:val="auto"/>
                      <w:kern w:val="2"/>
                      <w:sz w:val="21"/>
                      <w:szCs w:val="24"/>
                      <w:lang w:val="en-US" w:eastAsia="zh-CN" w:bidi="ar-SA"/>
                    </w:rPr>
                    <w:t>17</w:t>
                  </w:r>
                </w:p>
              </w:tc>
              <w:tc>
                <w:tcPr>
                  <w:tcW w:w="511" w:type="pct"/>
                  <w:noWrap w:val="0"/>
                  <w:vAlign w:val="center"/>
                </w:tcPr>
                <w:p w14:paraId="17D78522">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16</w:t>
                  </w:r>
                </w:p>
              </w:tc>
              <w:tc>
                <w:tcPr>
                  <w:tcW w:w="503" w:type="pct"/>
                  <w:noWrap w:val="0"/>
                  <w:vAlign w:val="center"/>
                </w:tcPr>
                <w:p w14:paraId="3F5B34E4">
                  <w:pPr>
                    <w:spacing w:line="240" w:lineRule="auto"/>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检验</w:t>
                  </w:r>
                </w:p>
              </w:tc>
              <w:tc>
                <w:tcPr>
                  <w:tcW w:w="253" w:type="pct"/>
                  <w:noWrap w:val="0"/>
                  <w:vAlign w:val="center"/>
                </w:tcPr>
                <w:p w14:paraId="4941220A">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固态</w:t>
                  </w:r>
                </w:p>
              </w:tc>
              <w:tc>
                <w:tcPr>
                  <w:tcW w:w="469" w:type="pct"/>
                  <w:noWrap w:val="0"/>
                  <w:vAlign w:val="center"/>
                </w:tcPr>
                <w:p w14:paraId="1931F2A6">
                  <w:pPr>
                    <w:adjustRightInd w:val="0"/>
                    <w:snapToGrid w:val="0"/>
                    <w:jc w:val="center"/>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废轴承</w:t>
                  </w:r>
                </w:p>
              </w:tc>
              <w:tc>
                <w:tcPr>
                  <w:tcW w:w="404" w:type="pct"/>
                  <w:noWrap w:val="0"/>
                  <w:vAlign w:val="center"/>
                </w:tcPr>
                <w:p w14:paraId="0BF6B459">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1个月</w:t>
                  </w:r>
                </w:p>
              </w:tc>
              <w:tc>
                <w:tcPr>
                  <w:tcW w:w="649" w:type="pct"/>
                  <w:vMerge w:val="continue"/>
                  <w:noWrap w:val="0"/>
                  <w:vAlign w:val="center"/>
                </w:tcPr>
                <w:p w14:paraId="3EB037D8">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p>
              </w:tc>
            </w:tr>
            <w:tr w14:paraId="073E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 w:type="pct"/>
                  <w:noWrap w:val="0"/>
                  <w:vAlign w:val="center"/>
                </w:tcPr>
                <w:p w14:paraId="30606B7E">
                  <w:pPr>
                    <w:adjustRightInd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4</w:t>
                  </w:r>
                </w:p>
              </w:tc>
              <w:tc>
                <w:tcPr>
                  <w:tcW w:w="687" w:type="pct"/>
                  <w:noWrap w:val="0"/>
                  <w:vAlign w:val="center"/>
                </w:tcPr>
                <w:p w14:paraId="57EC9782">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废包装材料</w:t>
                  </w:r>
                </w:p>
              </w:tc>
              <w:tc>
                <w:tcPr>
                  <w:tcW w:w="994" w:type="dxa"/>
                  <w:noWrap w:val="0"/>
                  <w:vAlign w:val="center"/>
                </w:tcPr>
                <w:p w14:paraId="788F48D4">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SW17</w:t>
                  </w:r>
                </w:p>
              </w:tc>
              <w:tc>
                <w:tcPr>
                  <w:tcW w:w="1313" w:type="dxa"/>
                  <w:noWrap w:val="0"/>
                  <w:vAlign w:val="center"/>
                </w:tcPr>
                <w:p w14:paraId="276D200F">
                  <w:pPr>
                    <w:adjustRightInd w:val="0"/>
                    <w:snapToGrid w:val="0"/>
                    <w:jc w:val="center"/>
                    <w:rPr>
                      <w:rFonts w:hint="eastAsia"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2"/>
                      <w:sz w:val="21"/>
                      <w:szCs w:val="24"/>
                      <w:lang w:val="en-US" w:eastAsia="zh-CN" w:bidi="ar-SA"/>
                    </w:rPr>
                    <w:t>900-00</w:t>
                  </w:r>
                  <w:r>
                    <w:rPr>
                      <w:rFonts w:hint="eastAsia"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eastAsia" w:cs="Times New Roman"/>
                      <w:color w:val="auto"/>
                      <w:kern w:val="2"/>
                      <w:sz w:val="21"/>
                      <w:szCs w:val="24"/>
                      <w:lang w:val="en-US" w:eastAsia="zh-CN" w:bidi="ar-SA"/>
                    </w:rPr>
                    <w:t>S</w:t>
                  </w:r>
                  <w:r>
                    <w:rPr>
                      <w:rFonts w:hint="default" w:ascii="Times New Roman" w:hAnsi="Times New Roman" w:eastAsia="宋体" w:cs="Times New Roman"/>
                      <w:color w:val="auto"/>
                      <w:kern w:val="2"/>
                      <w:sz w:val="21"/>
                      <w:szCs w:val="24"/>
                      <w:lang w:val="en-US" w:eastAsia="zh-CN" w:bidi="ar-SA"/>
                    </w:rPr>
                    <w:t>17</w:t>
                  </w:r>
                </w:p>
              </w:tc>
              <w:tc>
                <w:tcPr>
                  <w:tcW w:w="511" w:type="pct"/>
                  <w:noWrap w:val="0"/>
                  <w:vAlign w:val="center"/>
                </w:tcPr>
                <w:p w14:paraId="71EB0798">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0.2</w:t>
                  </w:r>
                </w:p>
              </w:tc>
              <w:tc>
                <w:tcPr>
                  <w:tcW w:w="503" w:type="pct"/>
                  <w:noWrap w:val="0"/>
                  <w:vAlign w:val="center"/>
                </w:tcPr>
                <w:p w14:paraId="0937A809">
                  <w:pPr>
                    <w:spacing w:line="240" w:lineRule="auto"/>
                    <w:jc w:val="center"/>
                    <w:rPr>
                      <w:rFonts w:hint="default" w:ascii="Times New Roman" w:hAnsi="Times New Roman" w:eastAsia="宋体" w:cs="Times New Roman"/>
                      <w:color w:val="auto"/>
                      <w:spacing w:val="0"/>
                      <w:kern w:val="2"/>
                      <w:sz w:val="21"/>
                      <w:szCs w:val="24"/>
                      <w:lang w:val="en-US" w:eastAsia="zh-CN" w:bidi="ar-SA"/>
                    </w:rPr>
                  </w:pPr>
                  <w:r>
                    <w:rPr>
                      <w:rFonts w:hint="eastAsia" w:cs="Times New Roman"/>
                      <w:b w:val="0"/>
                      <w:bCs w:val="0"/>
                      <w:snapToGrid/>
                      <w:color w:val="auto"/>
                      <w:spacing w:val="0"/>
                      <w:kern w:val="0"/>
                      <w:position w:val="0"/>
                      <w:sz w:val="21"/>
                      <w:szCs w:val="21"/>
                      <w:vertAlign w:val="baseline"/>
                      <w:lang w:val="en-US" w:eastAsia="zh-CN" w:bidi="ar-SA"/>
                    </w:rPr>
                    <w:t>包装</w:t>
                  </w:r>
                </w:p>
              </w:tc>
              <w:tc>
                <w:tcPr>
                  <w:tcW w:w="253" w:type="pct"/>
                  <w:noWrap w:val="0"/>
                  <w:vAlign w:val="center"/>
                </w:tcPr>
                <w:p w14:paraId="758F7957">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固态</w:t>
                  </w:r>
                </w:p>
              </w:tc>
              <w:tc>
                <w:tcPr>
                  <w:tcW w:w="469" w:type="pct"/>
                  <w:noWrap w:val="0"/>
                  <w:vAlign w:val="center"/>
                </w:tcPr>
                <w:p w14:paraId="3F32504E">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废纸等</w:t>
                  </w:r>
                </w:p>
              </w:tc>
              <w:tc>
                <w:tcPr>
                  <w:tcW w:w="404" w:type="pct"/>
                  <w:noWrap w:val="0"/>
                  <w:vAlign w:val="center"/>
                </w:tcPr>
                <w:p w14:paraId="4F99B5D2">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1个月</w:t>
                  </w:r>
                </w:p>
              </w:tc>
              <w:tc>
                <w:tcPr>
                  <w:tcW w:w="649" w:type="pct"/>
                  <w:vMerge w:val="continue"/>
                  <w:noWrap w:val="0"/>
                  <w:vAlign w:val="center"/>
                </w:tcPr>
                <w:p w14:paraId="35E55DC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p>
              </w:tc>
            </w:tr>
          </w:tbl>
          <w:p w14:paraId="554E3C9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snapToGrid/>
                <w:color w:val="auto"/>
                <w:spacing w:val="0"/>
                <w:kern w:val="0"/>
                <w:position w:val="0"/>
                <w:lang w:val="en-US" w:eastAsia="zh-CN"/>
              </w:rPr>
            </w:pPr>
            <w:r>
              <w:rPr>
                <w:rFonts w:hint="default" w:ascii="Times New Roman" w:hAnsi="Times New Roman" w:eastAsia="宋体" w:cs="Times New Roman"/>
                <w:b/>
                <w:bCs/>
                <w:snapToGrid/>
                <w:color w:val="auto"/>
                <w:spacing w:val="0"/>
                <w:kern w:val="0"/>
                <w:position w:val="0"/>
                <w:sz w:val="24"/>
                <w:szCs w:val="24"/>
              </w:rPr>
              <w:t>表</w:t>
            </w:r>
            <w:r>
              <w:rPr>
                <w:rFonts w:hint="default" w:ascii="Times New Roman" w:hAnsi="Times New Roman" w:eastAsia="宋体" w:cs="Times New Roman"/>
                <w:b/>
                <w:bCs/>
                <w:snapToGrid/>
                <w:color w:val="auto"/>
                <w:spacing w:val="0"/>
                <w:kern w:val="0"/>
                <w:position w:val="0"/>
                <w:sz w:val="24"/>
                <w:szCs w:val="24"/>
                <w:lang w:val="en-US" w:eastAsia="zh-CN"/>
              </w:rPr>
              <w:t>4.</w:t>
            </w:r>
            <w:r>
              <w:rPr>
                <w:rFonts w:hint="eastAsia" w:ascii="Times New Roman" w:hAnsi="Times New Roman" w:eastAsia="宋体" w:cs="Times New Roman"/>
                <w:b/>
                <w:bCs/>
                <w:snapToGrid/>
                <w:color w:val="auto"/>
                <w:spacing w:val="0"/>
                <w:kern w:val="0"/>
                <w:position w:val="0"/>
                <w:sz w:val="24"/>
                <w:szCs w:val="24"/>
                <w:lang w:val="en-US" w:eastAsia="zh-CN"/>
              </w:rPr>
              <w:t>1</w:t>
            </w:r>
            <w:r>
              <w:rPr>
                <w:rFonts w:hint="eastAsia" w:cs="Times New Roman"/>
                <w:b/>
                <w:bCs/>
                <w:snapToGrid/>
                <w:color w:val="auto"/>
                <w:spacing w:val="0"/>
                <w:kern w:val="0"/>
                <w:position w:val="0"/>
                <w:sz w:val="24"/>
                <w:szCs w:val="24"/>
                <w:lang w:val="en-US" w:eastAsia="zh-CN"/>
              </w:rPr>
              <w:t xml:space="preserve">3 </w:t>
            </w:r>
            <w:r>
              <w:rPr>
                <w:rFonts w:hint="default" w:ascii="Times New Roman" w:hAnsi="Times New Roman" w:eastAsia="宋体" w:cs="Times New Roman"/>
                <w:b/>
                <w:bCs/>
                <w:snapToGrid/>
                <w:color w:val="auto"/>
                <w:spacing w:val="0"/>
                <w:kern w:val="0"/>
                <w:position w:val="0"/>
                <w:sz w:val="24"/>
                <w:szCs w:val="24"/>
              </w:rPr>
              <w:t xml:space="preserve"> 项目</w:t>
            </w:r>
            <w:r>
              <w:rPr>
                <w:rFonts w:hint="eastAsia" w:ascii="Times New Roman" w:hAnsi="Times New Roman" w:eastAsia="宋体" w:cs="Times New Roman"/>
                <w:b/>
                <w:bCs/>
                <w:snapToGrid/>
                <w:color w:val="auto"/>
                <w:spacing w:val="0"/>
                <w:kern w:val="0"/>
                <w:position w:val="0"/>
                <w:sz w:val="24"/>
                <w:szCs w:val="24"/>
                <w:lang w:eastAsia="zh-CN"/>
              </w:rPr>
              <w:t>危险</w:t>
            </w:r>
            <w:r>
              <w:rPr>
                <w:rFonts w:hint="default" w:ascii="Times New Roman" w:hAnsi="Times New Roman" w:eastAsia="宋体" w:cs="Times New Roman"/>
                <w:b/>
                <w:bCs/>
                <w:snapToGrid/>
                <w:color w:val="auto"/>
                <w:spacing w:val="0"/>
                <w:kern w:val="0"/>
                <w:position w:val="0"/>
                <w:sz w:val="24"/>
                <w:szCs w:val="24"/>
              </w:rPr>
              <w:t>废物产</w:t>
            </w:r>
            <w:r>
              <w:rPr>
                <w:rFonts w:hint="eastAsia" w:ascii="Times New Roman" w:hAnsi="Times New Roman" w:eastAsia="宋体" w:cs="Times New Roman"/>
                <w:b/>
                <w:bCs/>
                <w:snapToGrid/>
                <w:color w:val="auto"/>
                <w:spacing w:val="0"/>
                <w:kern w:val="0"/>
                <w:position w:val="0"/>
                <w:sz w:val="24"/>
                <w:szCs w:val="24"/>
                <w:lang w:eastAsia="zh-CN"/>
              </w:rPr>
              <w:t>生及处置统计一览</w:t>
            </w:r>
            <w:r>
              <w:rPr>
                <w:rFonts w:hint="default" w:ascii="Times New Roman" w:hAnsi="Times New Roman" w:eastAsia="宋体" w:cs="Times New Roman"/>
                <w:b/>
                <w:bCs/>
                <w:snapToGrid/>
                <w:color w:val="auto"/>
                <w:spacing w:val="0"/>
                <w:kern w:val="0"/>
                <w:position w:val="0"/>
                <w:sz w:val="24"/>
                <w:szCs w:val="24"/>
              </w:rPr>
              <w:t>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62"/>
              <w:gridCol w:w="1155"/>
              <w:gridCol w:w="1196"/>
              <w:gridCol w:w="874"/>
              <w:gridCol w:w="636"/>
              <w:gridCol w:w="426"/>
              <w:gridCol w:w="718"/>
              <w:gridCol w:w="626"/>
              <w:gridCol w:w="677"/>
              <w:gridCol w:w="816"/>
            </w:tblGrid>
            <w:tr w14:paraId="1D78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 w:type="pct"/>
                  <w:noWrap w:val="0"/>
                  <w:vAlign w:val="center"/>
                </w:tcPr>
                <w:p w14:paraId="635B522D">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序号</w:t>
                  </w:r>
                </w:p>
              </w:tc>
              <w:tc>
                <w:tcPr>
                  <w:tcW w:w="403" w:type="pct"/>
                  <w:noWrap w:val="0"/>
                  <w:vAlign w:val="center"/>
                </w:tcPr>
                <w:p w14:paraId="440E3B7A">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危险废物</w:t>
                  </w:r>
                </w:p>
              </w:tc>
              <w:tc>
                <w:tcPr>
                  <w:tcW w:w="703" w:type="pct"/>
                  <w:noWrap w:val="0"/>
                  <w:vAlign w:val="center"/>
                </w:tcPr>
                <w:p w14:paraId="201C4BB6">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危险废物类别</w:t>
                  </w:r>
                </w:p>
              </w:tc>
              <w:tc>
                <w:tcPr>
                  <w:tcW w:w="728" w:type="pct"/>
                  <w:noWrap w:val="0"/>
                  <w:vAlign w:val="center"/>
                </w:tcPr>
                <w:p w14:paraId="4EF8DD7A">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废物代码</w:t>
                  </w:r>
                </w:p>
              </w:tc>
              <w:tc>
                <w:tcPr>
                  <w:tcW w:w="532" w:type="pct"/>
                  <w:noWrap w:val="0"/>
                  <w:vAlign w:val="center"/>
                </w:tcPr>
                <w:p w14:paraId="4AAC4FD7">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387" w:type="pct"/>
                  <w:noWrap w:val="0"/>
                  <w:vAlign w:val="center"/>
                </w:tcPr>
                <w:p w14:paraId="698C8C1E">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产生工序及装置</w:t>
                  </w:r>
                </w:p>
              </w:tc>
              <w:tc>
                <w:tcPr>
                  <w:tcW w:w="259" w:type="pct"/>
                  <w:noWrap w:val="0"/>
                  <w:vAlign w:val="center"/>
                </w:tcPr>
                <w:p w14:paraId="7980EC29">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形态</w:t>
                  </w:r>
                </w:p>
              </w:tc>
              <w:tc>
                <w:tcPr>
                  <w:tcW w:w="437" w:type="pct"/>
                  <w:noWrap w:val="0"/>
                  <w:vAlign w:val="center"/>
                </w:tcPr>
                <w:p w14:paraId="177751F9">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主要成分</w:t>
                  </w:r>
                </w:p>
              </w:tc>
              <w:tc>
                <w:tcPr>
                  <w:tcW w:w="381" w:type="pct"/>
                  <w:noWrap w:val="0"/>
                  <w:vAlign w:val="center"/>
                </w:tcPr>
                <w:p w14:paraId="56D80B3A">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产废周期</w:t>
                  </w:r>
                </w:p>
              </w:tc>
              <w:tc>
                <w:tcPr>
                  <w:tcW w:w="412" w:type="pct"/>
                  <w:noWrap w:val="0"/>
                  <w:vAlign w:val="center"/>
                </w:tcPr>
                <w:p w14:paraId="4438AB7A">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危险特性</w:t>
                  </w:r>
                </w:p>
              </w:tc>
              <w:tc>
                <w:tcPr>
                  <w:tcW w:w="496" w:type="pct"/>
                  <w:noWrap w:val="0"/>
                  <w:vAlign w:val="center"/>
                </w:tcPr>
                <w:p w14:paraId="65BF1358">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防治措施</w:t>
                  </w:r>
                </w:p>
              </w:tc>
            </w:tr>
            <w:tr w14:paraId="737E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 w:type="pct"/>
                  <w:noWrap w:val="0"/>
                  <w:vAlign w:val="center"/>
                </w:tcPr>
                <w:p w14:paraId="1BD18C4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1</w:t>
                  </w:r>
                </w:p>
              </w:tc>
              <w:tc>
                <w:tcPr>
                  <w:tcW w:w="403" w:type="pct"/>
                  <w:noWrap w:val="0"/>
                  <w:vAlign w:val="center"/>
                </w:tcPr>
                <w:p w14:paraId="42B033E4">
                  <w:pPr>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bCs/>
                      <w:snapToGrid/>
                      <w:color w:val="auto"/>
                      <w:spacing w:val="0"/>
                      <w:kern w:val="0"/>
                      <w:position w:val="0"/>
                      <w:sz w:val="21"/>
                      <w:szCs w:val="21"/>
                      <w:lang w:val="en-US" w:eastAsia="zh-CN"/>
                    </w:rPr>
                    <w:t>废油桶</w:t>
                  </w:r>
                </w:p>
              </w:tc>
              <w:tc>
                <w:tcPr>
                  <w:tcW w:w="703" w:type="pct"/>
                  <w:noWrap w:val="0"/>
                  <w:vAlign w:val="center"/>
                </w:tcPr>
                <w:p w14:paraId="733E7B87">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HW</w:t>
                  </w:r>
                  <w:r>
                    <w:rPr>
                      <w:rFonts w:hint="eastAsia" w:cs="Times New Roman"/>
                      <w:snapToGrid/>
                      <w:color w:val="auto"/>
                      <w:spacing w:val="0"/>
                      <w:kern w:val="0"/>
                      <w:position w:val="0"/>
                      <w:sz w:val="21"/>
                      <w:szCs w:val="21"/>
                      <w:lang w:val="en-US" w:eastAsia="zh-CN"/>
                    </w:rPr>
                    <w:t>08</w:t>
                  </w:r>
                  <w:r>
                    <w:rPr>
                      <w:rFonts w:hint="default" w:ascii="Times New Roman" w:hAnsi="Times New Roman" w:eastAsia="宋体" w:cs="Times New Roman"/>
                      <w:snapToGrid/>
                      <w:color w:val="auto"/>
                      <w:spacing w:val="0"/>
                      <w:kern w:val="0"/>
                      <w:position w:val="0"/>
                      <w:sz w:val="21"/>
                      <w:szCs w:val="21"/>
                      <w:lang w:val="en-US" w:eastAsia="zh-CN"/>
                    </w:rPr>
                    <w:t>废矿物油与含矿物油废物</w:t>
                  </w:r>
                </w:p>
              </w:tc>
              <w:tc>
                <w:tcPr>
                  <w:tcW w:w="728" w:type="pct"/>
                  <w:noWrap w:val="0"/>
                  <w:vAlign w:val="center"/>
                </w:tcPr>
                <w:p w14:paraId="656424F2">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900-249-08</w:t>
                  </w:r>
                </w:p>
              </w:tc>
              <w:tc>
                <w:tcPr>
                  <w:tcW w:w="532" w:type="pct"/>
                  <w:noWrap w:val="0"/>
                  <w:vAlign w:val="center"/>
                </w:tcPr>
                <w:p w14:paraId="20123685">
                  <w:pPr>
                    <w:spacing w:line="240" w:lineRule="exac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0.22</w:t>
                  </w:r>
                </w:p>
              </w:tc>
              <w:tc>
                <w:tcPr>
                  <w:tcW w:w="387" w:type="pct"/>
                  <w:noWrap w:val="0"/>
                  <w:vAlign w:val="center"/>
                </w:tcPr>
                <w:p w14:paraId="2FA018C0">
                  <w:pPr>
                    <w:spacing w:line="240" w:lineRule="auto"/>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物料使用</w:t>
                  </w:r>
                </w:p>
              </w:tc>
              <w:tc>
                <w:tcPr>
                  <w:tcW w:w="259" w:type="pct"/>
                  <w:noWrap w:val="0"/>
                  <w:vAlign w:val="center"/>
                </w:tcPr>
                <w:p w14:paraId="038D186C">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437" w:type="pct"/>
                  <w:noWrap w:val="0"/>
                  <w:vAlign w:val="center"/>
                </w:tcPr>
                <w:p w14:paraId="2A0C73D5">
                  <w:pPr>
                    <w:adjustRightInd w:val="0"/>
                    <w:snapToGrid w:val="0"/>
                    <w:jc w:val="center"/>
                    <w:rPr>
                      <w:rFonts w:hint="default"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废</w:t>
                  </w:r>
                  <w:r>
                    <w:rPr>
                      <w:rFonts w:hint="eastAsia" w:cs="Times New Roman"/>
                      <w:bCs/>
                      <w:snapToGrid/>
                      <w:color w:val="auto"/>
                      <w:spacing w:val="0"/>
                      <w:kern w:val="0"/>
                      <w:position w:val="0"/>
                      <w:sz w:val="21"/>
                      <w:szCs w:val="21"/>
                      <w:lang w:val="en-US" w:eastAsia="zh-CN"/>
                    </w:rPr>
                    <w:t>油桶</w:t>
                  </w:r>
                </w:p>
              </w:tc>
              <w:tc>
                <w:tcPr>
                  <w:tcW w:w="381" w:type="pct"/>
                  <w:noWrap w:val="0"/>
                  <w:vAlign w:val="center"/>
                </w:tcPr>
                <w:p w14:paraId="2ACC920F">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1个月</w:t>
                  </w:r>
                </w:p>
              </w:tc>
              <w:tc>
                <w:tcPr>
                  <w:tcW w:w="412" w:type="pct"/>
                  <w:noWrap w:val="0"/>
                  <w:vAlign w:val="center"/>
                </w:tcPr>
                <w:p w14:paraId="27CD41BA">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T</w:t>
                  </w:r>
                  <w:r>
                    <w:rPr>
                      <w:rFonts w:hint="default" w:ascii="Times New Roman" w:hAnsi="Times New Roman" w:cs="Times New Roman"/>
                      <w:color w:val="auto"/>
                      <w:szCs w:val="21"/>
                    </w:rPr>
                    <w:t>，I</w:t>
                  </w:r>
                </w:p>
              </w:tc>
              <w:tc>
                <w:tcPr>
                  <w:tcW w:w="496" w:type="pct"/>
                  <w:vMerge w:val="restart"/>
                  <w:noWrap w:val="0"/>
                  <w:vAlign w:val="center"/>
                </w:tcPr>
                <w:p w14:paraId="23E9D6F1">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委托有资质单位处理</w:t>
                  </w:r>
                </w:p>
              </w:tc>
            </w:tr>
            <w:tr w14:paraId="4E47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 w:type="pct"/>
                  <w:noWrap w:val="0"/>
                  <w:vAlign w:val="center"/>
                </w:tcPr>
                <w:p w14:paraId="48BAAEE4">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w:t>
                  </w:r>
                </w:p>
              </w:tc>
              <w:tc>
                <w:tcPr>
                  <w:tcW w:w="403" w:type="pct"/>
                  <w:noWrap w:val="0"/>
                  <w:vAlign w:val="center"/>
                </w:tcPr>
                <w:p w14:paraId="62D55ABD">
                  <w:pPr>
                    <w:jc w:val="center"/>
                    <w:rPr>
                      <w:rFonts w:hint="default" w:eastAsia="宋体"/>
                      <w:color w:val="auto"/>
                      <w:szCs w:val="21"/>
                      <w:lang w:val="en-US" w:eastAsia="zh-CN"/>
                    </w:rPr>
                  </w:pPr>
                  <w:r>
                    <w:rPr>
                      <w:rFonts w:hint="eastAsia"/>
                      <w:color w:val="auto"/>
                      <w:szCs w:val="21"/>
                      <w:lang w:val="en-US" w:eastAsia="zh-CN"/>
                    </w:rPr>
                    <w:t>废抗磨液压油</w:t>
                  </w:r>
                </w:p>
              </w:tc>
              <w:tc>
                <w:tcPr>
                  <w:tcW w:w="703" w:type="pct"/>
                  <w:noWrap w:val="0"/>
                  <w:vAlign w:val="center"/>
                </w:tcPr>
                <w:p w14:paraId="459A6CC2">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HW08废矿物油与含矿物油废物</w:t>
                  </w:r>
                </w:p>
              </w:tc>
              <w:tc>
                <w:tcPr>
                  <w:tcW w:w="728" w:type="pct"/>
                  <w:noWrap w:val="0"/>
                  <w:vAlign w:val="center"/>
                </w:tcPr>
                <w:p w14:paraId="1A0F6FC3">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900-2</w:t>
                  </w:r>
                  <w:r>
                    <w:rPr>
                      <w:rFonts w:hint="eastAsia" w:cs="Times New Roman"/>
                      <w:color w:val="auto"/>
                      <w:sz w:val="21"/>
                      <w:szCs w:val="21"/>
                      <w:lang w:val="en-US" w:eastAsia="zh-CN"/>
                    </w:rPr>
                    <w:t>18</w:t>
                  </w:r>
                  <w:r>
                    <w:rPr>
                      <w:rFonts w:hint="default" w:ascii="Times New Roman" w:hAnsi="Times New Roman" w:cs="Times New Roman"/>
                      <w:color w:val="auto"/>
                      <w:sz w:val="21"/>
                      <w:szCs w:val="21"/>
                      <w:lang w:val="en-US" w:eastAsia="zh-CN"/>
                    </w:rPr>
                    <w:t>-08</w:t>
                  </w:r>
                </w:p>
              </w:tc>
              <w:tc>
                <w:tcPr>
                  <w:tcW w:w="532" w:type="pct"/>
                  <w:noWrap w:val="0"/>
                  <w:vAlign w:val="center"/>
                </w:tcPr>
                <w:p w14:paraId="6EBFAB9C">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0.4</w:t>
                  </w:r>
                </w:p>
              </w:tc>
              <w:tc>
                <w:tcPr>
                  <w:tcW w:w="387" w:type="pct"/>
                  <w:noWrap w:val="0"/>
                  <w:vAlign w:val="center"/>
                </w:tcPr>
                <w:p w14:paraId="1D508EE4">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olor w:val="auto"/>
                      <w:szCs w:val="21"/>
                      <w:lang w:val="en-US" w:eastAsia="zh-CN"/>
                    </w:rPr>
                    <w:t>机加工</w:t>
                  </w:r>
                </w:p>
              </w:tc>
              <w:tc>
                <w:tcPr>
                  <w:tcW w:w="259" w:type="pct"/>
                  <w:noWrap w:val="0"/>
                  <w:vAlign w:val="center"/>
                </w:tcPr>
                <w:p w14:paraId="5839069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液态</w:t>
                  </w:r>
                </w:p>
              </w:tc>
              <w:tc>
                <w:tcPr>
                  <w:tcW w:w="437" w:type="pct"/>
                  <w:noWrap w:val="0"/>
                  <w:vAlign w:val="center"/>
                </w:tcPr>
                <w:p w14:paraId="4DD48A8B">
                  <w:pPr>
                    <w:adjustRightInd w:val="0"/>
                    <w:snapToGrid w:val="0"/>
                    <w:jc w:val="center"/>
                    <w:rPr>
                      <w:rFonts w:hint="default" w:cs="Times New Roman"/>
                      <w:bCs/>
                      <w:snapToGrid/>
                      <w:color w:val="auto"/>
                      <w:spacing w:val="0"/>
                      <w:kern w:val="0"/>
                      <w:position w:val="0"/>
                      <w:sz w:val="21"/>
                      <w:szCs w:val="21"/>
                      <w:lang w:val="en-US" w:eastAsia="zh-CN"/>
                    </w:rPr>
                  </w:pPr>
                  <w:r>
                    <w:rPr>
                      <w:rFonts w:hint="eastAsia"/>
                      <w:color w:val="auto"/>
                      <w:lang w:val="en-US" w:eastAsia="zh-CN"/>
                    </w:rPr>
                    <w:t>废抗磨液压油</w:t>
                  </w:r>
                </w:p>
              </w:tc>
              <w:tc>
                <w:tcPr>
                  <w:tcW w:w="381" w:type="pct"/>
                  <w:noWrap w:val="0"/>
                  <w:vAlign w:val="center"/>
                </w:tcPr>
                <w:p w14:paraId="57AE56BE">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1个月</w:t>
                  </w:r>
                </w:p>
              </w:tc>
              <w:tc>
                <w:tcPr>
                  <w:tcW w:w="412" w:type="pct"/>
                  <w:noWrap w:val="0"/>
                  <w:vAlign w:val="center"/>
                </w:tcPr>
                <w:p w14:paraId="3D0D7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T，</w:t>
                  </w:r>
                  <w:r>
                    <w:rPr>
                      <w:rFonts w:hint="default" w:ascii="Times New Roman" w:hAnsi="Times New Roman" w:cs="Times New Roman"/>
                      <w:color w:val="auto"/>
                      <w:szCs w:val="21"/>
                    </w:rPr>
                    <w:t>I</w:t>
                  </w:r>
                </w:p>
              </w:tc>
              <w:tc>
                <w:tcPr>
                  <w:tcW w:w="496" w:type="pct"/>
                  <w:vMerge w:val="continue"/>
                  <w:noWrap w:val="0"/>
                  <w:vAlign w:val="center"/>
                </w:tcPr>
                <w:p w14:paraId="068A98F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r>
            <w:tr w14:paraId="30B5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 w:type="pct"/>
                  <w:noWrap w:val="0"/>
                  <w:vAlign w:val="center"/>
                </w:tcPr>
                <w:p w14:paraId="2E64E89F">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w:t>
                  </w:r>
                </w:p>
              </w:tc>
              <w:tc>
                <w:tcPr>
                  <w:tcW w:w="403" w:type="pct"/>
                  <w:noWrap w:val="0"/>
                  <w:vAlign w:val="center"/>
                </w:tcPr>
                <w:p w14:paraId="172B7272">
                  <w:pPr>
                    <w:jc w:val="center"/>
                    <w:rPr>
                      <w:rFonts w:hint="default"/>
                      <w:color w:val="auto"/>
                      <w:szCs w:val="21"/>
                      <w:lang w:val="en-US" w:eastAsia="zh-CN"/>
                    </w:rPr>
                  </w:pPr>
                  <w:r>
                    <w:rPr>
                      <w:rFonts w:hint="eastAsia"/>
                      <w:color w:val="auto"/>
                      <w:szCs w:val="21"/>
                      <w:lang w:val="en-US" w:eastAsia="zh-CN"/>
                    </w:rPr>
                    <w:t>废切削液</w:t>
                  </w:r>
                </w:p>
              </w:tc>
              <w:tc>
                <w:tcPr>
                  <w:tcW w:w="703" w:type="pct"/>
                  <w:noWrap w:val="0"/>
                  <w:vAlign w:val="center"/>
                </w:tcPr>
                <w:p w14:paraId="7E1DDD06">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HW0</w:t>
                  </w:r>
                  <w:r>
                    <w:rPr>
                      <w:rFonts w:hint="eastAsia" w:cs="Times New Roman"/>
                      <w:snapToGrid/>
                      <w:color w:val="auto"/>
                      <w:spacing w:val="0"/>
                      <w:kern w:val="0"/>
                      <w:position w:val="0"/>
                      <w:sz w:val="21"/>
                      <w:szCs w:val="21"/>
                      <w:lang w:val="en-US" w:eastAsia="zh-CN"/>
                    </w:rPr>
                    <w:t>9油/水、烃/水混合物或者乳化液</w:t>
                  </w:r>
                </w:p>
              </w:tc>
              <w:tc>
                <w:tcPr>
                  <w:tcW w:w="728" w:type="pct"/>
                  <w:noWrap w:val="0"/>
                  <w:vAlign w:val="center"/>
                </w:tcPr>
                <w:p w14:paraId="566DB2A5">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900-006-09</w:t>
                  </w:r>
                </w:p>
              </w:tc>
              <w:tc>
                <w:tcPr>
                  <w:tcW w:w="532" w:type="pct"/>
                  <w:noWrap w:val="0"/>
                  <w:vAlign w:val="center"/>
                </w:tcPr>
                <w:p w14:paraId="50BDC1EE">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0.5</w:t>
                  </w:r>
                </w:p>
              </w:tc>
              <w:tc>
                <w:tcPr>
                  <w:tcW w:w="387" w:type="pct"/>
                  <w:noWrap w:val="0"/>
                  <w:vAlign w:val="center"/>
                </w:tcPr>
                <w:p w14:paraId="12E51DD2">
                  <w:pPr>
                    <w:spacing w:line="240" w:lineRule="auto"/>
                    <w:jc w:val="center"/>
                    <w:rPr>
                      <w:rFonts w:hint="default"/>
                      <w:color w:val="auto"/>
                      <w:szCs w:val="21"/>
                      <w:lang w:val="en-US" w:eastAsia="zh-CN"/>
                    </w:rPr>
                  </w:pPr>
                  <w:r>
                    <w:rPr>
                      <w:rFonts w:hint="eastAsia"/>
                      <w:color w:val="auto"/>
                      <w:szCs w:val="21"/>
                      <w:lang w:val="en-US" w:eastAsia="zh-CN"/>
                    </w:rPr>
                    <w:t>车削</w:t>
                  </w:r>
                </w:p>
              </w:tc>
              <w:tc>
                <w:tcPr>
                  <w:tcW w:w="259" w:type="pct"/>
                  <w:noWrap w:val="0"/>
                  <w:vAlign w:val="center"/>
                </w:tcPr>
                <w:p w14:paraId="7C55340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液态</w:t>
                  </w:r>
                </w:p>
              </w:tc>
              <w:tc>
                <w:tcPr>
                  <w:tcW w:w="437" w:type="pct"/>
                  <w:noWrap w:val="0"/>
                  <w:vAlign w:val="center"/>
                </w:tcPr>
                <w:p w14:paraId="54FC39BE">
                  <w:pPr>
                    <w:adjustRightInd w:val="0"/>
                    <w:snapToGrid w:val="0"/>
                    <w:jc w:val="center"/>
                    <w:rPr>
                      <w:rFonts w:hint="default"/>
                      <w:color w:val="auto"/>
                      <w:lang w:val="en-US" w:eastAsia="zh-CN"/>
                    </w:rPr>
                  </w:pPr>
                  <w:r>
                    <w:rPr>
                      <w:rFonts w:hint="eastAsia"/>
                      <w:color w:val="auto"/>
                      <w:szCs w:val="21"/>
                      <w:lang w:val="en-US" w:eastAsia="zh-CN"/>
                    </w:rPr>
                    <w:t>废</w:t>
                  </w:r>
                  <w:r>
                    <w:rPr>
                      <w:rFonts w:hint="eastAsia"/>
                      <w:color w:val="auto"/>
                      <w:lang w:val="en-US" w:eastAsia="zh-CN"/>
                    </w:rPr>
                    <w:t>切削液</w:t>
                  </w:r>
                </w:p>
              </w:tc>
              <w:tc>
                <w:tcPr>
                  <w:tcW w:w="381" w:type="pct"/>
                  <w:noWrap w:val="0"/>
                  <w:vAlign w:val="center"/>
                </w:tcPr>
                <w:p w14:paraId="1D8DA24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rPr>
                    <w:t>1个月</w:t>
                  </w:r>
                </w:p>
              </w:tc>
              <w:tc>
                <w:tcPr>
                  <w:tcW w:w="412" w:type="pct"/>
                  <w:noWrap w:val="0"/>
                  <w:vAlign w:val="center"/>
                </w:tcPr>
                <w:p w14:paraId="6197BC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cs="Times New Roman"/>
                      <w:snapToGrid/>
                      <w:color w:val="auto"/>
                      <w:spacing w:val="0"/>
                      <w:kern w:val="0"/>
                      <w:position w:val="0"/>
                      <w:sz w:val="21"/>
                      <w:szCs w:val="21"/>
                      <w:lang w:val="en-US" w:eastAsia="zh-CN"/>
                    </w:rPr>
                  </w:pPr>
                  <w:r>
                    <w:rPr>
                      <w:rFonts w:hint="default" w:ascii="Times New Roman" w:hAnsi="Times New Roman" w:cs="Times New Roman"/>
                      <w:color w:val="auto"/>
                      <w:kern w:val="0"/>
                      <w:szCs w:val="21"/>
                    </w:rPr>
                    <w:t>T</w:t>
                  </w:r>
                </w:p>
              </w:tc>
              <w:tc>
                <w:tcPr>
                  <w:tcW w:w="496" w:type="pct"/>
                  <w:vMerge w:val="continue"/>
                  <w:noWrap w:val="0"/>
                  <w:vAlign w:val="center"/>
                </w:tcPr>
                <w:p w14:paraId="20CB59EB">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r>
          </w:tbl>
          <w:p w14:paraId="6933AA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环境管理要求：</w:t>
            </w:r>
          </w:p>
          <w:p w14:paraId="41A7A7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napToGrid/>
                <w:color w:val="auto"/>
                <w:spacing w:val="0"/>
                <w:kern w:val="0"/>
                <w:position w:val="0"/>
                <w:sz w:val="24"/>
                <w:szCs w:val="24"/>
              </w:rPr>
            </w:pPr>
            <w:r>
              <w:rPr>
                <w:snapToGrid/>
                <w:color w:val="auto"/>
                <w:spacing w:val="0"/>
                <w:kern w:val="0"/>
                <w:position w:val="0"/>
                <w:sz w:val="24"/>
                <w:szCs w:val="24"/>
              </w:rPr>
              <w:t>本项目产生的</w:t>
            </w:r>
            <w:r>
              <w:rPr>
                <w:rFonts w:hint="eastAsia" w:ascii="Times New Roman" w:hAnsi="Times New Roman" w:eastAsia="宋体" w:cs="Times New Roman"/>
                <w:snapToGrid/>
                <w:color w:val="auto"/>
                <w:spacing w:val="0"/>
                <w:kern w:val="0"/>
                <w:position w:val="0"/>
                <w:sz w:val="24"/>
                <w:szCs w:val="24"/>
                <w:lang w:eastAsia="zh-CN"/>
              </w:rPr>
              <w:t>一般工业固体废物</w:t>
            </w:r>
            <w:r>
              <w:rPr>
                <w:rFonts w:hint="default"/>
                <w:snapToGrid/>
                <w:color w:val="auto"/>
                <w:spacing w:val="0"/>
                <w:kern w:val="0"/>
                <w:position w:val="0"/>
                <w:sz w:val="24"/>
                <w:szCs w:val="24"/>
                <w:lang w:val="en-US" w:eastAsia="zh-CN"/>
              </w:rPr>
              <w:t>废</w:t>
            </w:r>
            <w:r>
              <w:rPr>
                <w:rFonts w:hint="eastAsia"/>
                <w:snapToGrid/>
                <w:color w:val="auto"/>
                <w:spacing w:val="0"/>
                <w:kern w:val="0"/>
                <w:position w:val="0"/>
                <w:sz w:val="24"/>
                <w:szCs w:val="24"/>
                <w:lang w:val="en-US" w:eastAsia="zh-CN"/>
              </w:rPr>
              <w:t>边角料、不合格品及废包装材料</w:t>
            </w:r>
            <w:r>
              <w:rPr>
                <w:rFonts w:hint="eastAsia"/>
                <w:snapToGrid/>
                <w:color w:val="auto"/>
                <w:spacing w:val="0"/>
                <w:kern w:val="0"/>
                <w:position w:val="0"/>
                <w:sz w:val="24"/>
                <w:szCs w:val="24"/>
              </w:rPr>
              <w:t>经</w:t>
            </w:r>
            <w:r>
              <w:rPr>
                <w:rFonts w:hint="eastAsia" w:ascii="Times New Roman" w:hAnsi="Times New Roman" w:eastAsia="宋体" w:cs="Times New Roman"/>
                <w:snapToGrid/>
                <w:color w:val="auto"/>
                <w:spacing w:val="0"/>
                <w:kern w:val="0"/>
                <w:position w:val="0"/>
                <w:sz w:val="24"/>
                <w:szCs w:val="24"/>
                <w:lang w:val="en-US" w:eastAsia="zh-CN"/>
              </w:rPr>
              <w:t>厂</w:t>
            </w:r>
            <w:r>
              <w:rPr>
                <w:rFonts w:hint="default" w:ascii="Times New Roman" w:hAnsi="Times New Roman" w:eastAsia="宋体" w:cs="Times New Roman"/>
                <w:snapToGrid/>
                <w:color w:val="auto"/>
                <w:spacing w:val="0"/>
                <w:kern w:val="0"/>
                <w:position w:val="0"/>
                <w:sz w:val="24"/>
                <w:szCs w:val="24"/>
                <w:lang w:val="en-US" w:eastAsia="zh-CN"/>
              </w:rPr>
              <w:t>内集中收集后由资源利用单位回收利用</w:t>
            </w:r>
            <w:r>
              <w:rPr>
                <w:rFonts w:hint="eastAsia"/>
                <w:snapToGrid/>
                <w:color w:val="auto"/>
                <w:spacing w:val="0"/>
                <w:kern w:val="0"/>
                <w:position w:val="0"/>
                <w:sz w:val="24"/>
                <w:lang w:val="en-US" w:eastAsia="zh-CN"/>
              </w:rPr>
              <w:t>；废油桶、</w:t>
            </w:r>
            <w:r>
              <w:rPr>
                <w:rFonts w:hint="eastAsia" w:cs="Times New Roman"/>
                <w:snapToGrid/>
                <w:color w:val="auto"/>
                <w:spacing w:val="0"/>
                <w:kern w:val="0"/>
                <w:position w:val="0"/>
                <w:sz w:val="24"/>
                <w:szCs w:val="24"/>
                <w:lang w:val="en-US" w:eastAsia="zh-CN"/>
              </w:rPr>
              <w:t>废抗磨液压油、废切削液</w:t>
            </w:r>
            <w:r>
              <w:rPr>
                <w:rFonts w:hint="eastAsia" w:ascii="Times New Roman" w:hAnsi="Times New Roman" w:cs="Times New Roman"/>
                <w:snapToGrid/>
                <w:color w:val="auto"/>
                <w:spacing w:val="0"/>
                <w:kern w:val="0"/>
                <w:position w:val="0"/>
                <w:sz w:val="24"/>
                <w:lang w:val="en-US" w:eastAsia="zh-CN"/>
              </w:rPr>
              <w:t>经</w:t>
            </w:r>
            <w:r>
              <w:rPr>
                <w:rFonts w:hint="default" w:ascii="Times New Roman" w:hAnsi="Times New Roman" w:cs="Times New Roman"/>
                <w:b w:val="0"/>
                <w:bCs w:val="0"/>
                <w:snapToGrid/>
                <w:color w:val="auto"/>
                <w:spacing w:val="0"/>
                <w:kern w:val="0"/>
                <w:position w:val="0"/>
                <w:sz w:val="24"/>
                <w:lang w:val="en-US" w:eastAsia="zh-CN"/>
              </w:rPr>
              <w:t>于厂内危废暂存间暂存后委托有资质单位妥善处置</w:t>
            </w:r>
            <w:r>
              <w:rPr>
                <w:rFonts w:hint="eastAsia" w:cs="Times New Roman"/>
                <w:b w:val="0"/>
                <w:bCs w:val="0"/>
                <w:snapToGrid/>
                <w:color w:val="auto"/>
                <w:spacing w:val="0"/>
                <w:kern w:val="0"/>
                <w:position w:val="0"/>
                <w:sz w:val="24"/>
                <w:lang w:val="en-US" w:eastAsia="zh-CN"/>
              </w:rPr>
              <w:t>；</w:t>
            </w:r>
            <w:r>
              <w:rPr>
                <w:rFonts w:hint="eastAsia"/>
                <w:snapToGrid/>
                <w:color w:val="auto"/>
                <w:spacing w:val="0"/>
                <w:kern w:val="0"/>
                <w:position w:val="0"/>
                <w:sz w:val="24"/>
                <w:szCs w:val="24"/>
              </w:rPr>
              <w:t>生活垃圾</w:t>
            </w:r>
            <w:r>
              <w:rPr>
                <w:rFonts w:hint="eastAsia"/>
                <w:snapToGrid/>
                <w:color w:val="auto"/>
                <w:spacing w:val="0"/>
                <w:kern w:val="0"/>
                <w:position w:val="0"/>
                <w:sz w:val="24"/>
                <w:szCs w:val="24"/>
                <w:lang w:eastAsia="zh-CN"/>
              </w:rPr>
              <w:t>及</w:t>
            </w:r>
            <w:r>
              <w:rPr>
                <w:rFonts w:hint="eastAsia"/>
                <w:snapToGrid/>
                <w:color w:val="auto"/>
                <w:spacing w:val="0"/>
                <w:kern w:val="0"/>
                <w:position w:val="0"/>
                <w:sz w:val="24"/>
                <w:szCs w:val="24"/>
              </w:rPr>
              <w:t>委托环卫部门统一处理</w:t>
            </w:r>
            <w:r>
              <w:rPr>
                <w:snapToGrid/>
                <w:color w:val="auto"/>
                <w:spacing w:val="0"/>
                <w:kern w:val="0"/>
                <w:position w:val="0"/>
                <w:sz w:val="24"/>
                <w:szCs w:val="24"/>
              </w:rPr>
              <w:t>。</w:t>
            </w:r>
          </w:p>
          <w:p w14:paraId="0C2A96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napToGrid/>
                <w:color w:val="auto"/>
                <w:spacing w:val="0"/>
                <w:kern w:val="0"/>
                <w:position w:val="0"/>
                <w:sz w:val="24"/>
                <w:szCs w:val="24"/>
              </w:rPr>
            </w:pPr>
            <w:r>
              <w:rPr>
                <w:color w:val="auto"/>
                <w:sz w:val="24"/>
                <w:szCs w:val="24"/>
              </w:rPr>
              <w:t>本次环评要求建设单位在厂区内设置</w:t>
            </w:r>
            <w:r>
              <w:rPr>
                <w:rFonts w:hint="default"/>
                <w:color w:val="auto"/>
                <w:sz w:val="24"/>
                <w:szCs w:val="24"/>
                <w:lang w:eastAsia="zh-CN"/>
              </w:rPr>
              <w:t>一般工业固体废物暂存间</w:t>
            </w:r>
            <w:r>
              <w:rPr>
                <w:rFonts w:hint="eastAsia"/>
                <w:color w:val="auto"/>
                <w:sz w:val="24"/>
                <w:szCs w:val="24"/>
                <w:lang w:eastAsia="zh-CN"/>
              </w:rPr>
              <w:t>，</w:t>
            </w:r>
            <w:r>
              <w:rPr>
                <w:rFonts w:hint="default"/>
                <w:color w:val="auto"/>
                <w:sz w:val="24"/>
                <w:szCs w:val="24"/>
                <w:lang w:eastAsia="zh-CN"/>
              </w:rPr>
              <w:t>位于</w:t>
            </w:r>
            <w:r>
              <w:rPr>
                <w:rFonts w:hint="eastAsia"/>
                <w:color w:val="auto"/>
                <w:sz w:val="24"/>
                <w:szCs w:val="24"/>
                <w:lang w:val="en-US" w:eastAsia="zh-CN"/>
              </w:rPr>
              <w:t>生产车间西北侧</w:t>
            </w:r>
            <w:r>
              <w:rPr>
                <w:rFonts w:hint="default"/>
                <w:color w:val="auto"/>
                <w:sz w:val="24"/>
                <w:szCs w:val="24"/>
                <w:lang w:eastAsia="zh-CN"/>
              </w:rPr>
              <w:t>，</w:t>
            </w:r>
            <w:r>
              <w:rPr>
                <w:color w:val="auto"/>
                <w:sz w:val="24"/>
                <w:szCs w:val="24"/>
              </w:rPr>
              <w:t>占地</w:t>
            </w:r>
            <w:r>
              <w:rPr>
                <w:rFonts w:hint="eastAsia"/>
                <w:color w:val="auto"/>
                <w:sz w:val="24"/>
                <w:szCs w:val="24"/>
              </w:rPr>
              <w:t>面积</w:t>
            </w:r>
            <w:r>
              <w:rPr>
                <w:rFonts w:hint="eastAsia"/>
                <w:color w:val="auto"/>
                <w:sz w:val="24"/>
                <w:szCs w:val="24"/>
                <w:lang w:val="en-US" w:eastAsia="zh-CN"/>
              </w:rPr>
              <w:t>10</w:t>
            </w:r>
            <w:r>
              <w:rPr>
                <w:color w:val="auto"/>
                <w:sz w:val="24"/>
                <w:szCs w:val="24"/>
              </w:rPr>
              <w:t>m</w:t>
            </w:r>
            <w:r>
              <w:rPr>
                <w:color w:val="auto"/>
                <w:sz w:val="24"/>
                <w:szCs w:val="24"/>
                <w:vertAlign w:val="superscript"/>
              </w:rPr>
              <w:t>2</w:t>
            </w:r>
            <w:r>
              <w:rPr>
                <w:rFonts w:hint="eastAsia"/>
                <w:color w:val="auto"/>
                <w:sz w:val="24"/>
                <w:szCs w:val="24"/>
                <w:lang w:eastAsia="zh-CN"/>
              </w:rPr>
              <w:t>，</w:t>
            </w:r>
            <w:r>
              <w:rPr>
                <w:color w:val="auto"/>
                <w:sz w:val="24"/>
                <w:szCs w:val="24"/>
              </w:rPr>
              <w:t>应按照</w:t>
            </w:r>
            <w:r>
              <w:rPr>
                <w:rFonts w:hint="default" w:ascii="Times New Roman" w:hAnsi="Times New Roman" w:eastAsia="宋体" w:cs="Times New Roman"/>
                <w:color w:val="auto"/>
                <w:sz w:val="24"/>
                <w:szCs w:val="24"/>
              </w:rPr>
              <w:t>《一般工业固体废物贮存</w:t>
            </w:r>
            <w:r>
              <w:rPr>
                <w:rFonts w:hint="eastAsia" w:ascii="Times New Roman" w:hAnsi="Times New Roman" w:eastAsia="宋体" w:cs="Times New Roman"/>
                <w:color w:val="auto"/>
                <w:sz w:val="24"/>
                <w:szCs w:val="24"/>
                <w:lang w:eastAsia="zh-CN"/>
              </w:rPr>
              <w:t>和填埋污染控制标准</w:t>
            </w:r>
            <w:r>
              <w:rPr>
                <w:rFonts w:hint="default" w:ascii="Times New Roman" w:hAnsi="Times New Roman" w:eastAsia="宋体" w:cs="Times New Roman"/>
                <w:color w:val="auto"/>
                <w:sz w:val="24"/>
                <w:szCs w:val="24"/>
              </w:rPr>
              <w:t>》（GB18599-20</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color w:val="auto"/>
                <w:sz w:val="24"/>
                <w:szCs w:val="24"/>
              </w:rPr>
              <w:t>进行管理。</w:t>
            </w:r>
          </w:p>
          <w:p w14:paraId="7FA7F3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napToGrid/>
                <w:color w:val="auto"/>
                <w:spacing w:val="0"/>
                <w:kern w:val="0"/>
                <w:position w:val="0"/>
                <w:sz w:val="24"/>
                <w:szCs w:val="24"/>
              </w:rPr>
            </w:pPr>
            <w:r>
              <w:rPr>
                <w:snapToGrid/>
                <w:color w:val="auto"/>
                <w:spacing w:val="0"/>
                <w:kern w:val="0"/>
                <w:position w:val="0"/>
                <w:sz w:val="24"/>
                <w:szCs w:val="24"/>
              </w:rPr>
              <w:t>本项目危险废物暂存于项目区内危废暂存</w:t>
            </w:r>
            <w:r>
              <w:rPr>
                <w:rFonts w:hint="eastAsia"/>
                <w:snapToGrid/>
                <w:color w:val="auto"/>
                <w:spacing w:val="0"/>
                <w:kern w:val="0"/>
                <w:position w:val="0"/>
                <w:sz w:val="24"/>
                <w:szCs w:val="24"/>
                <w:lang w:eastAsia="zh-CN"/>
              </w:rPr>
              <w:t>间</w:t>
            </w:r>
            <w:r>
              <w:rPr>
                <w:snapToGrid/>
                <w:color w:val="auto"/>
                <w:spacing w:val="0"/>
                <w:kern w:val="0"/>
                <w:position w:val="0"/>
                <w:sz w:val="24"/>
                <w:szCs w:val="24"/>
              </w:rPr>
              <w:t>中，</w:t>
            </w:r>
            <w:r>
              <w:rPr>
                <w:rFonts w:hint="default"/>
                <w:color w:val="auto"/>
                <w:sz w:val="24"/>
                <w:szCs w:val="24"/>
                <w:lang w:eastAsia="zh-CN"/>
              </w:rPr>
              <w:t>位于</w:t>
            </w:r>
            <w:r>
              <w:rPr>
                <w:rFonts w:hint="eastAsia"/>
                <w:color w:val="auto"/>
                <w:sz w:val="24"/>
                <w:szCs w:val="24"/>
                <w:lang w:val="en-US" w:eastAsia="zh-CN"/>
              </w:rPr>
              <w:t>生产车间西北侧，</w:t>
            </w:r>
            <w:r>
              <w:rPr>
                <w:snapToGrid/>
                <w:color w:val="auto"/>
                <w:spacing w:val="0"/>
                <w:kern w:val="0"/>
                <w:position w:val="0"/>
                <w:sz w:val="24"/>
                <w:szCs w:val="24"/>
              </w:rPr>
              <w:t>占地</w:t>
            </w:r>
            <w:r>
              <w:rPr>
                <w:rFonts w:hint="eastAsia"/>
                <w:snapToGrid/>
                <w:color w:val="auto"/>
                <w:spacing w:val="0"/>
                <w:kern w:val="0"/>
                <w:position w:val="0"/>
                <w:sz w:val="24"/>
                <w:szCs w:val="24"/>
              </w:rPr>
              <w:t>面积</w:t>
            </w:r>
            <w:r>
              <w:rPr>
                <w:rFonts w:hint="eastAsia"/>
                <w:snapToGrid/>
                <w:color w:val="auto"/>
                <w:spacing w:val="0"/>
                <w:kern w:val="0"/>
                <w:position w:val="0"/>
                <w:sz w:val="24"/>
                <w:szCs w:val="24"/>
                <w:lang w:val="en-US" w:eastAsia="zh-CN"/>
              </w:rPr>
              <w:t>10</w:t>
            </w:r>
            <w:r>
              <w:rPr>
                <w:snapToGrid/>
                <w:color w:val="auto"/>
                <w:spacing w:val="0"/>
                <w:kern w:val="0"/>
                <w:position w:val="0"/>
                <w:sz w:val="24"/>
                <w:szCs w:val="24"/>
              </w:rPr>
              <w:t>m</w:t>
            </w:r>
            <w:r>
              <w:rPr>
                <w:snapToGrid/>
                <w:color w:val="auto"/>
                <w:spacing w:val="0"/>
                <w:kern w:val="0"/>
                <w:position w:val="0"/>
                <w:sz w:val="24"/>
                <w:szCs w:val="24"/>
                <w:vertAlign w:val="superscript"/>
              </w:rPr>
              <w:t>2</w:t>
            </w:r>
            <w:r>
              <w:rPr>
                <w:rFonts w:hint="eastAsia"/>
                <w:snapToGrid/>
                <w:color w:val="auto"/>
                <w:spacing w:val="0"/>
                <w:kern w:val="0"/>
                <w:position w:val="0"/>
                <w:sz w:val="24"/>
                <w:szCs w:val="24"/>
                <w:lang w:eastAsia="zh-CN"/>
              </w:rPr>
              <w:t>，</w:t>
            </w:r>
            <w:r>
              <w:rPr>
                <w:snapToGrid/>
                <w:color w:val="auto"/>
                <w:spacing w:val="0"/>
                <w:kern w:val="0"/>
                <w:position w:val="0"/>
                <w:sz w:val="24"/>
                <w:szCs w:val="24"/>
              </w:rPr>
              <w:t>一般固废不得与危险废物混合，需分开存放并及时处置，危险固废定期委托有资质单位处置。</w:t>
            </w:r>
            <w:r>
              <w:rPr>
                <w:rFonts w:hint="default" w:ascii="Times New Roman" w:hAnsi="Times New Roman" w:eastAsia="宋体" w:cs="Times New Roman"/>
                <w:snapToGrid/>
                <w:color w:val="auto"/>
                <w:spacing w:val="0"/>
                <w:kern w:val="0"/>
                <w:position w:val="0"/>
                <w:sz w:val="24"/>
                <w:szCs w:val="24"/>
              </w:rPr>
              <w:t>根据《危险废物贮存污染控制标准》（GB18597-20</w:t>
            </w:r>
            <w:r>
              <w:rPr>
                <w:rFonts w:hint="eastAsia" w:cs="Times New Roman"/>
                <w:snapToGrid/>
                <w:color w:val="auto"/>
                <w:spacing w:val="0"/>
                <w:kern w:val="0"/>
                <w:position w:val="0"/>
                <w:sz w:val="24"/>
                <w:szCs w:val="24"/>
                <w:lang w:val="en-US" w:eastAsia="zh-CN"/>
              </w:rPr>
              <w:t>23</w:t>
            </w:r>
            <w:r>
              <w:rPr>
                <w:rFonts w:hint="default" w:ascii="Times New Roman" w:hAnsi="Times New Roman" w:eastAsia="宋体" w:cs="Times New Roman"/>
                <w:snapToGrid/>
                <w:color w:val="auto"/>
                <w:spacing w:val="0"/>
                <w:kern w:val="0"/>
                <w:position w:val="0"/>
                <w:sz w:val="24"/>
                <w:szCs w:val="24"/>
              </w:rPr>
              <w:t>）有关规定，危险废物临时贮存的一般要求、危险废物临时贮存容器的选取、危废临时贮存设施的选址与设计原则、危废临时贮存设施的运行与管理、危废临时贮存设施的安全防护与监测、危废临时贮存设施的关闭等均需严格按照规定执行。一般固废不得与危险废物混</w:t>
            </w:r>
            <w:r>
              <w:rPr>
                <w:rFonts w:hint="default" w:ascii="Times New Roman" w:hAnsi="Times New Roman" w:eastAsia="宋体" w:cs="Times New Roman"/>
                <w:snapToGrid/>
                <w:color w:val="auto"/>
                <w:spacing w:val="0"/>
                <w:kern w:val="0"/>
                <w:position w:val="0"/>
                <w:sz w:val="24"/>
                <w:szCs w:val="24"/>
                <w:shd w:val="clear" w:color="auto" w:fill="auto"/>
              </w:rPr>
              <w:t>合，需分开存放并及时处置，危险固废定期委托有资质单位处置。</w:t>
            </w:r>
          </w:p>
          <w:p w14:paraId="60E316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lang w:val="en-US" w:eastAsia="zh-CN"/>
              </w:rPr>
              <w:t>①</w:t>
            </w:r>
            <w:r>
              <w:rPr>
                <w:rFonts w:hint="eastAsia" w:ascii="Times New Roman" w:hAnsi="Times New Roman" w:eastAsia="宋体" w:cs="Times New Roman"/>
                <w:snapToGrid/>
                <w:color w:val="auto"/>
                <w:spacing w:val="0"/>
                <w:kern w:val="0"/>
                <w:position w:val="0"/>
                <w:sz w:val="24"/>
                <w:szCs w:val="24"/>
                <w:lang w:val="en-US" w:eastAsia="zh-CN"/>
              </w:rPr>
              <w:t xml:space="preserve"> </w:t>
            </w:r>
            <w:r>
              <w:rPr>
                <w:snapToGrid/>
                <w:color w:val="auto"/>
                <w:spacing w:val="0"/>
                <w:kern w:val="0"/>
                <w:position w:val="0"/>
                <w:sz w:val="24"/>
                <w:szCs w:val="24"/>
              </w:rPr>
              <w:t>危废暂存</w:t>
            </w:r>
            <w:r>
              <w:rPr>
                <w:rFonts w:hint="eastAsia"/>
                <w:snapToGrid/>
                <w:color w:val="auto"/>
                <w:spacing w:val="0"/>
                <w:kern w:val="0"/>
                <w:position w:val="0"/>
                <w:sz w:val="24"/>
                <w:szCs w:val="24"/>
                <w:lang w:eastAsia="zh-CN"/>
              </w:rPr>
              <w:t>间</w:t>
            </w:r>
            <w:r>
              <w:rPr>
                <w:rFonts w:ascii="Times New Roman" w:hAnsi="Times New Roman" w:eastAsia="宋体"/>
                <w:snapToGrid/>
                <w:color w:val="auto"/>
                <w:spacing w:val="0"/>
                <w:kern w:val="0"/>
                <w:position w:val="0"/>
                <w:sz w:val="24"/>
                <w:szCs w:val="24"/>
              </w:rPr>
              <w:t>设计时遵循以下原则：</w:t>
            </w:r>
          </w:p>
          <w:p w14:paraId="2D304C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snapToGrid/>
                <w:color w:val="auto"/>
                <w:spacing w:val="0"/>
                <w:kern w:val="0"/>
                <w:position w:val="0"/>
                <w:sz w:val="24"/>
                <w:szCs w:val="24"/>
              </w:rPr>
            </w:pPr>
            <w:r>
              <w:rPr>
                <w:rFonts w:ascii="Times New Roman" w:hAnsi="Times New Roman" w:eastAsia="宋体"/>
                <w:snapToGrid/>
                <w:color w:val="auto"/>
                <w:spacing w:val="0"/>
                <w:kern w:val="0"/>
                <w:position w:val="0"/>
                <w:sz w:val="24"/>
                <w:szCs w:val="24"/>
              </w:rPr>
              <w:t>1）</w:t>
            </w:r>
            <w:r>
              <w:rPr>
                <w:snapToGrid/>
                <w:color w:val="auto"/>
                <w:spacing w:val="0"/>
                <w:kern w:val="0"/>
                <w:position w:val="0"/>
                <w:sz w:val="24"/>
                <w:szCs w:val="24"/>
              </w:rPr>
              <w:t>危废暂存</w:t>
            </w:r>
            <w:r>
              <w:rPr>
                <w:rFonts w:hint="eastAsia"/>
                <w:snapToGrid/>
                <w:color w:val="auto"/>
                <w:spacing w:val="0"/>
                <w:kern w:val="0"/>
                <w:position w:val="0"/>
                <w:sz w:val="24"/>
                <w:szCs w:val="24"/>
                <w:lang w:eastAsia="zh-CN"/>
              </w:rPr>
              <w:t>间内不同贮存分区之间应采取隔离措施。隔离措施可根据危险废物特性采用过道、隔板或隔墙等方式。</w:t>
            </w:r>
          </w:p>
          <w:p w14:paraId="19D923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snapToGrid/>
                <w:color w:val="auto"/>
                <w:spacing w:val="0"/>
                <w:kern w:val="0"/>
                <w:position w:val="0"/>
                <w:sz w:val="24"/>
                <w:szCs w:val="24"/>
              </w:rPr>
            </w:pPr>
            <w:r>
              <w:rPr>
                <w:rFonts w:ascii="Times New Roman" w:hAnsi="Times New Roman" w:eastAsia="宋体"/>
                <w:snapToGrid/>
                <w:color w:val="auto"/>
                <w:spacing w:val="0"/>
                <w:kern w:val="0"/>
                <w:position w:val="0"/>
                <w:sz w:val="24"/>
                <w:szCs w:val="24"/>
              </w:rPr>
              <w:t>2）</w:t>
            </w:r>
            <w:r>
              <w:rPr>
                <w:rFonts w:hint="eastAsia" w:ascii="Times New Roman" w:hAnsi="Times New Roman" w:eastAsia="宋体"/>
                <w:snapToGrid/>
                <w:color w:val="auto"/>
                <w:spacing w:val="0"/>
                <w:kern w:val="0"/>
                <w:position w:val="0"/>
                <w:sz w:val="24"/>
                <w:szCs w:val="24"/>
              </w:rPr>
              <w:t>在</w:t>
            </w:r>
            <w:r>
              <w:rPr>
                <w:snapToGrid/>
                <w:color w:val="auto"/>
                <w:spacing w:val="0"/>
                <w:kern w:val="0"/>
                <w:position w:val="0"/>
                <w:sz w:val="24"/>
                <w:szCs w:val="24"/>
              </w:rPr>
              <w:t>危废暂存</w:t>
            </w:r>
            <w:r>
              <w:rPr>
                <w:rFonts w:hint="eastAsia"/>
                <w:snapToGrid/>
                <w:color w:val="auto"/>
                <w:spacing w:val="0"/>
                <w:kern w:val="0"/>
                <w:position w:val="0"/>
                <w:sz w:val="24"/>
                <w:szCs w:val="24"/>
                <w:lang w:eastAsia="zh-CN"/>
              </w:rPr>
              <w:t>间</w:t>
            </w:r>
            <w:r>
              <w:rPr>
                <w:rFonts w:hint="eastAsia" w:ascii="Times New Roman" w:hAnsi="Times New Roman" w:eastAsia="宋体"/>
                <w:snapToGrid/>
                <w:color w:val="auto"/>
                <w:spacing w:val="0"/>
                <w:kern w:val="0"/>
                <w:position w:val="0"/>
                <w:sz w:val="24"/>
                <w:szCs w:val="24"/>
              </w:rPr>
              <w:t>内或通过贮存分区方式贮存液态危险废物的，应具有液体泄漏堵截设施，堵截设施最小容积不应低于对应贮存区域最大液态废物容器容积或液态废物总储量1/10（二者取较大者）；用于贮存可能产生渗滤液的危险废物的</w:t>
            </w:r>
            <w:r>
              <w:rPr>
                <w:snapToGrid/>
                <w:color w:val="auto"/>
                <w:spacing w:val="0"/>
                <w:kern w:val="0"/>
                <w:position w:val="0"/>
                <w:sz w:val="24"/>
                <w:szCs w:val="24"/>
              </w:rPr>
              <w:t>危废暂存</w:t>
            </w:r>
            <w:r>
              <w:rPr>
                <w:rFonts w:hint="eastAsia"/>
                <w:snapToGrid/>
                <w:color w:val="auto"/>
                <w:spacing w:val="0"/>
                <w:kern w:val="0"/>
                <w:position w:val="0"/>
                <w:sz w:val="24"/>
                <w:szCs w:val="24"/>
                <w:lang w:eastAsia="zh-CN"/>
              </w:rPr>
              <w:t>间</w:t>
            </w:r>
            <w:r>
              <w:rPr>
                <w:rFonts w:hint="eastAsia" w:ascii="Times New Roman" w:hAnsi="Times New Roman" w:eastAsia="宋体"/>
                <w:snapToGrid/>
                <w:color w:val="auto"/>
                <w:spacing w:val="0"/>
                <w:kern w:val="0"/>
                <w:position w:val="0"/>
                <w:sz w:val="24"/>
                <w:szCs w:val="24"/>
              </w:rPr>
              <w:t>或贮存分区应设计渗滤液收集设施，收集设施容积应满足渗滤液的收集要求。</w:t>
            </w:r>
          </w:p>
          <w:p w14:paraId="317FAD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snapToGrid/>
                <w:color w:val="auto"/>
                <w:spacing w:val="0"/>
                <w:kern w:val="0"/>
                <w:position w:val="0"/>
                <w:sz w:val="24"/>
                <w:szCs w:val="24"/>
              </w:rPr>
            </w:pPr>
            <w:r>
              <w:rPr>
                <w:rFonts w:ascii="Times New Roman" w:hAnsi="Times New Roman" w:eastAsia="宋体"/>
                <w:snapToGrid/>
                <w:color w:val="auto"/>
                <w:spacing w:val="0"/>
                <w:kern w:val="0"/>
                <w:position w:val="0"/>
                <w:sz w:val="24"/>
                <w:szCs w:val="24"/>
              </w:rPr>
              <w:t>②</w:t>
            </w:r>
            <w:r>
              <w:rPr>
                <w:rFonts w:hint="eastAsia" w:ascii="Times New Roman" w:hAnsi="Times New Roman" w:eastAsia="宋体"/>
                <w:snapToGrid/>
                <w:color w:val="auto"/>
                <w:spacing w:val="0"/>
                <w:kern w:val="0"/>
                <w:position w:val="0"/>
                <w:sz w:val="24"/>
                <w:szCs w:val="24"/>
                <w:lang w:val="en-US" w:eastAsia="zh-CN"/>
              </w:rPr>
              <w:t xml:space="preserve"> </w:t>
            </w:r>
            <w:r>
              <w:rPr>
                <w:rFonts w:ascii="Times New Roman" w:hAnsi="Times New Roman" w:eastAsia="宋体"/>
                <w:snapToGrid/>
                <w:color w:val="auto"/>
                <w:spacing w:val="0"/>
                <w:kern w:val="0"/>
                <w:position w:val="0"/>
                <w:sz w:val="24"/>
                <w:szCs w:val="24"/>
              </w:rPr>
              <w:t>同时应对危险废物存放设施实施严格的管理：</w:t>
            </w:r>
          </w:p>
          <w:p w14:paraId="3A643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snapToGrid/>
                <w:color w:val="auto"/>
                <w:spacing w:val="0"/>
                <w:kern w:val="0"/>
                <w:position w:val="0"/>
                <w:sz w:val="24"/>
                <w:szCs w:val="24"/>
              </w:rPr>
            </w:pPr>
            <w:r>
              <w:rPr>
                <w:rFonts w:ascii="Times New Roman" w:hAnsi="Times New Roman" w:eastAsia="宋体"/>
                <w:snapToGrid/>
                <w:color w:val="auto"/>
                <w:spacing w:val="0"/>
                <w:kern w:val="0"/>
                <w:position w:val="0"/>
                <w:sz w:val="24"/>
                <w:szCs w:val="24"/>
              </w:rPr>
              <w:t>1）</w:t>
            </w:r>
            <w:r>
              <w:rPr>
                <w:rFonts w:hint="eastAsia" w:ascii="Times New Roman" w:hAnsi="Times New Roman" w:eastAsia="宋体"/>
                <w:snapToGrid/>
                <w:color w:val="auto"/>
                <w:spacing w:val="0"/>
                <w:kern w:val="0"/>
                <w:position w:val="0"/>
                <w:sz w:val="24"/>
                <w:szCs w:val="24"/>
              </w:rPr>
              <w:t>危险废物存入贮存设施前应对危险废物类别和特性与危险废物标签等危险废物识别标志的一致性进行核验，不一致的或类别、特性不明的不应存入。</w:t>
            </w:r>
          </w:p>
          <w:p w14:paraId="524976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snapToGrid/>
                <w:color w:val="auto"/>
                <w:spacing w:val="0"/>
                <w:kern w:val="0"/>
                <w:position w:val="0"/>
                <w:sz w:val="24"/>
                <w:szCs w:val="24"/>
              </w:rPr>
            </w:pPr>
            <w:r>
              <w:rPr>
                <w:rFonts w:ascii="Times New Roman" w:hAnsi="Times New Roman" w:eastAsia="宋体"/>
                <w:snapToGrid/>
                <w:color w:val="auto"/>
                <w:spacing w:val="0"/>
                <w:kern w:val="0"/>
                <w:position w:val="0"/>
                <w:sz w:val="24"/>
                <w:szCs w:val="24"/>
              </w:rPr>
              <w:t>2）</w:t>
            </w:r>
            <w:r>
              <w:rPr>
                <w:rFonts w:hint="eastAsia" w:ascii="Times New Roman" w:hAnsi="Times New Roman" w:eastAsia="宋体"/>
                <w:snapToGrid/>
                <w:color w:val="auto"/>
                <w:spacing w:val="0"/>
                <w:kern w:val="0"/>
                <w:position w:val="0"/>
                <w:sz w:val="24"/>
                <w:szCs w:val="24"/>
              </w:rPr>
              <w:t>应定期检查危险废物的贮存状况，及时清理贮存设施地面，更换破损泄漏的危险废物贮存容器和包装物，保证堆存危险废物的防雨、防风、防扬尘等设施功能完好。</w:t>
            </w:r>
          </w:p>
          <w:p w14:paraId="790E3D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snapToGrid/>
                <w:color w:val="auto"/>
                <w:spacing w:val="0"/>
                <w:kern w:val="0"/>
                <w:position w:val="0"/>
                <w:sz w:val="24"/>
                <w:szCs w:val="24"/>
              </w:rPr>
            </w:pPr>
            <w:r>
              <w:rPr>
                <w:rFonts w:ascii="Times New Roman" w:hAnsi="Times New Roman" w:eastAsia="宋体"/>
                <w:snapToGrid/>
                <w:color w:val="auto"/>
                <w:spacing w:val="0"/>
                <w:kern w:val="0"/>
                <w:position w:val="0"/>
                <w:sz w:val="24"/>
                <w:szCs w:val="24"/>
              </w:rPr>
              <w:t>3）</w:t>
            </w:r>
            <w:r>
              <w:rPr>
                <w:rFonts w:hint="eastAsia" w:ascii="Times New Roman" w:hAnsi="Times New Roman" w:eastAsia="宋体"/>
                <w:snapToGrid/>
                <w:color w:val="auto"/>
                <w:spacing w:val="0"/>
                <w:kern w:val="0"/>
                <w:position w:val="0"/>
                <w:sz w:val="24"/>
                <w:szCs w:val="24"/>
              </w:rPr>
              <w:t>作业设备及车辆等结束作业离开贮存设施时，应对其残留的危险废物进行清理，清理的废物或清洗废水应收集处理。</w:t>
            </w:r>
          </w:p>
          <w:p w14:paraId="434F74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eastAsia="宋体"/>
                <w:snapToGrid/>
                <w:color w:val="auto"/>
                <w:spacing w:val="0"/>
                <w:kern w:val="0"/>
                <w:position w:val="0"/>
                <w:sz w:val="24"/>
                <w:szCs w:val="24"/>
              </w:rPr>
            </w:pPr>
            <w:r>
              <w:rPr>
                <w:rFonts w:ascii="Times New Roman" w:hAnsi="Times New Roman" w:eastAsia="宋体"/>
                <w:snapToGrid/>
                <w:color w:val="auto"/>
                <w:spacing w:val="0"/>
                <w:kern w:val="0"/>
                <w:position w:val="0"/>
                <w:sz w:val="24"/>
                <w:szCs w:val="24"/>
              </w:rPr>
              <w:t>4）</w:t>
            </w:r>
            <w:r>
              <w:rPr>
                <w:rFonts w:hint="eastAsia" w:ascii="Times New Roman" w:hAnsi="Times New Roman" w:eastAsia="宋体"/>
                <w:snapToGrid/>
                <w:color w:val="auto"/>
                <w:spacing w:val="0"/>
                <w:kern w:val="0"/>
                <w:position w:val="0"/>
                <w:sz w:val="24"/>
                <w:szCs w:val="24"/>
              </w:rPr>
              <w:t>贮存设施运行期间，应按国家有关标准和规定建立危险废物管理台账并保存。</w:t>
            </w:r>
          </w:p>
          <w:p w14:paraId="026E72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snapToGrid/>
                <w:color w:val="auto"/>
                <w:spacing w:val="0"/>
                <w:kern w:val="0"/>
                <w:position w:val="0"/>
                <w:sz w:val="24"/>
                <w:szCs w:val="24"/>
              </w:rPr>
            </w:pPr>
            <w:r>
              <w:rPr>
                <w:rFonts w:ascii="Times New Roman" w:hAnsi="Times New Roman" w:eastAsia="宋体"/>
                <w:snapToGrid/>
                <w:color w:val="auto"/>
                <w:spacing w:val="0"/>
                <w:kern w:val="0"/>
                <w:position w:val="0"/>
                <w:sz w:val="24"/>
                <w:szCs w:val="24"/>
              </w:rPr>
              <w:t>5）</w:t>
            </w:r>
            <w:r>
              <w:rPr>
                <w:rFonts w:hint="eastAsia" w:ascii="Times New Roman" w:hAnsi="Times New Roman" w:eastAsia="宋体"/>
                <w:snapToGrid/>
                <w:color w:val="auto"/>
                <w:spacing w:val="0"/>
                <w:kern w:val="0"/>
                <w:position w:val="0"/>
                <w:sz w:val="24"/>
                <w:szCs w:val="24"/>
              </w:rPr>
              <w:t>贮存设施所有者或运营者应建立贮存设施环境管理制度、管理人员岗位职责制度、设施运行操作制度、人员岗位培训制度等。</w:t>
            </w:r>
          </w:p>
          <w:p w14:paraId="2ED6CA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napToGrid/>
                <w:color w:val="auto"/>
                <w:spacing w:val="0"/>
                <w:kern w:val="0"/>
                <w:position w:val="0"/>
                <w:sz w:val="24"/>
                <w:szCs w:val="24"/>
                <w:lang w:val="en-US" w:eastAsia="zh-CN"/>
              </w:rPr>
            </w:pPr>
            <w:r>
              <w:rPr>
                <w:rFonts w:hint="eastAsia"/>
                <w:snapToGrid/>
                <w:color w:val="auto"/>
                <w:spacing w:val="0"/>
                <w:kern w:val="0"/>
                <w:position w:val="0"/>
                <w:sz w:val="24"/>
                <w:szCs w:val="24"/>
                <w:lang w:val="en-US" w:eastAsia="zh-CN"/>
              </w:rPr>
              <w:t>6）贮存设施所有者或运营者应依据国家土壤和地下水污染防治的有关规定，结合贮存设施特点建立土壤和地下水污染隐患排查制度，并定期开展隐患排查；发现隐患应及时采取措施消除隐患，并建立档案。</w:t>
            </w:r>
          </w:p>
          <w:p w14:paraId="0DCE046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snapToGrid/>
                <w:color w:val="auto"/>
                <w:spacing w:val="0"/>
                <w:kern w:val="0"/>
                <w:position w:val="0"/>
                <w:sz w:val="24"/>
                <w:szCs w:val="24"/>
                <w:lang w:val="en-US" w:eastAsia="zh-CN"/>
              </w:rPr>
            </w:pPr>
            <w:r>
              <w:rPr>
                <w:rFonts w:hint="eastAsia"/>
                <w:snapToGrid/>
                <w:color w:val="auto"/>
                <w:spacing w:val="0"/>
                <w:kern w:val="0"/>
                <w:position w:val="0"/>
                <w:sz w:val="24"/>
                <w:szCs w:val="24"/>
                <w:lang w:val="en-US" w:eastAsia="zh-CN"/>
              </w:rPr>
              <w:t>7）贮存设施所有者或运营者应建立贮存设施全部档案，包括设计、施工、验收、运行、监测和环境应急等，应按国家有关档案管理的法律法规进行整理和归档。</w:t>
            </w:r>
          </w:p>
          <w:p w14:paraId="6237D5E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5、地下水、土壤环境</w:t>
            </w:r>
          </w:p>
          <w:p w14:paraId="16E48A05">
            <w:pPr>
              <w:pStyle w:val="15"/>
              <w:ind w:left="0" w:leftChars="0" w:firstLine="480" w:firstLineChars="200"/>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sz w:val="24"/>
                <w:szCs w:val="24"/>
                <w:highlight w:val="none"/>
                <w:shd w:val="clear" w:color="auto" w:fill="auto"/>
                <w:lang w:val="en-US" w:eastAsia="zh-CN"/>
              </w:rPr>
              <w:t>（1）地下水环境</w:t>
            </w:r>
          </w:p>
          <w:p w14:paraId="42089C7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lang w:val="en-US" w:eastAsia="zh-CN"/>
              </w:rPr>
              <w:t>地下水污染途径</w:t>
            </w:r>
            <w:r>
              <w:rPr>
                <w:rFonts w:hint="eastAsia" w:ascii="Times New Roman" w:hAnsi="Times New Roman" w:eastAsia="宋体" w:cs="Times New Roman"/>
                <w:b/>
                <w:bCs/>
                <w:snapToGrid/>
                <w:color w:val="auto"/>
                <w:spacing w:val="0"/>
                <w:kern w:val="0"/>
                <w:position w:val="0"/>
                <w:sz w:val="24"/>
                <w:szCs w:val="24"/>
                <w:lang w:val="en-US" w:eastAsia="zh-CN"/>
              </w:rPr>
              <w:t>：</w:t>
            </w:r>
          </w:p>
          <w:p w14:paraId="03165EB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①</w:t>
            </w:r>
            <w:r>
              <w:rPr>
                <w:rFonts w:hint="eastAsia" w:ascii="Times New Roman" w:hAnsi="Times New Roman" w:eastAsia="宋体" w:cs="Times New Roman"/>
                <w:b w:val="0"/>
                <w:bCs w:val="0"/>
                <w:snapToGrid/>
                <w:color w:val="auto"/>
                <w:spacing w:val="0"/>
                <w:kern w:val="0"/>
                <w:position w:val="0"/>
                <w:sz w:val="24"/>
                <w:szCs w:val="24"/>
                <w:lang w:val="en-US" w:eastAsia="zh-CN"/>
              </w:rPr>
              <w:t xml:space="preserve"> </w:t>
            </w:r>
            <w:r>
              <w:rPr>
                <w:snapToGrid/>
                <w:color w:val="auto"/>
                <w:spacing w:val="0"/>
                <w:kern w:val="0"/>
                <w:position w:val="0"/>
                <w:sz w:val="24"/>
                <w:szCs w:val="24"/>
              </w:rPr>
              <w:t>危险废物暂存</w:t>
            </w:r>
            <w:r>
              <w:rPr>
                <w:rFonts w:hint="eastAsia"/>
                <w:snapToGrid/>
                <w:color w:val="auto"/>
                <w:spacing w:val="0"/>
                <w:kern w:val="0"/>
                <w:position w:val="0"/>
                <w:sz w:val="24"/>
                <w:szCs w:val="24"/>
                <w:lang w:eastAsia="zh-CN"/>
              </w:rPr>
              <w:t>间</w:t>
            </w:r>
            <w:r>
              <w:rPr>
                <w:rFonts w:hint="eastAsia" w:ascii="Times New Roman" w:hAnsi="Times New Roman" w:eastAsia="宋体" w:cs="Times New Roman"/>
                <w:b w:val="0"/>
                <w:bCs w:val="0"/>
                <w:snapToGrid/>
                <w:color w:val="auto"/>
                <w:spacing w:val="0"/>
                <w:kern w:val="0"/>
                <w:position w:val="0"/>
                <w:sz w:val="24"/>
                <w:szCs w:val="24"/>
                <w:lang w:val="en-US" w:eastAsia="zh-CN"/>
              </w:rPr>
              <w:t>未进行防腐、防渗处理，以跑、冒、滴、漏方式渗入地下水中。</w:t>
            </w:r>
          </w:p>
          <w:p w14:paraId="0C82225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②</w:t>
            </w:r>
            <w:r>
              <w:rPr>
                <w:rFonts w:hint="eastAsia" w:ascii="Times New Roman" w:hAnsi="Times New Roman" w:eastAsia="宋体" w:cs="Times New Roman"/>
                <w:b w:val="0"/>
                <w:bCs w:val="0"/>
                <w:snapToGrid/>
                <w:color w:val="auto"/>
                <w:spacing w:val="0"/>
                <w:kern w:val="0"/>
                <w:position w:val="0"/>
                <w:sz w:val="24"/>
                <w:szCs w:val="24"/>
                <w:lang w:val="en-US" w:eastAsia="zh-CN"/>
              </w:rPr>
              <w:t xml:space="preserve"> </w:t>
            </w:r>
            <w:r>
              <w:rPr>
                <w:snapToGrid/>
                <w:color w:val="auto"/>
                <w:spacing w:val="0"/>
                <w:kern w:val="0"/>
                <w:position w:val="0"/>
                <w:sz w:val="24"/>
                <w:szCs w:val="24"/>
              </w:rPr>
              <w:t>危险废物暂存</w:t>
            </w:r>
            <w:r>
              <w:rPr>
                <w:rFonts w:hint="eastAsia"/>
                <w:snapToGrid/>
                <w:color w:val="auto"/>
                <w:spacing w:val="0"/>
                <w:kern w:val="0"/>
                <w:position w:val="0"/>
                <w:sz w:val="24"/>
                <w:szCs w:val="24"/>
                <w:lang w:eastAsia="zh-CN"/>
              </w:rPr>
              <w:t>间</w:t>
            </w:r>
            <w:r>
              <w:rPr>
                <w:rFonts w:hint="eastAsia" w:ascii="Times New Roman" w:hAnsi="Times New Roman" w:eastAsia="宋体" w:cs="Times New Roman"/>
                <w:b w:val="0"/>
                <w:bCs w:val="0"/>
                <w:snapToGrid/>
                <w:color w:val="auto"/>
                <w:spacing w:val="0"/>
                <w:kern w:val="0"/>
                <w:position w:val="0"/>
                <w:sz w:val="24"/>
                <w:szCs w:val="24"/>
                <w:lang w:val="en-US" w:eastAsia="zh-CN"/>
              </w:rPr>
              <w:t>长期使用或工程质量不符合要求出现破损、断裂情况，造成废水下渗。</w:t>
            </w:r>
          </w:p>
          <w:p w14:paraId="1A76738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地下水污染防治措施：</w:t>
            </w:r>
          </w:p>
          <w:p w14:paraId="7E1AEA1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根据厂区各生产功能单元是否可能对地下水造成污染及其风险程度，将厂区划分为重点防渗区、一般防渗区和简单防渗区。重点防渗区是可能会对地下水造成污染，风险程度较高，需要重点防治的区域，主要为</w:t>
            </w:r>
            <w:r>
              <w:rPr>
                <w:snapToGrid/>
                <w:color w:val="auto"/>
                <w:spacing w:val="0"/>
                <w:kern w:val="0"/>
                <w:position w:val="0"/>
                <w:sz w:val="24"/>
                <w:szCs w:val="24"/>
              </w:rPr>
              <w:t>危险废物暂存</w:t>
            </w:r>
            <w:r>
              <w:rPr>
                <w:rFonts w:hint="eastAsia"/>
                <w:snapToGrid/>
                <w:color w:val="auto"/>
                <w:spacing w:val="0"/>
                <w:kern w:val="0"/>
                <w:position w:val="0"/>
                <w:sz w:val="24"/>
                <w:szCs w:val="24"/>
                <w:lang w:eastAsia="zh-CN"/>
              </w:rPr>
              <w:t>间</w:t>
            </w:r>
            <w:r>
              <w:rPr>
                <w:rFonts w:hint="eastAsia" w:ascii="Times New Roman" w:hAnsi="Times New Roman" w:eastAsia="宋体" w:cs="Times New Roman"/>
                <w:b w:val="0"/>
                <w:bCs w:val="0"/>
                <w:snapToGrid/>
                <w:color w:val="auto"/>
                <w:spacing w:val="0"/>
                <w:kern w:val="0"/>
                <w:position w:val="0"/>
                <w:sz w:val="24"/>
                <w:szCs w:val="24"/>
                <w:lang w:val="en-US" w:eastAsia="zh-CN"/>
              </w:rPr>
              <w:t>等区域。一般防渗区是可能会对地下水造成污染，但危害性或风险程度相对较低的区域，包括具有可能污染地下水污染源的生产车间区域，主要包括生产车间、仓库等区域。简单防渗区为不会对地下水造成污染的区域，主要包括厂区道路等区域。</w:t>
            </w:r>
          </w:p>
          <w:p w14:paraId="2C453F0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snapToGrid/>
                <w:color w:val="auto"/>
                <w:spacing w:val="0"/>
                <w:kern w:val="0"/>
                <w:position w:val="0"/>
                <w:sz w:val="24"/>
                <w:szCs w:val="24"/>
                <w:lang w:val="en-US" w:eastAsia="zh-CN"/>
              </w:rPr>
            </w:pPr>
            <w:r>
              <w:rPr>
                <w:rFonts w:hint="eastAsia" w:ascii="Times New Roman" w:hAnsi="Times New Roman" w:eastAsia="宋体" w:cs="Times New Roman"/>
                <w:b w:val="0"/>
                <w:bCs w:val="0"/>
                <w:snapToGrid/>
                <w:color w:val="auto"/>
                <w:spacing w:val="0"/>
                <w:kern w:val="0"/>
                <w:position w:val="0"/>
                <w:sz w:val="24"/>
                <w:szCs w:val="24"/>
                <w:lang w:val="en-US" w:eastAsia="zh-CN"/>
              </w:rPr>
              <w:t>针对本项目，为避免废水的非正常排放对地下水造成影响，应采取以下防渗措施：</w:t>
            </w:r>
          </w:p>
          <w:p w14:paraId="6B5C322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eastAsia" w:cs="Times New Roman"/>
                <w:b/>
                <w:bCs/>
                <w:snapToGrid/>
                <w:color w:val="auto"/>
                <w:spacing w:val="0"/>
                <w:kern w:val="0"/>
                <w:position w:val="0"/>
                <w:sz w:val="24"/>
                <w:szCs w:val="24"/>
                <w:lang w:val="en-US" w:eastAsia="zh-CN"/>
              </w:rPr>
              <w:t>表4.14  项目地下水污染防治措施一览表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424"/>
              <w:gridCol w:w="3023"/>
              <w:gridCol w:w="2880"/>
            </w:tblGrid>
            <w:tr w14:paraId="4F56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Align w:val="center"/>
                </w:tcPr>
                <w:p w14:paraId="2E52F9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序号</w:t>
                  </w:r>
                </w:p>
              </w:tc>
              <w:tc>
                <w:tcPr>
                  <w:tcW w:w="2708" w:type="pct"/>
                  <w:gridSpan w:val="2"/>
                  <w:vAlign w:val="center"/>
                </w:tcPr>
                <w:p w14:paraId="32B60C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区域</w:t>
                  </w:r>
                </w:p>
              </w:tc>
              <w:tc>
                <w:tcPr>
                  <w:tcW w:w="1754" w:type="pct"/>
                  <w:vAlign w:val="center"/>
                </w:tcPr>
                <w:p w14:paraId="2286B0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保护措施</w:t>
                  </w:r>
                </w:p>
              </w:tc>
            </w:tr>
            <w:tr w14:paraId="13D1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Align w:val="center"/>
                </w:tcPr>
                <w:p w14:paraId="4FB5A2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1</w:t>
                  </w:r>
                </w:p>
              </w:tc>
              <w:tc>
                <w:tcPr>
                  <w:tcW w:w="867" w:type="pct"/>
                  <w:vAlign w:val="center"/>
                </w:tcPr>
                <w:p w14:paraId="273908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重点防渗区</w:t>
                  </w:r>
                </w:p>
              </w:tc>
              <w:tc>
                <w:tcPr>
                  <w:tcW w:w="1840" w:type="pct"/>
                  <w:vAlign w:val="center"/>
                </w:tcPr>
                <w:p w14:paraId="56837A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snapToGrid/>
                      <w:color w:val="auto"/>
                      <w:spacing w:val="0"/>
                      <w:kern w:val="0"/>
                      <w:position w:val="0"/>
                      <w:sz w:val="21"/>
                      <w:szCs w:val="21"/>
                    </w:rPr>
                    <w:t>危险废物暂存</w:t>
                  </w:r>
                  <w:r>
                    <w:rPr>
                      <w:rFonts w:hint="eastAsia"/>
                      <w:snapToGrid/>
                      <w:color w:val="auto"/>
                      <w:spacing w:val="0"/>
                      <w:kern w:val="0"/>
                      <w:position w:val="0"/>
                      <w:sz w:val="21"/>
                      <w:szCs w:val="21"/>
                      <w:lang w:eastAsia="zh-CN"/>
                    </w:rPr>
                    <w:t>间</w:t>
                  </w:r>
                </w:p>
              </w:tc>
              <w:tc>
                <w:tcPr>
                  <w:tcW w:w="1754" w:type="pct"/>
                  <w:vAlign w:val="center"/>
                </w:tcPr>
                <w:p w14:paraId="35D759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color w:val="auto"/>
                      <w:sz w:val="21"/>
                      <w:szCs w:val="21"/>
                      <w:lang w:val="en-US" w:eastAsia="zh-CN"/>
                    </w:rPr>
                    <w:t>采取</w:t>
                  </w:r>
                  <w:r>
                    <w:rPr>
                      <w:rFonts w:hint="default" w:ascii="Times New Roman" w:hAnsi="Times New Roman" w:eastAsia="宋体" w:cs="Times New Roman"/>
                      <w:b w:val="0"/>
                      <w:bCs w:val="0"/>
                      <w:color w:val="auto"/>
                      <w:sz w:val="21"/>
                      <w:szCs w:val="21"/>
                      <w:lang w:val="en-US" w:eastAsia="zh-CN"/>
                    </w:rPr>
                    <w:t>200mm防渗混凝土</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1.5mm环氧树脂漆</w:t>
                  </w:r>
                  <w:r>
                    <w:rPr>
                      <w:rFonts w:hint="eastAsia"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snapToGrid/>
                      <w:color w:val="auto"/>
                      <w:spacing w:val="0"/>
                      <w:kern w:val="0"/>
                      <w:position w:val="0"/>
                      <w:sz w:val="21"/>
                      <w:szCs w:val="21"/>
                      <w:lang w:val="en-US" w:eastAsia="zh-CN"/>
                    </w:rPr>
                    <w:t>防渗层渗透系数达到1.0</w:t>
                  </w:r>
                  <w:r>
                    <w:rPr>
                      <w:rFonts w:hint="default" w:ascii="Arial" w:hAnsi="Arial" w:eastAsia="宋体" w:cs="Arial"/>
                      <w:b w:val="0"/>
                      <w:bCs w:val="0"/>
                      <w:snapToGrid/>
                      <w:color w:val="auto"/>
                      <w:spacing w:val="0"/>
                      <w:kern w:val="0"/>
                      <w:position w:val="0"/>
                      <w:sz w:val="21"/>
                      <w:szCs w:val="21"/>
                      <w:lang w:val="en-US" w:eastAsia="zh-CN"/>
                    </w:rPr>
                    <w:t>×</w:t>
                  </w:r>
                  <w:r>
                    <w:rPr>
                      <w:rFonts w:hint="eastAsia" w:ascii="Times New Roman" w:hAnsi="Times New Roman" w:eastAsia="宋体" w:cs="Times New Roman"/>
                      <w:b w:val="0"/>
                      <w:bCs w:val="0"/>
                      <w:snapToGrid/>
                      <w:color w:val="auto"/>
                      <w:spacing w:val="0"/>
                      <w:kern w:val="0"/>
                      <w:position w:val="0"/>
                      <w:sz w:val="21"/>
                      <w:szCs w:val="21"/>
                      <w:lang w:val="en-US" w:eastAsia="zh-CN"/>
                    </w:rPr>
                    <w:t>10</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w:t>
                  </w:r>
                  <w:r>
                    <w:rPr>
                      <w:rFonts w:hint="eastAsia" w:cs="Times New Roman"/>
                      <w:b w:val="0"/>
                      <w:bCs w:val="0"/>
                      <w:snapToGrid/>
                      <w:color w:val="auto"/>
                      <w:spacing w:val="0"/>
                      <w:kern w:val="0"/>
                      <w:position w:val="0"/>
                      <w:sz w:val="21"/>
                      <w:szCs w:val="21"/>
                      <w:vertAlign w:val="superscript"/>
                      <w:lang w:val="en-US" w:eastAsia="zh-CN"/>
                    </w:rPr>
                    <w:t>10</w:t>
                  </w:r>
                  <w:r>
                    <w:rPr>
                      <w:rFonts w:hint="eastAsia" w:ascii="Times New Roman" w:hAnsi="Times New Roman" w:eastAsia="宋体" w:cs="Times New Roman"/>
                      <w:b w:val="0"/>
                      <w:bCs w:val="0"/>
                      <w:snapToGrid/>
                      <w:color w:val="auto"/>
                      <w:spacing w:val="0"/>
                      <w:kern w:val="0"/>
                      <w:position w:val="0"/>
                      <w:sz w:val="21"/>
                      <w:szCs w:val="21"/>
                      <w:lang w:val="en-US" w:eastAsia="zh-CN"/>
                    </w:rPr>
                    <w:t>cm/s</w:t>
                  </w:r>
                </w:p>
              </w:tc>
            </w:tr>
            <w:tr w14:paraId="30BF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Align w:val="center"/>
                </w:tcPr>
                <w:p w14:paraId="0DEF8C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2</w:t>
                  </w:r>
                </w:p>
              </w:tc>
              <w:tc>
                <w:tcPr>
                  <w:tcW w:w="867" w:type="pct"/>
                  <w:vAlign w:val="center"/>
                </w:tcPr>
                <w:p w14:paraId="08330B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一般防渗区</w:t>
                  </w:r>
                </w:p>
              </w:tc>
              <w:tc>
                <w:tcPr>
                  <w:tcW w:w="1840" w:type="pct"/>
                  <w:vAlign w:val="center"/>
                </w:tcPr>
                <w:p w14:paraId="4A3472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生产车间、仓库等区域</w:t>
                  </w:r>
                </w:p>
              </w:tc>
              <w:tc>
                <w:tcPr>
                  <w:tcW w:w="1754" w:type="pct"/>
                  <w:vAlign w:val="center"/>
                </w:tcPr>
                <w:p w14:paraId="1B82A5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采取粘土铺底+10～15cm的防渗水泥进行硬化，防渗层渗透系数达到1.0×10</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-7</w:t>
                  </w:r>
                  <w:r>
                    <w:rPr>
                      <w:rFonts w:hint="eastAsia" w:ascii="Times New Roman" w:hAnsi="Times New Roman" w:eastAsia="宋体" w:cs="Times New Roman"/>
                      <w:b w:val="0"/>
                      <w:bCs w:val="0"/>
                      <w:snapToGrid/>
                      <w:color w:val="auto"/>
                      <w:spacing w:val="0"/>
                      <w:kern w:val="0"/>
                      <w:position w:val="0"/>
                      <w:sz w:val="21"/>
                      <w:szCs w:val="21"/>
                      <w:lang w:val="en-US" w:eastAsia="zh-CN"/>
                    </w:rPr>
                    <w:t>cm/s。</w:t>
                  </w:r>
                </w:p>
              </w:tc>
            </w:tr>
            <w:tr w14:paraId="0177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Align w:val="center"/>
                </w:tcPr>
                <w:p w14:paraId="3D150D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3</w:t>
                  </w:r>
                </w:p>
              </w:tc>
              <w:tc>
                <w:tcPr>
                  <w:tcW w:w="867" w:type="pct"/>
                  <w:vAlign w:val="center"/>
                </w:tcPr>
                <w:p w14:paraId="1B105F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简单防渗区</w:t>
                  </w:r>
                </w:p>
              </w:tc>
              <w:tc>
                <w:tcPr>
                  <w:tcW w:w="1840" w:type="pct"/>
                  <w:vAlign w:val="center"/>
                </w:tcPr>
                <w:p w14:paraId="6BB5A3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项目区厂区内的绿化区和厂区道路等</w:t>
                  </w:r>
                </w:p>
              </w:tc>
              <w:tc>
                <w:tcPr>
                  <w:tcW w:w="1754" w:type="pct"/>
                  <w:vAlign w:val="center"/>
                </w:tcPr>
                <w:p w14:paraId="5ECD57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混凝土硬化处理</w:t>
                  </w:r>
                </w:p>
              </w:tc>
            </w:tr>
          </w:tbl>
          <w:p w14:paraId="64F8C06F">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Times New Roman" w:hAnsi="Times New Roman" w:eastAsia="宋体" w:cs="Times New Roman"/>
                <w:b w:val="0"/>
                <w:bCs w:val="0"/>
                <w:snapToGrid/>
                <w:color w:val="auto"/>
                <w:spacing w:val="0"/>
                <w:kern w:val="0"/>
                <w:position w:val="0"/>
                <w:sz w:val="24"/>
                <w:szCs w:val="24"/>
                <w:lang w:val="en-US" w:eastAsia="zh-CN"/>
              </w:rPr>
            </w:pPr>
            <w:r>
              <w:rPr>
                <w:rFonts w:hint="eastAsia" w:ascii="Times New Roman" w:hAnsi="Times New Roman" w:eastAsia="宋体" w:cs="Times New Roman"/>
                <w:b w:val="0"/>
                <w:bCs w:val="0"/>
                <w:snapToGrid/>
                <w:color w:val="auto"/>
                <w:spacing w:val="0"/>
                <w:kern w:val="0"/>
                <w:position w:val="0"/>
                <w:sz w:val="24"/>
                <w:szCs w:val="24"/>
                <w:lang w:val="en-US" w:eastAsia="zh-CN"/>
              </w:rPr>
              <w:t>综上，由污染途径及对应措施分析可知，项目对可能产生地下水影响的各项途径均进行有效预防；在确保各项防渗措施得以落实，并加强维护和厂区环境管理的前提下，可有效控制厂区内的废水污染物下渗现象，避免污染地下水。</w:t>
            </w:r>
          </w:p>
          <w:p w14:paraId="4BD2C95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snapToGrid/>
                <w:color w:val="auto"/>
                <w:spacing w:val="0"/>
                <w:kern w:val="0"/>
                <w:position w:val="0"/>
                <w:sz w:val="24"/>
                <w:szCs w:val="24"/>
                <w:lang w:val="en-US" w:eastAsia="zh-CN"/>
              </w:rPr>
            </w:pPr>
            <w:r>
              <w:rPr>
                <w:rFonts w:hint="eastAsia" w:ascii="Times New Roman" w:hAnsi="Times New Roman" w:eastAsia="宋体" w:cs="Times New Roman"/>
                <w:b w:val="0"/>
                <w:bCs w:val="0"/>
                <w:snapToGrid/>
                <w:color w:val="auto"/>
                <w:spacing w:val="0"/>
                <w:kern w:val="0"/>
                <w:position w:val="0"/>
                <w:sz w:val="24"/>
                <w:szCs w:val="24"/>
                <w:lang w:val="en-US" w:eastAsia="zh-CN"/>
              </w:rPr>
              <w:t>因此，采取以上措施后正常状态下，厂区的地表与地下的水力联系基本被切断，污染物不会规模性渗入地下水，本项目不会对区域地下水环境产生明显影响。</w:t>
            </w:r>
          </w:p>
          <w:p w14:paraId="25A20C7D">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textAlignment w:val="auto"/>
              <w:rPr>
                <w:rFonts w:hint="default"/>
                <w:b/>
                <w:bCs/>
                <w:snapToGrid/>
                <w:color w:val="auto"/>
                <w:spacing w:val="0"/>
                <w:kern w:val="0"/>
                <w:position w:val="0"/>
                <w:sz w:val="24"/>
                <w:szCs w:val="24"/>
                <w:lang w:val="en-US" w:eastAsia="zh-CN"/>
              </w:rPr>
            </w:pPr>
            <w:r>
              <w:rPr>
                <w:rFonts w:hint="default"/>
                <w:b/>
                <w:bCs/>
                <w:snapToGrid/>
                <w:color w:val="auto"/>
                <w:spacing w:val="0"/>
                <w:kern w:val="0"/>
                <w:position w:val="0"/>
                <w:sz w:val="24"/>
                <w:szCs w:val="24"/>
                <w:lang w:val="en-US" w:eastAsia="zh-CN"/>
              </w:rPr>
              <w:t>跟踪监测要求</w:t>
            </w:r>
            <w:r>
              <w:rPr>
                <w:rFonts w:hint="eastAsia"/>
                <w:b/>
                <w:bCs/>
                <w:snapToGrid/>
                <w:color w:val="auto"/>
                <w:spacing w:val="0"/>
                <w:kern w:val="0"/>
                <w:position w:val="0"/>
                <w:sz w:val="24"/>
                <w:szCs w:val="24"/>
                <w:lang w:val="en-US" w:eastAsia="zh-CN"/>
              </w:rPr>
              <w:t>：</w:t>
            </w:r>
          </w:p>
          <w:p w14:paraId="1E11589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本项目不对地下水环境进行跟踪监测。</w:t>
            </w:r>
          </w:p>
          <w:p w14:paraId="023224E1">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土壤环境</w:t>
            </w:r>
          </w:p>
          <w:p w14:paraId="0C926BA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土壤污染途径：</w:t>
            </w:r>
          </w:p>
          <w:p w14:paraId="376154E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本项目建设地点位于安徽省宿州市</w:t>
            </w:r>
            <w:r>
              <w:rPr>
                <w:rFonts w:hint="eastAsia" w:eastAsia="宋体" w:cs="Times New Roman"/>
                <w:color w:val="auto"/>
                <w:sz w:val="24"/>
                <w:szCs w:val="24"/>
                <w:highlight w:val="none"/>
                <w:lang w:val="en-US" w:eastAsia="zh-CN"/>
              </w:rPr>
              <w:t>灵璧县北部经济开发区轴承产业基地AB区北侧重点区域</w:t>
            </w:r>
            <w:r>
              <w:rPr>
                <w:rFonts w:hint="eastAsia"/>
                <w:b w:val="0"/>
                <w:bCs w:val="0"/>
                <w:snapToGrid/>
                <w:color w:val="auto"/>
                <w:spacing w:val="0"/>
                <w:kern w:val="0"/>
                <w:position w:val="0"/>
                <w:sz w:val="24"/>
                <w:szCs w:val="24"/>
                <w:lang w:val="en-US" w:eastAsia="zh-CN"/>
              </w:rPr>
              <w:t>，土壤环境影响途径主要有大气沉降、地面漫流、垂直入渗及地下水位等。本项目土壤影响类型及途径主要有废气污染物通过降水、扩散和重力作用降落至地面，渗透进入土壤，进而污染土壤环境；固体废物尤其是危险废物及危险物质在厂区内储存过程中渗出液进入土壤，危害土壤环境。</w:t>
            </w:r>
          </w:p>
          <w:p w14:paraId="71E30E0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土壤污染防治措施：</w:t>
            </w:r>
          </w:p>
          <w:p w14:paraId="0D340F2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为减小项目对土壤的污染，应采取以下防治措施：</w:t>
            </w:r>
          </w:p>
          <w:p w14:paraId="1BE2424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源头控制及过程防控措施：做好厂区防渗措施，按照防渗要求，采取严格的基础防渗措施，重点防渗区防渗层厚度相当于防渗透系数</w:t>
            </w:r>
            <w:r>
              <w:rPr>
                <w:rFonts w:hint="default" w:ascii="Times New Roman" w:hAnsi="Times New Roman" w:cs="Times New Roman"/>
                <w:b w:val="0"/>
                <w:bCs w:val="0"/>
                <w:snapToGrid/>
                <w:color w:val="auto"/>
                <w:spacing w:val="0"/>
                <w:kern w:val="0"/>
                <w:position w:val="0"/>
                <w:sz w:val="24"/>
                <w:szCs w:val="24"/>
                <w:lang w:val="en-US" w:eastAsia="zh-CN"/>
              </w:rPr>
              <w:t>≤</w:t>
            </w:r>
            <w:r>
              <w:rPr>
                <w:rFonts w:hint="eastAsia"/>
                <w:b w:val="0"/>
                <w:bCs w:val="0"/>
                <w:snapToGrid/>
                <w:color w:val="auto"/>
                <w:spacing w:val="0"/>
                <w:kern w:val="0"/>
                <w:position w:val="0"/>
                <w:sz w:val="24"/>
                <w:szCs w:val="24"/>
                <w:lang w:val="en-US" w:eastAsia="zh-CN"/>
              </w:rPr>
              <w:t>10</w:t>
            </w:r>
            <w:r>
              <w:rPr>
                <w:rFonts w:hint="eastAsia"/>
                <w:b w:val="0"/>
                <w:bCs w:val="0"/>
                <w:snapToGrid/>
                <w:color w:val="auto"/>
                <w:spacing w:val="0"/>
                <w:kern w:val="0"/>
                <w:position w:val="0"/>
                <w:sz w:val="24"/>
                <w:szCs w:val="24"/>
                <w:vertAlign w:val="superscript"/>
                <w:lang w:val="en-US" w:eastAsia="zh-CN"/>
              </w:rPr>
              <w:t>-7</w:t>
            </w:r>
            <w:r>
              <w:rPr>
                <w:rFonts w:hint="eastAsia"/>
                <w:b w:val="0"/>
                <w:bCs w:val="0"/>
                <w:snapToGrid/>
                <w:color w:val="auto"/>
                <w:spacing w:val="0"/>
                <w:kern w:val="0"/>
                <w:position w:val="0"/>
                <w:sz w:val="24"/>
                <w:szCs w:val="24"/>
                <w:lang w:val="en-US" w:eastAsia="zh-CN"/>
              </w:rPr>
              <w:t>cm/s和厚度6m的粘土层的防渗性能。其他区域做好水泥防渗处理，以防止土壤环境污染；加强管理，防止意外事故发生，以防止土壤环境污染。</w:t>
            </w:r>
          </w:p>
          <w:p w14:paraId="11C2A029">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textAlignment w:val="auto"/>
              <w:rPr>
                <w:rFonts w:hint="default"/>
                <w:b/>
                <w:bCs/>
                <w:snapToGrid/>
                <w:color w:val="auto"/>
                <w:spacing w:val="0"/>
                <w:kern w:val="0"/>
                <w:position w:val="0"/>
                <w:sz w:val="24"/>
                <w:szCs w:val="24"/>
                <w:lang w:val="en-US" w:eastAsia="zh-CN"/>
              </w:rPr>
            </w:pPr>
            <w:r>
              <w:rPr>
                <w:rFonts w:hint="default"/>
                <w:b/>
                <w:bCs/>
                <w:snapToGrid/>
                <w:color w:val="auto"/>
                <w:spacing w:val="0"/>
                <w:kern w:val="0"/>
                <w:position w:val="0"/>
                <w:sz w:val="24"/>
                <w:szCs w:val="24"/>
                <w:lang w:val="en-US" w:eastAsia="zh-CN"/>
              </w:rPr>
              <w:t>跟踪监测要求</w:t>
            </w:r>
            <w:r>
              <w:rPr>
                <w:rFonts w:hint="eastAsia"/>
                <w:b/>
                <w:bCs/>
                <w:snapToGrid/>
                <w:color w:val="auto"/>
                <w:spacing w:val="0"/>
                <w:kern w:val="0"/>
                <w:position w:val="0"/>
                <w:sz w:val="24"/>
                <w:szCs w:val="24"/>
                <w:lang w:val="en-US" w:eastAsia="zh-CN"/>
              </w:rPr>
              <w:t>：</w:t>
            </w:r>
          </w:p>
          <w:p w14:paraId="4F455E7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本项目不对土壤环境进行跟踪监测。</w:t>
            </w:r>
          </w:p>
          <w:p w14:paraId="590488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napToGrid/>
                <w:color w:val="auto"/>
                <w:spacing w:val="0"/>
                <w:kern w:val="0"/>
                <w:position w:val="0"/>
                <w:sz w:val="24"/>
                <w:szCs w:val="24"/>
                <w:highlight w:val="none"/>
                <w:lang w:val="en-US" w:eastAsia="zh-CN"/>
              </w:rPr>
            </w:pPr>
            <w:r>
              <w:rPr>
                <w:rFonts w:hint="eastAsia" w:cs="Times New Roman"/>
                <w:b/>
                <w:bCs/>
                <w:snapToGrid/>
                <w:color w:val="auto"/>
                <w:spacing w:val="0"/>
                <w:kern w:val="0"/>
                <w:position w:val="0"/>
                <w:sz w:val="24"/>
                <w:szCs w:val="24"/>
                <w:highlight w:val="none"/>
                <w:lang w:val="en-US" w:eastAsia="zh-CN"/>
              </w:rPr>
              <w:t>6</w:t>
            </w:r>
            <w:r>
              <w:rPr>
                <w:rFonts w:hint="eastAsia" w:ascii="Times New Roman" w:hAnsi="Times New Roman" w:eastAsia="宋体" w:cs="Times New Roman"/>
                <w:b/>
                <w:bCs/>
                <w:snapToGrid/>
                <w:color w:val="auto"/>
                <w:spacing w:val="0"/>
                <w:kern w:val="0"/>
                <w:position w:val="0"/>
                <w:sz w:val="24"/>
                <w:szCs w:val="24"/>
                <w:highlight w:val="none"/>
                <w:lang w:val="en-US" w:eastAsia="zh-CN"/>
              </w:rPr>
              <w:t>、</w:t>
            </w:r>
            <w:r>
              <w:rPr>
                <w:rFonts w:hint="default" w:ascii="Times New Roman" w:hAnsi="Times New Roman" w:eastAsia="宋体" w:cs="Times New Roman"/>
                <w:b/>
                <w:bCs/>
                <w:snapToGrid/>
                <w:color w:val="auto"/>
                <w:spacing w:val="0"/>
                <w:kern w:val="0"/>
                <w:position w:val="0"/>
                <w:sz w:val="24"/>
                <w:szCs w:val="24"/>
                <w:highlight w:val="none"/>
                <w:lang w:val="en-US" w:eastAsia="zh-CN"/>
              </w:rPr>
              <w:t>环境风险</w:t>
            </w:r>
          </w:p>
          <w:p w14:paraId="3EB249A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rPr>
            </w:pPr>
            <w:r>
              <w:rPr>
                <w:rFonts w:hint="default" w:ascii="Times New Roman" w:hAnsi="Times New Roman" w:cs="Times New Roman"/>
                <w:snapToGrid/>
                <w:color w:val="auto"/>
                <w:spacing w:val="0"/>
                <w:kern w:val="0"/>
                <w:position w:val="0"/>
                <w:sz w:val="24"/>
                <w:szCs w:val="24"/>
                <w:highlight w:val="none"/>
              </w:rPr>
              <w:t>环境风险评价是对项目建设和运营期间发生的可预测突发事件（一般不包括人为破坏和自然灾害）或事故引起有毒有害、易燃易爆等物质泄露，或突发事件产生的新的有毒有害物质，所造成的人身安全和环境的影响进行评估，并提出防范、应急与缓解措施。根据《建设项目环境风险评价技术导则》（HJ 169-2018）的要求，本次环评将着重从风险识别、源项分析、事故后果分析、事故防范措施、事故应急预案等方面对本项目存在的环境风险进行评价；再根据评价结果，对项目提出可行的风险防范措施和建议，达到降低风险性、危害程度，保护环境之目的。</w:t>
            </w:r>
          </w:p>
          <w:p w14:paraId="163C115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snapToGrid/>
                <w:color w:val="auto"/>
                <w:spacing w:val="0"/>
                <w:kern w:val="0"/>
                <w:position w:val="0"/>
                <w:sz w:val="24"/>
                <w:szCs w:val="24"/>
                <w:highlight w:val="none"/>
              </w:rPr>
            </w:pPr>
            <w:r>
              <w:rPr>
                <w:rFonts w:hint="default" w:ascii="Times New Roman" w:hAnsi="Times New Roman" w:cs="Times New Roman"/>
                <w:snapToGrid/>
                <w:color w:val="auto"/>
                <w:spacing w:val="0"/>
                <w:kern w:val="0"/>
                <w:position w:val="0"/>
                <w:sz w:val="24"/>
                <w:szCs w:val="24"/>
                <w:highlight w:val="none"/>
              </w:rPr>
              <w:t>本次环境风险评价重点主要对</w:t>
            </w:r>
            <w:r>
              <w:rPr>
                <w:rFonts w:hint="default" w:ascii="Times New Roman" w:hAnsi="Times New Roman" w:cs="Times New Roman"/>
                <w:snapToGrid/>
                <w:color w:val="auto"/>
                <w:spacing w:val="0"/>
                <w:kern w:val="0"/>
                <w:position w:val="0"/>
                <w:sz w:val="24"/>
                <w:szCs w:val="24"/>
                <w:highlight w:val="none"/>
                <w:lang w:eastAsia="zh-CN"/>
              </w:rPr>
              <w:t>项目</w:t>
            </w:r>
            <w:r>
              <w:rPr>
                <w:rFonts w:hint="default" w:ascii="Times New Roman" w:hAnsi="Times New Roman" w:cs="Times New Roman"/>
                <w:snapToGrid/>
                <w:color w:val="auto"/>
                <w:spacing w:val="0"/>
                <w:kern w:val="0"/>
                <w:position w:val="0"/>
                <w:sz w:val="24"/>
                <w:szCs w:val="24"/>
                <w:highlight w:val="none"/>
              </w:rPr>
              <w:t>运营期间可能存在的危险、有害因素进行分析，并对可能发生的突发性事件及事故所造成的人身安全与环境影响、损害程度，提出合理可行的防范、应急与减缓措施。</w:t>
            </w:r>
          </w:p>
          <w:p w14:paraId="1EE283A3">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cs="Times New Roman"/>
                <w:b/>
                <w:bCs/>
                <w:snapToGrid/>
                <w:color w:val="auto"/>
                <w:spacing w:val="0"/>
                <w:kern w:val="0"/>
                <w:position w:val="0"/>
                <w:sz w:val="24"/>
                <w:szCs w:val="24"/>
                <w:highlight w:val="none"/>
                <w:lang w:val="en-US" w:eastAsia="zh-CN"/>
              </w:rPr>
            </w:pPr>
            <w:r>
              <w:rPr>
                <w:rFonts w:hint="default" w:ascii="Times New Roman" w:hAnsi="Times New Roman" w:cs="Times New Roman"/>
                <w:b/>
                <w:bCs/>
                <w:snapToGrid/>
                <w:color w:val="auto"/>
                <w:spacing w:val="0"/>
                <w:kern w:val="0"/>
                <w:position w:val="0"/>
                <w:sz w:val="24"/>
                <w:szCs w:val="24"/>
                <w:highlight w:val="none"/>
                <w:lang w:val="en-US" w:eastAsia="zh-CN"/>
              </w:rPr>
              <w:t>评价依据</w:t>
            </w:r>
            <w:r>
              <w:rPr>
                <w:rFonts w:hint="eastAsia" w:ascii="Times New Roman" w:hAnsi="Times New Roman" w:cs="Times New Roman"/>
                <w:b/>
                <w:bCs/>
                <w:snapToGrid/>
                <w:color w:val="auto"/>
                <w:spacing w:val="0"/>
                <w:kern w:val="0"/>
                <w:position w:val="0"/>
                <w:sz w:val="24"/>
                <w:szCs w:val="24"/>
                <w:highlight w:val="none"/>
                <w:lang w:val="en-US" w:eastAsia="zh-CN"/>
              </w:rPr>
              <w:t>：</w:t>
            </w:r>
          </w:p>
          <w:p w14:paraId="34A6A9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eastAsia" w:ascii="Times New Roman" w:hAnsi="Times New Roman" w:cs="Times New Roman"/>
                <w:snapToGrid/>
                <w:color w:val="auto"/>
                <w:spacing w:val="0"/>
                <w:kern w:val="0"/>
                <w:position w:val="0"/>
                <w:sz w:val="24"/>
                <w:szCs w:val="24"/>
                <w:highlight w:val="none"/>
                <w:lang w:val="en-US" w:eastAsia="zh-CN"/>
              </w:rPr>
              <w:t>（1）</w:t>
            </w:r>
            <w:r>
              <w:rPr>
                <w:rFonts w:hint="default" w:ascii="Times New Roman" w:hAnsi="Times New Roman" w:cs="Times New Roman"/>
                <w:snapToGrid/>
                <w:color w:val="auto"/>
                <w:spacing w:val="0"/>
                <w:kern w:val="0"/>
                <w:position w:val="0"/>
                <w:sz w:val="24"/>
                <w:szCs w:val="24"/>
                <w:highlight w:val="none"/>
                <w:lang w:val="en-US" w:eastAsia="zh-CN"/>
              </w:rPr>
              <w:t>物质风险性调查</w:t>
            </w:r>
          </w:p>
          <w:p w14:paraId="1E384B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eastAsia" w:ascii="Times New Roman" w:hAnsi="Times New Roman" w:eastAsia="宋体" w:cs="Times New Roman"/>
                <w:b w:val="0"/>
                <w:bCs w:val="0"/>
                <w:snapToGrid/>
                <w:color w:val="auto"/>
                <w:spacing w:val="0"/>
                <w:kern w:val="0"/>
                <w:position w:val="0"/>
                <w:sz w:val="24"/>
                <w:szCs w:val="24"/>
                <w:highlight w:val="none"/>
                <w:lang w:val="en-US" w:eastAsia="zh-CN" w:bidi="ar-SA"/>
              </w:rPr>
              <w:t>本项目的原辅材料主要是</w:t>
            </w:r>
            <w:r>
              <w:rPr>
                <w:rFonts w:hint="eastAsia" w:cs="Times New Roman"/>
                <w:b w:val="0"/>
                <w:bCs w:val="0"/>
                <w:snapToGrid/>
                <w:color w:val="auto"/>
                <w:spacing w:val="0"/>
                <w:kern w:val="0"/>
                <w:position w:val="0"/>
                <w:sz w:val="24"/>
                <w:szCs w:val="24"/>
                <w:highlight w:val="none"/>
                <w:lang w:val="en-US" w:eastAsia="zh-CN" w:bidi="ar-SA"/>
              </w:rPr>
              <w:t>高碳铬轴承钢管、抗磨液压油、切削液</w:t>
            </w:r>
            <w:r>
              <w:rPr>
                <w:rFonts w:hint="eastAsia" w:ascii="Times New Roman" w:hAnsi="Times New Roman" w:eastAsia="宋体" w:cs="Times New Roman"/>
                <w:b w:val="0"/>
                <w:bCs w:val="0"/>
                <w:snapToGrid/>
                <w:color w:val="auto"/>
                <w:spacing w:val="0"/>
                <w:kern w:val="0"/>
                <w:position w:val="0"/>
                <w:sz w:val="24"/>
                <w:szCs w:val="24"/>
                <w:highlight w:val="none"/>
                <w:lang w:val="en-US" w:eastAsia="zh-CN" w:bidi="ar-SA"/>
              </w:rPr>
              <w:t>等，外购进入厂区后，直接进入</w:t>
            </w:r>
            <w:r>
              <w:rPr>
                <w:rFonts w:hint="eastAsia" w:cs="Times New Roman"/>
                <w:b w:val="0"/>
                <w:bCs w:val="0"/>
                <w:snapToGrid/>
                <w:color w:val="auto"/>
                <w:spacing w:val="0"/>
                <w:kern w:val="0"/>
                <w:position w:val="0"/>
                <w:sz w:val="24"/>
                <w:szCs w:val="24"/>
                <w:highlight w:val="none"/>
                <w:lang w:val="en-US" w:eastAsia="zh-CN" w:bidi="ar-SA"/>
              </w:rPr>
              <w:t>原料仓库</w:t>
            </w:r>
            <w:r>
              <w:rPr>
                <w:rFonts w:hint="eastAsia" w:ascii="Times New Roman" w:hAnsi="Times New Roman" w:eastAsia="宋体" w:cs="Times New Roman"/>
                <w:b w:val="0"/>
                <w:bCs w:val="0"/>
                <w:snapToGrid/>
                <w:color w:val="auto"/>
                <w:spacing w:val="0"/>
                <w:kern w:val="0"/>
                <w:position w:val="0"/>
                <w:sz w:val="24"/>
                <w:szCs w:val="24"/>
                <w:highlight w:val="none"/>
                <w:lang w:val="en-US" w:eastAsia="zh-CN" w:bidi="ar-SA"/>
              </w:rPr>
              <w:t>存放</w:t>
            </w:r>
            <w:r>
              <w:rPr>
                <w:rFonts w:hint="eastAsia" w:ascii="Times New Roman" w:hAnsi="Times New Roman" w:eastAsia="宋体" w:cs="Times New Roman"/>
                <w:b w:val="0"/>
                <w:bCs w:val="0"/>
                <w:snapToGrid/>
                <w:color w:val="auto"/>
                <w:spacing w:val="0"/>
                <w:kern w:val="0"/>
                <w:position w:val="0"/>
                <w:sz w:val="24"/>
                <w:szCs w:val="24"/>
                <w:highlight w:val="none"/>
                <w:vertAlign w:val="baseline"/>
                <w:lang w:val="en-US" w:eastAsia="zh-CN" w:bidi="ar-SA"/>
              </w:rPr>
              <w:t>。</w:t>
            </w:r>
            <w:r>
              <w:rPr>
                <w:rFonts w:hint="default" w:ascii="Times New Roman" w:hAnsi="Times New Roman" w:cs="Times New Roman"/>
                <w:snapToGrid/>
                <w:color w:val="auto"/>
                <w:spacing w:val="0"/>
                <w:kern w:val="0"/>
                <w:position w:val="0"/>
                <w:sz w:val="24"/>
                <w:szCs w:val="24"/>
                <w:highlight w:val="none"/>
                <w:lang w:val="en-US" w:eastAsia="zh-CN"/>
              </w:rPr>
              <w:t>与《建设项目环境风险评价技术导则》（HJ169-2018）附录</w:t>
            </w:r>
            <w:r>
              <w:rPr>
                <w:rFonts w:hint="eastAsia" w:ascii="Times New Roman" w:hAnsi="Times New Roman" w:cs="Times New Roman"/>
                <w:snapToGrid/>
                <w:color w:val="auto"/>
                <w:spacing w:val="0"/>
                <w:kern w:val="0"/>
                <w:position w:val="0"/>
                <w:sz w:val="24"/>
                <w:szCs w:val="24"/>
                <w:highlight w:val="none"/>
                <w:lang w:val="en-US" w:eastAsia="zh-CN"/>
              </w:rPr>
              <w:t>B中表</w:t>
            </w:r>
            <w:r>
              <w:rPr>
                <w:rFonts w:hint="default" w:ascii="Times New Roman" w:hAnsi="Times New Roman" w:cs="Times New Roman"/>
                <w:snapToGrid/>
                <w:color w:val="auto"/>
                <w:spacing w:val="0"/>
                <w:kern w:val="0"/>
                <w:position w:val="0"/>
                <w:sz w:val="24"/>
                <w:szCs w:val="24"/>
                <w:highlight w:val="none"/>
                <w:lang w:val="en-US" w:eastAsia="zh-CN"/>
              </w:rPr>
              <w:t>B</w:t>
            </w:r>
            <w:r>
              <w:rPr>
                <w:rFonts w:hint="eastAsia" w:ascii="Times New Roman" w:hAnsi="Times New Roman" w:cs="Times New Roman"/>
                <w:snapToGrid/>
                <w:color w:val="auto"/>
                <w:spacing w:val="0"/>
                <w:kern w:val="0"/>
                <w:position w:val="0"/>
                <w:sz w:val="24"/>
                <w:szCs w:val="24"/>
                <w:highlight w:val="none"/>
                <w:lang w:val="en-US" w:eastAsia="zh-CN"/>
              </w:rPr>
              <w:t>.1及表B.2</w:t>
            </w:r>
            <w:r>
              <w:rPr>
                <w:rFonts w:hint="default" w:ascii="Times New Roman" w:hAnsi="Times New Roman" w:cs="Times New Roman"/>
                <w:snapToGrid/>
                <w:color w:val="auto"/>
                <w:spacing w:val="0"/>
                <w:kern w:val="0"/>
                <w:position w:val="0"/>
                <w:sz w:val="24"/>
                <w:szCs w:val="24"/>
                <w:highlight w:val="none"/>
                <w:lang w:val="en-US" w:eastAsia="zh-CN"/>
              </w:rPr>
              <w:t>中重点关注的危险物质进行对比，</w:t>
            </w:r>
            <w:r>
              <w:rPr>
                <w:rFonts w:hint="eastAsia" w:cs="Times New Roman"/>
                <w:snapToGrid/>
                <w:color w:val="auto"/>
                <w:spacing w:val="0"/>
                <w:kern w:val="0"/>
                <w:position w:val="0"/>
                <w:sz w:val="24"/>
                <w:szCs w:val="24"/>
                <w:highlight w:val="none"/>
                <w:lang w:val="en-US" w:eastAsia="zh-CN"/>
              </w:rPr>
              <w:t>本项目</w:t>
            </w:r>
            <w:r>
              <w:rPr>
                <w:rFonts w:hint="default" w:ascii="Times New Roman" w:hAnsi="Times New Roman" w:cs="Times New Roman"/>
                <w:snapToGrid/>
                <w:color w:val="auto"/>
                <w:spacing w:val="0"/>
                <w:kern w:val="0"/>
                <w:position w:val="0"/>
                <w:sz w:val="24"/>
                <w:szCs w:val="24"/>
                <w:highlight w:val="none"/>
                <w:lang w:val="en-US" w:eastAsia="zh-CN"/>
              </w:rPr>
              <w:t>重点关注的危险物质</w:t>
            </w:r>
            <w:r>
              <w:rPr>
                <w:rFonts w:hint="eastAsia" w:cs="Times New Roman"/>
                <w:snapToGrid/>
                <w:color w:val="auto"/>
                <w:spacing w:val="0"/>
                <w:kern w:val="0"/>
                <w:position w:val="0"/>
                <w:sz w:val="24"/>
                <w:szCs w:val="24"/>
                <w:highlight w:val="none"/>
                <w:lang w:val="en-US" w:eastAsia="zh-CN"/>
              </w:rPr>
              <w:t>为切削液</w:t>
            </w:r>
            <w:r>
              <w:rPr>
                <w:rFonts w:hint="eastAsia" w:cs="Times New Roman"/>
                <w:b w:val="0"/>
                <w:bCs w:val="0"/>
                <w:snapToGrid/>
                <w:color w:val="auto"/>
                <w:spacing w:val="0"/>
                <w:kern w:val="0"/>
                <w:position w:val="0"/>
                <w:sz w:val="24"/>
                <w:szCs w:val="24"/>
                <w:highlight w:val="none"/>
                <w:lang w:val="en-US" w:eastAsia="zh-CN" w:bidi="ar-SA"/>
              </w:rPr>
              <w:t>、抗磨液压油。</w:t>
            </w:r>
          </w:p>
          <w:p w14:paraId="491B13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风险潜势初判</w:t>
            </w:r>
          </w:p>
          <w:p w14:paraId="0CDDCC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计算所涉及的每种危险物质在厂界内的最大存在总量与其在《建设项目环境风险评价技术导则》（HJ169-2018）附录B中对应临界量的比值Q。在不同厂区的同一种物质，按其在厂界内的最大存在总量计算。</w:t>
            </w:r>
          </w:p>
          <w:p w14:paraId="0B6175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当只涉及一种危险物质时，计算该物质的总量与其临界量比值，即为Q；</w:t>
            </w:r>
          </w:p>
          <w:p w14:paraId="643A9D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当存在多种危险物质时，则按下式计算物质总量与其临界量比值Q；</w:t>
            </w:r>
          </w:p>
          <w:p w14:paraId="14F4E52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position w:val="-30"/>
                <w:sz w:val="24"/>
                <w:szCs w:val="24"/>
                <w:highlight w:val="none"/>
                <w:lang w:val="en-US" w:eastAsia="zh-CN"/>
              </w:rPr>
              <w:object>
                <v:shape id="_x0000_i1028" o:spt="75" type="#_x0000_t75" style="height:34pt;width:100pt;" o:ole="t" filled="f" o:preferrelative="t" stroked="f" coordsize="21600,21600">
                  <v:path/>
                  <v:fill on="f" focussize="0,0"/>
                  <v:stroke on="f"/>
                  <v:imagedata r:id="rId21" o:title=""/>
                  <o:lock v:ext="edit" aspectratio="t"/>
                  <w10:wrap type="none"/>
                  <w10:anchorlock/>
                </v:shape>
                <o:OLEObject Type="Embed" ProgID="Equation.KSEE3" ShapeID="_x0000_i1028" DrawAspect="Content" ObjectID="_1468075728" r:id="rId20">
                  <o:LockedField>false</o:LockedField>
                </o:OLEObject>
              </w:object>
            </w:r>
          </w:p>
          <w:p w14:paraId="4A025B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式中：q</w:t>
            </w:r>
            <w:r>
              <w:rPr>
                <w:rFonts w:hint="default" w:ascii="Times New Roman" w:hAnsi="Times New Roman" w:cs="Times New Roman"/>
                <w:color w:val="auto"/>
                <w:sz w:val="24"/>
                <w:szCs w:val="24"/>
                <w:highlight w:val="none"/>
                <w:vertAlign w:val="subscript"/>
                <w:lang w:val="en-US" w:eastAsia="zh-CN"/>
              </w:rPr>
              <w:t>1</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每种危险废物实际存在量，</w:t>
            </w:r>
            <w:r>
              <w:rPr>
                <w:rFonts w:hint="default" w:ascii="Times New Roman" w:hAnsi="Times New Roman" w:cs="Times New Roman"/>
                <w:color w:val="auto"/>
                <w:sz w:val="24"/>
                <w:szCs w:val="24"/>
                <w:highlight w:val="none"/>
                <w:lang w:val="en-US" w:eastAsia="zh-CN"/>
              </w:rPr>
              <w:t>t。</w:t>
            </w:r>
          </w:p>
          <w:p w14:paraId="18A8B488">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1</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——与各危险物质相对应的生产场所或贮存区的临界量，t。</w:t>
            </w:r>
          </w:p>
          <w:p w14:paraId="133C1F4B">
            <w:pPr>
              <w:pStyle w:val="2"/>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当</w:t>
            </w:r>
            <w:r>
              <w:rPr>
                <w:rFonts w:hint="default" w:ascii="Times New Roman" w:hAnsi="Times New Roman" w:eastAsia="宋体" w:cs="Times New Roman"/>
                <w:color w:val="auto"/>
                <w:sz w:val="24"/>
                <w:szCs w:val="24"/>
                <w:highlight w:val="none"/>
                <w:lang w:val="en-US" w:eastAsia="zh-CN"/>
              </w:rPr>
              <w:t>Q&lt;1时，该项目风险潜势为Ⅰ。</w:t>
            </w:r>
          </w:p>
          <w:p w14:paraId="14AEB9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当Q≥1时，将Q值划分为：（1）1≤Q&lt;10；（2）10≤Q&lt;100；（3）Q≥100。</w:t>
            </w:r>
          </w:p>
          <w:p w14:paraId="785DBE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kern w:val="2"/>
                <w:sz w:val="24"/>
                <w:szCs w:val="28"/>
                <w:lang w:val="en-US" w:eastAsia="zh-CN" w:bidi="ar-SA"/>
              </w:rPr>
            </w:pPr>
            <w:r>
              <w:rPr>
                <w:rFonts w:hint="default" w:ascii="Times New Roman" w:hAnsi="Times New Roman" w:cs="Times New Roman"/>
                <w:color w:val="auto"/>
                <w:sz w:val="24"/>
                <w:szCs w:val="24"/>
                <w:lang w:val="en-US" w:eastAsia="zh-CN"/>
              </w:rPr>
              <w:t>《建设项目环境风险评价技术导则》（HJ</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169-2018）中附录B表B.1、B.2</w:t>
            </w:r>
            <w:r>
              <w:rPr>
                <w:rFonts w:hint="default" w:ascii="Times New Roman" w:hAnsi="Times New Roman" w:eastAsia="宋体" w:cs="Times New Roman"/>
                <w:b w:val="0"/>
                <w:bCs w:val="0"/>
                <w:color w:val="auto"/>
                <w:kern w:val="2"/>
                <w:sz w:val="24"/>
                <w:szCs w:val="28"/>
                <w:lang w:val="en-US" w:eastAsia="zh-CN" w:bidi="ar-SA"/>
              </w:rPr>
              <w:t>，</w:t>
            </w:r>
            <w:r>
              <w:rPr>
                <w:rFonts w:hint="default" w:ascii="Times New Roman" w:hAnsi="Times New Roman" w:cs="Times New Roman"/>
                <w:color w:val="auto"/>
                <w:sz w:val="24"/>
                <w:szCs w:val="24"/>
                <w:lang w:val="en-US" w:eastAsia="zh-CN"/>
              </w:rPr>
              <w:t>确定本项目的危险物质为</w:t>
            </w:r>
            <w:r>
              <w:rPr>
                <w:rFonts w:hint="eastAsia" w:cs="Times New Roman"/>
                <w:snapToGrid/>
                <w:color w:val="auto"/>
                <w:spacing w:val="0"/>
                <w:kern w:val="0"/>
                <w:position w:val="0"/>
                <w:sz w:val="24"/>
                <w:szCs w:val="24"/>
                <w:highlight w:val="none"/>
                <w:lang w:val="en-US" w:eastAsia="zh-CN"/>
              </w:rPr>
              <w:t>切削液</w:t>
            </w:r>
            <w:r>
              <w:rPr>
                <w:rFonts w:hint="eastAsia" w:cs="Times New Roman"/>
                <w:b w:val="0"/>
                <w:bCs w:val="0"/>
                <w:snapToGrid/>
                <w:color w:val="auto"/>
                <w:spacing w:val="0"/>
                <w:kern w:val="0"/>
                <w:position w:val="0"/>
                <w:sz w:val="24"/>
                <w:szCs w:val="24"/>
                <w:highlight w:val="none"/>
                <w:lang w:val="en-US" w:eastAsia="zh-CN" w:bidi="ar-SA"/>
              </w:rPr>
              <w:t>、抗磨液压油</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b w:val="0"/>
                <w:bCs w:val="0"/>
                <w:color w:val="auto"/>
                <w:kern w:val="2"/>
                <w:sz w:val="24"/>
                <w:szCs w:val="28"/>
                <w:lang w:val="en-US" w:eastAsia="zh-CN" w:bidi="ar-SA"/>
              </w:rPr>
              <w:t>其贮存量对应的临界量的对比情况见</w:t>
            </w:r>
            <w:r>
              <w:rPr>
                <w:rFonts w:hint="eastAsia" w:ascii="Times New Roman" w:hAnsi="Times New Roman" w:eastAsia="宋体" w:cs="Times New Roman"/>
                <w:b w:val="0"/>
                <w:bCs w:val="0"/>
                <w:color w:val="auto"/>
                <w:kern w:val="2"/>
                <w:sz w:val="24"/>
                <w:szCs w:val="28"/>
                <w:lang w:val="en-US" w:eastAsia="zh-CN" w:bidi="ar-SA"/>
              </w:rPr>
              <w:t>下表：</w:t>
            </w:r>
          </w:p>
          <w:p w14:paraId="4987F2D2">
            <w:pPr>
              <w:pStyle w:val="2"/>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b/>
                <w:bCs/>
                <w:color w:val="auto"/>
                <w:kern w:val="2"/>
                <w:sz w:val="24"/>
                <w:szCs w:val="28"/>
                <w:lang w:val="en-US" w:eastAsia="zh-CN" w:bidi="ar-SA"/>
              </w:rPr>
            </w:pPr>
            <w:r>
              <w:rPr>
                <w:rFonts w:hint="eastAsia" w:ascii="Times New Roman" w:hAnsi="Times New Roman" w:eastAsia="宋体" w:cs="Times New Roman"/>
                <w:b/>
                <w:bCs/>
                <w:color w:val="auto"/>
                <w:kern w:val="2"/>
                <w:sz w:val="24"/>
                <w:szCs w:val="28"/>
                <w:lang w:val="en-US" w:eastAsia="zh-CN" w:bidi="ar-SA"/>
              </w:rPr>
              <w:t>表</w:t>
            </w:r>
            <w:r>
              <w:rPr>
                <w:rFonts w:hint="eastAsia" w:ascii="Times New Roman" w:hAnsi="Times New Roman" w:cs="Times New Roman"/>
                <w:b/>
                <w:bCs/>
                <w:color w:val="auto"/>
                <w:kern w:val="2"/>
                <w:sz w:val="24"/>
                <w:szCs w:val="28"/>
                <w:lang w:val="en-US" w:eastAsia="zh-CN" w:bidi="ar-SA"/>
              </w:rPr>
              <w:t>4.1</w:t>
            </w:r>
            <w:r>
              <w:rPr>
                <w:rFonts w:hint="eastAsia" w:cs="Times New Roman"/>
                <w:b/>
                <w:bCs/>
                <w:color w:val="auto"/>
                <w:kern w:val="2"/>
                <w:sz w:val="24"/>
                <w:szCs w:val="28"/>
                <w:lang w:val="en-US" w:eastAsia="zh-CN" w:bidi="ar-SA"/>
              </w:rPr>
              <w:t>5</w:t>
            </w:r>
            <w:r>
              <w:rPr>
                <w:rFonts w:hint="eastAsia" w:ascii="Times New Roman" w:hAnsi="Times New Roman" w:eastAsia="宋体" w:cs="Times New Roman"/>
                <w:b/>
                <w:bCs/>
                <w:color w:val="auto"/>
                <w:kern w:val="2"/>
                <w:sz w:val="24"/>
                <w:szCs w:val="28"/>
                <w:lang w:val="en-US" w:eastAsia="zh-CN" w:bidi="ar-SA"/>
              </w:rPr>
              <w:t xml:space="preserve">  危险物质</w:t>
            </w:r>
            <w:r>
              <w:rPr>
                <w:rFonts w:hint="default" w:ascii="Times New Roman" w:hAnsi="Times New Roman" w:eastAsia="宋体" w:cs="Times New Roman"/>
                <w:b/>
                <w:bCs/>
                <w:color w:val="auto"/>
                <w:kern w:val="2"/>
                <w:sz w:val="24"/>
                <w:szCs w:val="28"/>
                <w:lang w:val="en-US" w:eastAsia="zh-CN" w:bidi="ar-SA"/>
              </w:rPr>
              <w:t>临界量</w:t>
            </w:r>
            <w:r>
              <w:rPr>
                <w:rFonts w:hint="eastAsia" w:ascii="Times New Roman" w:hAnsi="Times New Roman" w:eastAsia="宋体" w:cs="Times New Roman"/>
                <w:b/>
                <w:bCs/>
                <w:color w:val="auto"/>
                <w:kern w:val="2"/>
                <w:sz w:val="24"/>
                <w:szCs w:val="28"/>
                <w:lang w:val="en-US" w:eastAsia="zh-CN" w:bidi="ar-SA"/>
              </w:rPr>
              <w:t>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1252"/>
              <w:gridCol w:w="2122"/>
              <w:gridCol w:w="1430"/>
              <w:gridCol w:w="1222"/>
            </w:tblGrid>
            <w:tr w14:paraId="0F56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86" w:type="dxa"/>
                  <w:tcBorders>
                    <w:tl2br w:val="nil"/>
                    <w:tr2bl w:val="nil"/>
                  </w:tcBorders>
                  <w:noWrap w:val="0"/>
                  <w:vAlign w:val="center"/>
                </w:tcPr>
                <w:p w14:paraId="11F57EDC">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物质名称</w:t>
                  </w:r>
                </w:p>
              </w:tc>
              <w:tc>
                <w:tcPr>
                  <w:tcW w:w="1252" w:type="dxa"/>
                  <w:tcBorders>
                    <w:tl2br w:val="nil"/>
                    <w:tr2bl w:val="nil"/>
                  </w:tcBorders>
                  <w:noWrap w:val="0"/>
                  <w:vAlign w:val="center"/>
                </w:tcPr>
                <w:p w14:paraId="6AB0CE8E">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zh-CN" w:eastAsia="zh-CN"/>
                    </w:rPr>
                    <w:t>CAS号</w:t>
                  </w:r>
                </w:p>
              </w:tc>
              <w:tc>
                <w:tcPr>
                  <w:tcW w:w="2122" w:type="dxa"/>
                  <w:tcBorders>
                    <w:tl2br w:val="nil"/>
                    <w:tr2bl w:val="nil"/>
                  </w:tcBorders>
                  <w:noWrap w:val="0"/>
                  <w:vAlign w:val="center"/>
                </w:tcPr>
                <w:p w14:paraId="60E49D84">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本项目最大储存量，t</w:t>
                  </w:r>
                </w:p>
              </w:tc>
              <w:tc>
                <w:tcPr>
                  <w:tcW w:w="1430" w:type="dxa"/>
                  <w:tcBorders>
                    <w:tl2br w:val="nil"/>
                    <w:tr2bl w:val="nil"/>
                  </w:tcBorders>
                  <w:noWrap w:val="0"/>
                  <w:vAlign w:val="center"/>
                </w:tcPr>
                <w:p w14:paraId="00F5FC07">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临界量，t</w:t>
                  </w:r>
                </w:p>
              </w:tc>
              <w:tc>
                <w:tcPr>
                  <w:tcW w:w="1222" w:type="dxa"/>
                  <w:tcBorders>
                    <w:tl2br w:val="nil"/>
                    <w:tr2bl w:val="nil"/>
                  </w:tcBorders>
                  <w:noWrap w:val="0"/>
                  <w:vAlign w:val="center"/>
                </w:tcPr>
                <w:p w14:paraId="0A7AA3F9">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eastAsia="Times New Roman" w:cs="Times New Roman"/>
                      <w:color w:val="auto"/>
                      <w:sz w:val="21"/>
                      <w:szCs w:val="21"/>
                    </w:rPr>
                    <w:t>q/Q</w:t>
                  </w:r>
                </w:p>
              </w:tc>
            </w:tr>
            <w:tr w14:paraId="4EFE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86" w:type="dxa"/>
                  <w:tcBorders>
                    <w:tl2br w:val="nil"/>
                    <w:tr2bl w:val="nil"/>
                  </w:tcBorders>
                  <w:noWrap w:val="0"/>
                  <w:vAlign w:val="center"/>
                </w:tcPr>
                <w:p w14:paraId="571DB9C6">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切削液</w:t>
                  </w:r>
                </w:p>
              </w:tc>
              <w:tc>
                <w:tcPr>
                  <w:tcW w:w="1252" w:type="dxa"/>
                  <w:tcBorders>
                    <w:tl2br w:val="nil"/>
                    <w:tr2bl w:val="nil"/>
                  </w:tcBorders>
                  <w:noWrap w:val="0"/>
                  <w:vAlign w:val="center"/>
                </w:tcPr>
                <w:p w14:paraId="0A451FFA">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cs="Times New Roman"/>
                      <w:b w:val="0"/>
                      <w:bCs/>
                      <w:color w:val="auto"/>
                      <w:kern w:val="2"/>
                      <w:sz w:val="21"/>
                      <w:szCs w:val="21"/>
                      <w:vertAlign w:val="baseline"/>
                      <w:lang w:val="en-US" w:eastAsia="zh-CN" w:bidi="ar-SA"/>
                    </w:rPr>
                    <w:t>/</w:t>
                  </w:r>
                </w:p>
              </w:tc>
              <w:tc>
                <w:tcPr>
                  <w:tcW w:w="2122" w:type="dxa"/>
                  <w:tcBorders>
                    <w:tl2br w:val="nil"/>
                    <w:tr2bl w:val="nil"/>
                  </w:tcBorders>
                  <w:noWrap w:val="0"/>
                  <w:vAlign w:val="center"/>
                </w:tcPr>
                <w:p w14:paraId="3F46DF5F">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w:t>
                  </w:r>
                </w:p>
              </w:tc>
              <w:tc>
                <w:tcPr>
                  <w:tcW w:w="1430" w:type="dxa"/>
                  <w:tcBorders>
                    <w:tl2br w:val="nil"/>
                    <w:tr2bl w:val="nil"/>
                  </w:tcBorders>
                  <w:noWrap w:val="0"/>
                  <w:vAlign w:val="center"/>
                </w:tcPr>
                <w:p w14:paraId="5091F320">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2500</w:t>
                  </w:r>
                </w:p>
              </w:tc>
              <w:tc>
                <w:tcPr>
                  <w:tcW w:w="1222" w:type="dxa"/>
                  <w:tcBorders>
                    <w:tl2br w:val="nil"/>
                    <w:tr2bl w:val="nil"/>
                  </w:tcBorders>
                  <w:noWrap w:val="0"/>
                  <w:vAlign w:val="center"/>
                </w:tcPr>
                <w:p w14:paraId="4B71EAA9">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0.0004</w:t>
                  </w:r>
                </w:p>
              </w:tc>
            </w:tr>
            <w:tr w14:paraId="63B3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86" w:type="dxa"/>
                  <w:tcBorders>
                    <w:tl2br w:val="nil"/>
                    <w:tr2bl w:val="nil"/>
                  </w:tcBorders>
                  <w:noWrap w:val="0"/>
                  <w:vAlign w:val="center"/>
                </w:tcPr>
                <w:p w14:paraId="469C5C2A">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抗磨液压油</w:t>
                  </w:r>
                </w:p>
              </w:tc>
              <w:tc>
                <w:tcPr>
                  <w:tcW w:w="1252" w:type="dxa"/>
                  <w:tcBorders>
                    <w:tl2br w:val="nil"/>
                    <w:tr2bl w:val="nil"/>
                  </w:tcBorders>
                  <w:noWrap w:val="0"/>
                  <w:vAlign w:val="center"/>
                </w:tcPr>
                <w:p w14:paraId="717B8897">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eastAsia" w:cs="Times New Roman"/>
                      <w:b w:val="0"/>
                      <w:bCs/>
                      <w:color w:val="auto"/>
                      <w:kern w:val="2"/>
                      <w:sz w:val="21"/>
                      <w:szCs w:val="21"/>
                      <w:vertAlign w:val="baseline"/>
                      <w:lang w:val="en-US" w:eastAsia="zh-CN" w:bidi="ar-SA"/>
                    </w:rPr>
                    <w:t>/</w:t>
                  </w:r>
                </w:p>
              </w:tc>
              <w:tc>
                <w:tcPr>
                  <w:tcW w:w="2122" w:type="dxa"/>
                  <w:tcBorders>
                    <w:tl2br w:val="nil"/>
                    <w:tr2bl w:val="nil"/>
                  </w:tcBorders>
                  <w:noWrap w:val="0"/>
                  <w:vAlign w:val="center"/>
                </w:tcPr>
                <w:p w14:paraId="33D56701">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1.5</w:t>
                  </w:r>
                </w:p>
              </w:tc>
              <w:tc>
                <w:tcPr>
                  <w:tcW w:w="1430" w:type="dxa"/>
                  <w:tcBorders>
                    <w:tl2br w:val="nil"/>
                    <w:tr2bl w:val="nil"/>
                  </w:tcBorders>
                  <w:noWrap w:val="0"/>
                  <w:vAlign w:val="center"/>
                </w:tcPr>
                <w:p w14:paraId="340D02E1">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2500</w:t>
                  </w:r>
                </w:p>
              </w:tc>
              <w:tc>
                <w:tcPr>
                  <w:tcW w:w="1222" w:type="dxa"/>
                  <w:tcBorders>
                    <w:tl2br w:val="nil"/>
                    <w:tr2bl w:val="nil"/>
                  </w:tcBorders>
                  <w:noWrap w:val="0"/>
                  <w:vAlign w:val="center"/>
                </w:tcPr>
                <w:p w14:paraId="07C16796">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sz w:val="21"/>
                      <w:szCs w:val="21"/>
                      <w:vertAlign w:val="baseline"/>
                      <w:lang w:val="en-US" w:eastAsia="zh-CN"/>
                    </w:rPr>
                    <w:t>0.0006</w:t>
                  </w:r>
                </w:p>
              </w:tc>
            </w:tr>
            <w:tr w14:paraId="1F08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90" w:type="dxa"/>
                  <w:gridSpan w:val="4"/>
                  <w:tcBorders>
                    <w:tl2br w:val="nil"/>
                    <w:tr2bl w:val="nil"/>
                  </w:tcBorders>
                  <w:noWrap w:val="0"/>
                  <w:vAlign w:val="center"/>
                </w:tcPr>
                <w:p w14:paraId="59200FD9">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合计</w:t>
                  </w:r>
                </w:p>
              </w:tc>
              <w:tc>
                <w:tcPr>
                  <w:tcW w:w="1222" w:type="dxa"/>
                  <w:tcBorders>
                    <w:tl2br w:val="nil"/>
                    <w:tr2bl w:val="nil"/>
                  </w:tcBorders>
                  <w:noWrap w:val="0"/>
                  <w:vAlign w:val="center"/>
                </w:tcPr>
                <w:p w14:paraId="028353CA">
                  <w:pPr>
                    <w:pStyle w:val="2"/>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0.001</w:t>
                  </w:r>
                </w:p>
              </w:tc>
            </w:tr>
          </w:tbl>
          <w:p w14:paraId="320F2CC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经计算</w:t>
            </w:r>
            <w:r>
              <w:rPr>
                <w:rFonts w:hint="eastAsia" w:ascii="Times New Roman" w:hAnsi="Times New Roman" w:cs="Times New Roman"/>
                <w:color w:val="auto"/>
                <w:sz w:val="24"/>
                <w:szCs w:val="24"/>
                <w:highlight w:val="none"/>
                <w:lang w:val="en-US" w:eastAsia="zh-CN"/>
              </w:rPr>
              <w:t>本项目Q=0.00</w:t>
            </w:r>
            <w:r>
              <w:rPr>
                <w:rFonts w:hint="eastAsia"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&lt;1。</w:t>
            </w:r>
            <w:r>
              <w:rPr>
                <w:rFonts w:hint="default" w:ascii="Times New Roman" w:hAnsi="Times New Roman" w:cs="Times New Roman"/>
                <w:color w:val="auto"/>
                <w:sz w:val="24"/>
                <w:szCs w:val="24"/>
                <w:highlight w:val="none"/>
                <w:lang w:val="en-US" w:eastAsia="zh-CN"/>
              </w:rPr>
              <w:t>根据《建设项目环境风险评价技术导则》（HJ/T169-2018），当Q&lt;1时，该项目</w:t>
            </w:r>
            <w:r>
              <w:rPr>
                <w:rFonts w:hint="eastAsia" w:ascii="Times New Roman" w:hAnsi="Times New Roman" w:cs="Times New Roman"/>
                <w:color w:val="auto"/>
                <w:sz w:val="24"/>
                <w:szCs w:val="24"/>
                <w:highlight w:val="none"/>
                <w:lang w:val="en-US" w:eastAsia="zh-CN"/>
              </w:rPr>
              <w:t>环境</w:t>
            </w:r>
            <w:r>
              <w:rPr>
                <w:rFonts w:hint="default" w:ascii="Times New Roman" w:hAnsi="Times New Roman" w:cs="Times New Roman"/>
                <w:color w:val="auto"/>
                <w:sz w:val="24"/>
                <w:szCs w:val="24"/>
                <w:highlight w:val="none"/>
                <w:lang w:val="en-US" w:eastAsia="zh-CN"/>
              </w:rPr>
              <w:t>风险潜势为</w:t>
            </w:r>
            <w:r>
              <w:rPr>
                <w:rFonts w:hint="default" w:ascii="Times New Roman" w:hAnsi="Times New Roman" w:eastAsia="宋体" w:cs="Times New Roman"/>
                <w:color w:val="auto"/>
                <w:sz w:val="24"/>
                <w:szCs w:val="24"/>
                <w:highlight w:val="none"/>
                <w:lang w:val="en-US" w:eastAsia="zh-CN"/>
              </w:rPr>
              <w:t>Ⅰ</w:t>
            </w:r>
            <w:r>
              <w:rPr>
                <w:rFonts w:hint="eastAsia" w:ascii="Times New Roman" w:hAnsi="Times New Roman" w:eastAsia="宋体" w:cs="Times New Roman"/>
                <w:color w:val="auto"/>
                <w:sz w:val="24"/>
                <w:szCs w:val="24"/>
                <w:highlight w:val="none"/>
                <w:lang w:val="en-US" w:eastAsia="zh-CN"/>
              </w:rPr>
              <w:t>，进行简单分析</w:t>
            </w:r>
            <w:r>
              <w:rPr>
                <w:rFonts w:hint="default" w:ascii="Times New Roman" w:hAnsi="Times New Roman" w:eastAsia="宋体" w:cs="Times New Roman"/>
                <w:color w:val="auto"/>
                <w:sz w:val="24"/>
                <w:szCs w:val="24"/>
                <w:highlight w:val="none"/>
                <w:lang w:val="en-US" w:eastAsia="zh-CN"/>
              </w:rPr>
              <w:t>。</w:t>
            </w:r>
          </w:p>
          <w:p w14:paraId="62F52A74">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环境风险防范措施</w:t>
            </w:r>
            <w:r>
              <w:rPr>
                <w:rFonts w:hint="eastAsia" w:cs="Times New Roman"/>
                <w:b/>
                <w:bCs/>
                <w:color w:val="auto"/>
                <w:sz w:val="24"/>
                <w:szCs w:val="24"/>
                <w:highlight w:val="none"/>
                <w:lang w:eastAsia="zh-CN"/>
              </w:rPr>
              <w:t>：</w:t>
            </w:r>
          </w:p>
          <w:p w14:paraId="31FA5810">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b w:val="0"/>
                <w:i w:val="0"/>
                <w:color w:val="auto"/>
                <w:sz w:val="24"/>
                <w:szCs w:val="24"/>
                <w:highlight w:val="none"/>
                <w:lang w:val="en-US" w:eastAsia="zh-CN"/>
              </w:rPr>
              <w:t>环境风险防范措施及应急要求</w:t>
            </w:r>
          </w:p>
          <w:p w14:paraId="5AA389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b w:val="0"/>
                <w:i w:val="0"/>
                <w:color w:val="auto"/>
                <w:sz w:val="24"/>
                <w:szCs w:val="24"/>
                <w:highlight w:val="none"/>
                <w:lang w:val="en-US" w:eastAsia="zh-CN"/>
              </w:rPr>
              <w:t>为了减轻危险物品发生泄漏事故的危害后果、频率、影响程度和范围，达到同行业可接受水平，建设单位必须采取相应的风险防范措施，本评价提出以下建议：</w:t>
            </w:r>
          </w:p>
          <w:p w14:paraId="2C1F02F1">
            <w:pPr>
              <w:spacing w:line="360" w:lineRule="auto"/>
              <w:ind w:firstLine="480" w:firstLineChars="200"/>
              <w:rPr>
                <w:rFonts w:ascii="Times New Roman" w:hAnsi="Times New Roman"/>
                <w:color w:val="auto"/>
                <w:kern w:val="0"/>
                <w:sz w:val="24"/>
              </w:rPr>
            </w:pPr>
            <w:r>
              <w:rPr>
                <w:rFonts w:hint="eastAsia" w:ascii="宋体" w:hAnsi="宋体" w:cs="宋体"/>
                <w:color w:val="auto"/>
                <w:kern w:val="0"/>
                <w:sz w:val="24"/>
              </w:rPr>
              <w:t>①</w:t>
            </w:r>
            <w:r>
              <w:rPr>
                <w:rFonts w:ascii="Times New Roman" w:hAnsi="Times New Roman"/>
                <w:color w:val="auto"/>
                <w:kern w:val="0"/>
                <w:sz w:val="24"/>
              </w:rPr>
              <w:t xml:space="preserve"> </w:t>
            </w:r>
            <w:r>
              <w:rPr>
                <w:rFonts w:ascii="宋体" w:hAnsi="宋体"/>
                <w:color w:val="auto"/>
                <w:kern w:val="0"/>
                <w:sz w:val="24"/>
              </w:rPr>
              <w:t>装卸：项目危险物品的装卸应做到：防震、防撞、防倾倒；断火源、禁火种；防潮、放水；通风、降温；冷藏；禁氧化物；配备防毒、防护用品、防酸碱和油污等有机物。</w:t>
            </w:r>
          </w:p>
          <w:p w14:paraId="5F0887D3">
            <w:pPr>
              <w:adjustRightInd w:val="0"/>
              <w:snapToGrid w:val="0"/>
              <w:spacing w:line="360" w:lineRule="auto"/>
              <w:ind w:firstLine="480" w:firstLineChars="200"/>
              <w:rPr>
                <w:rFonts w:ascii="宋体" w:hAnsi="宋体"/>
                <w:color w:val="auto"/>
                <w:kern w:val="0"/>
                <w:sz w:val="24"/>
              </w:rPr>
            </w:pPr>
            <w:r>
              <w:rPr>
                <w:rFonts w:hint="eastAsia" w:ascii="宋体" w:hAnsi="宋体" w:cs="宋体"/>
                <w:color w:val="auto"/>
                <w:kern w:val="0"/>
                <w:sz w:val="24"/>
              </w:rPr>
              <w:t>②</w:t>
            </w:r>
            <w:r>
              <w:rPr>
                <w:rFonts w:ascii="Times New Roman" w:hAnsi="Times New Roman"/>
                <w:color w:val="auto"/>
                <w:kern w:val="0"/>
                <w:sz w:val="24"/>
              </w:rPr>
              <w:t xml:space="preserve"> </w:t>
            </w:r>
            <w:r>
              <w:rPr>
                <w:rFonts w:ascii="宋体" w:hAnsi="宋体"/>
                <w:color w:val="auto"/>
                <w:kern w:val="0"/>
                <w:sz w:val="24"/>
              </w:rPr>
              <w:t>储存保管：储存管理应符合《化学危险物品安全管理条例》（</w:t>
            </w:r>
            <w:r>
              <w:rPr>
                <w:rFonts w:ascii="Times New Roman" w:hAnsi="Times New Roman"/>
                <w:color w:val="auto"/>
                <w:kern w:val="0"/>
                <w:sz w:val="24"/>
              </w:rPr>
              <w:t>2011</w:t>
            </w:r>
            <w:r>
              <w:rPr>
                <w:rFonts w:ascii="宋体" w:hAnsi="宋体"/>
                <w:color w:val="auto"/>
                <w:kern w:val="0"/>
                <w:sz w:val="24"/>
              </w:rPr>
              <w:t>年</w:t>
            </w:r>
            <w:r>
              <w:rPr>
                <w:rFonts w:ascii="Times New Roman" w:hAnsi="Times New Roman"/>
                <w:color w:val="auto"/>
                <w:kern w:val="0"/>
                <w:sz w:val="24"/>
              </w:rPr>
              <w:t>2</w:t>
            </w:r>
            <w:r>
              <w:rPr>
                <w:rFonts w:ascii="宋体" w:hAnsi="宋体"/>
                <w:color w:val="auto"/>
                <w:kern w:val="0"/>
                <w:sz w:val="24"/>
              </w:rPr>
              <w:t>月</w:t>
            </w:r>
            <w:r>
              <w:rPr>
                <w:rFonts w:ascii="Times New Roman" w:hAnsi="Times New Roman"/>
                <w:color w:val="auto"/>
                <w:kern w:val="0"/>
                <w:sz w:val="24"/>
              </w:rPr>
              <w:t>16</w:t>
            </w:r>
            <w:r>
              <w:rPr>
                <w:rFonts w:ascii="宋体" w:hAnsi="宋体"/>
                <w:color w:val="auto"/>
                <w:kern w:val="0"/>
                <w:sz w:val="24"/>
              </w:rPr>
              <w:t>日国务院第</w:t>
            </w:r>
            <w:r>
              <w:rPr>
                <w:rFonts w:ascii="Times New Roman" w:hAnsi="Times New Roman"/>
                <w:color w:val="auto"/>
                <w:kern w:val="0"/>
                <w:sz w:val="24"/>
              </w:rPr>
              <w:t>144</w:t>
            </w:r>
            <w:r>
              <w:rPr>
                <w:rFonts w:ascii="宋体" w:hAnsi="宋体"/>
                <w:color w:val="auto"/>
                <w:kern w:val="0"/>
                <w:sz w:val="24"/>
              </w:rPr>
              <w:t>次常务会议修订通过）、《仓库防火安全管理规则》（</w:t>
            </w:r>
            <w:r>
              <w:rPr>
                <w:rFonts w:ascii="Times New Roman" w:hAnsi="Times New Roman"/>
                <w:color w:val="auto"/>
                <w:kern w:val="0"/>
                <w:sz w:val="24"/>
              </w:rPr>
              <w:t>1990</w:t>
            </w:r>
            <w:r>
              <w:rPr>
                <w:rFonts w:ascii="宋体" w:hAnsi="宋体"/>
                <w:color w:val="auto"/>
                <w:kern w:val="0"/>
                <w:sz w:val="24"/>
              </w:rPr>
              <w:t>年</w:t>
            </w:r>
            <w:r>
              <w:rPr>
                <w:rFonts w:ascii="Times New Roman" w:hAnsi="Times New Roman"/>
                <w:color w:val="auto"/>
                <w:kern w:val="0"/>
                <w:sz w:val="24"/>
              </w:rPr>
              <w:t>3</w:t>
            </w:r>
            <w:r>
              <w:rPr>
                <w:rFonts w:ascii="宋体" w:hAnsi="宋体"/>
                <w:color w:val="auto"/>
                <w:kern w:val="0"/>
                <w:sz w:val="24"/>
              </w:rPr>
              <w:t>月</w:t>
            </w:r>
            <w:r>
              <w:rPr>
                <w:rFonts w:ascii="Times New Roman" w:hAnsi="Times New Roman"/>
                <w:color w:val="auto"/>
                <w:kern w:val="0"/>
                <w:sz w:val="24"/>
              </w:rPr>
              <w:t>22</w:t>
            </w:r>
            <w:r>
              <w:rPr>
                <w:rFonts w:ascii="宋体" w:hAnsi="宋体"/>
                <w:color w:val="auto"/>
                <w:kern w:val="0"/>
                <w:sz w:val="24"/>
              </w:rPr>
              <w:t>日公安部部务会议通过）中相关要求。如：危险化学品应当储存在专用仓库、专用场地或者专用储存室（以下统称专用仓库）内，并设置明显的安全警示标志，且由专人负责管理；贮存；</w:t>
            </w:r>
          </w:p>
          <w:p w14:paraId="4C50CB30">
            <w:pPr>
              <w:adjustRightInd w:val="0"/>
              <w:snapToGrid w:val="0"/>
              <w:spacing w:line="360" w:lineRule="auto"/>
              <w:ind w:firstLine="480" w:firstLineChars="200"/>
              <w:rPr>
                <w:rFonts w:ascii="宋体" w:hAnsi="宋体"/>
                <w:color w:val="auto"/>
                <w:kern w:val="0"/>
                <w:sz w:val="24"/>
              </w:rPr>
            </w:pPr>
            <w:r>
              <w:rPr>
                <w:rFonts w:hint="eastAsia" w:ascii="宋体" w:hAnsi="宋体" w:cs="宋体"/>
                <w:color w:val="auto"/>
                <w:kern w:val="0"/>
                <w:sz w:val="24"/>
              </w:rPr>
              <w:t>③</w:t>
            </w:r>
            <w:r>
              <w:rPr>
                <w:rFonts w:ascii="Times New Roman" w:hAnsi="Times New Roman"/>
                <w:color w:val="auto"/>
                <w:kern w:val="0"/>
                <w:sz w:val="24"/>
              </w:rPr>
              <w:t xml:space="preserve"> </w:t>
            </w:r>
            <w:r>
              <w:rPr>
                <w:rFonts w:ascii="宋体" w:hAnsi="宋体"/>
                <w:color w:val="auto"/>
                <w:kern w:val="0"/>
                <w:sz w:val="24"/>
              </w:rPr>
              <w:t>使用：根据所使用的危险化学品的种类、危险特性以及使用量和使用方式，建立、健全使用危险化学品的安全管理规章制度和安全操作规程，保证危险化学品的安全使用。</w:t>
            </w:r>
          </w:p>
          <w:p w14:paraId="63FC65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lang w:eastAsia="zh-CN"/>
              </w:rPr>
            </w:pPr>
            <w:r>
              <w:rPr>
                <w:rFonts w:hint="eastAsia"/>
                <w:color w:val="auto"/>
                <w:sz w:val="24"/>
                <w:lang w:val="en-US" w:eastAsia="zh-CN"/>
              </w:rPr>
              <w:t>④</w:t>
            </w:r>
            <w:r>
              <w:rPr>
                <w:rFonts w:hint="eastAsia"/>
                <w:color w:val="auto"/>
                <w:lang w:val="en-US" w:eastAsia="zh-CN"/>
              </w:rPr>
              <w:t xml:space="preserve"> </w:t>
            </w:r>
            <w:r>
              <w:rPr>
                <w:rFonts w:hint="eastAsia"/>
                <w:color w:val="auto"/>
                <w:sz w:val="24"/>
                <w:szCs w:val="24"/>
                <w:lang w:eastAsia="zh-CN"/>
              </w:rPr>
              <w:t>危废暂存间防渗措施</w:t>
            </w:r>
          </w:p>
          <w:p w14:paraId="0F48D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bCs/>
                <w:color w:val="auto"/>
              </w:rPr>
            </w:pPr>
            <w:r>
              <w:rPr>
                <w:rFonts w:ascii="宋体" w:hAnsi="宋体" w:eastAsia="宋体" w:cs="宋体"/>
                <w:color w:val="auto"/>
                <w:sz w:val="24"/>
                <w:szCs w:val="24"/>
              </w:rPr>
              <w:t>地面与裙脚要用坚固、防渗的材料建造，建筑材料必须与危险废物相容；必须有泄漏液体收集装置、气体导出口及气体净化装置；设施内要有安全照明设施和观察窗口；用以存放装载液体、半固体危险废物容器的地方，必须有耐腐蚀的硬化地面，且表面无裂隙；应设计堵截泄漏的裙脚，地面与裙脚所围建的容积不低于堵截最大容器的最大储量或总储量的十分之一；不相容的危险废物必须分开存放，并设有隔离间隔断。</w:t>
            </w:r>
          </w:p>
          <w:p w14:paraId="643ED4DC">
            <w:pPr>
              <w:pStyle w:val="35"/>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b/>
                <w:bCs/>
                <w:color w:val="auto"/>
              </w:rPr>
            </w:pPr>
            <w:r>
              <w:rPr>
                <w:rFonts w:ascii="宋体" w:hAnsi="宋体" w:eastAsia="宋体" w:cs="宋体"/>
                <w:color w:val="auto"/>
                <w:sz w:val="24"/>
                <w:szCs w:val="24"/>
              </w:rPr>
              <w:t>本项目通过采取相应的风险防范措施，可以将项目的环境风险水平降到较低的水平，因此本项目的风险水平在可接受的范围。</w:t>
            </w:r>
          </w:p>
          <w:p w14:paraId="377E42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为保证公司员工和周围居民的生命财产安全，防止重、特大事故的发生，并能在事故发生后迅速有效的控制处理，防止事故扩大，根据公司实际情况，本着</w:t>
            </w:r>
            <w:r>
              <w:rPr>
                <w:rFonts w:hint="eastAsia" w:ascii="宋体" w:hAnsi="宋体" w:eastAsia="宋体" w:cs="宋体"/>
                <w:color w:val="auto"/>
                <w:sz w:val="24"/>
                <w:szCs w:val="24"/>
              </w:rPr>
              <w:t>“安全第一，预防为主；统一指挥，分工负责”的</w:t>
            </w:r>
            <w:r>
              <w:rPr>
                <w:rFonts w:hint="default" w:ascii="Times New Roman" w:hAnsi="Times New Roman" w:cs="Times New Roman"/>
                <w:color w:val="auto"/>
                <w:sz w:val="24"/>
                <w:szCs w:val="24"/>
              </w:rPr>
              <w:t>原则，需要制定</w:t>
            </w:r>
            <w:r>
              <w:rPr>
                <w:rFonts w:hint="default" w:ascii="Times New Roman" w:hAnsi="Times New Roman" w:cs="Times New Roman"/>
                <w:color w:val="auto"/>
                <w:sz w:val="24"/>
                <w:szCs w:val="24"/>
                <w:lang w:eastAsia="zh-CN"/>
              </w:rPr>
              <w:t>突发环境事件</w:t>
            </w:r>
            <w:r>
              <w:rPr>
                <w:rFonts w:hint="default" w:ascii="Times New Roman" w:hAnsi="Times New Roman" w:cs="Times New Roman"/>
                <w:color w:val="auto"/>
                <w:sz w:val="24"/>
                <w:szCs w:val="24"/>
              </w:rPr>
              <w:t>应急预案。</w:t>
            </w:r>
          </w:p>
          <w:p w14:paraId="663918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bCs/>
                <w:snapToGrid/>
                <w:color w:val="auto"/>
                <w:spacing w:val="0"/>
                <w:kern w:val="0"/>
                <w:position w:val="0"/>
                <w:sz w:val="24"/>
                <w:szCs w:val="24"/>
                <w:highlight w:val="none"/>
                <w:lang w:val="en-US" w:eastAsia="zh-CN"/>
              </w:rPr>
            </w:pPr>
            <w:r>
              <w:rPr>
                <w:rFonts w:hint="default" w:ascii="Times New Roman" w:hAnsi="Times New Roman" w:eastAsia="宋体" w:cs="Times New Roman"/>
                <w:color w:val="auto"/>
                <w:sz w:val="24"/>
                <w:szCs w:val="24"/>
                <w:highlight w:val="none"/>
              </w:rPr>
              <w:t>本项目通过采取相应的风险防范措施，可以将项目的环境风险水平降到较低的水平，因此本项目的风险水平在可接受的范围。</w:t>
            </w:r>
          </w:p>
          <w:p w14:paraId="1A87534A">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ascii="Times New Roman" w:hAnsi="Times New Roman" w:eastAsia="宋体" w:cs="Times New Roman"/>
                <w:b/>
                <w:bCs/>
                <w:snapToGrid/>
                <w:color w:val="auto"/>
                <w:spacing w:val="0"/>
                <w:kern w:val="0"/>
                <w:position w:val="0"/>
                <w:sz w:val="24"/>
                <w:szCs w:val="24"/>
                <w:highlight w:val="none"/>
                <w:lang w:eastAsia="zh-CN"/>
              </w:rPr>
            </w:pPr>
            <w:r>
              <w:rPr>
                <w:rFonts w:hint="eastAsia" w:cs="Times New Roman"/>
                <w:b/>
                <w:bCs/>
                <w:snapToGrid/>
                <w:color w:val="auto"/>
                <w:spacing w:val="0"/>
                <w:kern w:val="0"/>
                <w:position w:val="0"/>
                <w:sz w:val="24"/>
                <w:szCs w:val="24"/>
                <w:highlight w:val="none"/>
                <w:lang w:val="en-US" w:eastAsia="zh-CN"/>
              </w:rPr>
              <w:t>7、</w:t>
            </w:r>
            <w:r>
              <w:rPr>
                <w:rFonts w:hint="default" w:ascii="Times New Roman" w:hAnsi="Times New Roman" w:eastAsia="宋体" w:cs="Times New Roman"/>
                <w:b/>
                <w:bCs/>
                <w:snapToGrid/>
                <w:color w:val="auto"/>
                <w:spacing w:val="0"/>
                <w:kern w:val="0"/>
                <w:position w:val="0"/>
                <w:sz w:val="24"/>
                <w:szCs w:val="24"/>
                <w:highlight w:val="none"/>
              </w:rPr>
              <w:t>环保投资估算</w:t>
            </w:r>
          </w:p>
          <w:p w14:paraId="7AF4CC67">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b/>
                <w:snapToGrid/>
                <w:color w:val="auto"/>
                <w:spacing w:val="0"/>
                <w:kern w:val="0"/>
                <w:position w:val="0"/>
                <w:sz w:val="24"/>
                <w:szCs w:val="24"/>
                <w:highlight w:val="none"/>
                <w:lang w:val="zh-CN"/>
              </w:rPr>
            </w:pPr>
            <w:r>
              <w:rPr>
                <w:rFonts w:hint="default" w:ascii="Times New Roman" w:hAnsi="Times New Roman" w:eastAsia="宋体" w:cs="Times New Roman"/>
                <w:bCs/>
                <w:snapToGrid/>
                <w:color w:val="auto"/>
                <w:spacing w:val="0"/>
                <w:kern w:val="0"/>
                <w:position w:val="0"/>
                <w:sz w:val="24"/>
                <w:szCs w:val="24"/>
                <w:highlight w:val="none"/>
              </w:rPr>
              <w:t>项目总投资</w:t>
            </w:r>
            <w:r>
              <w:rPr>
                <w:rFonts w:hint="eastAsia" w:cs="Times New Roman"/>
                <w:bCs/>
                <w:snapToGrid/>
                <w:color w:val="auto"/>
                <w:spacing w:val="0"/>
                <w:kern w:val="0"/>
                <w:position w:val="0"/>
                <w:sz w:val="24"/>
                <w:szCs w:val="24"/>
                <w:highlight w:val="none"/>
                <w:lang w:val="en-US" w:eastAsia="zh-CN"/>
              </w:rPr>
              <w:t>50000</w:t>
            </w:r>
            <w:r>
              <w:rPr>
                <w:rFonts w:hint="default" w:ascii="Times New Roman" w:hAnsi="Times New Roman" w:eastAsia="宋体" w:cs="Times New Roman"/>
                <w:bCs/>
                <w:snapToGrid/>
                <w:color w:val="auto"/>
                <w:spacing w:val="0"/>
                <w:kern w:val="0"/>
                <w:position w:val="0"/>
                <w:sz w:val="24"/>
                <w:szCs w:val="24"/>
                <w:highlight w:val="none"/>
              </w:rPr>
              <w:t>万元，其中环保投资</w:t>
            </w:r>
            <w:r>
              <w:rPr>
                <w:rFonts w:hint="eastAsia" w:cs="Times New Roman"/>
                <w:bCs/>
                <w:snapToGrid/>
                <w:color w:val="auto"/>
                <w:spacing w:val="0"/>
                <w:kern w:val="0"/>
                <w:position w:val="0"/>
                <w:sz w:val="24"/>
                <w:szCs w:val="24"/>
                <w:highlight w:val="none"/>
                <w:lang w:val="en-US" w:eastAsia="zh-CN"/>
              </w:rPr>
              <w:t>250</w:t>
            </w:r>
            <w:r>
              <w:rPr>
                <w:rFonts w:hint="default" w:ascii="Times New Roman" w:hAnsi="Times New Roman" w:eastAsia="宋体" w:cs="Times New Roman"/>
                <w:bCs/>
                <w:snapToGrid/>
                <w:color w:val="auto"/>
                <w:spacing w:val="0"/>
                <w:kern w:val="0"/>
                <w:position w:val="0"/>
                <w:sz w:val="24"/>
                <w:szCs w:val="24"/>
                <w:highlight w:val="none"/>
              </w:rPr>
              <w:t>万元</w:t>
            </w:r>
            <w:r>
              <w:rPr>
                <w:rFonts w:hint="default" w:ascii="Times New Roman" w:hAnsi="Times New Roman" w:eastAsia="宋体" w:cs="Times New Roman"/>
                <w:bCs/>
                <w:snapToGrid/>
                <w:color w:val="auto"/>
                <w:spacing w:val="0"/>
                <w:kern w:val="0"/>
                <w:position w:val="0"/>
                <w:sz w:val="24"/>
                <w:szCs w:val="24"/>
                <w:highlight w:val="none"/>
                <w:lang w:val="en-US" w:eastAsia="zh-CN"/>
              </w:rPr>
              <w:t>，</w:t>
            </w:r>
            <w:r>
              <w:rPr>
                <w:rFonts w:hint="default" w:ascii="Times New Roman" w:hAnsi="Times New Roman" w:eastAsia="宋体" w:cs="Times New Roman"/>
                <w:bCs/>
                <w:snapToGrid/>
                <w:color w:val="auto"/>
                <w:spacing w:val="0"/>
                <w:kern w:val="0"/>
                <w:position w:val="0"/>
                <w:sz w:val="24"/>
                <w:szCs w:val="24"/>
                <w:highlight w:val="none"/>
              </w:rPr>
              <w:t>约占总投资</w:t>
            </w:r>
            <w:r>
              <w:rPr>
                <w:rFonts w:hint="eastAsia" w:cs="Times New Roman"/>
                <w:bCs/>
                <w:snapToGrid/>
                <w:color w:val="auto"/>
                <w:spacing w:val="0"/>
                <w:kern w:val="0"/>
                <w:position w:val="0"/>
                <w:sz w:val="24"/>
                <w:szCs w:val="24"/>
                <w:highlight w:val="none"/>
                <w:lang w:val="en-US" w:eastAsia="zh-CN"/>
              </w:rPr>
              <w:t>0.5</w:t>
            </w:r>
            <w:r>
              <w:rPr>
                <w:rFonts w:hint="default" w:ascii="Times New Roman" w:hAnsi="Times New Roman" w:eastAsia="宋体" w:cs="Times New Roman"/>
                <w:bCs/>
                <w:snapToGrid/>
                <w:color w:val="auto"/>
                <w:spacing w:val="0"/>
                <w:kern w:val="0"/>
                <w:position w:val="0"/>
                <w:sz w:val="24"/>
                <w:szCs w:val="24"/>
                <w:highlight w:val="none"/>
              </w:rPr>
              <w:t>%，主要用于废水、固体废物和噪声污染的治理。</w:t>
            </w:r>
          </w:p>
          <w:p w14:paraId="01581F1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snapToGrid/>
                <w:color w:val="auto"/>
                <w:spacing w:val="0"/>
                <w:kern w:val="0"/>
                <w:position w:val="0"/>
                <w:sz w:val="24"/>
                <w:szCs w:val="24"/>
                <w:highlight w:val="none"/>
                <w:lang w:val="zh-CN"/>
              </w:rPr>
            </w:pPr>
            <w:r>
              <w:rPr>
                <w:rFonts w:hint="default" w:ascii="Times New Roman" w:hAnsi="Times New Roman" w:eastAsia="宋体" w:cs="Times New Roman"/>
                <w:b/>
                <w:snapToGrid/>
                <w:color w:val="auto"/>
                <w:spacing w:val="0"/>
                <w:kern w:val="0"/>
                <w:position w:val="0"/>
                <w:sz w:val="24"/>
                <w:szCs w:val="24"/>
                <w:highlight w:val="none"/>
                <w:lang w:val="zh-CN"/>
              </w:rPr>
              <w:t>表</w:t>
            </w:r>
            <w:r>
              <w:rPr>
                <w:rFonts w:hint="eastAsia" w:ascii="Times New Roman" w:hAnsi="Times New Roman" w:eastAsia="宋体" w:cs="Times New Roman"/>
                <w:b/>
                <w:snapToGrid/>
                <w:color w:val="auto"/>
                <w:spacing w:val="0"/>
                <w:kern w:val="0"/>
                <w:position w:val="0"/>
                <w:sz w:val="24"/>
                <w:szCs w:val="24"/>
                <w:highlight w:val="none"/>
                <w:lang w:val="en-US" w:eastAsia="zh-CN"/>
              </w:rPr>
              <w:t>4</w:t>
            </w:r>
            <w:r>
              <w:rPr>
                <w:rFonts w:hint="eastAsia" w:cs="Times New Roman"/>
                <w:b/>
                <w:snapToGrid/>
                <w:color w:val="auto"/>
                <w:spacing w:val="0"/>
                <w:kern w:val="0"/>
                <w:position w:val="0"/>
                <w:sz w:val="24"/>
                <w:szCs w:val="24"/>
                <w:highlight w:val="none"/>
                <w:lang w:val="en-US" w:eastAsia="zh-CN"/>
              </w:rPr>
              <w:t>.18</w:t>
            </w:r>
            <w:r>
              <w:rPr>
                <w:rFonts w:hint="default" w:ascii="Times New Roman" w:hAnsi="Times New Roman" w:eastAsia="宋体" w:cs="Times New Roman"/>
                <w:b/>
                <w:snapToGrid/>
                <w:color w:val="auto"/>
                <w:spacing w:val="0"/>
                <w:kern w:val="0"/>
                <w:position w:val="0"/>
                <w:sz w:val="24"/>
                <w:szCs w:val="24"/>
                <w:highlight w:val="none"/>
              </w:rPr>
              <w:t xml:space="preserve">  </w:t>
            </w:r>
            <w:r>
              <w:rPr>
                <w:rFonts w:hint="default" w:ascii="Times New Roman" w:hAnsi="Times New Roman" w:eastAsia="宋体" w:cs="Times New Roman"/>
                <w:b/>
                <w:snapToGrid/>
                <w:color w:val="auto"/>
                <w:spacing w:val="0"/>
                <w:kern w:val="0"/>
                <w:position w:val="0"/>
                <w:sz w:val="24"/>
                <w:szCs w:val="24"/>
                <w:highlight w:val="none"/>
                <w:lang w:val="zh-CN"/>
              </w:rPr>
              <w:t>项目环保防治措施及投资估算表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161"/>
              <w:gridCol w:w="3484"/>
              <w:gridCol w:w="1554"/>
            </w:tblGrid>
            <w:tr w14:paraId="333C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noWrap w:val="0"/>
                  <w:vAlign w:val="center"/>
                </w:tcPr>
                <w:p w14:paraId="4C3094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污染类别</w:t>
                  </w:r>
                </w:p>
              </w:tc>
              <w:tc>
                <w:tcPr>
                  <w:tcW w:w="2161" w:type="dxa"/>
                  <w:noWrap w:val="0"/>
                  <w:vAlign w:val="center"/>
                </w:tcPr>
                <w:p w14:paraId="5AF7D6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污染防治对象</w:t>
                  </w:r>
                </w:p>
              </w:tc>
              <w:tc>
                <w:tcPr>
                  <w:tcW w:w="3484" w:type="dxa"/>
                  <w:noWrap w:val="0"/>
                  <w:vAlign w:val="center"/>
                </w:tcPr>
                <w:p w14:paraId="082909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治理措施</w:t>
                  </w:r>
                </w:p>
              </w:tc>
              <w:tc>
                <w:tcPr>
                  <w:tcW w:w="1554" w:type="dxa"/>
                  <w:noWrap w:val="0"/>
                  <w:vAlign w:val="center"/>
                </w:tcPr>
                <w:p w14:paraId="2DA28D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投资估算（万元）</w:t>
                  </w:r>
                </w:p>
              </w:tc>
            </w:tr>
            <w:tr w14:paraId="7CF2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noWrap w:val="0"/>
                  <w:vAlign w:val="center"/>
                </w:tcPr>
                <w:p w14:paraId="75D985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废水</w:t>
                  </w:r>
                </w:p>
              </w:tc>
              <w:tc>
                <w:tcPr>
                  <w:tcW w:w="2161" w:type="dxa"/>
                  <w:noWrap w:val="0"/>
                  <w:vAlign w:val="center"/>
                </w:tcPr>
                <w:p w14:paraId="1BEAFD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生活污水</w:t>
                  </w:r>
                </w:p>
              </w:tc>
              <w:tc>
                <w:tcPr>
                  <w:tcW w:w="3484" w:type="dxa"/>
                  <w:noWrap w:val="0"/>
                  <w:vAlign w:val="center"/>
                </w:tcPr>
                <w:p w14:paraId="47714B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default" w:ascii="Times New Roman" w:hAnsi="Times New Roman" w:eastAsia="宋体" w:cs="Times New Roman"/>
                      <w:snapToGrid/>
                      <w:color w:val="auto"/>
                      <w:spacing w:val="0"/>
                      <w:kern w:val="0"/>
                      <w:position w:val="0"/>
                      <w:sz w:val="21"/>
                      <w:szCs w:val="21"/>
                    </w:rPr>
                    <w:t>化粪池</w:t>
                  </w:r>
                </w:p>
              </w:tc>
              <w:tc>
                <w:tcPr>
                  <w:tcW w:w="1554" w:type="dxa"/>
                  <w:noWrap w:val="0"/>
                  <w:vAlign w:val="center"/>
                </w:tcPr>
                <w:p w14:paraId="6E826D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000000" w:themeColor="text1"/>
                      <w:spacing w:val="0"/>
                      <w:kern w:val="0"/>
                      <w:position w:val="0"/>
                      <w:sz w:val="21"/>
                      <w:szCs w:val="21"/>
                      <w:highlight w:val="none"/>
                      <w:lang w:val="en-US" w:eastAsia="zh-CN"/>
                      <w14:textFill>
                        <w14:solidFill>
                          <w14:schemeClr w14:val="tx1"/>
                        </w14:solidFill>
                      </w14:textFill>
                    </w:rPr>
                    <w:t>5</w:t>
                  </w:r>
                </w:p>
              </w:tc>
            </w:tr>
            <w:tr w14:paraId="2664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noWrap w:val="0"/>
                  <w:vAlign w:val="center"/>
                </w:tcPr>
                <w:p w14:paraId="269B36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噪声</w:t>
                  </w:r>
                </w:p>
              </w:tc>
              <w:tc>
                <w:tcPr>
                  <w:tcW w:w="2161" w:type="dxa"/>
                  <w:noWrap w:val="0"/>
                  <w:vAlign w:val="center"/>
                </w:tcPr>
                <w:p w14:paraId="1FCCE1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设备噪声等</w:t>
                  </w:r>
                </w:p>
              </w:tc>
              <w:tc>
                <w:tcPr>
                  <w:tcW w:w="3484" w:type="dxa"/>
                  <w:noWrap w:val="0"/>
                  <w:vAlign w:val="center"/>
                </w:tcPr>
                <w:p w14:paraId="7914E0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选用低噪声设备、建筑隔声等</w:t>
                  </w:r>
                </w:p>
              </w:tc>
              <w:tc>
                <w:tcPr>
                  <w:tcW w:w="1554" w:type="dxa"/>
                  <w:noWrap w:val="0"/>
                  <w:vAlign w:val="center"/>
                </w:tcPr>
                <w:p w14:paraId="32624E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000000" w:themeColor="text1"/>
                      <w:spacing w:val="0"/>
                      <w:kern w:val="0"/>
                      <w:position w:val="0"/>
                      <w:sz w:val="21"/>
                      <w:szCs w:val="21"/>
                      <w:highlight w:val="none"/>
                      <w:lang w:val="en-US" w:eastAsia="zh-CN"/>
                      <w14:textFill>
                        <w14:solidFill>
                          <w14:schemeClr w14:val="tx1"/>
                        </w14:solidFill>
                      </w14:textFill>
                    </w:rPr>
                    <w:t>65</w:t>
                  </w:r>
                </w:p>
              </w:tc>
            </w:tr>
            <w:tr w14:paraId="0210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vMerge w:val="restart"/>
                  <w:noWrap w:val="0"/>
                  <w:vAlign w:val="center"/>
                </w:tcPr>
                <w:p w14:paraId="2CCB02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固废</w:t>
                  </w:r>
                </w:p>
              </w:tc>
              <w:tc>
                <w:tcPr>
                  <w:tcW w:w="2161" w:type="dxa"/>
                  <w:noWrap w:val="0"/>
                  <w:vAlign w:val="center"/>
                </w:tcPr>
                <w:p w14:paraId="3B9EED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一般工业固体废物</w:t>
                  </w:r>
                </w:p>
              </w:tc>
              <w:tc>
                <w:tcPr>
                  <w:tcW w:w="3484" w:type="dxa"/>
                  <w:noWrap w:val="0"/>
                  <w:vAlign w:val="center"/>
                </w:tcPr>
                <w:p w14:paraId="009826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规范化</w:t>
                  </w:r>
                  <w:r>
                    <w:rPr>
                      <w:rFonts w:hint="default" w:ascii="Times New Roman" w:hAnsi="Times New Roman" w:eastAsia="宋体" w:cs="Times New Roman"/>
                      <w:snapToGrid/>
                      <w:color w:val="auto"/>
                      <w:spacing w:val="0"/>
                      <w:kern w:val="0"/>
                      <w:position w:val="0"/>
                      <w:sz w:val="21"/>
                      <w:szCs w:val="21"/>
                      <w:highlight w:val="none"/>
                      <w:lang w:eastAsia="zh-CN"/>
                    </w:rPr>
                    <w:t>一般固废暂存间</w:t>
                  </w:r>
                </w:p>
              </w:tc>
              <w:tc>
                <w:tcPr>
                  <w:tcW w:w="1554" w:type="dxa"/>
                  <w:noWrap w:val="0"/>
                  <w:vAlign w:val="center"/>
                </w:tcPr>
                <w:p w14:paraId="7565AA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000000" w:themeColor="text1"/>
                      <w:spacing w:val="0"/>
                      <w:kern w:val="0"/>
                      <w:position w:val="0"/>
                      <w:sz w:val="21"/>
                      <w:szCs w:val="21"/>
                      <w:highlight w:val="none"/>
                      <w:lang w:val="en-US" w:eastAsia="zh-CN"/>
                      <w14:textFill>
                        <w14:solidFill>
                          <w14:schemeClr w14:val="tx1"/>
                        </w14:solidFill>
                      </w14:textFill>
                    </w:rPr>
                    <w:t>35</w:t>
                  </w:r>
                </w:p>
              </w:tc>
            </w:tr>
            <w:tr w14:paraId="6F23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vMerge w:val="continue"/>
                  <w:noWrap w:val="0"/>
                  <w:vAlign w:val="center"/>
                </w:tcPr>
                <w:p w14:paraId="4DECC1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p>
              </w:tc>
              <w:tc>
                <w:tcPr>
                  <w:tcW w:w="2161" w:type="dxa"/>
                  <w:noWrap w:val="0"/>
                  <w:vAlign w:val="center"/>
                </w:tcPr>
                <w:p w14:paraId="66DA9F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危险废物</w:t>
                  </w:r>
                </w:p>
              </w:tc>
              <w:tc>
                <w:tcPr>
                  <w:tcW w:w="3484" w:type="dxa"/>
                  <w:noWrap w:val="0"/>
                  <w:vAlign w:val="center"/>
                </w:tcPr>
                <w:p w14:paraId="132B42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规范化</w:t>
                  </w:r>
                  <w:r>
                    <w:rPr>
                      <w:rFonts w:hint="default" w:ascii="Times New Roman" w:hAnsi="Times New Roman" w:eastAsia="宋体" w:cs="Times New Roman"/>
                      <w:b w:val="0"/>
                      <w:bCs w:val="0"/>
                      <w:snapToGrid/>
                      <w:color w:val="auto"/>
                      <w:spacing w:val="0"/>
                      <w:kern w:val="0"/>
                      <w:position w:val="0"/>
                      <w:sz w:val="21"/>
                      <w:szCs w:val="21"/>
                      <w:highlight w:val="none"/>
                      <w:lang w:eastAsia="zh-CN"/>
                    </w:rPr>
                    <w:t>危险废物暂存间</w:t>
                  </w:r>
                </w:p>
              </w:tc>
              <w:tc>
                <w:tcPr>
                  <w:tcW w:w="1554" w:type="dxa"/>
                  <w:noWrap w:val="0"/>
                  <w:vAlign w:val="center"/>
                </w:tcPr>
                <w:p w14:paraId="7E7886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60</w:t>
                  </w:r>
                </w:p>
              </w:tc>
            </w:tr>
            <w:tr w14:paraId="7D8D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dxa"/>
                  <w:vMerge w:val="continue"/>
                  <w:noWrap w:val="0"/>
                  <w:vAlign w:val="center"/>
                </w:tcPr>
                <w:p w14:paraId="71924A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p>
              </w:tc>
              <w:tc>
                <w:tcPr>
                  <w:tcW w:w="2161" w:type="dxa"/>
                  <w:noWrap w:val="0"/>
                  <w:vAlign w:val="center"/>
                </w:tcPr>
                <w:p w14:paraId="3024EE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生活垃圾</w:t>
                  </w:r>
                </w:p>
              </w:tc>
              <w:tc>
                <w:tcPr>
                  <w:tcW w:w="3484" w:type="dxa"/>
                  <w:noWrap w:val="0"/>
                  <w:vAlign w:val="center"/>
                </w:tcPr>
                <w:p w14:paraId="184C7F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垃圾桶等</w:t>
                  </w:r>
                </w:p>
              </w:tc>
              <w:tc>
                <w:tcPr>
                  <w:tcW w:w="1554" w:type="dxa"/>
                  <w:noWrap w:val="0"/>
                  <w:vAlign w:val="center"/>
                </w:tcPr>
                <w:p w14:paraId="79570B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000000" w:themeColor="text1"/>
                      <w:spacing w:val="0"/>
                      <w:kern w:val="0"/>
                      <w:position w:val="0"/>
                      <w:sz w:val="21"/>
                      <w:szCs w:val="21"/>
                      <w:highlight w:val="none"/>
                      <w:lang w:val="en-US" w:eastAsia="zh-CN"/>
                      <w14:textFill>
                        <w14:solidFill>
                          <w14:schemeClr w14:val="tx1"/>
                        </w14:solidFill>
                      </w14:textFill>
                    </w:rPr>
                    <w:t>15</w:t>
                  </w:r>
                </w:p>
              </w:tc>
            </w:tr>
            <w:tr w14:paraId="3C82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4" w:type="dxa"/>
                  <w:gridSpan w:val="2"/>
                  <w:noWrap w:val="0"/>
                  <w:vAlign w:val="center"/>
                </w:tcPr>
                <w:p w14:paraId="3F7676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rPr>
                  </w:pPr>
                  <w:r>
                    <w:rPr>
                      <w:rFonts w:hint="eastAsia" w:cs="Times New Roman"/>
                      <w:b w:val="0"/>
                      <w:bCs w:val="0"/>
                      <w:color w:val="auto"/>
                      <w:sz w:val="21"/>
                      <w:szCs w:val="21"/>
                      <w:highlight w:val="none"/>
                      <w:lang w:eastAsia="zh-CN"/>
                    </w:rPr>
                    <w:t>地下水、土壤</w:t>
                  </w:r>
                </w:p>
              </w:tc>
              <w:tc>
                <w:tcPr>
                  <w:tcW w:w="3484" w:type="dxa"/>
                  <w:noWrap w:val="0"/>
                  <w:vAlign w:val="center"/>
                </w:tcPr>
                <w:p w14:paraId="79525F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color w:val="auto"/>
                      <w:sz w:val="21"/>
                      <w:szCs w:val="21"/>
                      <w:highlight w:val="none"/>
                      <w:lang w:val="en-US" w:eastAsia="zh-CN"/>
                    </w:rPr>
                    <w:t>厂区内危废间需要做重点防渗，其他区域做一般防渗；项目厂房进行地面硬化，采用</w:t>
                  </w:r>
                  <w:r>
                    <w:rPr>
                      <w:rFonts w:hint="default" w:ascii="Times New Roman" w:hAnsi="Times New Roman" w:cs="Times New Roman"/>
                      <w:color w:val="auto"/>
                      <w:sz w:val="21"/>
                      <w:szCs w:val="21"/>
                      <w:highlight w:val="none"/>
                    </w:rPr>
                    <w:t>抗渗混凝土</w:t>
                  </w:r>
                  <w:r>
                    <w:rPr>
                      <w:rFonts w:hint="eastAsia" w:ascii="Times New Roman" w:hAnsi="Times New Roman" w:cs="Times New Roman"/>
                      <w:color w:val="auto"/>
                      <w:sz w:val="21"/>
                      <w:szCs w:val="21"/>
                      <w:highlight w:val="none"/>
                      <w:lang w:val="en-US" w:eastAsia="zh-CN"/>
                    </w:rPr>
                    <w:t>防渗</w:t>
                  </w:r>
                  <w:r>
                    <w:rPr>
                      <w:rFonts w:hint="eastAsia" w:cs="Times New Roman"/>
                      <w:color w:val="auto"/>
                      <w:sz w:val="21"/>
                      <w:szCs w:val="21"/>
                      <w:highlight w:val="none"/>
                      <w:lang w:val="en-US" w:eastAsia="zh-CN"/>
                    </w:rPr>
                    <w:t>，</w:t>
                  </w:r>
                  <w:r>
                    <w:rPr>
                      <w:rFonts w:hint="eastAsia" w:ascii="Times New Roman" w:hAnsi="Times New Roman" w:eastAsia="宋体" w:cs="Times New Roman"/>
                      <w:b w:val="0"/>
                      <w:bCs w:val="0"/>
                      <w:snapToGrid/>
                      <w:color w:val="auto"/>
                      <w:spacing w:val="0"/>
                      <w:kern w:val="0"/>
                      <w:position w:val="0"/>
                      <w:sz w:val="21"/>
                      <w:szCs w:val="21"/>
                      <w:highlight w:val="none"/>
                      <w:lang w:val="en-US" w:eastAsia="zh-CN"/>
                    </w:rPr>
                    <w:t>防渗层渗透系数已达到1.0×10</w:t>
                  </w:r>
                  <w:r>
                    <w:rPr>
                      <w:rFonts w:hint="eastAsia" w:ascii="Times New Roman" w:hAnsi="Times New Roman" w:eastAsia="宋体" w:cs="Times New Roman"/>
                      <w:b w:val="0"/>
                      <w:bCs w:val="0"/>
                      <w:snapToGrid/>
                      <w:color w:val="auto"/>
                      <w:spacing w:val="0"/>
                      <w:kern w:val="0"/>
                      <w:position w:val="0"/>
                      <w:sz w:val="21"/>
                      <w:szCs w:val="21"/>
                      <w:highlight w:val="none"/>
                      <w:vertAlign w:val="superscript"/>
                      <w:lang w:val="en-US" w:eastAsia="zh-CN"/>
                    </w:rPr>
                    <w:t>-7</w:t>
                  </w:r>
                  <w:r>
                    <w:rPr>
                      <w:rFonts w:hint="eastAsia" w:ascii="Times New Roman" w:hAnsi="Times New Roman" w:eastAsia="宋体" w:cs="Times New Roman"/>
                      <w:b w:val="0"/>
                      <w:bCs w:val="0"/>
                      <w:snapToGrid/>
                      <w:color w:val="auto"/>
                      <w:spacing w:val="0"/>
                      <w:kern w:val="0"/>
                      <w:position w:val="0"/>
                      <w:sz w:val="21"/>
                      <w:szCs w:val="21"/>
                      <w:highlight w:val="none"/>
                      <w:lang w:val="en-US" w:eastAsia="zh-CN"/>
                    </w:rPr>
                    <w:t>cm/s</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重点防渗区域采用环氧树脂漆（1.5mm）进行重点防渗，渗透系数≤1×10</w:t>
                  </w:r>
                  <w:r>
                    <w:rPr>
                      <w:rFonts w:hint="default" w:ascii="Times New Roman" w:hAnsi="Times New Roman" w:cs="Times New Roman"/>
                      <w:color w:val="auto"/>
                      <w:sz w:val="21"/>
                      <w:szCs w:val="21"/>
                      <w:highlight w:val="none"/>
                      <w:vertAlign w:val="superscript"/>
                    </w:rPr>
                    <w:t>-</w:t>
                  </w:r>
                  <w:r>
                    <w:rPr>
                      <w:rFonts w:hint="eastAsia" w:cs="Times New Roman"/>
                      <w:color w:val="auto"/>
                      <w:sz w:val="21"/>
                      <w:szCs w:val="21"/>
                      <w:highlight w:val="none"/>
                      <w:vertAlign w:val="superscript"/>
                      <w:lang w:val="en-US" w:eastAsia="zh-CN"/>
                    </w:rPr>
                    <w:t>10</w:t>
                  </w:r>
                  <w:r>
                    <w:rPr>
                      <w:rFonts w:hint="default" w:ascii="Times New Roman" w:hAnsi="Times New Roman" w:cs="Times New Roman"/>
                      <w:color w:val="auto"/>
                      <w:sz w:val="21"/>
                      <w:szCs w:val="21"/>
                      <w:highlight w:val="none"/>
                    </w:rPr>
                    <w:t>cm/s</w:t>
                  </w:r>
                  <w:r>
                    <w:rPr>
                      <w:rFonts w:hint="eastAsia" w:cs="Times New Roman"/>
                      <w:color w:val="auto"/>
                      <w:sz w:val="21"/>
                      <w:szCs w:val="21"/>
                      <w:highlight w:val="none"/>
                      <w:lang w:eastAsia="zh-CN"/>
                    </w:rPr>
                    <w:t>。</w:t>
                  </w:r>
                </w:p>
              </w:tc>
              <w:tc>
                <w:tcPr>
                  <w:tcW w:w="1554" w:type="dxa"/>
                  <w:noWrap w:val="0"/>
                  <w:vAlign w:val="center"/>
                </w:tcPr>
                <w:p w14:paraId="6C838CD5">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40</w:t>
                  </w:r>
                </w:p>
              </w:tc>
            </w:tr>
            <w:tr w14:paraId="5CDC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4" w:type="dxa"/>
                  <w:gridSpan w:val="2"/>
                  <w:noWrap w:val="0"/>
                  <w:vAlign w:val="center"/>
                </w:tcPr>
                <w:p w14:paraId="0ECA9508">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color w:val="auto"/>
                      <w:sz w:val="21"/>
                      <w:szCs w:val="21"/>
                      <w:lang w:eastAsia="zh-CN"/>
                    </w:rPr>
                    <w:t>环境风险</w:t>
                  </w:r>
                </w:p>
              </w:tc>
              <w:tc>
                <w:tcPr>
                  <w:tcW w:w="3484" w:type="dxa"/>
                  <w:noWrap w:val="0"/>
                  <w:vAlign w:val="center"/>
                </w:tcPr>
                <w:p w14:paraId="1E222435">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color w:val="auto"/>
                      <w:sz w:val="21"/>
                      <w:szCs w:val="21"/>
                      <w:lang w:eastAsia="zh-CN"/>
                    </w:rPr>
                    <w:t>设置室外消火栓、灭火器、制定风险应急预案等。</w:t>
                  </w:r>
                </w:p>
              </w:tc>
              <w:tc>
                <w:tcPr>
                  <w:tcW w:w="1554" w:type="dxa"/>
                  <w:noWrap w:val="0"/>
                  <w:vAlign w:val="center"/>
                </w:tcPr>
                <w:p w14:paraId="0A32165F">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000000" w:themeColor="text1"/>
                      <w:spacing w:val="0"/>
                      <w:kern w:val="0"/>
                      <w:position w:val="0"/>
                      <w:sz w:val="21"/>
                      <w:szCs w:val="21"/>
                      <w:highlight w:val="none"/>
                      <w:lang w:val="en-US" w:eastAsia="zh-CN"/>
                      <w14:textFill>
                        <w14:solidFill>
                          <w14:schemeClr w14:val="tx1"/>
                        </w14:solidFill>
                      </w14:textFill>
                    </w:rPr>
                    <w:t>30</w:t>
                  </w:r>
                </w:p>
              </w:tc>
            </w:tr>
            <w:tr w14:paraId="6FFE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8" w:type="dxa"/>
                  <w:gridSpan w:val="3"/>
                  <w:noWrap w:val="0"/>
                  <w:vAlign w:val="center"/>
                </w:tcPr>
                <w:p w14:paraId="56D150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合计</w:t>
                  </w:r>
                </w:p>
              </w:tc>
              <w:tc>
                <w:tcPr>
                  <w:tcW w:w="1554" w:type="dxa"/>
                  <w:noWrap w:val="0"/>
                  <w:vAlign w:val="center"/>
                </w:tcPr>
                <w:p w14:paraId="43BA5B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250.0</w:t>
                  </w:r>
                </w:p>
              </w:tc>
            </w:tr>
          </w:tbl>
          <w:p w14:paraId="10E65C3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snapToGrid/>
                <w:color w:val="auto"/>
                <w:spacing w:val="0"/>
                <w:kern w:val="0"/>
                <w:position w:val="0"/>
                <w:sz w:val="24"/>
                <w:szCs w:val="24"/>
                <w:lang w:val="en-US" w:eastAsia="zh-CN"/>
              </w:rPr>
            </w:pPr>
          </w:p>
        </w:tc>
      </w:tr>
    </w:tbl>
    <w:p w14:paraId="2782E13E">
      <w:pPr>
        <w:pStyle w:val="2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snapToGrid w:val="0"/>
          <w:color w:val="auto"/>
          <w:sz w:val="30"/>
          <w:szCs w:val="30"/>
        </w:rPr>
        <w:sectPr>
          <w:pgSz w:w="11906" w:h="16838"/>
          <w:pgMar w:top="1440" w:right="1803" w:bottom="1440" w:left="1803" w:header="851" w:footer="851" w:gutter="0"/>
          <w:pgBorders>
            <w:top w:val="none" w:sz="0" w:space="0"/>
            <w:left w:val="none" w:sz="0" w:space="0"/>
            <w:bottom w:val="none" w:sz="0" w:space="0"/>
            <w:right w:val="none" w:sz="0" w:space="0"/>
          </w:pgBorders>
          <w:pgNumType w:fmt="decimal"/>
          <w:cols w:space="720" w:num="1"/>
          <w:docGrid w:linePitch="312" w:charSpace="0"/>
        </w:sectPr>
      </w:pPr>
    </w:p>
    <w:p w14:paraId="0B2A8176">
      <w:pPr>
        <w:pStyle w:val="2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snapToGrid w:val="0"/>
          <w:color w:val="auto"/>
          <w:sz w:val="30"/>
          <w:szCs w:val="30"/>
        </w:rPr>
      </w:pPr>
      <w:r>
        <w:rPr>
          <w:rFonts w:hint="default" w:ascii="Times New Roman" w:hAnsi="Times New Roman" w:eastAsia="宋体" w:cs="Times New Roman"/>
          <w:b/>
          <w:bCs/>
          <w:snapToGrid w:val="0"/>
          <w:color w:val="auto"/>
          <w:sz w:val="30"/>
          <w:szCs w:val="30"/>
        </w:rPr>
        <w:t>五、</w:t>
      </w:r>
      <w:bookmarkStart w:id="1" w:name="_Hlk54167917"/>
      <w:r>
        <w:rPr>
          <w:rFonts w:hint="default" w:ascii="Times New Roman" w:hAnsi="Times New Roman" w:eastAsia="宋体" w:cs="Times New Roman"/>
          <w:b/>
          <w:bCs/>
          <w:snapToGrid w:val="0"/>
          <w:color w:val="auto"/>
          <w:sz w:val="30"/>
          <w:szCs w:val="30"/>
        </w:rPr>
        <w:t>环境保护措施监督检查清单</w:t>
      </w:r>
      <w:bookmarkEnd w:id="1"/>
    </w:p>
    <w:tbl>
      <w:tblPr>
        <w:tblStyle w:val="23"/>
        <w:tblW w:w="88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855"/>
        <w:gridCol w:w="1755"/>
        <w:gridCol w:w="1755"/>
        <w:gridCol w:w="1757"/>
      </w:tblGrid>
      <w:tr w14:paraId="685A7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78" w:type="dxa"/>
            <w:tcBorders>
              <w:tl2br w:val="single" w:color="auto" w:sz="8" w:space="0"/>
            </w:tcBorders>
            <w:noWrap w:val="0"/>
            <w:vAlign w:val="top"/>
          </w:tcPr>
          <w:p w14:paraId="508028ED">
            <w:pPr>
              <w:adjustRightInd w:val="0"/>
              <w:snapToGrid w:val="0"/>
              <w:ind w:firstLine="84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w:t>
            </w:r>
          </w:p>
          <w:p w14:paraId="3A9AAAAA">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要素</w:t>
            </w:r>
          </w:p>
        </w:tc>
        <w:tc>
          <w:tcPr>
            <w:tcW w:w="1855" w:type="dxa"/>
            <w:tcBorders>
              <w:tl2br w:val="nil"/>
              <w:tr2bl w:val="nil"/>
            </w:tcBorders>
            <w:noWrap w:val="0"/>
            <w:vAlign w:val="center"/>
          </w:tcPr>
          <w:p w14:paraId="4985B9B8">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排放口</w:t>
            </w:r>
            <w:r>
              <w:rPr>
                <w:rFonts w:hint="eastAsia" w:ascii="宋体" w:hAnsi="宋体" w:eastAsia="宋体" w:cs="宋体"/>
                <w:color w:val="auto"/>
                <w:sz w:val="24"/>
                <w:szCs w:val="24"/>
              </w:rPr>
              <w:t>(</w:t>
            </w:r>
            <w:r>
              <w:rPr>
                <w:rFonts w:hint="default" w:ascii="Times New Roman" w:hAnsi="Times New Roman" w:eastAsia="宋体" w:cs="Times New Roman"/>
                <w:color w:val="auto"/>
                <w:sz w:val="24"/>
                <w:szCs w:val="24"/>
              </w:rPr>
              <w:t>编号、</w:t>
            </w:r>
          </w:p>
          <w:p w14:paraId="559DB272">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名称</w:t>
            </w:r>
            <w:r>
              <w:rPr>
                <w:rFonts w:hint="eastAsia" w:ascii="宋体" w:hAnsi="宋体" w:eastAsia="宋体" w:cs="宋体"/>
                <w:color w:val="auto"/>
                <w:sz w:val="24"/>
                <w:szCs w:val="24"/>
              </w:rPr>
              <w:t>)</w:t>
            </w:r>
            <w:r>
              <w:rPr>
                <w:rFonts w:hint="default" w:ascii="Times New Roman" w:hAnsi="Times New Roman" w:eastAsia="宋体" w:cs="Times New Roman"/>
                <w:color w:val="auto"/>
                <w:sz w:val="24"/>
                <w:szCs w:val="24"/>
              </w:rPr>
              <w:t>/污染源</w:t>
            </w:r>
          </w:p>
        </w:tc>
        <w:tc>
          <w:tcPr>
            <w:tcW w:w="1755" w:type="dxa"/>
            <w:tcBorders>
              <w:tl2br w:val="nil"/>
              <w:tr2bl w:val="nil"/>
            </w:tcBorders>
            <w:noWrap w:val="0"/>
            <w:vAlign w:val="center"/>
          </w:tcPr>
          <w:p w14:paraId="09CF0723">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污染物项目</w:t>
            </w:r>
          </w:p>
        </w:tc>
        <w:tc>
          <w:tcPr>
            <w:tcW w:w="1755" w:type="dxa"/>
            <w:tcBorders>
              <w:tl2br w:val="nil"/>
              <w:tr2bl w:val="nil"/>
            </w:tcBorders>
            <w:noWrap w:val="0"/>
            <w:vAlign w:val="center"/>
          </w:tcPr>
          <w:p w14:paraId="17F8ECA0">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环境保护措施</w:t>
            </w:r>
          </w:p>
        </w:tc>
        <w:tc>
          <w:tcPr>
            <w:tcW w:w="1757" w:type="dxa"/>
            <w:tcBorders>
              <w:tl2br w:val="nil"/>
              <w:tr2bl w:val="nil"/>
            </w:tcBorders>
            <w:noWrap w:val="0"/>
            <w:vAlign w:val="center"/>
          </w:tcPr>
          <w:p w14:paraId="0C98DF6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执行标准</w:t>
            </w:r>
          </w:p>
        </w:tc>
      </w:tr>
      <w:tr w14:paraId="582E5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tcBorders>
              <w:tl2br w:val="nil"/>
              <w:tr2bl w:val="nil"/>
            </w:tcBorders>
            <w:noWrap w:val="0"/>
            <w:vAlign w:val="center"/>
          </w:tcPr>
          <w:p w14:paraId="4966AD6A">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大气环境</w:t>
            </w:r>
          </w:p>
        </w:tc>
        <w:tc>
          <w:tcPr>
            <w:tcW w:w="7122" w:type="dxa"/>
            <w:gridSpan w:val="4"/>
            <w:tcBorders>
              <w:tl2br w:val="nil"/>
              <w:tr2bl w:val="nil"/>
            </w:tcBorders>
            <w:noWrap w:val="0"/>
            <w:vAlign w:val="center"/>
          </w:tcPr>
          <w:p w14:paraId="234A3B27">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无</w:t>
            </w:r>
          </w:p>
        </w:tc>
      </w:tr>
      <w:tr w14:paraId="7495C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restart"/>
            <w:tcBorders>
              <w:tl2br w:val="nil"/>
              <w:tr2bl w:val="nil"/>
            </w:tcBorders>
            <w:noWrap w:val="0"/>
            <w:vAlign w:val="center"/>
          </w:tcPr>
          <w:p w14:paraId="671B66D2">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地表水环境</w:t>
            </w:r>
          </w:p>
        </w:tc>
        <w:tc>
          <w:tcPr>
            <w:tcW w:w="1855" w:type="dxa"/>
            <w:vMerge w:val="restart"/>
            <w:tcBorders>
              <w:tl2br w:val="nil"/>
              <w:tr2bl w:val="nil"/>
            </w:tcBorders>
            <w:noWrap w:val="0"/>
            <w:vAlign w:val="center"/>
          </w:tcPr>
          <w:p w14:paraId="4F84903C">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rPr>
              <w:t>员工生活污水</w:t>
            </w:r>
          </w:p>
        </w:tc>
        <w:tc>
          <w:tcPr>
            <w:tcW w:w="1755" w:type="dxa"/>
            <w:tcBorders>
              <w:tl2br w:val="nil"/>
              <w:tr2bl w:val="nil"/>
            </w:tcBorders>
            <w:noWrap w:val="0"/>
            <w:vAlign w:val="center"/>
          </w:tcPr>
          <w:p w14:paraId="7BACA706">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COD</w:t>
            </w:r>
          </w:p>
        </w:tc>
        <w:tc>
          <w:tcPr>
            <w:tcW w:w="1755" w:type="dxa"/>
            <w:vMerge w:val="restart"/>
            <w:tcBorders>
              <w:tl2br w:val="nil"/>
              <w:tr2bl w:val="nil"/>
            </w:tcBorders>
            <w:noWrap w:val="0"/>
            <w:vAlign w:val="center"/>
          </w:tcPr>
          <w:p w14:paraId="061B49D7">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化粪池</w:t>
            </w:r>
          </w:p>
        </w:tc>
        <w:tc>
          <w:tcPr>
            <w:tcW w:w="1757" w:type="dxa"/>
            <w:vMerge w:val="restart"/>
            <w:tcBorders>
              <w:tl2br w:val="nil"/>
              <w:tr2bl w:val="nil"/>
            </w:tcBorders>
            <w:noWrap w:val="0"/>
            <w:vAlign w:val="center"/>
          </w:tcPr>
          <w:p w14:paraId="4C2FB997">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《污水综合排放标准》（GB8978-1996）中三级排放标准及</w:t>
            </w:r>
            <w:r>
              <w:rPr>
                <w:rFonts w:hint="eastAsia" w:ascii="Times New Roman" w:hAnsi="Times New Roman" w:eastAsia="宋体" w:cs="Times New Roman"/>
                <w:bCs/>
                <w:color w:val="auto"/>
                <w:kern w:val="2"/>
                <w:sz w:val="24"/>
                <w:szCs w:val="24"/>
                <w:highlight w:val="none"/>
                <w:lang w:val="zh-CN" w:eastAsia="zh-CN" w:bidi="ar-SA"/>
              </w:rPr>
              <w:t>灵璧</w:t>
            </w:r>
            <w:r>
              <w:rPr>
                <w:rFonts w:hint="eastAsia" w:cs="Times New Roman"/>
                <w:bCs/>
                <w:color w:val="auto"/>
                <w:kern w:val="2"/>
                <w:sz w:val="24"/>
                <w:szCs w:val="24"/>
                <w:highlight w:val="none"/>
                <w:lang w:val="en-US" w:eastAsia="zh-CN" w:bidi="ar-SA"/>
              </w:rPr>
              <w:t>经济</w:t>
            </w:r>
            <w:r>
              <w:rPr>
                <w:rFonts w:hint="eastAsia" w:ascii="Times New Roman" w:hAnsi="Times New Roman" w:eastAsia="宋体" w:cs="Times New Roman"/>
                <w:bCs/>
                <w:color w:val="auto"/>
                <w:kern w:val="2"/>
                <w:sz w:val="24"/>
                <w:szCs w:val="24"/>
                <w:highlight w:val="none"/>
                <w:lang w:val="zh-CN" w:eastAsia="zh-CN" w:bidi="ar-SA"/>
              </w:rPr>
              <w:t>开发区北部污水处理厂</w:t>
            </w:r>
            <w:r>
              <w:rPr>
                <w:rFonts w:hint="default" w:ascii="Times New Roman" w:hAnsi="Times New Roman" w:eastAsia="宋体" w:cs="Times New Roman"/>
                <w:color w:val="auto"/>
                <w:sz w:val="24"/>
                <w:szCs w:val="24"/>
                <w:lang w:val="en-US" w:eastAsia="zh-CN"/>
              </w:rPr>
              <w:t>的接管</w:t>
            </w:r>
            <w:r>
              <w:rPr>
                <w:rFonts w:hint="eastAsia" w:cs="Times New Roman"/>
                <w:color w:val="auto"/>
                <w:sz w:val="24"/>
                <w:szCs w:val="24"/>
                <w:lang w:val="en-US" w:eastAsia="zh-CN"/>
              </w:rPr>
              <w:t>限值</w:t>
            </w:r>
          </w:p>
        </w:tc>
      </w:tr>
      <w:tr w14:paraId="14914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tcBorders>
              <w:tl2br w:val="nil"/>
              <w:tr2bl w:val="nil"/>
            </w:tcBorders>
            <w:noWrap w:val="0"/>
            <w:vAlign w:val="center"/>
          </w:tcPr>
          <w:p w14:paraId="47E0F661">
            <w:pPr>
              <w:adjustRightInd w:val="0"/>
              <w:snapToGrid w:val="0"/>
              <w:jc w:val="center"/>
              <w:rPr>
                <w:rFonts w:hint="default" w:ascii="Times New Roman" w:hAnsi="Times New Roman" w:eastAsia="宋体" w:cs="Times New Roman"/>
                <w:b w:val="0"/>
                <w:bCs w:val="0"/>
                <w:color w:val="auto"/>
                <w:sz w:val="24"/>
                <w:szCs w:val="24"/>
              </w:rPr>
            </w:pPr>
          </w:p>
        </w:tc>
        <w:tc>
          <w:tcPr>
            <w:tcW w:w="1855" w:type="dxa"/>
            <w:vMerge w:val="continue"/>
            <w:tcBorders>
              <w:tl2br w:val="nil"/>
              <w:tr2bl w:val="nil"/>
            </w:tcBorders>
            <w:noWrap w:val="0"/>
            <w:vAlign w:val="center"/>
          </w:tcPr>
          <w:p w14:paraId="1BE66921">
            <w:pPr>
              <w:adjustRightInd w:val="0"/>
              <w:snapToGrid w:val="0"/>
              <w:jc w:val="center"/>
              <w:rPr>
                <w:rFonts w:hint="default" w:ascii="Times New Roman" w:hAnsi="Times New Roman" w:eastAsia="宋体" w:cs="Times New Roman"/>
                <w:color w:val="auto"/>
                <w:sz w:val="24"/>
                <w:szCs w:val="24"/>
                <w:lang w:val="en-US" w:eastAsia="zh-CN"/>
              </w:rPr>
            </w:pPr>
          </w:p>
        </w:tc>
        <w:tc>
          <w:tcPr>
            <w:tcW w:w="1755" w:type="dxa"/>
            <w:tcBorders>
              <w:tl2br w:val="nil"/>
              <w:tr2bl w:val="nil"/>
            </w:tcBorders>
            <w:noWrap w:val="0"/>
            <w:vAlign w:val="center"/>
          </w:tcPr>
          <w:p w14:paraId="0383C4CB">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SS</w:t>
            </w:r>
          </w:p>
        </w:tc>
        <w:tc>
          <w:tcPr>
            <w:tcW w:w="1755" w:type="dxa"/>
            <w:vMerge w:val="continue"/>
            <w:tcBorders>
              <w:tl2br w:val="nil"/>
              <w:tr2bl w:val="nil"/>
            </w:tcBorders>
            <w:noWrap w:val="0"/>
            <w:vAlign w:val="center"/>
          </w:tcPr>
          <w:p w14:paraId="461F63DB">
            <w:pPr>
              <w:adjustRightInd w:val="0"/>
              <w:snapToGrid w:val="0"/>
              <w:jc w:val="center"/>
              <w:rPr>
                <w:rFonts w:hint="default" w:ascii="Times New Roman" w:hAnsi="Times New Roman" w:eastAsia="宋体" w:cs="Times New Roman"/>
                <w:color w:val="auto"/>
                <w:sz w:val="24"/>
                <w:szCs w:val="24"/>
              </w:rPr>
            </w:pPr>
          </w:p>
        </w:tc>
        <w:tc>
          <w:tcPr>
            <w:tcW w:w="1757" w:type="dxa"/>
            <w:vMerge w:val="continue"/>
            <w:tcBorders>
              <w:tl2br w:val="nil"/>
              <w:tr2bl w:val="nil"/>
            </w:tcBorders>
            <w:noWrap w:val="0"/>
            <w:vAlign w:val="center"/>
          </w:tcPr>
          <w:p w14:paraId="252FEC64">
            <w:pPr>
              <w:adjustRightInd w:val="0"/>
              <w:snapToGrid w:val="0"/>
              <w:jc w:val="center"/>
              <w:rPr>
                <w:rFonts w:hint="default" w:ascii="Times New Roman" w:hAnsi="Times New Roman" w:eastAsia="宋体" w:cs="Times New Roman"/>
                <w:color w:val="auto"/>
                <w:sz w:val="24"/>
                <w:szCs w:val="24"/>
              </w:rPr>
            </w:pPr>
          </w:p>
        </w:tc>
      </w:tr>
      <w:tr w14:paraId="2B11E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tcBorders>
              <w:tl2br w:val="nil"/>
              <w:tr2bl w:val="nil"/>
            </w:tcBorders>
            <w:noWrap w:val="0"/>
            <w:vAlign w:val="center"/>
          </w:tcPr>
          <w:p w14:paraId="707FE9E0">
            <w:pPr>
              <w:adjustRightInd w:val="0"/>
              <w:snapToGrid w:val="0"/>
              <w:jc w:val="center"/>
              <w:rPr>
                <w:rFonts w:hint="default" w:ascii="Times New Roman" w:hAnsi="Times New Roman" w:eastAsia="宋体" w:cs="Times New Roman"/>
                <w:b w:val="0"/>
                <w:bCs w:val="0"/>
                <w:color w:val="auto"/>
                <w:sz w:val="24"/>
                <w:szCs w:val="24"/>
              </w:rPr>
            </w:pPr>
          </w:p>
        </w:tc>
        <w:tc>
          <w:tcPr>
            <w:tcW w:w="1855" w:type="dxa"/>
            <w:vMerge w:val="continue"/>
            <w:tcBorders>
              <w:tl2br w:val="nil"/>
              <w:tr2bl w:val="nil"/>
            </w:tcBorders>
            <w:noWrap w:val="0"/>
            <w:vAlign w:val="center"/>
          </w:tcPr>
          <w:p w14:paraId="13F601CB">
            <w:pPr>
              <w:adjustRightInd w:val="0"/>
              <w:snapToGrid w:val="0"/>
              <w:jc w:val="center"/>
              <w:rPr>
                <w:rFonts w:hint="default" w:ascii="Times New Roman" w:hAnsi="Times New Roman" w:eastAsia="宋体" w:cs="Times New Roman"/>
                <w:color w:val="auto"/>
                <w:sz w:val="24"/>
                <w:szCs w:val="24"/>
                <w:lang w:val="en-US" w:eastAsia="zh-CN"/>
              </w:rPr>
            </w:pPr>
          </w:p>
        </w:tc>
        <w:tc>
          <w:tcPr>
            <w:tcW w:w="1755" w:type="dxa"/>
            <w:tcBorders>
              <w:tl2br w:val="nil"/>
              <w:tr2bl w:val="nil"/>
            </w:tcBorders>
            <w:noWrap w:val="0"/>
            <w:vAlign w:val="center"/>
          </w:tcPr>
          <w:p w14:paraId="050EDC9D">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BOD</w:t>
            </w:r>
            <w:r>
              <w:rPr>
                <w:rFonts w:hint="default" w:ascii="Times New Roman" w:hAnsi="Times New Roman" w:eastAsia="宋体" w:cs="Times New Roman"/>
                <w:color w:val="auto"/>
                <w:sz w:val="24"/>
                <w:szCs w:val="24"/>
                <w:vertAlign w:val="subscript"/>
                <w:lang w:val="en-US" w:eastAsia="zh-CN"/>
              </w:rPr>
              <w:t>5</w:t>
            </w:r>
          </w:p>
        </w:tc>
        <w:tc>
          <w:tcPr>
            <w:tcW w:w="1755" w:type="dxa"/>
            <w:vMerge w:val="continue"/>
            <w:tcBorders>
              <w:tl2br w:val="nil"/>
              <w:tr2bl w:val="nil"/>
            </w:tcBorders>
            <w:noWrap w:val="0"/>
            <w:vAlign w:val="center"/>
          </w:tcPr>
          <w:p w14:paraId="75936491">
            <w:pPr>
              <w:adjustRightInd w:val="0"/>
              <w:snapToGrid w:val="0"/>
              <w:jc w:val="center"/>
              <w:rPr>
                <w:rFonts w:hint="default" w:ascii="Times New Roman" w:hAnsi="Times New Roman" w:eastAsia="宋体" w:cs="Times New Roman"/>
                <w:color w:val="auto"/>
                <w:sz w:val="24"/>
                <w:szCs w:val="24"/>
              </w:rPr>
            </w:pPr>
          </w:p>
        </w:tc>
        <w:tc>
          <w:tcPr>
            <w:tcW w:w="1757" w:type="dxa"/>
            <w:vMerge w:val="continue"/>
            <w:tcBorders>
              <w:tl2br w:val="nil"/>
              <w:tr2bl w:val="nil"/>
            </w:tcBorders>
            <w:noWrap w:val="0"/>
            <w:vAlign w:val="center"/>
          </w:tcPr>
          <w:p w14:paraId="38509DAE">
            <w:pPr>
              <w:adjustRightInd w:val="0"/>
              <w:snapToGrid w:val="0"/>
              <w:jc w:val="center"/>
              <w:rPr>
                <w:rFonts w:hint="default" w:ascii="Times New Roman" w:hAnsi="Times New Roman" w:eastAsia="宋体" w:cs="Times New Roman"/>
                <w:color w:val="auto"/>
                <w:sz w:val="24"/>
                <w:szCs w:val="24"/>
              </w:rPr>
            </w:pPr>
          </w:p>
        </w:tc>
      </w:tr>
      <w:tr w14:paraId="1CC3B4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8" w:type="dxa"/>
            <w:vMerge w:val="continue"/>
            <w:tcBorders>
              <w:tl2br w:val="nil"/>
              <w:tr2bl w:val="nil"/>
            </w:tcBorders>
            <w:noWrap w:val="0"/>
            <w:vAlign w:val="center"/>
          </w:tcPr>
          <w:p w14:paraId="4F3A4635">
            <w:pPr>
              <w:adjustRightInd w:val="0"/>
              <w:snapToGrid w:val="0"/>
              <w:jc w:val="center"/>
              <w:rPr>
                <w:rFonts w:hint="default" w:ascii="Times New Roman" w:hAnsi="Times New Roman" w:eastAsia="宋体" w:cs="Times New Roman"/>
                <w:b w:val="0"/>
                <w:bCs w:val="0"/>
                <w:color w:val="auto"/>
                <w:sz w:val="24"/>
                <w:szCs w:val="24"/>
              </w:rPr>
            </w:pPr>
          </w:p>
        </w:tc>
        <w:tc>
          <w:tcPr>
            <w:tcW w:w="1855" w:type="dxa"/>
            <w:vMerge w:val="continue"/>
            <w:tcBorders>
              <w:tl2br w:val="nil"/>
              <w:tr2bl w:val="nil"/>
            </w:tcBorders>
            <w:noWrap w:val="0"/>
            <w:vAlign w:val="center"/>
          </w:tcPr>
          <w:p w14:paraId="66BB7AFA">
            <w:pPr>
              <w:adjustRightInd w:val="0"/>
              <w:snapToGrid w:val="0"/>
              <w:jc w:val="center"/>
              <w:rPr>
                <w:rFonts w:hint="default" w:ascii="Times New Roman" w:hAnsi="Times New Roman" w:eastAsia="宋体" w:cs="Times New Roman"/>
                <w:color w:val="auto"/>
                <w:sz w:val="24"/>
                <w:szCs w:val="24"/>
                <w:lang w:val="en-US" w:eastAsia="zh-CN"/>
              </w:rPr>
            </w:pPr>
          </w:p>
        </w:tc>
        <w:tc>
          <w:tcPr>
            <w:tcW w:w="1755" w:type="dxa"/>
            <w:tcBorders>
              <w:tl2br w:val="nil"/>
              <w:tr2bl w:val="nil"/>
            </w:tcBorders>
            <w:noWrap w:val="0"/>
            <w:vAlign w:val="center"/>
          </w:tcPr>
          <w:p w14:paraId="2D370E59">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cs="Times New Roman"/>
                <w:color w:val="auto"/>
                <w:sz w:val="24"/>
                <w:szCs w:val="24"/>
              </w:rPr>
              <w:t>NH</w:t>
            </w:r>
            <w:r>
              <w:rPr>
                <w:rFonts w:cs="Times New Roman"/>
                <w:color w:val="auto"/>
                <w:sz w:val="24"/>
                <w:szCs w:val="24"/>
                <w:vertAlign w:val="subscript"/>
              </w:rPr>
              <w:t>3</w:t>
            </w:r>
            <w:r>
              <w:rPr>
                <w:rFonts w:cs="Times New Roman"/>
                <w:color w:val="auto"/>
                <w:sz w:val="24"/>
                <w:szCs w:val="24"/>
              </w:rPr>
              <w:t>-N</w:t>
            </w:r>
          </w:p>
        </w:tc>
        <w:tc>
          <w:tcPr>
            <w:tcW w:w="1755" w:type="dxa"/>
            <w:vMerge w:val="continue"/>
            <w:tcBorders>
              <w:tl2br w:val="nil"/>
              <w:tr2bl w:val="nil"/>
            </w:tcBorders>
            <w:noWrap w:val="0"/>
            <w:vAlign w:val="center"/>
          </w:tcPr>
          <w:p w14:paraId="2B1BDE02">
            <w:pPr>
              <w:adjustRightInd w:val="0"/>
              <w:snapToGrid w:val="0"/>
              <w:jc w:val="center"/>
              <w:rPr>
                <w:rFonts w:hint="default" w:ascii="Times New Roman" w:hAnsi="Times New Roman" w:eastAsia="宋体" w:cs="Times New Roman"/>
                <w:color w:val="auto"/>
                <w:sz w:val="24"/>
                <w:szCs w:val="24"/>
              </w:rPr>
            </w:pPr>
          </w:p>
        </w:tc>
        <w:tc>
          <w:tcPr>
            <w:tcW w:w="1757" w:type="dxa"/>
            <w:vMerge w:val="continue"/>
            <w:tcBorders>
              <w:tl2br w:val="nil"/>
              <w:tr2bl w:val="nil"/>
            </w:tcBorders>
            <w:noWrap w:val="0"/>
            <w:vAlign w:val="center"/>
          </w:tcPr>
          <w:p w14:paraId="31EA4067">
            <w:pPr>
              <w:adjustRightInd w:val="0"/>
              <w:snapToGrid w:val="0"/>
              <w:jc w:val="center"/>
              <w:rPr>
                <w:rFonts w:hint="default" w:ascii="Times New Roman" w:hAnsi="Times New Roman" w:eastAsia="宋体" w:cs="Times New Roman"/>
                <w:color w:val="auto"/>
                <w:sz w:val="24"/>
                <w:szCs w:val="24"/>
              </w:rPr>
            </w:pPr>
          </w:p>
        </w:tc>
      </w:tr>
      <w:tr w14:paraId="1BBC9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678" w:type="dxa"/>
            <w:tcBorders>
              <w:tl2br w:val="nil"/>
              <w:tr2bl w:val="nil"/>
            </w:tcBorders>
            <w:noWrap w:val="0"/>
            <w:vAlign w:val="center"/>
          </w:tcPr>
          <w:p w14:paraId="5D373AB3">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声环境</w:t>
            </w:r>
          </w:p>
        </w:tc>
        <w:tc>
          <w:tcPr>
            <w:tcW w:w="1855" w:type="dxa"/>
            <w:tcBorders>
              <w:tl2br w:val="nil"/>
              <w:tr2bl w:val="nil"/>
            </w:tcBorders>
            <w:noWrap w:val="0"/>
            <w:vAlign w:val="center"/>
          </w:tcPr>
          <w:p w14:paraId="006D13A9">
            <w:pPr>
              <w:adjustRightInd w:val="0"/>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厂界</w:t>
            </w:r>
          </w:p>
        </w:tc>
        <w:tc>
          <w:tcPr>
            <w:tcW w:w="1755" w:type="dxa"/>
            <w:tcBorders>
              <w:tl2br w:val="nil"/>
              <w:tr2bl w:val="nil"/>
            </w:tcBorders>
            <w:noWrap w:val="0"/>
            <w:vAlign w:val="center"/>
          </w:tcPr>
          <w:p w14:paraId="05C969EE">
            <w:pPr>
              <w:adjustRightInd w:val="0"/>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噪声</w:t>
            </w:r>
          </w:p>
        </w:tc>
        <w:tc>
          <w:tcPr>
            <w:tcW w:w="1755" w:type="dxa"/>
            <w:tcBorders>
              <w:tl2br w:val="nil"/>
              <w:tr2bl w:val="nil"/>
            </w:tcBorders>
            <w:noWrap w:val="0"/>
            <w:vAlign w:val="center"/>
          </w:tcPr>
          <w:p w14:paraId="0DB0913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合理布局；对高噪声设备采取隔振减振措施；车间隔声；合理安排生产时间</w:t>
            </w:r>
          </w:p>
        </w:tc>
        <w:tc>
          <w:tcPr>
            <w:tcW w:w="1757" w:type="dxa"/>
            <w:tcBorders>
              <w:tl2br w:val="nil"/>
              <w:tr2bl w:val="nil"/>
            </w:tcBorders>
            <w:noWrap w:val="0"/>
            <w:vAlign w:val="center"/>
          </w:tcPr>
          <w:p w14:paraId="3CEEEBE3">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《工业企业厂界环境噪声排放标准》（GB12348-2008）中的</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kern w:val="0"/>
                <w:sz w:val="24"/>
                <w:szCs w:val="24"/>
                <w:lang w:val="en-US" w:eastAsia="zh-CN"/>
              </w:rPr>
              <w:t>类</w:t>
            </w:r>
            <w:r>
              <w:rPr>
                <w:rFonts w:hint="default" w:ascii="Times New Roman" w:hAnsi="Times New Roman" w:eastAsia="宋体" w:cs="Times New Roman"/>
                <w:color w:val="auto"/>
                <w:sz w:val="24"/>
                <w:szCs w:val="24"/>
              </w:rPr>
              <w:t>标准</w:t>
            </w:r>
          </w:p>
        </w:tc>
      </w:tr>
      <w:tr w14:paraId="0ED32D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78" w:type="dxa"/>
            <w:tcBorders>
              <w:tl2br w:val="nil"/>
              <w:tr2bl w:val="nil"/>
            </w:tcBorders>
            <w:noWrap w:val="0"/>
            <w:vAlign w:val="center"/>
          </w:tcPr>
          <w:p w14:paraId="594EB7B4">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电磁辐射</w:t>
            </w:r>
          </w:p>
        </w:tc>
        <w:tc>
          <w:tcPr>
            <w:tcW w:w="7122" w:type="dxa"/>
            <w:gridSpan w:val="4"/>
            <w:tcBorders>
              <w:tl2br w:val="nil"/>
              <w:tr2bl w:val="nil"/>
            </w:tcBorders>
            <w:noWrap w:val="0"/>
            <w:vAlign w:val="center"/>
          </w:tcPr>
          <w:p w14:paraId="0E406937">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无</w:t>
            </w:r>
          </w:p>
        </w:tc>
      </w:tr>
      <w:tr w14:paraId="42D33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678" w:type="dxa"/>
            <w:tcBorders>
              <w:tl2br w:val="nil"/>
              <w:tr2bl w:val="nil"/>
            </w:tcBorders>
            <w:noWrap w:val="0"/>
            <w:vAlign w:val="center"/>
          </w:tcPr>
          <w:p w14:paraId="5B3E9770">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固体废物</w:t>
            </w:r>
          </w:p>
        </w:tc>
        <w:tc>
          <w:tcPr>
            <w:tcW w:w="7122" w:type="dxa"/>
            <w:gridSpan w:val="4"/>
            <w:tcBorders>
              <w:tl2br w:val="nil"/>
              <w:tr2bl w:val="nil"/>
            </w:tcBorders>
            <w:noWrap w:val="0"/>
            <w:vAlign w:val="center"/>
          </w:tcPr>
          <w:p w14:paraId="6A3028E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default" w:ascii="Times New Roman" w:hAnsi="Times New Roman" w:eastAsia="宋体" w:cs="Times New Roman"/>
                <w:color w:val="auto"/>
                <w:sz w:val="24"/>
                <w:szCs w:val="24"/>
              </w:rPr>
            </w:pPr>
            <w:r>
              <w:rPr>
                <w:snapToGrid/>
                <w:color w:val="auto"/>
                <w:spacing w:val="0"/>
                <w:kern w:val="0"/>
                <w:position w:val="0"/>
                <w:sz w:val="24"/>
                <w:szCs w:val="24"/>
              </w:rPr>
              <w:t>本项目产生的</w:t>
            </w:r>
            <w:r>
              <w:rPr>
                <w:rFonts w:hint="eastAsia" w:ascii="Times New Roman" w:hAnsi="Times New Roman" w:eastAsia="宋体" w:cs="Times New Roman"/>
                <w:snapToGrid/>
                <w:color w:val="auto"/>
                <w:spacing w:val="0"/>
                <w:kern w:val="0"/>
                <w:position w:val="0"/>
                <w:sz w:val="24"/>
                <w:szCs w:val="24"/>
                <w:lang w:eastAsia="zh-CN"/>
              </w:rPr>
              <w:t>一般工业固体废物</w:t>
            </w:r>
            <w:r>
              <w:rPr>
                <w:rFonts w:hint="default"/>
                <w:snapToGrid/>
                <w:color w:val="auto"/>
                <w:spacing w:val="0"/>
                <w:kern w:val="0"/>
                <w:position w:val="0"/>
                <w:sz w:val="24"/>
                <w:szCs w:val="24"/>
                <w:lang w:val="en-US" w:eastAsia="zh-CN"/>
              </w:rPr>
              <w:t>废</w:t>
            </w:r>
            <w:r>
              <w:rPr>
                <w:rFonts w:hint="eastAsia"/>
                <w:snapToGrid/>
                <w:color w:val="auto"/>
                <w:spacing w:val="0"/>
                <w:kern w:val="0"/>
                <w:position w:val="0"/>
                <w:sz w:val="24"/>
                <w:szCs w:val="24"/>
                <w:lang w:val="en-US" w:eastAsia="zh-CN"/>
              </w:rPr>
              <w:t>边角料、不合格品及废包装材料</w:t>
            </w:r>
            <w:r>
              <w:rPr>
                <w:rFonts w:hint="eastAsia"/>
                <w:snapToGrid/>
                <w:color w:val="auto"/>
                <w:spacing w:val="0"/>
                <w:kern w:val="0"/>
                <w:position w:val="0"/>
                <w:sz w:val="24"/>
                <w:szCs w:val="24"/>
              </w:rPr>
              <w:t>经</w:t>
            </w:r>
            <w:r>
              <w:rPr>
                <w:rFonts w:hint="eastAsia" w:ascii="Times New Roman" w:hAnsi="Times New Roman" w:eastAsia="宋体" w:cs="Times New Roman"/>
                <w:snapToGrid/>
                <w:color w:val="auto"/>
                <w:spacing w:val="0"/>
                <w:kern w:val="0"/>
                <w:position w:val="0"/>
                <w:sz w:val="24"/>
                <w:szCs w:val="24"/>
                <w:lang w:val="en-US" w:eastAsia="zh-CN"/>
              </w:rPr>
              <w:t>厂</w:t>
            </w:r>
            <w:r>
              <w:rPr>
                <w:rFonts w:hint="default" w:ascii="Times New Roman" w:hAnsi="Times New Roman" w:eastAsia="宋体" w:cs="Times New Roman"/>
                <w:snapToGrid/>
                <w:color w:val="auto"/>
                <w:spacing w:val="0"/>
                <w:kern w:val="0"/>
                <w:position w:val="0"/>
                <w:sz w:val="24"/>
                <w:szCs w:val="24"/>
                <w:lang w:val="en-US" w:eastAsia="zh-CN"/>
              </w:rPr>
              <w:t>内集中收集后由资源利用单位回收利用</w:t>
            </w:r>
            <w:r>
              <w:rPr>
                <w:rFonts w:hint="eastAsia"/>
                <w:snapToGrid/>
                <w:color w:val="auto"/>
                <w:spacing w:val="0"/>
                <w:kern w:val="0"/>
                <w:position w:val="0"/>
                <w:sz w:val="24"/>
                <w:lang w:val="en-US" w:eastAsia="zh-CN"/>
              </w:rPr>
              <w:t>；废油桶、</w:t>
            </w:r>
            <w:r>
              <w:rPr>
                <w:rFonts w:hint="eastAsia" w:cs="Times New Roman"/>
                <w:snapToGrid/>
                <w:color w:val="auto"/>
                <w:spacing w:val="0"/>
                <w:kern w:val="0"/>
                <w:position w:val="0"/>
                <w:sz w:val="24"/>
                <w:szCs w:val="24"/>
                <w:lang w:val="en-US" w:eastAsia="zh-CN"/>
              </w:rPr>
              <w:t>废抗磨液压油</w:t>
            </w:r>
            <w:r>
              <w:rPr>
                <w:rFonts w:hint="eastAsia" w:cs="Times New Roman"/>
                <w:b w:val="0"/>
                <w:bCs w:val="0"/>
                <w:color w:val="auto"/>
                <w:sz w:val="24"/>
                <w:szCs w:val="24"/>
                <w:lang w:val="en-US" w:eastAsia="zh-CN"/>
              </w:rPr>
              <w:t>、废切削液</w:t>
            </w:r>
            <w:r>
              <w:rPr>
                <w:rFonts w:hint="eastAsia" w:ascii="Times New Roman" w:hAnsi="Times New Roman" w:cs="Times New Roman"/>
                <w:snapToGrid/>
                <w:color w:val="auto"/>
                <w:spacing w:val="0"/>
                <w:kern w:val="0"/>
                <w:position w:val="0"/>
                <w:sz w:val="24"/>
                <w:lang w:val="en-US" w:eastAsia="zh-CN"/>
              </w:rPr>
              <w:t>经</w:t>
            </w:r>
            <w:r>
              <w:rPr>
                <w:rFonts w:hint="default" w:ascii="Times New Roman" w:hAnsi="Times New Roman" w:cs="Times New Roman"/>
                <w:b w:val="0"/>
                <w:bCs w:val="0"/>
                <w:snapToGrid/>
                <w:color w:val="auto"/>
                <w:spacing w:val="0"/>
                <w:kern w:val="0"/>
                <w:position w:val="0"/>
                <w:sz w:val="24"/>
                <w:lang w:val="en-US" w:eastAsia="zh-CN"/>
              </w:rPr>
              <w:t>于厂内危废暂存间暂存后委托有资质单位妥善处置</w:t>
            </w:r>
            <w:r>
              <w:rPr>
                <w:rFonts w:hint="eastAsia" w:cs="Times New Roman"/>
                <w:b w:val="0"/>
                <w:bCs w:val="0"/>
                <w:snapToGrid/>
                <w:color w:val="auto"/>
                <w:spacing w:val="0"/>
                <w:kern w:val="0"/>
                <w:position w:val="0"/>
                <w:sz w:val="24"/>
                <w:lang w:val="en-US" w:eastAsia="zh-CN"/>
              </w:rPr>
              <w:t>；</w:t>
            </w:r>
            <w:r>
              <w:rPr>
                <w:rFonts w:hint="eastAsia"/>
                <w:snapToGrid/>
                <w:color w:val="auto"/>
                <w:spacing w:val="0"/>
                <w:kern w:val="0"/>
                <w:position w:val="0"/>
                <w:sz w:val="24"/>
                <w:szCs w:val="24"/>
              </w:rPr>
              <w:t>生活垃圾委托环卫部门统一处理</w:t>
            </w:r>
            <w:r>
              <w:rPr>
                <w:snapToGrid/>
                <w:color w:val="auto"/>
                <w:spacing w:val="0"/>
                <w:kern w:val="0"/>
                <w:position w:val="0"/>
                <w:sz w:val="24"/>
                <w:szCs w:val="24"/>
              </w:rPr>
              <w:t>。</w:t>
            </w:r>
          </w:p>
        </w:tc>
      </w:tr>
      <w:tr w14:paraId="03A50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678" w:type="dxa"/>
            <w:tcBorders>
              <w:tl2br w:val="nil"/>
              <w:tr2bl w:val="nil"/>
            </w:tcBorders>
            <w:noWrap w:val="0"/>
            <w:vAlign w:val="center"/>
          </w:tcPr>
          <w:p w14:paraId="4CBACAC5">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土壤及地下水</w:t>
            </w:r>
          </w:p>
          <w:p w14:paraId="3E0F57DB">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污染防治措施</w:t>
            </w:r>
          </w:p>
        </w:tc>
        <w:tc>
          <w:tcPr>
            <w:tcW w:w="7122" w:type="dxa"/>
            <w:gridSpan w:val="4"/>
            <w:tcBorders>
              <w:tl2br w:val="nil"/>
              <w:tr2bl w:val="nil"/>
            </w:tcBorders>
            <w:noWrap w:val="0"/>
            <w:vAlign w:val="center"/>
          </w:tcPr>
          <w:p w14:paraId="3DB48C60">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center"/>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highlight w:val="none"/>
                <w:lang w:val="en-US" w:eastAsia="zh-CN"/>
              </w:rPr>
              <w:t>厂区内危废间需要做重点防渗，其他区域做一般防渗；项目厂房进行地面硬化，采用</w:t>
            </w:r>
            <w:r>
              <w:rPr>
                <w:rFonts w:hint="default" w:ascii="Times New Roman" w:hAnsi="Times New Roman" w:cs="Times New Roman"/>
                <w:color w:val="auto"/>
                <w:sz w:val="24"/>
                <w:szCs w:val="24"/>
                <w:highlight w:val="none"/>
              </w:rPr>
              <w:t>抗渗混凝土</w:t>
            </w:r>
            <w:r>
              <w:rPr>
                <w:rFonts w:hint="eastAsia" w:ascii="Times New Roman" w:hAnsi="Times New Roman" w:cs="Times New Roman"/>
                <w:color w:val="auto"/>
                <w:sz w:val="24"/>
                <w:szCs w:val="24"/>
                <w:highlight w:val="none"/>
                <w:lang w:val="en-US" w:eastAsia="zh-CN"/>
              </w:rPr>
              <w:t>防渗</w:t>
            </w:r>
            <w:r>
              <w:rPr>
                <w:rFonts w:hint="eastAsia" w:cs="Times New Roman"/>
                <w:color w:val="auto"/>
                <w:sz w:val="24"/>
                <w:szCs w:val="24"/>
                <w:highlight w:val="none"/>
                <w:lang w:val="en-US" w:eastAsia="zh-CN"/>
              </w:rPr>
              <w:t>，</w:t>
            </w:r>
            <w:r>
              <w:rPr>
                <w:rFonts w:hint="eastAsia" w:ascii="Times New Roman" w:hAnsi="Times New Roman" w:eastAsia="宋体" w:cs="Times New Roman"/>
                <w:b w:val="0"/>
                <w:bCs w:val="0"/>
                <w:snapToGrid/>
                <w:color w:val="auto"/>
                <w:spacing w:val="0"/>
                <w:kern w:val="0"/>
                <w:position w:val="0"/>
                <w:sz w:val="24"/>
                <w:szCs w:val="24"/>
                <w:highlight w:val="none"/>
                <w:lang w:val="en-US" w:eastAsia="zh-CN"/>
              </w:rPr>
              <w:t>防渗层渗透系数已达到1.0×10</w:t>
            </w:r>
            <w:r>
              <w:rPr>
                <w:rFonts w:hint="eastAsia" w:ascii="Times New Roman" w:hAnsi="Times New Roman" w:eastAsia="宋体" w:cs="Times New Roman"/>
                <w:b w:val="0"/>
                <w:bCs w:val="0"/>
                <w:snapToGrid/>
                <w:color w:val="auto"/>
                <w:spacing w:val="0"/>
                <w:kern w:val="0"/>
                <w:position w:val="0"/>
                <w:sz w:val="24"/>
                <w:szCs w:val="24"/>
                <w:highlight w:val="none"/>
                <w:vertAlign w:val="superscript"/>
                <w:lang w:val="en-US" w:eastAsia="zh-CN"/>
              </w:rPr>
              <w:t>-7</w:t>
            </w:r>
            <w:r>
              <w:rPr>
                <w:rFonts w:hint="eastAsia" w:ascii="Times New Roman" w:hAnsi="Times New Roman" w:eastAsia="宋体" w:cs="Times New Roman"/>
                <w:b w:val="0"/>
                <w:bCs w:val="0"/>
                <w:snapToGrid/>
                <w:color w:val="auto"/>
                <w:spacing w:val="0"/>
                <w:kern w:val="0"/>
                <w:position w:val="0"/>
                <w:sz w:val="24"/>
                <w:szCs w:val="24"/>
                <w:highlight w:val="none"/>
                <w:lang w:val="en-US" w:eastAsia="zh-CN"/>
              </w:rPr>
              <w:t>cm/s</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重点防渗区域采用环氧树脂漆（1.5mm）进行重点防渗，渗透系数≤1×10</w:t>
            </w:r>
            <w:r>
              <w:rPr>
                <w:rFonts w:hint="default" w:ascii="Times New Roman" w:hAnsi="Times New Roman" w:cs="Times New Roman"/>
                <w:color w:val="auto"/>
                <w:sz w:val="24"/>
                <w:szCs w:val="24"/>
                <w:highlight w:val="none"/>
                <w:vertAlign w:val="superscript"/>
              </w:rPr>
              <w:t>-</w:t>
            </w:r>
            <w:r>
              <w:rPr>
                <w:rFonts w:hint="eastAsia" w:cs="Times New Roman"/>
                <w:color w:val="auto"/>
                <w:sz w:val="24"/>
                <w:szCs w:val="24"/>
                <w:highlight w:val="none"/>
                <w:vertAlign w:val="superscript"/>
                <w:lang w:val="en-US" w:eastAsia="zh-CN"/>
              </w:rPr>
              <w:t>10</w:t>
            </w:r>
            <w:r>
              <w:rPr>
                <w:rFonts w:hint="default" w:ascii="Times New Roman" w:hAnsi="Times New Roman" w:cs="Times New Roman"/>
                <w:color w:val="auto"/>
                <w:sz w:val="24"/>
                <w:szCs w:val="24"/>
                <w:highlight w:val="none"/>
              </w:rPr>
              <w:t>cm/s</w:t>
            </w:r>
            <w:r>
              <w:rPr>
                <w:rFonts w:hint="eastAsia" w:cs="Times New Roman"/>
                <w:color w:val="auto"/>
                <w:sz w:val="24"/>
                <w:szCs w:val="24"/>
                <w:highlight w:val="none"/>
                <w:lang w:eastAsia="zh-CN"/>
              </w:rPr>
              <w:t>。</w:t>
            </w:r>
          </w:p>
        </w:tc>
      </w:tr>
      <w:tr w14:paraId="7018F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678" w:type="dxa"/>
            <w:tcBorders>
              <w:tl2br w:val="nil"/>
              <w:tr2bl w:val="nil"/>
            </w:tcBorders>
            <w:noWrap w:val="0"/>
            <w:vAlign w:val="center"/>
          </w:tcPr>
          <w:p w14:paraId="111E3172">
            <w:pPr>
              <w:adjustRightInd w:val="0"/>
              <w:snapToGrid w:val="0"/>
              <w:jc w:val="center"/>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生态保护措施</w:t>
            </w:r>
          </w:p>
        </w:tc>
        <w:tc>
          <w:tcPr>
            <w:tcW w:w="7122" w:type="dxa"/>
            <w:gridSpan w:val="4"/>
            <w:tcBorders>
              <w:tl2br w:val="nil"/>
              <w:tr2bl w:val="nil"/>
            </w:tcBorders>
            <w:noWrap w:val="0"/>
            <w:vAlign w:val="center"/>
          </w:tcPr>
          <w:p w14:paraId="18FC36F1">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项目区域附近无自然保护区，人文景观和名胜古迹等环境敏感点，周围没有需要特殊保护的生态环境。项目建设不会对周围生态环境造成影响。</w:t>
            </w:r>
          </w:p>
        </w:tc>
      </w:tr>
      <w:tr w14:paraId="7C3A2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78" w:type="dxa"/>
            <w:tcBorders>
              <w:tl2br w:val="nil"/>
              <w:tr2bl w:val="nil"/>
            </w:tcBorders>
            <w:noWrap w:val="0"/>
            <w:vAlign w:val="center"/>
          </w:tcPr>
          <w:p w14:paraId="3152A11A">
            <w:pPr>
              <w:adjustRightInd w:val="0"/>
              <w:snapToGrid w:val="0"/>
              <w:jc w:val="center"/>
              <w:rPr>
                <w:rFonts w:hint="default" w:ascii="Times New Roman" w:hAnsi="Times New Roman" w:eastAsia="宋体" w:cs="Times New Roman"/>
                <w:b w:val="0"/>
                <w:bCs w:val="0"/>
                <w:color w:val="auto"/>
                <w:spacing w:val="-8"/>
                <w:sz w:val="24"/>
                <w:szCs w:val="24"/>
              </w:rPr>
            </w:pPr>
            <w:r>
              <w:rPr>
                <w:rFonts w:hint="default" w:ascii="Times New Roman" w:hAnsi="Times New Roman" w:eastAsia="宋体" w:cs="Times New Roman"/>
                <w:b w:val="0"/>
                <w:bCs w:val="0"/>
                <w:color w:val="auto"/>
                <w:spacing w:val="-8"/>
                <w:sz w:val="24"/>
                <w:szCs w:val="24"/>
              </w:rPr>
              <w:t>环境风险</w:t>
            </w:r>
          </w:p>
          <w:p w14:paraId="590A03E1">
            <w:pPr>
              <w:adjustRightInd w:val="0"/>
              <w:snapToGrid w:val="0"/>
              <w:jc w:val="center"/>
              <w:rPr>
                <w:rFonts w:hint="default" w:ascii="Times New Roman" w:hAnsi="Times New Roman" w:eastAsia="宋体" w:cs="Times New Roman"/>
                <w:b w:val="0"/>
                <w:bCs w:val="0"/>
                <w:color w:val="auto"/>
                <w:spacing w:val="-8"/>
                <w:sz w:val="24"/>
                <w:szCs w:val="24"/>
              </w:rPr>
            </w:pPr>
            <w:r>
              <w:rPr>
                <w:rFonts w:hint="default" w:ascii="Times New Roman" w:hAnsi="Times New Roman" w:eastAsia="宋体" w:cs="Times New Roman"/>
                <w:b w:val="0"/>
                <w:bCs w:val="0"/>
                <w:color w:val="auto"/>
                <w:spacing w:val="-8"/>
                <w:sz w:val="24"/>
                <w:szCs w:val="24"/>
              </w:rPr>
              <w:t>防范措施</w:t>
            </w:r>
          </w:p>
        </w:tc>
        <w:tc>
          <w:tcPr>
            <w:tcW w:w="7122" w:type="dxa"/>
            <w:gridSpan w:val="4"/>
            <w:tcBorders>
              <w:tl2br w:val="nil"/>
              <w:tr2bl w:val="nil"/>
            </w:tcBorders>
            <w:noWrap w:val="0"/>
            <w:vAlign w:val="center"/>
          </w:tcPr>
          <w:p w14:paraId="297212D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为保证公司员工和周围居民的生命财产安全，防止重、特大事故的发生，并能在事故发生后迅速有效的控制处理，防止事故扩大，根据公司实际情况，本</w:t>
            </w:r>
            <w:r>
              <w:rPr>
                <w:rFonts w:hint="eastAsia" w:ascii="宋体" w:hAnsi="宋体" w:eastAsia="宋体" w:cs="宋体"/>
                <w:color w:val="auto"/>
                <w:sz w:val="24"/>
                <w:szCs w:val="24"/>
              </w:rPr>
              <w:t>着“安全第一，预防为主；统一指挥，分工负责”</w:t>
            </w:r>
            <w:r>
              <w:rPr>
                <w:rFonts w:hint="default" w:ascii="Times New Roman" w:hAnsi="Times New Roman" w:eastAsia="宋体" w:cs="Times New Roman"/>
                <w:color w:val="auto"/>
                <w:sz w:val="24"/>
                <w:szCs w:val="24"/>
              </w:rPr>
              <w:t>的原则，制定严格的事故应急预案并经常演练使之启动运转及时，是减轻风险事故环境影响的有效措施。</w:t>
            </w:r>
          </w:p>
        </w:tc>
      </w:tr>
      <w:tr w14:paraId="6FBDF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678" w:type="dxa"/>
            <w:tcBorders>
              <w:tl2br w:val="nil"/>
              <w:tr2bl w:val="nil"/>
            </w:tcBorders>
            <w:noWrap w:val="0"/>
            <w:vAlign w:val="center"/>
          </w:tcPr>
          <w:p w14:paraId="31A31F30">
            <w:pPr>
              <w:adjustRightInd w:val="0"/>
              <w:snapToGrid w:val="0"/>
              <w:jc w:val="center"/>
              <w:rPr>
                <w:rFonts w:hint="default" w:ascii="Times New Roman" w:hAnsi="Times New Roman" w:eastAsia="宋体" w:cs="Times New Roman"/>
                <w:b w:val="0"/>
                <w:bCs w:val="0"/>
                <w:color w:val="auto"/>
                <w:spacing w:val="-8"/>
                <w:sz w:val="24"/>
                <w:szCs w:val="24"/>
              </w:rPr>
            </w:pPr>
            <w:r>
              <w:rPr>
                <w:rFonts w:hint="default" w:ascii="Times New Roman" w:hAnsi="Times New Roman" w:eastAsia="宋体" w:cs="Times New Roman"/>
                <w:b w:val="0"/>
                <w:bCs w:val="0"/>
                <w:color w:val="auto"/>
                <w:spacing w:val="-8"/>
                <w:sz w:val="24"/>
                <w:szCs w:val="24"/>
              </w:rPr>
              <w:t>其他环境</w:t>
            </w:r>
          </w:p>
          <w:p w14:paraId="3D0DCB16">
            <w:pPr>
              <w:adjustRightInd w:val="0"/>
              <w:snapToGrid w:val="0"/>
              <w:jc w:val="center"/>
              <w:rPr>
                <w:rFonts w:hint="default" w:ascii="Times New Roman" w:hAnsi="Times New Roman" w:eastAsia="宋体" w:cs="Times New Roman"/>
                <w:b w:val="0"/>
                <w:bCs w:val="0"/>
                <w:color w:val="auto"/>
                <w:spacing w:val="-8"/>
                <w:sz w:val="24"/>
                <w:szCs w:val="24"/>
              </w:rPr>
            </w:pPr>
            <w:r>
              <w:rPr>
                <w:rFonts w:hint="default" w:ascii="Times New Roman" w:hAnsi="Times New Roman" w:eastAsia="宋体" w:cs="Times New Roman"/>
                <w:b w:val="0"/>
                <w:bCs w:val="0"/>
                <w:color w:val="auto"/>
                <w:spacing w:val="-8"/>
                <w:sz w:val="24"/>
                <w:szCs w:val="24"/>
              </w:rPr>
              <w:t>管理要求</w:t>
            </w:r>
          </w:p>
        </w:tc>
        <w:tc>
          <w:tcPr>
            <w:tcW w:w="7122" w:type="dxa"/>
            <w:gridSpan w:val="4"/>
            <w:tcBorders>
              <w:tl2br w:val="nil"/>
              <w:tr2bl w:val="nil"/>
            </w:tcBorders>
            <w:noWrap w:val="0"/>
            <w:vAlign w:val="center"/>
          </w:tcPr>
          <w:p w14:paraId="2DAD29D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1、排放口规范化及信息公开化</w:t>
            </w:r>
          </w:p>
          <w:p w14:paraId="1293FE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根据《关于开展排放口规范化整治工作的通知》（环发[1999]24号）、《排污口规范化整治技术要求》（环监[1996]470号）、《固定污染源废气监测点位设置技术规范》（DB37/T 3535-2019）等规定的要求，一切新建、改造、扩建的排污单位以及限期治理的排污单位必须在建设污染治理设施的同时，建设规范化排放口。因此，建设项目产生的各类污染物的排放口必须规范化，并且规范化工作的完成必须与污染治理设施同步。</w:t>
            </w:r>
          </w:p>
          <w:p w14:paraId="57C2FDD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cs="Times New Roman"/>
                <w:b/>
                <w:bCs/>
                <w:color w:val="auto"/>
                <w:sz w:val="24"/>
                <w:szCs w:val="24"/>
              </w:rPr>
              <w:t>2、</w:t>
            </w:r>
            <w:r>
              <w:rPr>
                <w:rFonts w:hint="eastAsia" w:ascii="Times New Roman" w:hAnsi="Times New Roman" w:cs="Times New Roman"/>
                <w:b/>
                <w:bCs/>
                <w:color w:val="auto"/>
                <w:sz w:val="24"/>
                <w:szCs w:val="24"/>
                <w:lang w:eastAsia="zh-CN"/>
              </w:rPr>
              <w:t>与</w:t>
            </w:r>
            <w:r>
              <w:rPr>
                <w:rFonts w:hint="default" w:ascii="Times New Roman" w:hAnsi="Times New Roman" w:cs="Times New Roman"/>
                <w:b/>
                <w:bCs/>
                <w:color w:val="auto"/>
                <w:sz w:val="24"/>
                <w:szCs w:val="24"/>
              </w:rPr>
              <w:t>排污许可</w:t>
            </w:r>
            <w:r>
              <w:rPr>
                <w:rFonts w:hint="default" w:ascii="Times New Roman" w:hAnsi="Times New Roman" w:cs="Times New Roman"/>
                <w:b/>
                <w:bCs/>
                <w:color w:val="auto"/>
                <w:sz w:val="24"/>
                <w:szCs w:val="24"/>
                <w:lang w:eastAsia="zh-CN"/>
              </w:rPr>
              <w:t>衔接</w:t>
            </w:r>
          </w:p>
          <w:p w14:paraId="61843F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根据《关于做好环境影响评价制度与排污许可制衔接相关工作的通知》（环办环评[2017]84号），项目应在获得环评审批文件后，按照国家环境保护相关法律法规以及排污许可证申请与核发技术规范要求</w:t>
            </w:r>
            <w:r>
              <w:rPr>
                <w:rFonts w:hint="eastAsia" w:cs="Times New Roman"/>
                <w:color w:val="auto"/>
                <w:kern w:val="0"/>
                <w:sz w:val="24"/>
                <w:szCs w:val="24"/>
                <w:lang w:val="en-US" w:eastAsia="zh-CN" w:bidi="ar"/>
              </w:rPr>
              <w:t>变更</w:t>
            </w:r>
            <w:r>
              <w:rPr>
                <w:rFonts w:hint="default" w:ascii="Times New Roman" w:hAnsi="Times New Roman" w:eastAsia="宋体" w:cs="Times New Roman"/>
                <w:color w:val="auto"/>
                <w:kern w:val="0"/>
                <w:sz w:val="24"/>
                <w:szCs w:val="24"/>
                <w:lang w:val="en-US" w:eastAsia="zh-CN" w:bidi="ar"/>
              </w:rPr>
              <w:t>排污许可证，</w:t>
            </w:r>
            <w:r>
              <w:rPr>
                <w:rFonts w:hint="default" w:ascii="Times New Roman" w:hAnsi="Times New Roman" w:eastAsia="宋体" w:cs="Times New Roman"/>
                <w:color w:val="auto"/>
                <w:sz w:val="24"/>
                <w:szCs w:val="24"/>
                <w:lang w:val="en-US" w:eastAsia="zh-CN"/>
              </w:rPr>
              <w:t>并在取得排污许可证后按照排污许可证申请与核发技术规范相关要求履行自行检测、台账管理、执行报告等手续。</w:t>
            </w:r>
          </w:p>
          <w:p w14:paraId="4AB0BFC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竣工环境保护设施验收</w:t>
            </w:r>
          </w:p>
          <w:p w14:paraId="3A9CA3F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根据《建设项目竣工环境保护验收暂行办法》的规定，建设项目竣工后，建设单位应当如实查验、监测、记载建设项目环境保护设施的建设和调试情况，编制验收监测报告。</w:t>
            </w:r>
          </w:p>
          <w:p w14:paraId="107C884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698014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1A95C03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476405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6C15D9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56439F3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1A8EF5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37AE5AF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42475B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7FD0DE2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4B7513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088EF07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2CF479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cs="Times New Roman"/>
                <w:color w:val="auto"/>
                <w:sz w:val="24"/>
                <w:szCs w:val="24"/>
                <w:lang w:val="en-US" w:eastAsia="zh-CN"/>
              </w:rPr>
            </w:pPr>
          </w:p>
          <w:p w14:paraId="1F6D57E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lang w:val="en-US" w:eastAsia="zh-CN"/>
              </w:rPr>
            </w:pPr>
          </w:p>
        </w:tc>
      </w:tr>
    </w:tbl>
    <w:p w14:paraId="600564C2">
      <w:pPr>
        <w:pStyle w:val="2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snapToGrid w:val="0"/>
          <w:color w:val="auto"/>
          <w:sz w:val="30"/>
          <w:szCs w:val="30"/>
        </w:rPr>
      </w:pPr>
      <w:r>
        <w:rPr>
          <w:rFonts w:hint="default" w:ascii="Times New Roman" w:hAnsi="Times New Roman" w:eastAsia="宋体" w:cs="Times New Roman"/>
          <w:snapToGrid w:val="0"/>
          <w:color w:val="auto"/>
        </w:rPr>
        <w:br w:type="page"/>
      </w:r>
      <w:r>
        <w:rPr>
          <w:rFonts w:hint="default" w:ascii="Times New Roman" w:hAnsi="Times New Roman" w:eastAsia="宋体" w:cs="Times New Roman"/>
          <w:b/>
          <w:bCs/>
          <w:snapToGrid w:val="0"/>
          <w:color w:val="auto"/>
          <w:sz w:val="30"/>
          <w:szCs w:val="30"/>
        </w:rPr>
        <w:t>六、结论</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97BA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91" w:hRule="atLeast"/>
          <w:jc w:val="center"/>
        </w:trPr>
        <w:tc>
          <w:tcPr>
            <w:tcW w:w="8865" w:type="dxa"/>
            <w:tcBorders>
              <w:tl2br w:val="nil"/>
              <w:tr2bl w:val="nil"/>
            </w:tcBorders>
            <w:noWrap w:val="0"/>
            <w:vAlign w:val="center"/>
          </w:tcPr>
          <w:p w14:paraId="05FBCC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lang w:val="en-US" w:eastAsia="zh-CN"/>
              </w:rPr>
            </w:pPr>
            <w:r>
              <w:rPr>
                <w:rFonts w:hint="eastAsia" w:cs="Times New Roman"/>
                <w:color w:val="auto"/>
                <w:sz w:val="24"/>
                <w:szCs w:val="24"/>
                <w:highlight w:val="none"/>
                <w:lang w:val="en-US" w:eastAsia="zh-CN"/>
              </w:rPr>
              <w:t>宿州优嘉</w:t>
            </w:r>
            <w:r>
              <w:rPr>
                <w:rFonts w:hint="default" w:ascii="Times New Roman" w:hAnsi="Times New Roman" w:eastAsia="宋体" w:cs="Times New Roman"/>
                <w:color w:val="auto"/>
                <w:sz w:val="24"/>
                <w:szCs w:val="24"/>
                <w:highlight w:val="none"/>
              </w:rPr>
              <w:t>轴承</w:t>
            </w:r>
            <w:r>
              <w:rPr>
                <w:rFonts w:hint="eastAsia" w:cs="Times New Roman"/>
                <w:color w:val="auto"/>
                <w:sz w:val="24"/>
                <w:szCs w:val="24"/>
                <w:highlight w:val="none"/>
                <w:lang w:val="en-US" w:eastAsia="zh-CN"/>
              </w:rPr>
              <w:t>科技</w:t>
            </w:r>
            <w:r>
              <w:rPr>
                <w:rFonts w:hint="default" w:ascii="Times New Roman" w:hAnsi="Times New Roman" w:eastAsia="宋体" w:cs="Times New Roman"/>
                <w:color w:val="auto"/>
                <w:sz w:val="24"/>
                <w:szCs w:val="24"/>
                <w:highlight w:val="none"/>
              </w:rPr>
              <w:t>有限公司</w:t>
            </w:r>
            <w:r>
              <w:rPr>
                <w:rFonts w:hint="eastAsia" w:cs="Times New Roman"/>
                <w:color w:val="auto"/>
                <w:sz w:val="24"/>
                <w:szCs w:val="24"/>
                <w:highlight w:val="none"/>
                <w:lang w:val="en-US" w:eastAsia="zh-CN"/>
              </w:rPr>
              <w:t xml:space="preserve"> </w:t>
            </w:r>
            <w:r>
              <w:rPr>
                <w:rFonts w:hint="eastAsia" w:eastAsia="宋体" w:cs="Times New Roman"/>
                <w:color w:val="auto"/>
                <w:sz w:val="24"/>
                <w:szCs w:val="24"/>
                <w:highlight w:val="none"/>
                <w:lang w:val="en-US" w:eastAsia="zh-CN"/>
              </w:rPr>
              <w:t>优嘉精密轴承生产项目</w:t>
            </w:r>
            <w:r>
              <w:rPr>
                <w:rFonts w:hint="default" w:ascii="Times New Roman" w:hAnsi="Times New Roman" w:eastAsia="宋体" w:cs="Times New Roman"/>
                <w:color w:val="auto"/>
                <w:sz w:val="24"/>
                <w:szCs w:val="24"/>
                <w:lang w:eastAsia="zh-CN"/>
              </w:rPr>
              <w:t>的建设符合</w:t>
            </w:r>
            <w:r>
              <w:rPr>
                <w:rFonts w:hint="eastAsia" w:cs="Times New Roman"/>
                <w:color w:val="auto"/>
                <w:sz w:val="24"/>
                <w:szCs w:val="24"/>
                <w:lang w:val="en-US" w:eastAsia="zh-CN"/>
              </w:rPr>
              <w:t>相关</w:t>
            </w:r>
            <w:r>
              <w:rPr>
                <w:rFonts w:hint="default" w:ascii="Times New Roman" w:hAnsi="Times New Roman" w:eastAsia="宋体" w:cs="Times New Roman"/>
                <w:color w:val="auto"/>
                <w:sz w:val="24"/>
                <w:szCs w:val="24"/>
                <w:lang w:eastAsia="zh-CN"/>
              </w:rPr>
              <w:t>要求</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只要工程在运行期严格执行有关环保法规规定，切实落实报告提出的各项污染防治措施</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在</w:t>
            </w:r>
            <w:r>
              <w:rPr>
                <w:rFonts w:hint="eastAsia" w:ascii="Times New Roman" w:hAnsi="Times New Roman" w:eastAsia="宋体"/>
                <w:color w:val="auto"/>
                <w:sz w:val="24"/>
                <w:szCs w:val="24"/>
                <w:lang w:eastAsia="zh-CN"/>
              </w:rPr>
              <w:t>确保污染物达标排放</w:t>
            </w:r>
            <w:r>
              <w:rPr>
                <w:color w:val="auto"/>
                <w:sz w:val="24"/>
              </w:rPr>
              <w:t>的前提下，本项目的建设对周围环境的不利影响较小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8"/>
              </w:rPr>
              <w:t>因而从环境保护的角度而言，该项目是可行的。</w:t>
            </w:r>
          </w:p>
        </w:tc>
      </w:tr>
    </w:tbl>
    <w:p w14:paraId="6F99F9E1">
      <w:pPr>
        <w:rPr>
          <w:rFonts w:hint="default" w:ascii="Times New Roman" w:hAnsi="Times New Roman" w:eastAsia="宋体" w:cs="Times New Roman"/>
          <w:color w:val="auto"/>
        </w:rPr>
        <w:sectPr>
          <w:pgSz w:w="11906" w:h="16838"/>
          <w:pgMar w:top="1440" w:right="1803" w:bottom="1440" w:left="1803" w:header="851" w:footer="851" w:gutter="0"/>
          <w:pgBorders>
            <w:top w:val="none" w:sz="0" w:space="0"/>
            <w:left w:val="none" w:sz="0" w:space="0"/>
            <w:bottom w:val="none" w:sz="0" w:space="0"/>
            <w:right w:val="none" w:sz="0" w:space="0"/>
          </w:pgBorders>
          <w:pgNumType w:fmt="decimal"/>
          <w:cols w:space="720" w:num="1"/>
          <w:docGrid w:linePitch="312" w:charSpace="0"/>
        </w:sectPr>
      </w:pPr>
    </w:p>
    <w:p w14:paraId="45DE58D9">
      <w:pPr>
        <w:pStyle w:val="21"/>
        <w:adjustRightInd w:val="0"/>
        <w:snapToGrid w:val="0"/>
        <w:spacing w:before="0" w:beforeAutospacing="0" w:after="0" w:afterAutospacing="0" w:line="360" w:lineRule="auto"/>
        <w:outlineLvl w:val="0"/>
        <w:rPr>
          <w:rFonts w:hint="default" w:ascii="Times New Roman" w:hAnsi="Times New Roman" w:eastAsia="宋体" w:cs="Times New Roman"/>
          <w:b/>
          <w:bCs/>
          <w:snapToGrid w:val="0"/>
          <w:color w:val="auto"/>
          <w:sz w:val="32"/>
          <w:szCs w:val="32"/>
        </w:rPr>
      </w:pPr>
      <w:r>
        <w:rPr>
          <w:rFonts w:hint="default" w:ascii="Times New Roman" w:hAnsi="Times New Roman" w:eastAsia="宋体" w:cs="Times New Roman"/>
          <w:b/>
          <w:bCs/>
          <w:snapToGrid w:val="0"/>
          <w:color w:val="auto"/>
          <w:sz w:val="32"/>
          <w:szCs w:val="32"/>
        </w:rPr>
        <w:t>附表</w:t>
      </w:r>
    </w:p>
    <w:p w14:paraId="7A4772CC">
      <w:pPr>
        <w:pStyle w:val="21"/>
        <w:adjustRightInd w:val="0"/>
        <w:snapToGrid w:val="0"/>
        <w:spacing w:before="0" w:beforeAutospacing="0" w:after="0" w:afterAutospacing="0" w:line="360" w:lineRule="auto"/>
        <w:jc w:val="center"/>
        <w:outlineLvl w:val="0"/>
        <w:rPr>
          <w:rFonts w:hint="default" w:ascii="Times New Roman" w:hAnsi="Times New Roman" w:eastAsia="宋体" w:cs="Times New Roman"/>
          <w:b/>
          <w:bCs/>
          <w:snapToGrid w:val="0"/>
          <w:color w:val="auto"/>
          <w:sz w:val="38"/>
          <w:szCs w:val="38"/>
        </w:rPr>
      </w:pPr>
      <w:r>
        <w:rPr>
          <w:rFonts w:hint="default" w:ascii="Times New Roman" w:hAnsi="Times New Roman" w:eastAsia="宋体" w:cs="Times New Roman"/>
          <w:b/>
          <w:bCs/>
          <w:snapToGrid w:val="0"/>
          <w:color w:val="auto"/>
          <w:sz w:val="38"/>
          <w:szCs w:val="38"/>
        </w:rPr>
        <w:t>建设项目污染物排放量汇总表</w:t>
      </w:r>
    </w:p>
    <w:tbl>
      <w:tblPr>
        <w:tblStyle w:val="23"/>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1431"/>
        <w:gridCol w:w="1543"/>
        <w:gridCol w:w="1543"/>
        <w:gridCol w:w="1543"/>
        <w:gridCol w:w="1543"/>
        <w:gridCol w:w="1544"/>
        <w:gridCol w:w="1547"/>
        <w:gridCol w:w="1578"/>
      </w:tblGrid>
      <w:tr w14:paraId="27E73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19" w:type="pct"/>
            <w:tcBorders>
              <w:tl2br w:val="single" w:color="auto" w:sz="4" w:space="0"/>
            </w:tcBorders>
            <w:noWrap w:val="0"/>
            <w:tcMar>
              <w:left w:w="28" w:type="dxa"/>
              <w:right w:w="28" w:type="dxa"/>
            </w:tcMar>
            <w:vAlign w:val="center"/>
          </w:tcPr>
          <w:p w14:paraId="727EB24B">
            <w:pPr>
              <w:pStyle w:val="44"/>
              <w:spacing w:beforeLines="0" w:afterLines="0" w:line="240" w:lineRule="auto"/>
              <w:jc w:val="right"/>
              <w:rPr>
                <w:rFonts w:hint="default" w:ascii="Times New Roman" w:hAnsi="Times New Roman" w:eastAsia="宋体" w:cs="Times New Roman"/>
                <w:snapToGrid w:val="0"/>
                <w:color w:val="auto"/>
                <w:spacing w:val="-6"/>
                <w:kern w:val="21"/>
                <w:sz w:val="24"/>
                <w:szCs w:val="24"/>
              </w:rPr>
            </w:pPr>
            <w:r>
              <w:rPr>
                <w:rFonts w:hint="default" w:ascii="Times New Roman" w:hAnsi="Times New Roman" w:eastAsia="宋体" w:cs="Times New Roman"/>
                <w:snapToGrid w:val="0"/>
                <w:color w:val="auto"/>
                <w:spacing w:val="-6"/>
                <w:kern w:val="21"/>
                <w:sz w:val="24"/>
                <w:szCs w:val="24"/>
              </w:rPr>
              <w:t>项目</w:t>
            </w:r>
          </w:p>
          <w:p w14:paraId="410FFFDD">
            <w:pPr>
              <w:pStyle w:val="44"/>
              <w:spacing w:beforeLines="0" w:afterLines="0" w:line="240" w:lineRule="auto"/>
              <w:jc w:val="left"/>
              <w:rPr>
                <w:rFonts w:hint="default" w:ascii="Times New Roman" w:hAnsi="Times New Roman" w:eastAsia="宋体" w:cs="Times New Roman"/>
                <w:snapToGrid w:val="0"/>
                <w:color w:val="auto"/>
                <w:spacing w:val="-6"/>
                <w:kern w:val="21"/>
                <w:sz w:val="24"/>
                <w:szCs w:val="24"/>
              </w:rPr>
            </w:pPr>
            <w:r>
              <w:rPr>
                <w:rFonts w:hint="default" w:ascii="Times New Roman" w:hAnsi="Times New Roman" w:eastAsia="宋体" w:cs="Times New Roman"/>
                <w:snapToGrid w:val="0"/>
                <w:color w:val="auto"/>
                <w:spacing w:val="-6"/>
                <w:kern w:val="21"/>
                <w:sz w:val="24"/>
                <w:szCs w:val="24"/>
              </w:rPr>
              <w:t>分类</w:t>
            </w:r>
          </w:p>
        </w:tc>
        <w:tc>
          <w:tcPr>
            <w:tcW w:w="511" w:type="pct"/>
            <w:noWrap w:val="0"/>
            <w:tcMar>
              <w:left w:w="28" w:type="dxa"/>
              <w:right w:w="28" w:type="dxa"/>
            </w:tcMar>
            <w:vAlign w:val="center"/>
          </w:tcPr>
          <w:p w14:paraId="64CAACCC">
            <w:pPr>
              <w:pStyle w:val="44"/>
              <w:spacing w:beforeLines="0" w:afterLines="0" w:line="240" w:lineRule="auto"/>
              <w:rPr>
                <w:rFonts w:hint="default" w:ascii="Times New Roman" w:hAnsi="Times New Roman" w:eastAsia="宋体" w:cs="Times New Roman"/>
                <w:snapToGrid w:val="0"/>
                <w:color w:val="auto"/>
                <w:spacing w:val="-6"/>
                <w:kern w:val="21"/>
                <w:sz w:val="24"/>
                <w:szCs w:val="24"/>
              </w:rPr>
            </w:pPr>
            <w:r>
              <w:rPr>
                <w:rFonts w:hint="default" w:ascii="Times New Roman" w:hAnsi="Times New Roman" w:eastAsia="宋体" w:cs="Times New Roman"/>
                <w:snapToGrid w:val="0"/>
                <w:color w:val="auto"/>
                <w:spacing w:val="-6"/>
                <w:kern w:val="21"/>
                <w:sz w:val="24"/>
                <w:szCs w:val="24"/>
              </w:rPr>
              <w:t>污染物名称</w:t>
            </w:r>
          </w:p>
        </w:tc>
        <w:tc>
          <w:tcPr>
            <w:tcW w:w="551" w:type="pct"/>
            <w:noWrap w:val="0"/>
            <w:tcMar>
              <w:left w:w="28" w:type="dxa"/>
              <w:right w:w="28" w:type="dxa"/>
            </w:tcMar>
            <w:vAlign w:val="center"/>
          </w:tcPr>
          <w:p w14:paraId="2C3418C1">
            <w:pPr>
              <w:pStyle w:val="44"/>
              <w:spacing w:beforeLines="0" w:afterLines="0" w:line="240" w:lineRule="auto"/>
              <w:rPr>
                <w:rFonts w:hint="default" w:ascii="Times New Roman" w:hAnsi="Times New Roman" w:eastAsia="宋体" w:cs="Times New Roman"/>
                <w:snapToGrid w:val="0"/>
                <w:color w:val="auto"/>
                <w:spacing w:val="-6"/>
                <w:kern w:val="21"/>
                <w:sz w:val="24"/>
                <w:szCs w:val="24"/>
              </w:rPr>
            </w:pPr>
            <w:r>
              <w:rPr>
                <w:rFonts w:hint="default" w:ascii="Times New Roman" w:hAnsi="Times New Roman" w:eastAsia="宋体" w:cs="Times New Roman"/>
                <w:snapToGrid w:val="0"/>
                <w:color w:val="auto"/>
                <w:spacing w:val="-6"/>
                <w:kern w:val="21"/>
                <w:sz w:val="24"/>
                <w:szCs w:val="24"/>
              </w:rPr>
              <w:t>现有工程排放量（固体废物产生量）</w:t>
            </w:r>
            <w:r>
              <w:rPr>
                <w:rFonts w:hint="default" w:ascii="Times New Roman" w:hAnsi="Times New Roman" w:eastAsia="宋体" w:cs="Times New Roman"/>
                <w:snapToGrid w:val="0"/>
                <w:color w:val="auto"/>
                <w:spacing w:val="-6"/>
                <w:kern w:val="21"/>
                <w:sz w:val="24"/>
                <w:szCs w:val="24"/>
              </w:rPr>
              <w:fldChar w:fldCharType="begin"/>
            </w:r>
            <w:r>
              <w:rPr>
                <w:rFonts w:hint="default" w:ascii="Times New Roman" w:hAnsi="Times New Roman" w:eastAsia="宋体" w:cs="Times New Roman"/>
                <w:snapToGrid w:val="0"/>
                <w:color w:val="auto"/>
                <w:spacing w:val="-6"/>
                <w:kern w:val="21"/>
                <w:sz w:val="24"/>
                <w:szCs w:val="24"/>
              </w:rPr>
              <w:instrText xml:space="preserve"> = 1 \* GB3 \* MERGEFORMAT </w:instrText>
            </w:r>
            <w:r>
              <w:rPr>
                <w:rFonts w:hint="default" w:ascii="Times New Roman" w:hAnsi="Times New Roman" w:eastAsia="宋体" w:cs="Times New Roman"/>
                <w:snapToGrid w:val="0"/>
                <w:color w:val="auto"/>
                <w:spacing w:val="-6"/>
                <w:kern w:val="21"/>
                <w:sz w:val="24"/>
                <w:szCs w:val="24"/>
              </w:rPr>
              <w:fldChar w:fldCharType="separate"/>
            </w:r>
            <w:r>
              <w:rPr>
                <w:rFonts w:hint="default" w:ascii="Times New Roman" w:hAnsi="Times New Roman" w:eastAsia="宋体" w:cs="Times New Roman"/>
                <w:color w:val="auto"/>
                <w:kern w:val="2"/>
                <w:sz w:val="24"/>
                <w:szCs w:val="24"/>
              </w:rPr>
              <w:t>①</w:t>
            </w:r>
            <w:r>
              <w:rPr>
                <w:rFonts w:hint="default" w:ascii="Times New Roman" w:hAnsi="Times New Roman" w:eastAsia="宋体" w:cs="Times New Roman"/>
                <w:snapToGrid w:val="0"/>
                <w:color w:val="auto"/>
                <w:spacing w:val="-6"/>
                <w:kern w:val="21"/>
                <w:sz w:val="24"/>
                <w:szCs w:val="24"/>
              </w:rPr>
              <w:fldChar w:fldCharType="end"/>
            </w:r>
          </w:p>
        </w:tc>
        <w:tc>
          <w:tcPr>
            <w:tcW w:w="551" w:type="pct"/>
            <w:noWrap w:val="0"/>
            <w:tcMar>
              <w:left w:w="28" w:type="dxa"/>
              <w:right w:w="28" w:type="dxa"/>
            </w:tcMar>
            <w:vAlign w:val="center"/>
          </w:tcPr>
          <w:p w14:paraId="530ABCC7">
            <w:pPr>
              <w:pStyle w:val="44"/>
              <w:spacing w:beforeLines="0" w:afterLines="0" w:line="240" w:lineRule="auto"/>
              <w:rPr>
                <w:rFonts w:hint="default" w:ascii="Times New Roman" w:hAnsi="Times New Roman" w:eastAsia="宋体" w:cs="Times New Roman"/>
                <w:snapToGrid w:val="0"/>
                <w:color w:val="auto"/>
                <w:spacing w:val="-6"/>
                <w:kern w:val="21"/>
                <w:sz w:val="24"/>
                <w:szCs w:val="24"/>
              </w:rPr>
            </w:pPr>
            <w:r>
              <w:rPr>
                <w:rFonts w:hint="default" w:ascii="Times New Roman" w:hAnsi="Times New Roman" w:eastAsia="宋体" w:cs="Times New Roman"/>
                <w:snapToGrid w:val="0"/>
                <w:color w:val="auto"/>
                <w:spacing w:val="-6"/>
                <w:kern w:val="21"/>
                <w:sz w:val="24"/>
                <w:szCs w:val="24"/>
              </w:rPr>
              <w:t>现有工程</w:t>
            </w:r>
          </w:p>
          <w:p w14:paraId="3057F5DC">
            <w:pPr>
              <w:pStyle w:val="44"/>
              <w:spacing w:beforeLines="0" w:afterLines="0" w:line="240" w:lineRule="auto"/>
              <w:rPr>
                <w:rFonts w:hint="default" w:ascii="Times New Roman" w:hAnsi="Times New Roman" w:eastAsia="宋体" w:cs="Times New Roman"/>
                <w:snapToGrid w:val="0"/>
                <w:color w:val="auto"/>
                <w:spacing w:val="-6"/>
                <w:kern w:val="21"/>
                <w:sz w:val="24"/>
                <w:szCs w:val="24"/>
              </w:rPr>
            </w:pPr>
            <w:r>
              <w:rPr>
                <w:rFonts w:hint="default" w:ascii="Times New Roman" w:hAnsi="Times New Roman" w:eastAsia="宋体" w:cs="Times New Roman"/>
                <w:snapToGrid w:val="0"/>
                <w:color w:val="auto"/>
                <w:spacing w:val="-6"/>
                <w:kern w:val="21"/>
                <w:sz w:val="24"/>
                <w:szCs w:val="24"/>
              </w:rPr>
              <w:t>许可排放量</w:t>
            </w:r>
          </w:p>
          <w:p w14:paraId="4DACFCD0">
            <w:pPr>
              <w:pStyle w:val="44"/>
              <w:spacing w:beforeLines="0" w:afterLines="0"/>
              <w:rPr>
                <w:rFonts w:hint="default" w:ascii="Times New Roman" w:hAnsi="Times New Roman" w:eastAsia="宋体" w:cs="Times New Roman"/>
                <w:snapToGrid w:val="0"/>
                <w:color w:val="auto"/>
                <w:spacing w:val="-6"/>
                <w:kern w:val="21"/>
                <w:sz w:val="24"/>
                <w:szCs w:val="24"/>
              </w:rPr>
            </w:pPr>
            <w:r>
              <w:rPr>
                <w:rFonts w:hint="default" w:ascii="Times New Roman" w:hAnsi="Times New Roman" w:eastAsia="宋体" w:cs="Times New Roman"/>
                <w:snapToGrid w:val="0"/>
                <w:color w:val="auto"/>
                <w:spacing w:val="-6"/>
                <w:kern w:val="21"/>
                <w:sz w:val="24"/>
                <w:szCs w:val="24"/>
              </w:rPr>
              <w:fldChar w:fldCharType="begin"/>
            </w:r>
            <w:r>
              <w:rPr>
                <w:rFonts w:hint="default" w:ascii="Times New Roman" w:hAnsi="Times New Roman" w:eastAsia="宋体" w:cs="Times New Roman"/>
                <w:snapToGrid w:val="0"/>
                <w:color w:val="auto"/>
                <w:spacing w:val="-6"/>
                <w:kern w:val="21"/>
                <w:sz w:val="24"/>
                <w:szCs w:val="24"/>
              </w:rPr>
              <w:instrText xml:space="preserve"> = 2 \* GB3 \* MERGEFORMAT </w:instrText>
            </w:r>
            <w:r>
              <w:rPr>
                <w:rFonts w:hint="default" w:ascii="Times New Roman" w:hAnsi="Times New Roman" w:eastAsia="宋体" w:cs="Times New Roman"/>
                <w:snapToGrid w:val="0"/>
                <w:color w:val="auto"/>
                <w:spacing w:val="-6"/>
                <w:kern w:val="21"/>
                <w:sz w:val="24"/>
                <w:szCs w:val="24"/>
              </w:rPr>
              <w:fldChar w:fldCharType="separate"/>
            </w:r>
            <w:r>
              <w:rPr>
                <w:rFonts w:hint="default" w:ascii="Times New Roman" w:hAnsi="Times New Roman" w:eastAsia="宋体" w:cs="Times New Roman"/>
                <w:snapToGrid w:val="0"/>
                <w:color w:val="auto"/>
                <w:spacing w:val="-6"/>
                <w:kern w:val="21"/>
                <w:sz w:val="24"/>
                <w:szCs w:val="24"/>
              </w:rPr>
              <w:t>②</w:t>
            </w:r>
            <w:r>
              <w:rPr>
                <w:rFonts w:hint="default" w:ascii="Times New Roman" w:hAnsi="Times New Roman" w:eastAsia="宋体" w:cs="Times New Roman"/>
                <w:snapToGrid w:val="0"/>
                <w:color w:val="auto"/>
                <w:spacing w:val="-6"/>
                <w:kern w:val="21"/>
                <w:sz w:val="24"/>
                <w:szCs w:val="24"/>
              </w:rPr>
              <w:fldChar w:fldCharType="end"/>
            </w:r>
          </w:p>
        </w:tc>
        <w:tc>
          <w:tcPr>
            <w:tcW w:w="551" w:type="pct"/>
            <w:noWrap w:val="0"/>
            <w:tcMar>
              <w:left w:w="28" w:type="dxa"/>
              <w:right w:w="28" w:type="dxa"/>
            </w:tcMar>
            <w:vAlign w:val="center"/>
          </w:tcPr>
          <w:p w14:paraId="7D867530">
            <w:pPr>
              <w:pStyle w:val="44"/>
              <w:spacing w:beforeLines="0" w:afterLines="0" w:line="240" w:lineRule="auto"/>
              <w:rPr>
                <w:rFonts w:hint="default" w:ascii="Times New Roman" w:hAnsi="Times New Roman" w:eastAsia="宋体" w:cs="Times New Roman"/>
                <w:snapToGrid w:val="0"/>
                <w:color w:val="auto"/>
                <w:spacing w:val="-6"/>
                <w:kern w:val="21"/>
                <w:sz w:val="24"/>
                <w:szCs w:val="24"/>
              </w:rPr>
            </w:pPr>
            <w:r>
              <w:rPr>
                <w:rFonts w:hint="default" w:ascii="Times New Roman" w:hAnsi="Times New Roman" w:eastAsia="宋体" w:cs="Times New Roman"/>
                <w:snapToGrid w:val="0"/>
                <w:color w:val="auto"/>
                <w:spacing w:val="-6"/>
                <w:kern w:val="21"/>
                <w:sz w:val="24"/>
                <w:szCs w:val="24"/>
              </w:rPr>
              <w:t>在建工程排放量（固体废物产生量）</w:t>
            </w:r>
            <w:r>
              <w:rPr>
                <w:rFonts w:hint="default" w:ascii="Times New Roman" w:hAnsi="Times New Roman" w:eastAsia="宋体" w:cs="Times New Roman"/>
                <w:snapToGrid w:val="0"/>
                <w:color w:val="auto"/>
                <w:spacing w:val="-6"/>
                <w:kern w:val="21"/>
                <w:sz w:val="24"/>
                <w:szCs w:val="24"/>
              </w:rPr>
              <w:fldChar w:fldCharType="begin"/>
            </w:r>
            <w:r>
              <w:rPr>
                <w:rFonts w:hint="default" w:ascii="Times New Roman" w:hAnsi="Times New Roman" w:eastAsia="宋体" w:cs="Times New Roman"/>
                <w:snapToGrid w:val="0"/>
                <w:color w:val="auto"/>
                <w:spacing w:val="-6"/>
                <w:kern w:val="21"/>
                <w:sz w:val="24"/>
                <w:szCs w:val="24"/>
              </w:rPr>
              <w:instrText xml:space="preserve"> = 3 \* GB3 \* MERGEFORMAT </w:instrText>
            </w:r>
            <w:r>
              <w:rPr>
                <w:rFonts w:hint="default" w:ascii="Times New Roman" w:hAnsi="Times New Roman" w:eastAsia="宋体" w:cs="Times New Roman"/>
                <w:snapToGrid w:val="0"/>
                <w:color w:val="auto"/>
                <w:spacing w:val="-6"/>
                <w:kern w:val="21"/>
                <w:sz w:val="24"/>
                <w:szCs w:val="24"/>
              </w:rPr>
              <w:fldChar w:fldCharType="separate"/>
            </w:r>
            <w:r>
              <w:rPr>
                <w:rFonts w:hint="default" w:ascii="Times New Roman" w:hAnsi="Times New Roman" w:eastAsia="宋体" w:cs="Times New Roman"/>
                <w:color w:val="auto"/>
                <w:kern w:val="2"/>
                <w:sz w:val="24"/>
                <w:szCs w:val="24"/>
              </w:rPr>
              <w:t>③</w:t>
            </w:r>
            <w:r>
              <w:rPr>
                <w:rFonts w:hint="default" w:ascii="Times New Roman" w:hAnsi="Times New Roman" w:eastAsia="宋体" w:cs="Times New Roman"/>
                <w:snapToGrid w:val="0"/>
                <w:color w:val="auto"/>
                <w:spacing w:val="-6"/>
                <w:kern w:val="21"/>
                <w:sz w:val="24"/>
                <w:szCs w:val="24"/>
              </w:rPr>
              <w:fldChar w:fldCharType="end"/>
            </w:r>
          </w:p>
        </w:tc>
        <w:tc>
          <w:tcPr>
            <w:tcW w:w="551" w:type="pct"/>
            <w:noWrap w:val="0"/>
            <w:tcMar>
              <w:left w:w="28" w:type="dxa"/>
              <w:right w:w="28" w:type="dxa"/>
            </w:tcMar>
            <w:vAlign w:val="center"/>
          </w:tcPr>
          <w:p w14:paraId="49569DCE">
            <w:pPr>
              <w:pStyle w:val="44"/>
              <w:spacing w:beforeLines="0" w:afterLines="0" w:line="240" w:lineRule="auto"/>
              <w:rPr>
                <w:rFonts w:hint="default" w:ascii="Times New Roman" w:hAnsi="Times New Roman" w:eastAsia="宋体" w:cs="Times New Roman"/>
                <w:snapToGrid w:val="0"/>
                <w:color w:val="auto"/>
                <w:spacing w:val="-6"/>
                <w:kern w:val="21"/>
                <w:sz w:val="24"/>
                <w:szCs w:val="24"/>
              </w:rPr>
            </w:pPr>
            <w:r>
              <w:rPr>
                <w:rFonts w:hint="default" w:ascii="Times New Roman" w:hAnsi="Times New Roman" w:eastAsia="宋体" w:cs="Times New Roman"/>
                <w:snapToGrid w:val="0"/>
                <w:color w:val="auto"/>
                <w:spacing w:val="-6"/>
                <w:kern w:val="21"/>
                <w:sz w:val="24"/>
                <w:szCs w:val="24"/>
              </w:rPr>
              <w:t>本项目排放量（固体废物产生量）</w:t>
            </w:r>
            <w:r>
              <w:rPr>
                <w:rFonts w:hint="default" w:ascii="Times New Roman" w:hAnsi="Times New Roman" w:eastAsia="宋体" w:cs="Times New Roman"/>
                <w:snapToGrid w:val="0"/>
                <w:color w:val="auto"/>
                <w:spacing w:val="-6"/>
                <w:kern w:val="21"/>
                <w:sz w:val="24"/>
                <w:szCs w:val="24"/>
              </w:rPr>
              <w:fldChar w:fldCharType="begin"/>
            </w:r>
            <w:r>
              <w:rPr>
                <w:rFonts w:hint="default" w:ascii="Times New Roman" w:hAnsi="Times New Roman" w:eastAsia="宋体" w:cs="Times New Roman"/>
                <w:snapToGrid w:val="0"/>
                <w:color w:val="auto"/>
                <w:spacing w:val="-6"/>
                <w:kern w:val="21"/>
                <w:sz w:val="24"/>
                <w:szCs w:val="24"/>
              </w:rPr>
              <w:instrText xml:space="preserve"> = 4 \* GB3 \* MERGEFORMAT </w:instrText>
            </w:r>
            <w:r>
              <w:rPr>
                <w:rFonts w:hint="default" w:ascii="Times New Roman" w:hAnsi="Times New Roman" w:eastAsia="宋体" w:cs="Times New Roman"/>
                <w:snapToGrid w:val="0"/>
                <w:color w:val="auto"/>
                <w:spacing w:val="-6"/>
                <w:kern w:val="21"/>
                <w:sz w:val="24"/>
                <w:szCs w:val="24"/>
              </w:rPr>
              <w:fldChar w:fldCharType="separate"/>
            </w:r>
            <w:r>
              <w:rPr>
                <w:rFonts w:hint="default" w:ascii="Times New Roman" w:hAnsi="Times New Roman" w:eastAsia="宋体" w:cs="Times New Roman"/>
                <w:color w:val="auto"/>
                <w:kern w:val="2"/>
                <w:sz w:val="24"/>
                <w:szCs w:val="24"/>
              </w:rPr>
              <w:t>④</w:t>
            </w:r>
            <w:r>
              <w:rPr>
                <w:rFonts w:hint="default" w:ascii="Times New Roman" w:hAnsi="Times New Roman" w:eastAsia="宋体" w:cs="Times New Roman"/>
                <w:snapToGrid w:val="0"/>
                <w:color w:val="auto"/>
                <w:spacing w:val="-6"/>
                <w:kern w:val="21"/>
                <w:sz w:val="24"/>
                <w:szCs w:val="24"/>
              </w:rPr>
              <w:fldChar w:fldCharType="end"/>
            </w:r>
          </w:p>
        </w:tc>
        <w:tc>
          <w:tcPr>
            <w:tcW w:w="551" w:type="pct"/>
            <w:noWrap w:val="0"/>
            <w:tcMar>
              <w:left w:w="28" w:type="dxa"/>
              <w:right w:w="28" w:type="dxa"/>
            </w:tcMar>
            <w:vAlign w:val="center"/>
          </w:tcPr>
          <w:p w14:paraId="0EC18888">
            <w:pPr>
              <w:pStyle w:val="44"/>
              <w:spacing w:beforeLines="0" w:afterLines="0" w:line="240" w:lineRule="auto"/>
              <w:rPr>
                <w:rFonts w:hint="default" w:ascii="Times New Roman" w:hAnsi="Times New Roman" w:eastAsia="宋体" w:cs="Times New Roman"/>
                <w:snapToGrid w:val="0"/>
                <w:color w:val="auto"/>
                <w:spacing w:val="-16"/>
                <w:kern w:val="21"/>
                <w:sz w:val="24"/>
                <w:szCs w:val="24"/>
              </w:rPr>
            </w:pPr>
            <w:r>
              <w:rPr>
                <w:rFonts w:hint="default" w:ascii="Times New Roman" w:hAnsi="Times New Roman" w:eastAsia="宋体" w:cs="Times New Roman"/>
                <w:snapToGrid w:val="0"/>
                <w:color w:val="auto"/>
                <w:spacing w:val="-16"/>
                <w:kern w:val="21"/>
                <w:sz w:val="24"/>
                <w:szCs w:val="24"/>
              </w:rPr>
              <w:t>以新带老削减量</w:t>
            </w:r>
          </w:p>
          <w:p w14:paraId="47304598">
            <w:pPr>
              <w:pStyle w:val="44"/>
              <w:spacing w:beforeLines="0" w:afterLines="0" w:line="240" w:lineRule="auto"/>
              <w:rPr>
                <w:rFonts w:hint="default" w:ascii="Times New Roman" w:hAnsi="Times New Roman" w:eastAsia="宋体" w:cs="Times New Roman"/>
                <w:snapToGrid w:val="0"/>
                <w:color w:val="auto"/>
                <w:spacing w:val="-16"/>
                <w:kern w:val="21"/>
                <w:sz w:val="24"/>
                <w:szCs w:val="24"/>
              </w:rPr>
            </w:pPr>
            <w:r>
              <w:rPr>
                <w:rFonts w:hint="default" w:ascii="Times New Roman" w:hAnsi="Times New Roman" w:eastAsia="宋体" w:cs="Times New Roman"/>
                <w:snapToGrid w:val="0"/>
                <w:color w:val="auto"/>
                <w:spacing w:val="-16"/>
                <w:kern w:val="21"/>
                <w:sz w:val="24"/>
                <w:szCs w:val="24"/>
              </w:rPr>
              <w:t>（新建项目不填）</w:t>
            </w:r>
            <w:r>
              <w:rPr>
                <w:rFonts w:hint="default" w:ascii="Times New Roman" w:hAnsi="Times New Roman" w:eastAsia="宋体" w:cs="Times New Roman"/>
                <w:snapToGrid w:val="0"/>
                <w:color w:val="auto"/>
                <w:spacing w:val="-16"/>
                <w:kern w:val="21"/>
                <w:sz w:val="24"/>
                <w:szCs w:val="24"/>
              </w:rPr>
              <w:fldChar w:fldCharType="begin"/>
            </w:r>
            <w:r>
              <w:rPr>
                <w:rFonts w:hint="default" w:ascii="Times New Roman" w:hAnsi="Times New Roman" w:eastAsia="宋体" w:cs="Times New Roman"/>
                <w:snapToGrid w:val="0"/>
                <w:color w:val="auto"/>
                <w:spacing w:val="-16"/>
                <w:kern w:val="21"/>
                <w:sz w:val="24"/>
                <w:szCs w:val="24"/>
              </w:rPr>
              <w:instrText xml:space="preserve"> = 5 \* GB3 \* MERGEFORMAT </w:instrText>
            </w:r>
            <w:r>
              <w:rPr>
                <w:rFonts w:hint="default" w:ascii="Times New Roman" w:hAnsi="Times New Roman" w:eastAsia="宋体" w:cs="Times New Roman"/>
                <w:snapToGrid w:val="0"/>
                <w:color w:val="auto"/>
                <w:spacing w:val="-16"/>
                <w:kern w:val="21"/>
                <w:sz w:val="24"/>
                <w:szCs w:val="24"/>
              </w:rPr>
              <w:fldChar w:fldCharType="separate"/>
            </w:r>
            <w:r>
              <w:rPr>
                <w:rFonts w:hint="default" w:ascii="Times New Roman" w:hAnsi="Times New Roman" w:eastAsia="宋体" w:cs="Times New Roman"/>
                <w:color w:val="auto"/>
                <w:kern w:val="2"/>
                <w:sz w:val="24"/>
                <w:szCs w:val="24"/>
              </w:rPr>
              <w:t>⑤</w:t>
            </w:r>
            <w:r>
              <w:rPr>
                <w:rFonts w:hint="default" w:ascii="Times New Roman" w:hAnsi="Times New Roman" w:eastAsia="宋体" w:cs="Times New Roman"/>
                <w:snapToGrid w:val="0"/>
                <w:color w:val="auto"/>
                <w:spacing w:val="-16"/>
                <w:kern w:val="21"/>
                <w:sz w:val="24"/>
                <w:szCs w:val="24"/>
              </w:rPr>
              <w:fldChar w:fldCharType="end"/>
            </w:r>
          </w:p>
        </w:tc>
        <w:tc>
          <w:tcPr>
            <w:tcW w:w="552" w:type="pct"/>
            <w:noWrap w:val="0"/>
            <w:tcMar>
              <w:left w:w="28" w:type="dxa"/>
              <w:right w:w="28" w:type="dxa"/>
            </w:tcMar>
            <w:vAlign w:val="center"/>
          </w:tcPr>
          <w:p w14:paraId="517A2726">
            <w:pPr>
              <w:pStyle w:val="44"/>
              <w:spacing w:beforeLines="0" w:afterLines="0" w:line="240" w:lineRule="auto"/>
              <w:rPr>
                <w:rFonts w:hint="default" w:ascii="Times New Roman" w:hAnsi="Times New Roman" w:eastAsia="宋体" w:cs="Times New Roman"/>
                <w:snapToGrid w:val="0"/>
                <w:color w:val="auto"/>
                <w:spacing w:val="-16"/>
                <w:kern w:val="21"/>
                <w:sz w:val="24"/>
                <w:szCs w:val="24"/>
              </w:rPr>
            </w:pPr>
            <w:r>
              <w:rPr>
                <w:rFonts w:hint="default" w:ascii="Times New Roman" w:hAnsi="Times New Roman" w:eastAsia="宋体" w:cs="Times New Roman"/>
                <w:snapToGrid w:val="0"/>
                <w:color w:val="auto"/>
                <w:spacing w:val="-16"/>
                <w:kern w:val="21"/>
                <w:sz w:val="24"/>
                <w:szCs w:val="24"/>
              </w:rPr>
              <w:t>本项目建成后全厂排放量（固体废物产生量）</w:t>
            </w:r>
            <w:r>
              <w:rPr>
                <w:rFonts w:hint="default" w:ascii="Times New Roman" w:hAnsi="Times New Roman" w:eastAsia="宋体" w:cs="Times New Roman"/>
                <w:snapToGrid w:val="0"/>
                <w:color w:val="auto"/>
                <w:spacing w:val="-16"/>
                <w:kern w:val="21"/>
                <w:sz w:val="24"/>
                <w:szCs w:val="24"/>
              </w:rPr>
              <w:fldChar w:fldCharType="begin"/>
            </w:r>
            <w:r>
              <w:rPr>
                <w:rFonts w:hint="default" w:ascii="Times New Roman" w:hAnsi="Times New Roman" w:eastAsia="宋体" w:cs="Times New Roman"/>
                <w:snapToGrid w:val="0"/>
                <w:color w:val="auto"/>
                <w:spacing w:val="-16"/>
                <w:kern w:val="21"/>
                <w:sz w:val="24"/>
                <w:szCs w:val="24"/>
              </w:rPr>
              <w:instrText xml:space="preserve"> = 6 \* GB3 \* MERGEFORMAT </w:instrText>
            </w:r>
            <w:r>
              <w:rPr>
                <w:rFonts w:hint="default" w:ascii="Times New Roman" w:hAnsi="Times New Roman" w:eastAsia="宋体" w:cs="Times New Roman"/>
                <w:snapToGrid w:val="0"/>
                <w:color w:val="auto"/>
                <w:spacing w:val="-16"/>
                <w:kern w:val="21"/>
                <w:sz w:val="24"/>
                <w:szCs w:val="24"/>
              </w:rPr>
              <w:fldChar w:fldCharType="separate"/>
            </w:r>
            <w:r>
              <w:rPr>
                <w:rFonts w:hint="default" w:ascii="Times New Roman" w:hAnsi="Times New Roman" w:eastAsia="宋体" w:cs="Times New Roman"/>
                <w:color w:val="auto"/>
                <w:kern w:val="2"/>
                <w:sz w:val="24"/>
                <w:szCs w:val="24"/>
              </w:rPr>
              <w:t>⑥</w:t>
            </w:r>
            <w:r>
              <w:rPr>
                <w:rFonts w:hint="default" w:ascii="Times New Roman" w:hAnsi="Times New Roman" w:eastAsia="宋体" w:cs="Times New Roman"/>
                <w:snapToGrid w:val="0"/>
                <w:color w:val="auto"/>
                <w:spacing w:val="-16"/>
                <w:kern w:val="21"/>
                <w:sz w:val="24"/>
                <w:szCs w:val="24"/>
              </w:rPr>
              <w:fldChar w:fldCharType="end"/>
            </w:r>
          </w:p>
        </w:tc>
        <w:tc>
          <w:tcPr>
            <w:tcW w:w="557" w:type="pct"/>
            <w:noWrap w:val="0"/>
            <w:tcMar>
              <w:left w:w="28" w:type="dxa"/>
              <w:right w:w="28" w:type="dxa"/>
            </w:tcMar>
            <w:vAlign w:val="center"/>
          </w:tcPr>
          <w:p w14:paraId="72F40BF6">
            <w:pPr>
              <w:pStyle w:val="44"/>
              <w:spacing w:beforeLines="0" w:afterLines="0" w:line="240" w:lineRule="auto"/>
              <w:rPr>
                <w:rFonts w:hint="default" w:ascii="Times New Roman" w:hAnsi="Times New Roman" w:eastAsia="宋体" w:cs="Times New Roman"/>
                <w:snapToGrid w:val="0"/>
                <w:color w:val="auto"/>
                <w:spacing w:val="-6"/>
                <w:kern w:val="21"/>
                <w:sz w:val="24"/>
                <w:szCs w:val="24"/>
              </w:rPr>
            </w:pPr>
            <w:r>
              <w:rPr>
                <w:rFonts w:hint="default" w:ascii="Times New Roman" w:hAnsi="Times New Roman" w:eastAsia="宋体" w:cs="Times New Roman"/>
                <w:snapToGrid w:val="0"/>
                <w:color w:val="auto"/>
                <w:spacing w:val="-6"/>
                <w:kern w:val="21"/>
                <w:sz w:val="24"/>
                <w:szCs w:val="24"/>
              </w:rPr>
              <w:t>变化量</w:t>
            </w:r>
          </w:p>
          <w:p w14:paraId="1384FD92">
            <w:pPr>
              <w:pStyle w:val="44"/>
              <w:spacing w:beforeLines="0" w:afterLines="0" w:line="240" w:lineRule="auto"/>
              <w:rPr>
                <w:rFonts w:hint="default" w:ascii="Times New Roman" w:hAnsi="Times New Roman" w:eastAsia="宋体" w:cs="Times New Roman"/>
                <w:snapToGrid w:val="0"/>
                <w:color w:val="auto"/>
                <w:spacing w:val="-6"/>
                <w:kern w:val="21"/>
                <w:sz w:val="24"/>
                <w:szCs w:val="24"/>
              </w:rPr>
            </w:pPr>
            <w:r>
              <w:rPr>
                <w:rFonts w:hint="default" w:ascii="Times New Roman" w:hAnsi="Times New Roman" w:eastAsia="宋体" w:cs="Times New Roman"/>
                <w:snapToGrid w:val="0"/>
                <w:color w:val="auto"/>
                <w:spacing w:val="-6"/>
                <w:kern w:val="21"/>
                <w:sz w:val="24"/>
                <w:szCs w:val="24"/>
              </w:rPr>
              <w:fldChar w:fldCharType="begin"/>
            </w:r>
            <w:r>
              <w:rPr>
                <w:rFonts w:hint="default" w:ascii="Times New Roman" w:hAnsi="Times New Roman" w:eastAsia="宋体" w:cs="Times New Roman"/>
                <w:snapToGrid w:val="0"/>
                <w:color w:val="auto"/>
                <w:spacing w:val="-6"/>
                <w:kern w:val="21"/>
                <w:sz w:val="24"/>
                <w:szCs w:val="24"/>
              </w:rPr>
              <w:instrText xml:space="preserve"> = 7 \* GB3 \* MERGEFORMAT </w:instrText>
            </w:r>
            <w:r>
              <w:rPr>
                <w:rFonts w:hint="default" w:ascii="Times New Roman" w:hAnsi="Times New Roman" w:eastAsia="宋体" w:cs="Times New Roman"/>
                <w:snapToGrid w:val="0"/>
                <w:color w:val="auto"/>
                <w:spacing w:val="-6"/>
                <w:kern w:val="21"/>
                <w:sz w:val="24"/>
                <w:szCs w:val="24"/>
              </w:rPr>
              <w:fldChar w:fldCharType="separate"/>
            </w:r>
            <w:r>
              <w:rPr>
                <w:rFonts w:hint="default" w:ascii="Times New Roman" w:hAnsi="Times New Roman" w:eastAsia="宋体" w:cs="Times New Roman"/>
                <w:color w:val="auto"/>
                <w:kern w:val="2"/>
                <w:sz w:val="24"/>
                <w:szCs w:val="24"/>
              </w:rPr>
              <w:t>⑦</w:t>
            </w:r>
            <w:r>
              <w:rPr>
                <w:rFonts w:hint="default" w:ascii="Times New Roman" w:hAnsi="Times New Roman" w:eastAsia="宋体" w:cs="Times New Roman"/>
                <w:snapToGrid w:val="0"/>
                <w:color w:val="auto"/>
                <w:spacing w:val="-6"/>
                <w:kern w:val="21"/>
                <w:sz w:val="24"/>
                <w:szCs w:val="24"/>
              </w:rPr>
              <w:fldChar w:fldCharType="end"/>
            </w:r>
          </w:p>
        </w:tc>
      </w:tr>
      <w:tr w14:paraId="79C37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9"/>
            <w:noWrap w:val="0"/>
            <w:vAlign w:val="center"/>
          </w:tcPr>
          <w:p w14:paraId="28E640AA">
            <w:pPr>
              <w:pStyle w:val="4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cs="Times New Roman"/>
                <w:snapToGrid w:val="0"/>
                <w:color w:val="auto"/>
                <w:kern w:val="21"/>
                <w:sz w:val="24"/>
                <w:szCs w:val="24"/>
                <w:lang w:val="en-US" w:eastAsia="zh-CN" w:bidi="ar-SA"/>
              </w:rPr>
            </w:pPr>
            <w:r>
              <w:rPr>
                <w:rFonts w:hint="eastAsia" w:cs="Times New Roman"/>
                <w:color w:val="auto"/>
                <w:sz w:val="24"/>
                <w:szCs w:val="24"/>
                <w:lang w:val="en-US" w:eastAsia="zh-CN"/>
              </w:rPr>
              <w:t>一期工程</w:t>
            </w:r>
          </w:p>
        </w:tc>
      </w:tr>
      <w:tr w14:paraId="3851C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19" w:type="pct"/>
            <w:noWrap w:val="0"/>
            <w:vAlign w:val="center"/>
          </w:tcPr>
          <w:p w14:paraId="0D58FC85">
            <w:pPr>
              <w:pStyle w:val="44"/>
              <w:spacing w:beforeLines="0" w:afterLines="0" w:line="240" w:lineRule="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废气</w:t>
            </w:r>
          </w:p>
        </w:tc>
        <w:tc>
          <w:tcPr>
            <w:tcW w:w="511" w:type="pct"/>
            <w:noWrap w:val="0"/>
            <w:vAlign w:val="center"/>
          </w:tcPr>
          <w:p w14:paraId="7C27781B">
            <w:pPr>
              <w:pStyle w:val="4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lang w:val="en-US" w:eastAsia="zh-CN" w:bidi="ar-SA"/>
              </w:rPr>
            </w:pPr>
            <w:r>
              <w:rPr>
                <w:rFonts w:hint="eastAsia" w:ascii="Times New Roman" w:hAnsi="Times New Roman" w:cs="Times New Roman"/>
                <w:color w:val="auto"/>
                <w:kern w:val="2"/>
                <w:sz w:val="24"/>
                <w:szCs w:val="24"/>
                <w:lang w:val="en-US" w:eastAsia="zh-CN" w:bidi="ar-SA"/>
              </w:rPr>
              <w:t>VOCs</w:t>
            </w:r>
          </w:p>
        </w:tc>
        <w:tc>
          <w:tcPr>
            <w:tcW w:w="551" w:type="pct"/>
            <w:noWrap w:val="0"/>
            <w:vAlign w:val="center"/>
          </w:tcPr>
          <w:p w14:paraId="04FD417F">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57E43A84">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055318BD">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33EEFDA5">
            <w:pPr>
              <w:pStyle w:val="4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lang w:val="en-US" w:eastAsia="zh-CN" w:bidi="ar-SA"/>
              </w:rPr>
            </w:pPr>
            <w:r>
              <w:rPr>
                <w:rFonts w:hint="eastAsia" w:ascii="Times New Roman" w:cs="Times New Roman"/>
                <w:snapToGrid w:val="0"/>
                <w:color w:val="auto"/>
                <w:kern w:val="21"/>
                <w:sz w:val="24"/>
                <w:szCs w:val="24"/>
                <w:lang w:val="en-US" w:eastAsia="zh-CN" w:bidi="ar-SA"/>
              </w:rPr>
              <w:t>/</w:t>
            </w:r>
          </w:p>
        </w:tc>
        <w:tc>
          <w:tcPr>
            <w:tcW w:w="551" w:type="pct"/>
            <w:noWrap w:val="0"/>
            <w:vAlign w:val="center"/>
          </w:tcPr>
          <w:p w14:paraId="698E0232">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2" w:type="pct"/>
            <w:noWrap w:val="0"/>
            <w:vAlign w:val="center"/>
          </w:tcPr>
          <w:p w14:paraId="6ACBBA70">
            <w:pPr>
              <w:pStyle w:val="4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lang w:val="en-US" w:eastAsia="zh-CN" w:bidi="ar-SA"/>
              </w:rPr>
            </w:pPr>
            <w:r>
              <w:rPr>
                <w:rFonts w:hint="eastAsia" w:ascii="Times New Roman" w:cs="Times New Roman"/>
                <w:snapToGrid w:val="0"/>
                <w:color w:val="auto"/>
                <w:kern w:val="21"/>
                <w:sz w:val="24"/>
                <w:szCs w:val="24"/>
                <w:lang w:val="en-US" w:eastAsia="zh-CN" w:bidi="ar-SA"/>
              </w:rPr>
              <w:t>/</w:t>
            </w:r>
          </w:p>
        </w:tc>
        <w:tc>
          <w:tcPr>
            <w:tcW w:w="557" w:type="pct"/>
            <w:noWrap w:val="0"/>
            <w:vAlign w:val="center"/>
          </w:tcPr>
          <w:p w14:paraId="7E6A9287">
            <w:pPr>
              <w:pStyle w:val="4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lang w:val="en-US" w:eastAsia="zh-CN" w:bidi="ar-SA"/>
              </w:rPr>
            </w:pPr>
            <w:r>
              <w:rPr>
                <w:rFonts w:hint="eastAsia" w:ascii="Times New Roman" w:cs="Times New Roman"/>
                <w:snapToGrid w:val="0"/>
                <w:color w:val="auto"/>
                <w:kern w:val="21"/>
                <w:sz w:val="24"/>
                <w:szCs w:val="24"/>
                <w:lang w:val="en-US" w:eastAsia="zh-CN" w:bidi="ar-SA"/>
              </w:rPr>
              <w:t>/</w:t>
            </w:r>
          </w:p>
        </w:tc>
      </w:tr>
      <w:tr w14:paraId="74ED6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19" w:type="pct"/>
            <w:vMerge w:val="restart"/>
            <w:noWrap w:val="0"/>
            <w:vAlign w:val="center"/>
          </w:tcPr>
          <w:p w14:paraId="7FECBB36">
            <w:pPr>
              <w:pStyle w:val="44"/>
              <w:spacing w:beforeLines="0" w:afterLines="0" w:line="240" w:lineRule="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废水</w:t>
            </w:r>
          </w:p>
        </w:tc>
        <w:tc>
          <w:tcPr>
            <w:tcW w:w="511" w:type="pct"/>
            <w:noWrap w:val="0"/>
            <w:vAlign w:val="center"/>
          </w:tcPr>
          <w:p w14:paraId="7033E8FB">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COD</w:t>
            </w:r>
          </w:p>
        </w:tc>
        <w:tc>
          <w:tcPr>
            <w:tcW w:w="551" w:type="pct"/>
            <w:noWrap w:val="0"/>
            <w:vAlign w:val="center"/>
          </w:tcPr>
          <w:p w14:paraId="26FFC22C">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24631289">
            <w:pPr>
              <w:spacing w:beforeLines="0" w:afterLines="0" w:line="240" w:lineRule="auto"/>
              <w:jc w:val="center"/>
              <w:rPr>
                <w:rFonts w:hint="default" w:ascii="Times New Roman" w:hAnsi="Times New Roman" w:eastAsia="宋体" w:cs="Times New Roman"/>
                <w:snapToGrid w:val="0"/>
                <w:color w:val="auto"/>
                <w:kern w:val="21"/>
                <w:sz w:val="24"/>
                <w:szCs w:val="24"/>
              </w:rPr>
            </w:pPr>
            <w:r>
              <w:rPr>
                <w:rFonts w:hint="eastAsia" w:cs="Times New Roman"/>
                <w:snapToGrid w:val="0"/>
                <w:color w:val="auto"/>
                <w:kern w:val="21"/>
                <w:sz w:val="24"/>
                <w:szCs w:val="24"/>
                <w:lang w:val="en-US" w:eastAsia="zh-CN"/>
              </w:rPr>
              <w:t>/</w:t>
            </w:r>
          </w:p>
        </w:tc>
        <w:tc>
          <w:tcPr>
            <w:tcW w:w="551" w:type="pct"/>
            <w:noWrap w:val="0"/>
            <w:vAlign w:val="center"/>
          </w:tcPr>
          <w:p w14:paraId="09DCB686">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1543" w:type="dxa"/>
            <w:noWrap w:val="0"/>
            <w:vAlign w:val="center"/>
          </w:tcPr>
          <w:p w14:paraId="6C043B4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0.128</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568ED8F8">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2" w:type="pct"/>
            <w:noWrap w:val="0"/>
            <w:vAlign w:val="center"/>
          </w:tcPr>
          <w:p w14:paraId="013A044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0.128</w:t>
            </w:r>
            <w:r>
              <w:rPr>
                <w:rFonts w:hint="eastAsia" w:ascii="Times New Roman" w:hAnsi="Times New Roman" w:eastAsia="宋体" w:cs="Times New Roman"/>
                <w:snapToGrid w:val="0"/>
                <w:color w:val="auto"/>
                <w:kern w:val="21"/>
                <w:sz w:val="24"/>
                <w:szCs w:val="24"/>
                <w:lang w:val="en-US" w:eastAsia="zh-CN" w:bidi="ar-SA"/>
              </w:rPr>
              <w:t>t/a</w:t>
            </w:r>
          </w:p>
        </w:tc>
        <w:tc>
          <w:tcPr>
            <w:tcW w:w="1578" w:type="dxa"/>
            <w:noWrap w:val="0"/>
            <w:vAlign w:val="center"/>
          </w:tcPr>
          <w:p w14:paraId="6CA58AB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+0.128</w:t>
            </w:r>
            <w:r>
              <w:rPr>
                <w:rFonts w:hint="eastAsia" w:ascii="Times New Roman" w:hAnsi="Times New Roman" w:eastAsia="宋体" w:cs="Times New Roman"/>
                <w:snapToGrid w:val="0"/>
                <w:color w:val="auto"/>
                <w:kern w:val="21"/>
                <w:sz w:val="24"/>
                <w:szCs w:val="24"/>
                <w:lang w:val="en-US" w:eastAsia="zh-CN" w:bidi="ar-SA"/>
              </w:rPr>
              <w:t>t/a</w:t>
            </w:r>
          </w:p>
        </w:tc>
      </w:tr>
      <w:tr w14:paraId="005BD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19" w:type="pct"/>
            <w:vMerge w:val="continue"/>
            <w:noWrap w:val="0"/>
            <w:vAlign w:val="center"/>
          </w:tcPr>
          <w:p w14:paraId="594D15F2">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299E77CA">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w:t>
            </w:r>
          </w:p>
        </w:tc>
        <w:tc>
          <w:tcPr>
            <w:tcW w:w="551" w:type="pct"/>
            <w:noWrap w:val="0"/>
            <w:vAlign w:val="center"/>
          </w:tcPr>
          <w:p w14:paraId="103582BB">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5A1A1241">
            <w:pPr>
              <w:spacing w:beforeLines="0" w:afterLines="0" w:line="240" w:lineRule="auto"/>
              <w:jc w:val="center"/>
              <w:rPr>
                <w:rFonts w:hint="default" w:ascii="Times New Roman" w:hAnsi="Times New Roman" w:eastAsia="宋体" w:cs="Times New Roman"/>
                <w:snapToGrid w:val="0"/>
                <w:color w:val="auto"/>
                <w:kern w:val="21"/>
                <w:sz w:val="24"/>
                <w:szCs w:val="24"/>
              </w:rPr>
            </w:pPr>
            <w:r>
              <w:rPr>
                <w:rFonts w:hint="eastAsia" w:cs="Times New Roman"/>
                <w:snapToGrid w:val="0"/>
                <w:color w:val="auto"/>
                <w:kern w:val="21"/>
                <w:sz w:val="24"/>
                <w:szCs w:val="24"/>
                <w:lang w:val="en-US" w:eastAsia="zh-CN"/>
              </w:rPr>
              <w:t>/</w:t>
            </w:r>
          </w:p>
        </w:tc>
        <w:tc>
          <w:tcPr>
            <w:tcW w:w="551" w:type="pct"/>
            <w:noWrap w:val="0"/>
            <w:vAlign w:val="center"/>
          </w:tcPr>
          <w:p w14:paraId="205A6938">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1543" w:type="dxa"/>
            <w:noWrap w:val="0"/>
            <w:vAlign w:val="center"/>
          </w:tcPr>
          <w:p w14:paraId="4CAB8C8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0.010</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27268C69">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2" w:type="pct"/>
            <w:noWrap w:val="0"/>
            <w:vAlign w:val="center"/>
          </w:tcPr>
          <w:p w14:paraId="786F5BA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0.010</w:t>
            </w:r>
            <w:r>
              <w:rPr>
                <w:rFonts w:hint="eastAsia" w:ascii="Times New Roman" w:hAnsi="Times New Roman" w:eastAsia="宋体" w:cs="Times New Roman"/>
                <w:snapToGrid w:val="0"/>
                <w:color w:val="auto"/>
                <w:kern w:val="21"/>
                <w:sz w:val="24"/>
                <w:szCs w:val="24"/>
                <w:lang w:val="en-US" w:eastAsia="zh-CN" w:bidi="ar-SA"/>
              </w:rPr>
              <w:t>t/a</w:t>
            </w:r>
          </w:p>
        </w:tc>
        <w:tc>
          <w:tcPr>
            <w:tcW w:w="1578" w:type="dxa"/>
            <w:noWrap w:val="0"/>
            <w:vAlign w:val="center"/>
          </w:tcPr>
          <w:p w14:paraId="522F365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+0.010</w:t>
            </w:r>
            <w:r>
              <w:rPr>
                <w:rFonts w:hint="eastAsia" w:ascii="Times New Roman" w:hAnsi="Times New Roman" w:eastAsia="宋体" w:cs="Times New Roman"/>
                <w:snapToGrid w:val="0"/>
                <w:color w:val="auto"/>
                <w:kern w:val="21"/>
                <w:sz w:val="24"/>
                <w:szCs w:val="24"/>
                <w:lang w:val="en-US" w:eastAsia="zh-CN" w:bidi="ar-SA"/>
              </w:rPr>
              <w:t>t/a</w:t>
            </w:r>
          </w:p>
        </w:tc>
      </w:tr>
      <w:tr w14:paraId="46581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19" w:type="pct"/>
            <w:vMerge w:val="restart"/>
            <w:noWrap w:val="0"/>
            <w:vAlign w:val="center"/>
          </w:tcPr>
          <w:p w14:paraId="2FD17C7B">
            <w:pPr>
              <w:pStyle w:val="44"/>
              <w:spacing w:beforeLines="0" w:afterLines="0" w:line="240" w:lineRule="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一般工业</w:t>
            </w:r>
          </w:p>
          <w:p w14:paraId="61AF58BD">
            <w:pPr>
              <w:pStyle w:val="44"/>
              <w:spacing w:beforeLines="0" w:afterLines="0" w:line="240" w:lineRule="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固体废物</w:t>
            </w:r>
          </w:p>
        </w:tc>
        <w:tc>
          <w:tcPr>
            <w:tcW w:w="511" w:type="pct"/>
            <w:noWrap w:val="0"/>
            <w:vAlign w:val="center"/>
          </w:tcPr>
          <w:p w14:paraId="3A0F3673">
            <w:pPr>
              <w:spacing w:line="240" w:lineRule="auto"/>
              <w:jc w:val="center"/>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4"/>
                <w:szCs w:val="24"/>
                <w:vertAlign w:val="baseline"/>
                <w:lang w:eastAsia="zh-CN"/>
              </w:rPr>
              <w:t>生活垃圾</w:t>
            </w:r>
          </w:p>
        </w:tc>
        <w:tc>
          <w:tcPr>
            <w:tcW w:w="551" w:type="pct"/>
            <w:noWrap w:val="0"/>
            <w:vAlign w:val="center"/>
          </w:tcPr>
          <w:p w14:paraId="4263FA5D">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5ADC367F">
            <w:pPr>
              <w:spacing w:beforeLines="0" w:afterLines="0" w:line="240" w:lineRule="auto"/>
              <w:jc w:val="center"/>
              <w:rPr>
                <w:rFonts w:hint="default" w:ascii="Times New Roman" w:hAnsi="Times New Roman" w:eastAsia="宋体" w:cs="Times New Roman"/>
                <w:snapToGrid w:val="0"/>
                <w:color w:val="auto"/>
                <w:kern w:val="21"/>
                <w:sz w:val="24"/>
                <w:szCs w:val="24"/>
              </w:rPr>
            </w:pPr>
            <w:r>
              <w:rPr>
                <w:rFonts w:hint="eastAsia" w:cs="Times New Roman"/>
                <w:snapToGrid w:val="0"/>
                <w:color w:val="auto"/>
                <w:kern w:val="21"/>
                <w:sz w:val="24"/>
                <w:szCs w:val="24"/>
                <w:lang w:val="en-US" w:eastAsia="zh-CN"/>
              </w:rPr>
              <w:t>/</w:t>
            </w:r>
          </w:p>
        </w:tc>
        <w:tc>
          <w:tcPr>
            <w:tcW w:w="551" w:type="pct"/>
            <w:noWrap w:val="0"/>
            <w:vAlign w:val="center"/>
          </w:tcPr>
          <w:p w14:paraId="5C309988">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1543" w:type="dxa"/>
            <w:noWrap w:val="0"/>
            <w:vAlign w:val="center"/>
          </w:tcPr>
          <w:p w14:paraId="18092095">
            <w:pPr>
              <w:spacing w:line="240" w:lineRule="auto"/>
              <w:jc w:val="center"/>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cs="Times New Roman"/>
                <w:snapToGrid w:val="0"/>
                <w:color w:val="auto"/>
                <w:kern w:val="21"/>
                <w:sz w:val="24"/>
                <w:szCs w:val="24"/>
                <w:lang w:val="en-US" w:eastAsia="zh-CN" w:bidi="ar-SA"/>
              </w:rPr>
              <w:t>4.65</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64378D0C">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2" w:type="pct"/>
            <w:noWrap w:val="0"/>
            <w:vAlign w:val="center"/>
          </w:tcPr>
          <w:p w14:paraId="1BC23E60">
            <w:pPr>
              <w:spacing w:line="240" w:lineRule="auto"/>
              <w:jc w:val="center"/>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cs="Times New Roman"/>
                <w:snapToGrid w:val="0"/>
                <w:color w:val="auto"/>
                <w:kern w:val="21"/>
                <w:sz w:val="24"/>
                <w:szCs w:val="24"/>
                <w:lang w:val="en-US" w:eastAsia="zh-CN" w:bidi="ar-SA"/>
              </w:rPr>
              <w:t>4.65</w:t>
            </w:r>
            <w:r>
              <w:rPr>
                <w:rFonts w:hint="eastAsia" w:ascii="Times New Roman" w:hAnsi="Times New Roman" w:eastAsia="宋体" w:cs="Times New Roman"/>
                <w:snapToGrid w:val="0"/>
                <w:color w:val="auto"/>
                <w:kern w:val="21"/>
                <w:sz w:val="24"/>
                <w:szCs w:val="24"/>
                <w:lang w:val="en-US" w:eastAsia="zh-CN" w:bidi="ar-SA"/>
              </w:rPr>
              <w:t>t/a</w:t>
            </w:r>
          </w:p>
        </w:tc>
        <w:tc>
          <w:tcPr>
            <w:tcW w:w="1578" w:type="dxa"/>
            <w:noWrap w:val="0"/>
            <w:vAlign w:val="center"/>
          </w:tcPr>
          <w:p w14:paraId="0708C999">
            <w:pPr>
              <w:spacing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+4.65</w:t>
            </w:r>
            <w:r>
              <w:rPr>
                <w:rFonts w:hint="eastAsia" w:ascii="Times New Roman" w:hAnsi="Times New Roman" w:eastAsia="宋体" w:cs="Times New Roman"/>
                <w:snapToGrid w:val="0"/>
                <w:color w:val="auto"/>
                <w:kern w:val="21"/>
                <w:sz w:val="24"/>
                <w:szCs w:val="24"/>
                <w:lang w:val="en-US" w:eastAsia="zh-CN" w:bidi="ar-SA"/>
              </w:rPr>
              <w:t>t/a</w:t>
            </w:r>
          </w:p>
        </w:tc>
      </w:tr>
      <w:tr w14:paraId="1BF85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19" w:type="pct"/>
            <w:vMerge w:val="continue"/>
            <w:noWrap w:val="0"/>
            <w:vAlign w:val="center"/>
          </w:tcPr>
          <w:p w14:paraId="75A5958E">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1FB6DAF8">
            <w:pPr>
              <w:jc w:val="center"/>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 w:val="0"/>
                <w:bCs w:val="0"/>
                <w:snapToGrid/>
                <w:color w:val="auto"/>
                <w:spacing w:val="0"/>
                <w:kern w:val="0"/>
                <w:position w:val="0"/>
                <w:sz w:val="24"/>
                <w:szCs w:val="24"/>
                <w:vertAlign w:val="baseline"/>
                <w:lang w:val="en-US" w:eastAsia="zh-CN" w:bidi="ar-SA"/>
              </w:rPr>
              <w:t>废</w:t>
            </w:r>
            <w:r>
              <w:rPr>
                <w:rFonts w:hint="eastAsia" w:cs="Times New Roman"/>
                <w:b w:val="0"/>
                <w:bCs w:val="0"/>
                <w:snapToGrid/>
                <w:color w:val="auto"/>
                <w:spacing w:val="0"/>
                <w:kern w:val="0"/>
                <w:position w:val="0"/>
                <w:sz w:val="24"/>
                <w:szCs w:val="24"/>
                <w:vertAlign w:val="baseline"/>
                <w:lang w:val="en-US" w:eastAsia="zh-CN" w:bidi="ar-SA"/>
              </w:rPr>
              <w:t>边角料</w:t>
            </w:r>
          </w:p>
        </w:tc>
        <w:tc>
          <w:tcPr>
            <w:tcW w:w="551" w:type="pct"/>
            <w:noWrap w:val="0"/>
            <w:vAlign w:val="center"/>
          </w:tcPr>
          <w:p w14:paraId="52F87C1C">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7EE4B613">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4291965A">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1543" w:type="dxa"/>
            <w:noWrap w:val="0"/>
            <w:vAlign w:val="center"/>
          </w:tcPr>
          <w:p w14:paraId="55D8D4F2">
            <w:pPr>
              <w:spacing w:line="240" w:lineRule="auto"/>
              <w:jc w:val="center"/>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cs="Times New Roman"/>
                <w:snapToGrid w:val="0"/>
                <w:color w:val="auto"/>
                <w:kern w:val="21"/>
                <w:sz w:val="24"/>
                <w:szCs w:val="24"/>
                <w:lang w:val="en-US" w:eastAsia="zh-CN" w:bidi="ar-SA"/>
              </w:rPr>
              <w:t>4</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56C760E8">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2" w:type="pct"/>
            <w:noWrap w:val="0"/>
            <w:vAlign w:val="center"/>
          </w:tcPr>
          <w:p w14:paraId="6EEBEA70">
            <w:pPr>
              <w:spacing w:line="240" w:lineRule="auto"/>
              <w:jc w:val="center"/>
              <w:rPr>
                <w:rFonts w:hint="eastAsia" w:ascii="Times New Roman" w:hAnsi="Times New Roman" w:eastAsia="宋体" w:cs="Times New Roman"/>
                <w:b w:val="0"/>
                <w:bCs w:val="0"/>
                <w:color w:val="auto"/>
                <w:kern w:val="2"/>
                <w:sz w:val="24"/>
                <w:szCs w:val="24"/>
                <w:vertAlign w:val="baseline"/>
                <w:lang w:val="en-US" w:eastAsia="zh-CN" w:bidi="ar-SA"/>
              </w:rPr>
            </w:pPr>
            <w:r>
              <w:rPr>
                <w:rFonts w:hint="eastAsia" w:cs="Times New Roman"/>
                <w:snapToGrid w:val="0"/>
                <w:color w:val="auto"/>
                <w:kern w:val="21"/>
                <w:sz w:val="24"/>
                <w:szCs w:val="24"/>
                <w:lang w:val="en-US" w:eastAsia="zh-CN" w:bidi="ar-SA"/>
              </w:rPr>
              <w:t>4</w:t>
            </w:r>
            <w:r>
              <w:rPr>
                <w:rFonts w:hint="eastAsia" w:ascii="Times New Roman" w:hAnsi="Times New Roman" w:eastAsia="宋体" w:cs="Times New Roman"/>
                <w:snapToGrid w:val="0"/>
                <w:color w:val="auto"/>
                <w:kern w:val="21"/>
                <w:sz w:val="24"/>
                <w:szCs w:val="24"/>
                <w:lang w:val="en-US" w:eastAsia="zh-CN" w:bidi="ar-SA"/>
              </w:rPr>
              <w:t>t/a</w:t>
            </w:r>
          </w:p>
        </w:tc>
        <w:tc>
          <w:tcPr>
            <w:tcW w:w="1578" w:type="dxa"/>
            <w:noWrap w:val="0"/>
            <w:vAlign w:val="center"/>
          </w:tcPr>
          <w:p w14:paraId="49CEAFDB">
            <w:pPr>
              <w:spacing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+4</w:t>
            </w:r>
            <w:r>
              <w:rPr>
                <w:rFonts w:hint="eastAsia" w:ascii="Times New Roman" w:hAnsi="Times New Roman" w:eastAsia="宋体" w:cs="Times New Roman"/>
                <w:snapToGrid w:val="0"/>
                <w:color w:val="auto"/>
                <w:kern w:val="21"/>
                <w:sz w:val="24"/>
                <w:szCs w:val="24"/>
                <w:lang w:val="en-US" w:eastAsia="zh-CN" w:bidi="ar-SA"/>
              </w:rPr>
              <w:t>t/a</w:t>
            </w:r>
          </w:p>
        </w:tc>
      </w:tr>
      <w:tr w14:paraId="6F061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19" w:type="pct"/>
            <w:vMerge w:val="continue"/>
            <w:noWrap w:val="0"/>
            <w:vAlign w:val="center"/>
          </w:tcPr>
          <w:p w14:paraId="1F5496F3">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216C8195">
            <w:pPr>
              <w:jc w:val="center"/>
              <w:rPr>
                <w:rFonts w:hint="default" w:ascii="Times New Roman" w:hAnsi="Times New Roman" w:eastAsia="宋体" w:cs="Times New Roman"/>
                <w:bCs/>
                <w:color w:val="auto"/>
                <w:kern w:val="2"/>
                <w:sz w:val="24"/>
                <w:szCs w:val="24"/>
                <w:lang w:val="en-US" w:eastAsia="zh-CN" w:bidi="ar-SA"/>
              </w:rPr>
            </w:pPr>
            <w:r>
              <w:rPr>
                <w:rFonts w:hint="eastAsia" w:cs="Times New Roman"/>
                <w:b w:val="0"/>
                <w:bCs w:val="0"/>
                <w:snapToGrid/>
                <w:color w:val="auto"/>
                <w:spacing w:val="0"/>
                <w:kern w:val="0"/>
                <w:position w:val="0"/>
                <w:sz w:val="24"/>
                <w:szCs w:val="24"/>
                <w:vertAlign w:val="baseline"/>
                <w:lang w:val="en-US" w:eastAsia="zh-CN" w:bidi="ar-SA"/>
              </w:rPr>
              <w:t>不合格品</w:t>
            </w:r>
          </w:p>
        </w:tc>
        <w:tc>
          <w:tcPr>
            <w:tcW w:w="551" w:type="pct"/>
            <w:noWrap w:val="0"/>
            <w:vAlign w:val="center"/>
          </w:tcPr>
          <w:p w14:paraId="0F7D4B68">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0A8DB97C">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1D940D81">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1543" w:type="dxa"/>
            <w:noWrap w:val="0"/>
            <w:vAlign w:val="center"/>
          </w:tcPr>
          <w:p w14:paraId="5520DF65">
            <w:pPr>
              <w:spacing w:line="240" w:lineRule="auto"/>
              <w:jc w:val="center"/>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cs="Times New Roman"/>
                <w:snapToGrid w:val="0"/>
                <w:color w:val="auto"/>
                <w:kern w:val="21"/>
                <w:sz w:val="24"/>
                <w:szCs w:val="24"/>
                <w:lang w:val="en-US" w:eastAsia="zh-CN" w:bidi="ar-SA"/>
              </w:rPr>
              <w:t>8</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1CEEB1D0">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2" w:type="pct"/>
            <w:noWrap w:val="0"/>
            <w:vAlign w:val="center"/>
          </w:tcPr>
          <w:p w14:paraId="269557B3">
            <w:pPr>
              <w:spacing w:line="240" w:lineRule="auto"/>
              <w:jc w:val="center"/>
              <w:rPr>
                <w:rFonts w:hint="eastAsia" w:ascii="Times New Roman" w:hAnsi="Times New Roman" w:eastAsia="宋体" w:cs="Times New Roman"/>
                <w:b w:val="0"/>
                <w:bCs w:val="0"/>
                <w:color w:val="auto"/>
                <w:kern w:val="2"/>
                <w:sz w:val="24"/>
                <w:szCs w:val="24"/>
                <w:vertAlign w:val="baseline"/>
                <w:lang w:val="en-US" w:eastAsia="zh-CN" w:bidi="ar-SA"/>
              </w:rPr>
            </w:pPr>
            <w:r>
              <w:rPr>
                <w:rFonts w:hint="eastAsia" w:cs="Times New Roman"/>
                <w:snapToGrid w:val="0"/>
                <w:color w:val="auto"/>
                <w:kern w:val="21"/>
                <w:sz w:val="24"/>
                <w:szCs w:val="24"/>
                <w:lang w:val="en-US" w:eastAsia="zh-CN" w:bidi="ar-SA"/>
              </w:rPr>
              <w:t>8</w:t>
            </w:r>
            <w:r>
              <w:rPr>
                <w:rFonts w:hint="eastAsia" w:ascii="Times New Roman" w:hAnsi="Times New Roman" w:eastAsia="宋体" w:cs="Times New Roman"/>
                <w:snapToGrid w:val="0"/>
                <w:color w:val="auto"/>
                <w:kern w:val="21"/>
                <w:sz w:val="24"/>
                <w:szCs w:val="24"/>
                <w:lang w:val="en-US" w:eastAsia="zh-CN" w:bidi="ar-SA"/>
              </w:rPr>
              <w:t>t/a</w:t>
            </w:r>
          </w:p>
        </w:tc>
        <w:tc>
          <w:tcPr>
            <w:tcW w:w="1578" w:type="dxa"/>
            <w:noWrap w:val="0"/>
            <w:vAlign w:val="center"/>
          </w:tcPr>
          <w:p w14:paraId="658AAB09">
            <w:pPr>
              <w:spacing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+8</w:t>
            </w:r>
            <w:r>
              <w:rPr>
                <w:rFonts w:hint="eastAsia" w:ascii="Times New Roman" w:hAnsi="Times New Roman" w:eastAsia="宋体" w:cs="Times New Roman"/>
                <w:snapToGrid w:val="0"/>
                <w:color w:val="auto"/>
                <w:kern w:val="21"/>
                <w:sz w:val="24"/>
                <w:szCs w:val="24"/>
                <w:lang w:val="en-US" w:eastAsia="zh-CN" w:bidi="ar-SA"/>
              </w:rPr>
              <w:t>t/a</w:t>
            </w:r>
          </w:p>
        </w:tc>
      </w:tr>
      <w:tr w14:paraId="4678A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19" w:type="pct"/>
            <w:vMerge w:val="continue"/>
            <w:noWrap w:val="0"/>
            <w:vAlign w:val="center"/>
          </w:tcPr>
          <w:p w14:paraId="138D9470">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7617181A">
            <w:pPr>
              <w:jc w:val="center"/>
              <w:rPr>
                <w:rFonts w:hint="default" w:ascii="Times New Roman" w:hAnsi="Times New Roman" w:eastAsia="宋体" w:cs="Times New Roman"/>
                <w:bCs/>
                <w:color w:val="auto"/>
                <w:kern w:val="2"/>
                <w:sz w:val="24"/>
                <w:szCs w:val="24"/>
                <w:lang w:val="en-US" w:eastAsia="zh-CN" w:bidi="ar-SA"/>
              </w:rPr>
            </w:pPr>
            <w:r>
              <w:rPr>
                <w:rFonts w:hint="eastAsia" w:cs="Times New Roman"/>
                <w:b w:val="0"/>
                <w:bCs w:val="0"/>
                <w:snapToGrid/>
                <w:color w:val="auto"/>
                <w:spacing w:val="0"/>
                <w:kern w:val="0"/>
                <w:position w:val="0"/>
                <w:sz w:val="24"/>
                <w:szCs w:val="24"/>
                <w:vertAlign w:val="baseline"/>
                <w:lang w:val="en-US" w:eastAsia="zh-CN" w:bidi="ar-SA"/>
              </w:rPr>
              <w:t>废包装材料</w:t>
            </w:r>
          </w:p>
        </w:tc>
        <w:tc>
          <w:tcPr>
            <w:tcW w:w="551" w:type="pct"/>
            <w:noWrap w:val="0"/>
            <w:vAlign w:val="center"/>
          </w:tcPr>
          <w:p w14:paraId="2A836855">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78FB1016">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4A150C20">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1543" w:type="dxa"/>
            <w:noWrap w:val="0"/>
            <w:vAlign w:val="center"/>
          </w:tcPr>
          <w:p w14:paraId="23F1C10B">
            <w:pPr>
              <w:spacing w:line="240" w:lineRule="auto"/>
              <w:jc w:val="center"/>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cs="Times New Roman"/>
                <w:snapToGrid w:val="0"/>
                <w:color w:val="auto"/>
                <w:kern w:val="21"/>
                <w:sz w:val="24"/>
                <w:szCs w:val="24"/>
                <w:lang w:val="en-US" w:eastAsia="zh-CN" w:bidi="ar-SA"/>
              </w:rPr>
              <w:t>0.1</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2D2D68E5">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2" w:type="pct"/>
            <w:noWrap w:val="0"/>
            <w:vAlign w:val="center"/>
          </w:tcPr>
          <w:p w14:paraId="415ED356">
            <w:pPr>
              <w:spacing w:line="240" w:lineRule="auto"/>
              <w:jc w:val="center"/>
              <w:rPr>
                <w:rFonts w:hint="eastAsia" w:ascii="Times New Roman" w:hAnsi="Times New Roman" w:eastAsia="宋体" w:cs="Times New Roman"/>
                <w:b w:val="0"/>
                <w:bCs w:val="0"/>
                <w:color w:val="auto"/>
                <w:kern w:val="2"/>
                <w:sz w:val="24"/>
                <w:szCs w:val="24"/>
                <w:vertAlign w:val="baseline"/>
                <w:lang w:val="en-US" w:eastAsia="zh-CN" w:bidi="ar-SA"/>
              </w:rPr>
            </w:pPr>
            <w:r>
              <w:rPr>
                <w:rFonts w:hint="eastAsia" w:cs="Times New Roman"/>
                <w:snapToGrid w:val="0"/>
                <w:color w:val="auto"/>
                <w:kern w:val="21"/>
                <w:sz w:val="24"/>
                <w:szCs w:val="24"/>
                <w:lang w:val="en-US" w:eastAsia="zh-CN" w:bidi="ar-SA"/>
              </w:rPr>
              <w:t>0.1</w:t>
            </w:r>
            <w:r>
              <w:rPr>
                <w:rFonts w:hint="eastAsia" w:ascii="Times New Roman" w:hAnsi="Times New Roman" w:eastAsia="宋体" w:cs="Times New Roman"/>
                <w:snapToGrid w:val="0"/>
                <w:color w:val="auto"/>
                <w:kern w:val="21"/>
                <w:sz w:val="24"/>
                <w:szCs w:val="24"/>
                <w:lang w:val="en-US" w:eastAsia="zh-CN" w:bidi="ar-SA"/>
              </w:rPr>
              <w:t>t/a</w:t>
            </w:r>
          </w:p>
        </w:tc>
        <w:tc>
          <w:tcPr>
            <w:tcW w:w="1578" w:type="dxa"/>
            <w:noWrap w:val="0"/>
            <w:vAlign w:val="center"/>
          </w:tcPr>
          <w:p w14:paraId="054BEC9B">
            <w:pPr>
              <w:spacing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+0.1</w:t>
            </w:r>
            <w:r>
              <w:rPr>
                <w:rFonts w:hint="eastAsia" w:ascii="Times New Roman" w:hAnsi="Times New Roman" w:eastAsia="宋体" w:cs="Times New Roman"/>
                <w:snapToGrid w:val="0"/>
                <w:color w:val="auto"/>
                <w:kern w:val="21"/>
                <w:sz w:val="24"/>
                <w:szCs w:val="24"/>
                <w:lang w:val="en-US" w:eastAsia="zh-CN" w:bidi="ar-SA"/>
              </w:rPr>
              <w:t>t/a</w:t>
            </w:r>
          </w:p>
        </w:tc>
      </w:tr>
      <w:tr w14:paraId="4C666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vMerge w:val="restart"/>
            <w:noWrap w:val="0"/>
            <w:vAlign w:val="center"/>
          </w:tcPr>
          <w:p w14:paraId="6E509680">
            <w:pPr>
              <w:pStyle w:val="44"/>
              <w:spacing w:beforeLines="0" w:afterLines="0" w:line="240" w:lineRule="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危险废物</w:t>
            </w:r>
          </w:p>
        </w:tc>
        <w:tc>
          <w:tcPr>
            <w:tcW w:w="511" w:type="pct"/>
            <w:noWrap w:val="0"/>
            <w:vAlign w:val="center"/>
          </w:tcPr>
          <w:p w14:paraId="5D0BC96F">
            <w:pPr>
              <w:jc w:val="center"/>
              <w:rPr>
                <w:rFonts w:hint="default" w:ascii="Times New Roman" w:hAnsi="Times New Roman" w:eastAsia="宋体" w:cs="Times New Roman"/>
                <w:bCs/>
                <w:color w:val="auto"/>
                <w:kern w:val="2"/>
                <w:sz w:val="24"/>
                <w:szCs w:val="24"/>
                <w:lang w:val="en-US" w:eastAsia="zh-CN" w:bidi="ar-SA"/>
              </w:rPr>
            </w:pPr>
            <w:r>
              <w:rPr>
                <w:rFonts w:hint="eastAsia" w:cs="Times New Roman"/>
                <w:bCs/>
                <w:snapToGrid/>
                <w:color w:val="auto"/>
                <w:spacing w:val="0"/>
                <w:kern w:val="0"/>
                <w:position w:val="0"/>
                <w:sz w:val="24"/>
                <w:szCs w:val="24"/>
                <w:lang w:val="en-US" w:eastAsia="zh-CN"/>
              </w:rPr>
              <w:t>废油桶</w:t>
            </w:r>
          </w:p>
        </w:tc>
        <w:tc>
          <w:tcPr>
            <w:tcW w:w="551" w:type="pct"/>
            <w:noWrap w:val="0"/>
            <w:vAlign w:val="center"/>
          </w:tcPr>
          <w:p w14:paraId="617D08D4">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1813E277">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12DFDE9A">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1543" w:type="dxa"/>
            <w:noWrap w:val="0"/>
            <w:vAlign w:val="center"/>
          </w:tcPr>
          <w:p w14:paraId="3D0D9E81">
            <w:pPr>
              <w:spacing w:line="240" w:lineRule="exact"/>
              <w:jc w:val="center"/>
              <w:rPr>
                <w:rFonts w:hint="default" w:ascii="Times New Roman" w:hAnsi="Times New Roman" w:eastAsia="宋体" w:cs="Times New Roman"/>
                <w:color w:val="auto"/>
                <w:kern w:val="0"/>
                <w:sz w:val="24"/>
                <w:szCs w:val="24"/>
                <w:lang w:val="en-US" w:eastAsia="zh-CN" w:bidi="ar-SA"/>
              </w:rPr>
            </w:pPr>
            <w:r>
              <w:rPr>
                <w:rFonts w:hint="eastAsia" w:cs="Times New Roman"/>
                <w:snapToGrid/>
                <w:color w:val="auto"/>
                <w:spacing w:val="0"/>
                <w:kern w:val="0"/>
                <w:position w:val="0"/>
                <w:sz w:val="24"/>
                <w:szCs w:val="24"/>
                <w:lang w:val="en-US" w:eastAsia="zh-CN"/>
              </w:rPr>
              <w:t>0.11</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6EF6FDEB">
            <w:pPr>
              <w:spacing w:beforeLines="0" w:afterLines="0" w:line="240" w:lineRule="auto"/>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2" w:type="pct"/>
            <w:noWrap w:val="0"/>
            <w:vAlign w:val="center"/>
          </w:tcPr>
          <w:p w14:paraId="7A477283">
            <w:pPr>
              <w:spacing w:line="240" w:lineRule="exact"/>
              <w:jc w:val="center"/>
              <w:rPr>
                <w:rFonts w:hint="default" w:ascii="Times New Roman" w:hAnsi="Times New Roman" w:eastAsia="宋体" w:cs="Times New Roman"/>
                <w:color w:val="auto"/>
                <w:kern w:val="0"/>
                <w:sz w:val="24"/>
                <w:szCs w:val="24"/>
                <w:lang w:val="en-US" w:eastAsia="zh-CN" w:bidi="ar-SA"/>
              </w:rPr>
            </w:pPr>
            <w:r>
              <w:rPr>
                <w:rFonts w:hint="eastAsia" w:cs="Times New Roman"/>
                <w:snapToGrid/>
                <w:color w:val="auto"/>
                <w:spacing w:val="0"/>
                <w:kern w:val="0"/>
                <w:position w:val="0"/>
                <w:sz w:val="24"/>
                <w:szCs w:val="24"/>
                <w:lang w:val="en-US" w:eastAsia="zh-CN"/>
              </w:rPr>
              <w:t>0.11</w:t>
            </w:r>
            <w:r>
              <w:rPr>
                <w:rFonts w:hint="eastAsia" w:ascii="Times New Roman" w:hAnsi="Times New Roman" w:eastAsia="宋体" w:cs="Times New Roman"/>
                <w:snapToGrid w:val="0"/>
                <w:color w:val="auto"/>
                <w:kern w:val="21"/>
                <w:sz w:val="24"/>
                <w:szCs w:val="24"/>
                <w:lang w:val="en-US" w:eastAsia="zh-CN" w:bidi="ar-SA"/>
              </w:rPr>
              <w:t>t/a</w:t>
            </w:r>
          </w:p>
        </w:tc>
        <w:tc>
          <w:tcPr>
            <w:tcW w:w="1578" w:type="dxa"/>
            <w:noWrap w:val="0"/>
            <w:vAlign w:val="center"/>
          </w:tcPr>
          <w:p w14:paraId="64A4D6BA">
            <w:pPr>
              <w:spacing w:line="240" w:lineRule="exact"/>
              <w:jc w:val="center"/>
              <w:rPr>
                <w:rFonts w:hint="default" w:ascii="Times New Roman" w:hAnsi="Times New Roman" w:eastAsia="宋体" w:cs="Times New Roman"/>
                <w:snapToGrid w:val="0"/>
                <w:color w:val="auto"/>
                <w:kern w:val="21"/>
                <w:sz w:val="24"/>
                <w:szCs w:val="24"/>
                <w:lang w:val="en-US" w:eastAsia="zh-CN" w:bidi="ar-SA"/>
              </w:rPr>
            </w:pPr>
            <w:r>
              <w:rPr>
                <w:rFonts w:hint="eastAsia" w:cs="Times New Roman"/>
                <w:snapToGrid/>
                <w:color w:val="auto"/>
                <w:spacing w:val="0"/>
                <w:kern w:val="0"/>
                <w:position w:val="0"/>
                <w:sz w:val="24"/>
                <w:szCs w:val="24"/>
                <w:lang w:val="en-US" w:eastAsia="zh-CN"/>
              </w:rPr>
              <w:t>+0.11</w:t>
            </w:r>
            <w:r>
              <w:rPr>
                <w:rFonts w:hint="eastAsia" w:ascii="Times New Roman" w:hAnsi="Times New Roman" w:eastAsia="宋体" w:cs="Times New Roman"/>
                <w:snapToGrid w:val="0"/>
                <w:color w:val="auto"/>
                <w:kern w:val="21"/>
                <w:sz w:val="24"/>
                <w:szCs w:val="24"/>
                <w:lang w:val="en-US" w:eastAsia="zh-CN" w:bidi="ar-SA"/>
              </w:rPr>
              <w:t>t/a</w:t>
            </w:r>
          </w:p>
        </w:tc>
      </w:tr>
      <w:tr w14:paraId="44CD4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19" w:type="pct"/>
            <w:vMerge w:val="continue"/>
            <w:noWrap w:val="0"/>
            <w:vAlign w:val="center"/>
          </w:tcPr>
          <w:p w14:paraId="242A3BC9">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2A9596A0">
            <w:pPr>
              <w:jc w:val="center"/>
              <w:rPr>
                <w:rFonts w:hint="eastAsia" w:ascii="Times New Roman" w:hAnsi="Times New Roman" w:eastAsia="宋体" w:cs="Times New Roman"/>
                <w:bCs/>
                <w:color w:val="auto"/>
                <w:kern w:val="2"/>
                <w:sz w:val="24"/>
                <w:szCs w:val="24"/>
                <w:lang w:val="en-US" w:eastAsia="zh-CN" w:bidi="ar-SA"/>
              </w:rPr>
            </w:pPr>
            <w:r>
              <w:rPr>
                <w:rFonts w:hint="eastAsia"/>
                <w:color w:val="auto"/>
                <w:sz w:val="24"/>
                <w:szCs w:val="24"/>
                <w:lang w:val="en-US" w:eastAsia="zh-CN"/>
              </w:rPr>
              <w:t>废抗磨液压油</w:t>
            </w:r>
          </w:p>
        </w:tc>
        <w:tc>
          <w:tcPr>
            <w:tcW w:w="551" w:type="pct"/>
            <w:noWrap w:val="0"/>
            <w:vAlign w:val="center"/>
          </w:tcPr>
          <w:p w14:paraId="35BDEB62">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3D013D99">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1" w:type="pct"/>
            <w:noWrap w:val="0"/>
            <w:vAlign w:val="center"/>
          </w:tcPr>
          <w:p w14:paraId="542D85CC">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1543" w:type="dxa"/>
            <w:noWrap w:val="0"/>
            <w:vAlign w:val="center"/>
          </w:tcPr>
          <w:p w14:paraId="79150F16">
            <w:pPr>
              <w:spacing w:line="240" w:lineRule="exact"/>
              <w:jc w:val="center"/>
              <w:rPr>
                <w:rFonts w:hint="default" w:ascii="Times New Roman" w:hAnsi="Times New Roman" w:eastAsia="宋体" w:cs="Times New Roman"/>
                <w:color w:val="auto"/>
                <w:kern w:val="0"/>
                <w:sz w:val="24"/>
                <w:szCs w:val="24"/>
                <w:lang w:val="en-US" w:eastAsia="zh-CN" w:bidi="ar-SA"/>
              </w:rPr>
            </w:pPr>
            <w:r>
              <w:rPr>
                <w:rFonts w:hint="eastAsia" w:cs="Times New Roman"/>
                <w:snapToGrid w:val="0"/>
                <w:color w:val="auto"/>
                <w:kern w:val="21"/>
                <w:sz w:val="24"/>
                <w:szCs w:val="24"/>
                <w:lang w:val="en-US" w:eastAsia="zh-CN" w:bidi="ar-SA"/>
              </w:rPr>
              <w:t>0.2</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4EAB3F1E">
            <w:pPr>
              <w:spacing w:beforeLines="0" w:afterLines="0" w:line="240" w:lineRule="auto"/>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rPr>
              <w:t>/</w:t>
            </w:r>
          </w:p>
        </w:tc>
        <w:tc>
          <w:tcPr>
            <w:tcW w:w="552" w:type="pct"/>
            <w:noWrap w:val="0"/>
            <w:vAlign w:val="center"/>
          </w:tcPr>
          <w:p w14:paraId="226464CC">
            <w:pPr>
              <w:spacing w:line="240" w:lineRule="exact"/>
              <w:jc w:val="center"/>
              <w:rPr>
                <w:rFonts w:hint="eastAsia" w:ascii="Times New Roman" w:hAnsi="Times New Roman" w:eastAsia="宋体" w:cs="Times New Roman"/>
                <w:color w:val="auto"/>
                <w:kern w:val="0"/>
                <w:sz w:val="24"/>
                <w:szCs w:val="24"/>
                <w:lang w:val="en-US" w:eastAsia="zh-CN" w:bidi="ar-SA"/>
              </w:rPr>
            </w:pPr>
            <w:r>
              <w:rPr>
                <w:rFonts w:hint="eastAsia" w:cs="Times New Roman"/>
                <w:snapToGrid w:val="0"/>
                <w:color w:val="auto"/>
                <w:kern w:val="21"/>
                <w:sz w:val="24"/>
                <w:szCs w:val="24"/>
                <w:lang w:val="en-US" w:eastAsia="zh-CN" w:bidi="ar-SA"/>
              </w:rPr>
              <w:t>0.2</w:t>
            </w:r>
            <w:r>
              <w:rPr>
                <w:rFonts w:hint="eastAsia" w:ascii="Times New Roman" w:hAnsi="Times New Roman" w:eastAsia="宋体" w:cs="Times New Roman"/>
                <w:snapToGrid w:val="0"/>
                <w:color w:val="auto"/>
                <w:kern w:val="21"/>
                <w:sz w:val="24"/>
                <w:szCs w:val="24"/>
                <w:lang w:val="en-US" w:eastAsia="zh-CN" w:bidi="ar-SA"/>
              </w:rPr>
              <w:t>t/a</w:t>
            </w:r>
          </w:p>
        </w:tc>
        <w:tc>
          <w:tcPr>
            <w:tcW w:w="1578" w:type="dxa"/>
            <w:noWrap w:val="0"/>
            <w:vAlign w:val="center"/>
          </w:tcPr>
          <w:p w14:paraId="7D7D795B">
            <w:pPr>
              <w:spacing w:line="240" w:lineRule="exact"/>
              <w:jc w:val="center"/>
              <w:rPr>
                <w:rFonts w:hint="eastAsia" w:ascii="Times New Roman" w:hAnsi="Times New Roman" w:eastAsia="宋体"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+0.2</w:t>
            </w:r>
            <w:r>
              <w:rPr>
                <w:rFonts w:hint="eastAsia" w:ascii="Times New Roman" w:hAnsi="Times New Roman" w:eastAsia="宋体" w:cs="Times New Roman"/>
                <w:snapToGrid w:val="0"/>
                <w:color w:val="auto"/>
                <w:kern w:val="21"/>
                <w:sz w:val="24"/>
                <w:szCs w:val="24"/>
                <w:lang w:val="en-US" w:eastAsia="zh-CN" w:bidi="ar-SA"/>
              </w:rPr>
              <w:t>t/a</w:t>
            </w:r>
          </w:p>
        </w:tc>
      </w:tr>
      <w:tr w14:paraId="1D9CE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vMerge w:val="continue"/>
            <w:noWrap w:val="0"/>
            <w:vAlign w:val="center"/>
          </w:tcPr>
          <w:p w14:paraId="5B8F788F">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04DC716E">
            <w:pPr>
              <w:jc w:val="center"/>
              <w:rPr>
                <w:rFonts w:hint="default"/>
                <w:color w:val="auto"/>
                <w:sz w:val="24"/>
                <w:szCs w:val="24"/>
                <w:lang w:val="en-US" w:eastAsia="zh-CN"/>
              </w:rPr>
            </w:pPr>
            <w:r>
              <w:rPr>
                <w:rFonts w:hint="eastAsia"/>
                <w:color w:val="auto"/>
                <w:sz w:val="24"/>
                <w:szCs w:val="24"/>
                <w:lang w:val="en-US" w:eastAsia="zh-CN"/>
              </w:rPr>
              <w:t>废切削液</w:t>
            </w:r>
          </w:p>
        </w:tc>
        <w:tc>
          <w:tcPr>
            <w:tcW w:w="551" w:type="pct"/>
            <w:noWrap w:val="0"/>
            <w:vAlign w:val="center"/>
          </w:tcPr>
          <w:p w14:paraId="09CDBDC9">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07A16073">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25D6AAB2">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1543" w:type="dxa"/>
            <w:noWrap w:val="0"/>
            <w:vAlign w:val="center"/>
          </w:tcPr>
          <w:p w14:paraId="7D21BC84">
            <w:pPr>
              <w:spacing w:line="240" w:lineRule="exact"/>
              <w:jc w:val="center"/>
              <w:rPr>
                <w:rFonts w:hint="default" w:ascii="Times New Roman" w:hAnsi="Times New Roman" w:cs="Times New Roman"/>
                <w:snapToGrid/>
                <w:color w:val="auto"/>
                <w:spacing w:val="0"/>
                <w:kern w:val="0"/>
                <w:position w:val="0"/>
                <w:sz w:val="24"/>
                <w:szCs w:val="24"/>
                <w:lang w:val="en-US" w:eastAsia="zh-CN"/>
              </w:rPr>
            </w:pPr>
            <w:r>
              <w:rPr>
                <w:rFonts w:hint="eastAsia" w:cs="Times New Roman"/>
                <w:snapToGrid w:val="0"/>
                <w:color w:val="auto"/>
                <w:kern w:val="21"/>
                <w:sz w:val="24"/>
                <w:szCs w:val="24"/>
                <w:lang w:val="en-US" w:eastAsia="zh-CN" w:bidi="ar-SA"/>
              </w:rPr>
              <w:t>0.25</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3A0F03D7">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2" w:type="pct"/>
            <w:noWrap w:val="0"/>
            <w:vAlign w:val="center"/>
          </w:tcPr>
          <w:p w14:paraId="6C7AA9EE">
            <w:pPr>
              <w:spacing w:line="240" w:lineRule="exact"/>
              <w:jc w:val="center"/>
              <w:rPr>
                <w:rFonts w:hint="default" w:ascii="Times New Roman" w:hAnsi="Times New Roman" w:cs="Times New Roman"/>
                <w:snapToGrid/>
                <w:color w:val="auto"/>
                <w:spacing w:val="0"/>
                <w:kern w:val="0"/>
                <w:position w:val="0"/>
                <w:sz w:val="24"/>
                <w:szCs w:val="24"/>
                <w:lang w:val="en-US" w:eastAsia="zh-CN"/>
              </w:rPr>
            </w:pPr>
            <w:r>
              <w:rPr>
                <w:rFonts w:hint="eastAsia" w:cs="Times New Roman"/>
                <w:snapToGrid w:val="0"/>
                <w:color w:val="auto"/>
                <w:kern w:val="21"/>
                <w:sz w:val="24"/>
                <w:szCs w:val="24"/>
                <w:lang w:val="en-US" w:eastAsia="zh-CN" w:bidi="ar-SA"/>
              </w:rPr>
              <w:t>0.25</w:t>
            </w:r>
            <w:r>
              <w:rPr>
                <w:rFonts w:hint="eastAsia" w:ascii="Times New Roman" w:hAnsi="Times New Roman" w:eastAsia="宋体" w:cs="Times New Roman"/>
                <w:snapToGrid w:val="0"/>
                <w:color w:val="auto"/>
                <w:kern w:val="21"/>
                <w:sz w:val="24"/>
                <w:szCs w:val="24"/>
                <w:lang w:val="en-US" w:eastAsia="zh-CN" w:bidi="ar-SA"/>
              </w:rPr>
              <w:t>t/a</w:t>
            </w:r>
          </w:p>
        </w:tc>
        <w:tc>
          <w:tcPr>
            <w:tcW w:w="1578" w:type="dxa"/>
            <w:noWrap w:val="0"/>
            <w:vAlign w:val="center"/>
          </w:tcPr>
          <w:p w14:paraId="42AC6585">
            <w:pPr>
              <w:spacing w:line="240" w:lineRule="exact"/>
              <w:jc w:val="center"/>
              <w:rPr>
                <w:rFonts w:hint="eastAsia" w:ascii="Times New Roman" w:hAnsi="Times New Roman" w:cs="Times New Roman"/>
                <w:snapToGrid/>
                <w:color w:val="auto"/>
                <w:spacing w:val="0"/>
                <w:kern w:val="0"/>
                <w:position w:val="0"/>
                <w:sz w:val="24"/>
                <w:szCs w:val="24"/>
                <w:lang w:val="en-US" w:eastAsia="zh-CN"/>
              </w:rPr>
            </w:pPr>
            <w:r>
              <w:rPr>
                <w:rFonts w:hint="eastAsia" w:cs="Times New Roman"/>
                <w:snapToGrid w:val="0"/>
                <w:color w:val="auto"/>
                <w:kern w:val="21"/>
                <w:sz w:val="24"/>
                <w:szCs w:val="24"/>
                <w:lang w:val="en-US" w:eastAsia="zh-CN" w:bidi="ar-SA"/>
              </w:rPr>
              <w:t>+0.25</w:t>
            </w:r>
            <w:r>
              <w:rPr>
                <w:rFonts w:hint="eastAsia" w:ascii="Times New Roman" w:hAnsi="Times New Roman" w:eastAsia="宋体" w:cs="Times New Roman"/>
                <w:snapToGrid w:val="0"/>
                <w:color w:val="auto"/>
                <w:kern w:val="21"/>
                <w:sz w:val="24"/>
                <w:szCs w:val="24"/>
                <w:lang w:val="en-US" w:eastAsia="zh-CN" w:bidi="ar-SA"/>
              </w:rPr>
              <w:t>t/a</w:t>
            </w:r>
          </w:p>
        </w:tc>
      </w:tr>
      <w:tr w14:paraId="66CD5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000" w:type="pct"/>
            <w:gridSpan w:val="9"/>
            <w:noWrap w:val="0"/>
            <w:vAlign w:val="center"/>
          </w:tcPr>
          <w:p w14:paraId="418E9FAF">
            <w:pPr>
              <w:spacing w:line="240" w:lineRule="exact"/>
              <w:jc w:val="center"/>
              <w:rPr>
                <w:rFonts w:hint="eastAsia" w:cs="Times New Roman"/>
                <w:snapToGrid/>
                <w:color w:val="auto"/>
                <w:spacing w:val="0"/>
                <w:kern w:val="0"/>
                <w:position w:val="0"/>
                <w:sz w:val="24"/>
                <w:szCs w:val="24"/>
                <w:lang w:val="en-US" w:eastAsia="zh-CN"/>
              </w:rPr>
            </w:pPr>
            <w:r>
              <w:rPr>
                <w:rFonts w:hint="eastAsia" w:ascii="Times New Roman" w:hAnsi="Times New Roman" w:eastAsia="宋体" w:cs="Times New Roman"/>
                <w:color w:val="auto"/>
                <w:sz w:val="24"/>
                <w:szCs w:val="24"/>
                <w:lang w:val="en-US" w:eastAsia="zh-CN"/>
              </w:rPr>
              <w:t>二期建成后全厂</w:t>
            </w:r>
          </w:p>
        </w:tc>
      </w:tr>
      <w:tr w14:paraId="4D809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noWrap w:val="0"/>
            <w:vAlign w:val="center"/>
          </w:tcPr>
          <w:p w14:paraId="35A74995">
            <w:pPr>
              <w:pStyle w:val="44"/>
              <w:spacing w:beforeLines="0" w:afterLines="0" w:line="240" w:lineRule="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废气</w:t>
            </w:r>
          </w:p>
        </w:tc>
        <w:tc>
          <w:tcPr>
            <w:tcW w:w="511" w:type="pct"/>
            <w:noWrap w:val="0"/>
            <w:vAlign w:val="center"/>
          </w:tcPr>
          <w:p w14:paraId="6EFCC39D">
            <w:pPr>
              <w:pStyle w:val="4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olor w:val="auto"/>
                <w:sz w:val="24"/>
                <w:szCs w:val="24"/>
                <w:lang w:val="en-US" w:eastAsia="zh-CN"/>
              </w:rPr>
            </w:pPr>
            <w:r>
              <w:rPr>
                <w:rFonts w:hint="eastAsia" w:ascii="Times New Roman" w:hAnsi="Times New Roman" w:cs="Times New Roman"/>
                <w:color w:val="auto"/>
                <w:kern w:val="2"/>
                <w:sz w:val="24"/>
                <w:szCs w:val="24"/>
                <w:lang w:val="en-US" w:eastAsia="zh-CN" w:bidi="ar-SA"/>
              </w:rPr>
              <w:t>VOCs</w:t>
            </w:r>
          </w:p>
        </w:tc>
        <w:tc>
          <w:tcPr>
            <w:tcW w:w="551" w:type="pct"/>
            <w:noWrap w:val="0"/>
            <w:vAlign w:val="center"/>
          </w:tcPr>
          <w:p w14:paraId="71608E5E">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39B29613">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5980E951">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10A1CDD1">
            <w:pPr>
              <w:pStyle w:val="4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val="0"/>
                <w:color w:val="auto"/>
                <w:kern w:val="21"/>
                <w:sz w:val="24"/>
                <w:szCs w:val="24"/>
                <w:lang w:val="en-US" w:eastAsia="zh-CN" w:bidi="ar-SA"/>
              </w:rPr>
            </w:pPr>
            <w:r>
              <w:rPr>
                <w:rFonts w:hint="eastAsia" w:ascii="Times New Roman" w:cs="Times New Roman"/>
                <w:snapToGrid w:val="0"/>
                <w:color w:val="auto"/>
                <w:kern w:val="21"/>
                <w:sz w:val="24"/>
                <w:szCs w:val="24"/>
                <w:lang w:val="en-US" w:eastAsia="zh-CN" w:bidi="ar-SA"/>
              </w:rPr>
              <w:t>/</w:t>
            </w:r>
          </w:p>
        </w:tc>
        <w:tc>
          <w:tcPr>
            <w:tcW w:w="551" w:type="pct"/>
            <w:noWrap w:val="0"/>
            <w:vAlign w:val="center"/>
          </w:tcPr>
          <w:p w14:paraId="5D7AE7E7">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2" w:type="pct"/>
            <w:noWrap w:val="0"/>
            <w:vAlign w:val="center"/>
          </w:tcPr>
          <w:p w14:paraId="02DD9E6A">
            <w:pPr>
              <w:pStyle w:val="4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val="0"/>
                <w:color w:val="auto"/>
                <w:kern w:val="21"/>
                <w:sz w:val="24"/>
                <w:szCs w:val="24"/>
                <w:lang w:val="en-US" w:eastAsia="zh-CN" w:bidi="ar-SA"/>
              </w:rPr>
            </w:pPr>
            <w:r>
              <w:rPr>
                <w:rFonts w:hint="eastAsia" w:ascii="Times New Roman" w:cs="Times New Roman"/>
                <w:snapToGrid w:val="0"/>
                <w:color w:val="auto"/>
                <w:kern w:val="21"/>
                <w:sz w:val="24"/>
                <w:szCs w:val="24"/>
                <w:lang w:val="en-US" w:eastAsia="zh-CN" w:bidi="ar-SA"/>
              </w:rPr>
              <w:t>/</w:t>
            </w:r>
          </w:p>
        </w:tc>
        <w:tc>
          <w:tcPr>
            <w:tcW w:w="557" w:type="pct"/>
            <w:noWrap w:val="0"/>
            <w:vAlign w:val="center"/>
          </w:tcPr>
          <w:p w14:paraId="0DCAF522">
            <w:pPr>
              <w:pStyle w:val="4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color w:val="auto"/>
                <w:spacing w:val="0"/>
                <w:kern w:val="0"/>
                <w:position w:val="0"/>
                <w:sz w:val="24"/>
                <w:szCs w:val="24"/>
                <w:lang w:val="en-US" w:eastAsia="zh-CN"/>
              </w:rPr>
            </w:pPr>
            <w:r>
              <w:rPr>
                <w:rFonts w:hint="eastAsia" w:ascii="Times New Roman" w:cs="Times New Roman"/>
                <w:snapToGrid w:val="0"/>
                <w:color w:val="auto"/>
                <w:kern w:val="21"/>
                <w:sz w:val="24"/>
                <w:szCs w:val="24"/>
                <w:lang w:val="en-US" w:eastAsia="zh-CN" w:bidi="ar-SA"/>
              </w:rPr>
              <w:t>/</w:t>
            </w:r>
          </w:p>
        </w:tc>
      </w:tr>
      <w:tr w14:paraId="01BBF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vMerge w:val="restart"/>
            <w:noWrap w:val="0"/>
            <w:vAlign w:val="center"/>
          </w:tcPr>
          <w:p w14:paraId="2B231648">
            <w:pPr>
              <w:pStyle w:val="44"/>
              <w:spacing w:beforeLines="0" w:afterLines="0" w:line="240" w:lineRule="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废水</w:t>
            </w:r>
          </w:p>
        </w:tc>
        <w:tc>
          <w:tcPr>
            <w:tcW w:w="511" w:type="pct"/>
            <w:noWrap w:val="0"/>
            <w:vAlign w:val="center"/>
          </w:tcPr>
          <w:p w14:paraId="314399B7">
            <w:pPr>
              <w:adjustRightInd w:val="0"/>
              <w:snapToGrid w:val="0"/>
              <w:jc w:val="center"/>
              <w:rPr>
                <w:rFonts w:hint="eastAsia"/>
                <w:color w:val="auto"/>
                <w:sz w:val="24"/>
                <w:szCs w:val="24"/>
                <w:lang w:val="en-US" w:eastAsia="zh-CN"/>
              </w:rPr>
            </w:pPr>
            <w:r>
              <w:rPr>
                <w:rFonts w:hint="default" w:ascii="Times New Roman" w:hAnsi="Times New Roman" w:eastAsia="宋体" w:cs="Times New Roman"/>
                <w:color w:val="auto"/>
                <w:sz w:val="24"/>
                <w:szCs w:val="24"/>
                <w:lang w:val="en-US" w:eastAsia="zh-CN"/>
              </w:rPr>
              <w:t>COD</w:t>
            </w:r>
          </w:p>
        </w:tc>
        <w:tc>
          <w:tcPr>
            <w:tcW w:w="551" w:type="pct"/>
            <w:noWrap w:val="0"/>
            <w:vAlign w:val="center"/>
          </w:tcPr>
          <w:p w14:paraId="43CC89F0">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5CEE1836">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627643E0">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0B2EDAC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0.257</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20B8E4D1">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2" w:type="pct"/>
            <w:noWrap w:val="0"/>
            <w:vAlign w:val="center"/>
          </w:tcPr>
          <w:p w14:paraId="7841386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0.257</w:t>
            </w:r>
            <w:r>
              <w:rPr>
                <w:rFonts w:hint="eastAsia" w:ascii="Times New Roman" w:hAnsi="Times New Roman" w:eastAsia="宋体" w:cs="Times New Roman"/>
                <w:snapToGrid w:val="0"/>
                <w:color w:val="auto"/>
                <w:kern w:val="21"/>
                <w:sz w:val="24"/>
                <w:szCs w:val="24"/>
                <w:lang w:val="en-US" w:eastAsia="zh-CN" w:bidi="ar-SA"/>
              </w:rPr>
              <w:t>t/a</w:t>
            </w:r>
          </w:p>
        </w:tc>
        <w:tc>
          <w:tcPr>
            <w:tcW w:w="557" w:type="pct"/>
            <w:noWrap w:val="0"/>
            <w:vAlign w:val="center"/>
          </w:tcPr>
          <w:p w14:paraId="37B96BA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color w:val="auto"/>
                <w:spacing w:val="0"/>
                <w:kern w:val="0"/>
                <w:position w:val="0"/>
                <w:sz w:val="24"/>
                <w:szCs w:val="24"/>
                <w:lang w:val="en-US" w:eastAsia="zh-CN"/>
              </w:rPr>
            </w:pPr>
            <w:r>
              <w:rPr>
                <w:rFonts w:hint="eastAsia" w:ascii="Times New Roman" w:hAnsi="Times New Roman" w:cs="Times New Roman"/>
                <w:snapToGrid/>
                <w:color w:val="auto"/>
                <w:spacing w:val="0"/>
                <w:kern w:val="0"/>
                <w:position w:val="0"/>
                <w:sz w:val="24"/>
                <w:szCs w:val="24"/>
                <w:lang w:val="en-US" w:eastAsia="zh-CN"/>
              </w:rPr>
              <w:t>+</w:t>
            </w:r>
            <w:r>
              <w:rPr>
                <w:rFonts w:hint="eastAsia" w:cs="Times New Roman"/>
                <w:snapToGrid w:val="0"/>
                <w:color w:val="auto"/>
                <w:kern w:val="21"/>
                <w:sz w:val="24"/>
                <w:szCs w:val="24"/>
                <w:lang w:val="en-US" w:eastAsia="zh-CN" w:bidi="ar-SA"/>
              </w:rPr>
              <w:t>0.257</w:t>
            </w:r>
            <w:r>
              <w:rPr>
                <w:rFonts w:hint="eastAsia" w:ascii="Times New Roman" w:hAnsi="Times New Roman" w:eastAsia="宋体" w:cs="Times New Roman"/>
                <w:snapToGrid w:val="0"/>
                <w:color w:val="auto"/>
                <w:kern w:val="21"/>
                <w:sz w:val="24"/>
                <w:szCs w:val="24"/>
                <w:lang w:val="en-US" w:eastAsia="zh-CN" w:bidi="ar-SA"/>
              </w:rPr>
              <w:t>t/a</w:t>
            </w:r>
          </w:p>
        </w:tc>
      </w:tr>
      <w:tr w14:paraId="29610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vMerge w:val="continue"/>
            <w:noWrap w:val="0"/>
            <w:vAlign w:val="center"/>
          </w:tcPr>
          <w:p w14:paraId="1C6EFE3C">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197D2794">
            <w:pPr>
              <w:adjustRightInd w:val="0"/>
              <w:snapToGrid w:val="0"/>
              <w:jc w:val="center"/>
              <w:rPr>
                <w:rFonts w:hint="eastAsia"/>
                <w:color w:val="auto"/>
                <w:sz w:val="24"/>
                <w:szCs w:val="24"/>
                <w:lang w:val="en-US" w:eastAsia="zh-CN"/>
              </w:rPr>
            </w:pP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w:t>
            </w:r>
          </w:p>
        </w:tc>
        <w:tc>
          <w:tcPr>
            <w:tcW w:w="551" w:type="pct"/>
            <w:noWrap w:val="0"/>
            <w:vAlign w:val="center"/>
          </w:tcPr>
          <w:p w14:paraId="38E0BE57">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5D8CFD66">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7324A311">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720DF03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0.021</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49F89BA0">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2" w:type="pct"/>
            <w:noWrap w:val="0"/>
            <w:vAlign w:val="center"/>
          </w:tcPr>
          <w:p w14:paraId="1BFA1FD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0.021</w:t>
            </w:r>
            <w:r>
              <w:rPr>
                <w:rFonts w:hint="eastAsia" w:ascii="Times New Roman" w:hAnsi="Times New Roman" w:eastAsia="宋体" w:cs="Times New Roman"/>
                <w:snapToGrid w:val="0"/>
                <w:color w:val="auto"/>
                <w:kern w:val="21"/>
                <w:sz w:val="24"/>
                <w:szCs w:val="24"/>
                <w:lang w:val="en-US" w:eastAsia="zh-CN" w:bidi="ar-SA"/>
              </w:rPr>
              <w:t>t/a</w:t>
            </w:r>
          </w:p>
        </w:tc>
        <w:tc>
          <w:tcPr>
            <w:tcW w:w="557" w:type="pct"/>
            <w:noWrap w:val="0"/>
            <w:vAlign w:val="center"/>
          </w:tcPr>
          <w:p w14:paraId="34FAAE4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color w:val="auto"/>
                <w:spacing w:val="0"/>
                <w:kern w:val="0"/>
                <w:position w:val="0"/>
                <w:sz w:val="24"/>
                <w:szCs w:val="24"/>
                <w:lang w:val="en-US" w:eastAsia="zh-CN"/>
              </w:rPr>
            </w:pPr>
            <w:r>
              <w:rPr>
                <w:rFonts w:hint="eastAsia" w:ascii="Times New Roman" w:hAnsi="Times New Roman" w:cs="Times New Roman"/>
                <w:snapToGrid/>
                <w:color w:val="auto"/>
                <w:spacing w:val="0"/>
                <w:kern w:val="0"/>
                <w:position w:val="0"/>
                <w:sz w:val="24"/>
                <w:szCs w:val="24"/>
                <w:lang w:val="en-US" w:eastAsia="zh-CN"/>
              </w:rPr>
              <w:t>+</w:t>
            </w:r>
            <w:r>
              <w:rPr>
                <w:rFonts w:hint="eastAsia" w:cs="Times New Roman"/>
                <w:snapToGrid w:val="0"/>
                <w:color w:val="auto"/>
                <w:kern w:val="21"/>
                <w:sz w:val="24"/>
                <w:szCs w:val="24"/>
                <w:lang w:val="en-US" w:eastAsia="zh-CN" w:bidi="ar-SA"/>
              </w:rPr>
              <w:t>0.021</w:t>
            </w:r>
            <w:r>
              <w:rPr>
                <w:rFonts w:hint="eastAsia" w:ascii="Times New Roman" w:hAnsi="Times New Roman" w:eastAsia="宋体" w:cs="Times New Roman"/>
                <w:snapToGrid w:val="0"/>
                <w:color w:val="auto"/>
                <w:kern w:val="21"/>
                <w:sz w:val="24"/>
                <w:szCs w:val="24"/>
                <w:lang w:val="en-US" w:eastAsia="zh-CN" w:bidi="ar-SA"/>
              </w:rPr>
              <w:t>t/a</w:t>
            </w:r>
          </w:p>
        </w:tc>
      </w:tr>
      <w:tr w14:paraId="0310C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vMerge w:val="restart"/>
            <w:noWrap w:val="0"/>
            <w:vAlign w:val="center"/>
          </w:tcPr>
          <w:p w14:paraId="7EF3DE38">
            <w:pPr>
              <w:pStyle w:val="44"/>
              <w:spacing w:beforeLines="0" w:afterLines="0" w:line="240" w:lineRule="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一般工业</w:t>
            </w:r>
          </w:p>
          <w:p w14:paraId="3165C4EC">
            <w:pPr>
              <w:pStyle w:val="44"/>
              <w:spacing w:beforeLines="0" w:afterLines="0" w:line="240" w:lineRule="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固体废物</w:t>
            </w:r>
          </w:p>
        </w:tc>
        <w:tc>
          <w:tcPr>
            <w:tcW w:w="511" w:type="pct"/>
            <w:noWrap w:val="0"/>
            <w:vAlign w:val="center"/>
          </w:tcPr>
          <w:p w14:paraId="11EEE05F">
            <w:pPr>
              <w:spacing w:line="240" w:lineRule="auto"/>
              <w:jc w:val="center"/>
              <w:rPr>
                <w:rFonts w:hint="eastAsia"/>
                <w:color w:val="auto"/>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vertAlign w:val="baseline"/>
                <w:lang w:eastAsia="zh-CN"/>
              </w:rPr>
              <w:t>生活垃圾</w:t>
            </w:r>
          </w:p>
        </w:tc>
        <w:tc>
          <w:tcPr>
            <w:tcW w:w="551" w:type="pct"/>
            <w:noWrap w:val="0"/>
            <w:vAlign w:val="center"/>
          </w:tcPr>
          <w:p w14:paraId="7AAE0C56">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38C17A7B">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52F2B91D">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121CA548">
            <w:pPr>
              <w:spacing w:line="240" w:lineRule="auto"/>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9.3</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59C52BF9">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2" w:type="pct"/>
            <w:noWrap w:val="0"/>
            <w:vAlign w:val="center"/>
          </w:tcPr>
          <w:p w14:paraId="2CED670D">
            <w:pPr>
              <w:spacing w:line="240" w:lineRule="auto"/>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9.3</w:t>
            </w:r>
            <w:r>
              <w:rPr>
                <w:rFonts w:hint="eastAsia" w:ascii="Times New Roman" w:hAnsi="Times New Roman" w:eastAsia="宋体" w:cs="Times New Roman"/>
                <w:snapToGrid w:val="0"/>
                <w:color w:val="auto"/>
                <w:kern w:val="21"/>
                <w:sz w:val="24"/>
                <w:szCs w:val="24"/>
                <w:lang w:val="en-US" w:eastAsia="zh-CN" w:bidi="ar-SA"/>
              </w:rPr>
              <w:t>t/a</w:t>
            </w:r>
          </w:p>
        </w:tc>
        <w:tc>
          <w:tcPr>
            <w:tcW w:w="557" w:type="pct"/>
            <w:noWrap w:val="0"/>
            <w:vAlign w:val="center"/>
          </w:tcPr>
          <w:p w14:paraId="5F77EC90">
            <w:pPr>
              <w:spacing w:line="240" w:lineRule="auto"/>
              <w:jc w:val="center"/>
              <w:rPr>
                <w:rFonts w:hint="eastAsia" w:cs="Times New Roman"/>
                <w:snapToGrid/>
                <w:color w:val="auto"/>
                <w:spacing w:val="0"/>
                <w:kern w:val="0"/>
                <w:position w:val="0"/>
                <w:sz w:val="24"/>
                <w:szCs w:val="24"/>
                <w:lang w:val="en-US" w:eastAsia="zh-CN"/>
              </w:rPr>
            </w:pPr>
            <w:r>
              <w:rPr>
                <w:rFonts w:hint="eastAsia" w:ascii="Times New Roman" w:hAnsi="Times New Roman" w:cs="Times New Roman"/>
                <w:snapToGrid/>
                <w:color w:val="auto"/>
                <w:spacing w:val="0"/>
                <w:kern w:val="0"/>
                <w:position w:val="0"/>
                <w:sz w:val="24"/>
                <w:szCs w:val="24"/>
                <w:lang w:val="en-US" w:eastAsia="zh-CN"/>
              </w:rPr>
              <w:t>+</w:t>
            </w:r>
            <w:r>
              <w:rPr>
                <w:rFonts w:hint="eastAsia" w:cs="Times New Roman"/>
                <w:snapToGrid/>
                <w:color w:val="auto"/>
                <w:spacing w:val="0"/>
                <w:kern w:val="0"/>
                <w:position w:val="0"/>
                <w:sz w:val="24"/>
                <w:szCs w:val="24"/>
                <w:lang w:val="en-US" w:eastAsia="zh-CN"/>
              </w:rPr>
              <w:t>9.3</w:t>
            </w:r>
            <w:r>
              <w:rPr>
                <w:rFonts w:hint="eastAsia" w:ascii="Times New Roman" w:hAnsi="Times New Roman" w:eastAsia="宋体" w:cs="Times New Roman"/>
                <w:snapToGrid w:val="0"/>
                <w:color w:val="auto"/>
                <w:kern w:val="21"/>
                <w:sz w:val="24"/>
                <w:szCs w:val="24"/>
                <w:lang w:val="en-US" w:eastAsia="zh-CN" w:bidi="ar-SA"/>
              </w:rPr>
              <w:t>t/a</w:t>
            </w:r>
          </w:p>
        </w:tc>
      </w:tr>
      <w:tr w14:paraId="623D95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vMerge w:val="continue"/>
            <w:noWrap w:val="0"/>
            <w:vAlign w:val="center"/>
          </w:tcPr>
          <w:p w14:paraId="5D76D305">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3E8E915B">
            <w:pPr>
              <w:jc w:val="center"/>
              <w:rPr>
                <w:rFonts w:hint="eastAsia"/>
                <w:color w:val="auto"/>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vertAlign w:val="baseline"/>
                <w:lang w:val="en-US" w:eastAsia="zh-CN" w:bidi="ar-SA"/>
              </w:rPr>
              <w:t>废</w:t>
            </w:r>
            <w:r>
              <w:rPr>
                <w:rFonts w:hint="eastAsia" w:cs="Times New Roman"/>
                <w:b w:val="0"/>
                <w:bCs w:val="0"/>
                <w:snapToGrid/>
                <w:color w:val="auto"/>
                <w:spacing w:val="0"/>
                <w:kern w:val="0"/>
                <w:position w:val="0"/>
                <w:sz w:val="24"/>
                <w:szCs w:val="24"/>
                <w:vertAlign w:val="baseline"/>
                <w:lang w:val="en-US" w:eastAsia="zh-CN" w:bidi="ar-SA"/>
              </w:rPr>
              <w:t>边角料</w:t>
            </w:r>
          </w:p>
        </w:tc>
        <w:tc>
          <w:tcPr>
            <w:tcW w:w="551" w:type="pct"/>
            <w:noWrap w:val="0"/>
            <w:vAlign w:val="center"/>
          </w:tcPr>
          <w:p w14:paraId="0807A97B">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1EA137DE">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37327EFA">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4DA8B528">
            <w:pPr>
              <w:spacing w:line="240" w:lineRule="auto"/>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8</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5BBF7F42">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2" w:type="pct"/>
            <w:noWrap w:val="0"/>
            <w:vAlign w:val="center"/>
          </w:tcPr>
          <w:p w14:paraId="16A2429E">
            <w:pPr>
              <w:spacing w:line="240" w:lineRule="auto"/>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8</w:t>
            </w:r>
            <w:r>
              <w:rPr>
                <w:rFonts w:hint="eastAsia" w:ascii="Times New Roman" w:hAnsi="Times New Roman" w:eastAsia="宋体" w:cs="Times New Roman"/>
                <w:snapToGrid w:val="0"/>
                <w:color w:val="auto"/>
                <w:kern w:val="21"/>
                <w:sz w:val="24"/>
                <w:szCs w:val="24"/>
                <w:lang w:val="en-US" w:eastAsia="zh-CN" w:bidi="ar-SA"/>
              </w:rPr>
              <w:t>t/a</w:t>
            </w:r>
          </w:p>
        </w:tc>
        <w:tc>
          <w:tcPr>
            <w:tcW w:w="557" w:type="pct"/>
            <w:noWrap w:val="0"/>
            <w:vAlign w:val="center"/>
          </w:tcPr>
          <w:p w14:paraId="761C6DF6">
            <w:pPr>
              <w:spacing w:line="240" w:lineRule="auto"/>
              <w:jc w:val="center"/>
              <w:rPr>
                <w:rFonts w:hint="eastAsia" w:cs="Times New Roman"/>
                <w:snapToGrid/>
                <w:color w:val="auto"/>
                <w:spacing w:val="0"/>
                <w:kern w:val="0"/>
                <w:position w:val="0"/>
                <w:sz w:val="24"/>
                <w:szCs w:val="24"/>
                <w:lang w:val="en-US" w:eastAsia="zh-CN"/>
              </w:rPr>
            </w:pPr>
            <w:r>
              <w:rPr>
                <w:rFonts w:hint="eastAsia" w:ascii="Times New Roman" w:hAnsi="Times New Roman" w:cs="Times New Roman"/>
                <w:snapToGrid/>
                <w:color w:val="auto"/>
                <w:spacing w:val="0"/>
                <w:kern w:val="0"/>
                <w:position w:val="0"/>
                <w:sz w:val="24"/>
                <w:szCs w:val="24"/>
                <w:lang w:val="en-US" w:eastAsia="zh-CN"/>
              </w:rPr>
              <w:t>+</w:t>
            </w:r>
            <w:r>
              <w:rPr>
                <w:rFonts w:hint="eastAsia" w:cs="Times New Roman"/>
                <w:snapToGrid/>
                <w:color w:val="auto"/>
                <w:spacing w:val="0"/>
                <w:kern w:val="0"/>
                <w:position w:val="0"/>
                <w:sz w:val="24"/>
                <w:szCs w:val="24"/>
                <w:lang w:val="en-US" w:eastAsia="zh-CN"/>
              </w:rPr>
              <w:t>8</w:t>
            </w:r>
            <w:r>
              <w:rPr>
                <w:rFonts w:hint="eastAsia" w:ascii="Times New Roman" w:hAnsi="Times New Roman" w:eastAsia="宋体" w:cs="Times New Roman"/>
                <w:snapToGrid w:val="0"/>
                <w:color w:val="auto"/>
                <w:kern w:val="21"/>
                <w:sz w:val="24"/>
                <w:szCs w:val="24"/>
                <w:lang w:val="en-US" w:eastAsia="zh-CN" w:bidi="ar-SA"/>
              </w:rPr>
              <w:t>t/a</w:t>
            </w:r>
          </w:p>
        </w:tc>
      </w:tr>
      <w:tr w14:paraId="33E03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vMerge w:val="continue"/>
            <w:noWrap w:val="0"/>
            <w:vAlign w:val="center"/>
          </w:tcPr>
          <w:p w14:paraId="5D183C9C">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482FDD3A">
            <w:pPr>
              <w:jc w:val="center"/>
              <w:rPr>
                <w:rFonts w:hint="eastAsia"/>
                <w:color w:val="auto"/>
                <w:sz w:val="24"/>
                <w:szCs w:val="24"/>
                <w:lang w:val="en-US" w:eastAsia="zh-CN"/>
              </w:rPr>
            </w:pPr>
            <w:r>
              <w:rPr>
                <w:rFonts w:hint="eastAsia" w:cs="Times New Roman"/>
                <w:b w:val="0"/>
                <w:bCs w:val="0"/>
                <w:snapToGrid/>
                <w:color w:val="auto"/>
                <w:spacing w:val="0"/>
                <w:kern w:val="0"/>
                <w:position w:val="0"/>
                <w:sz w:val="24"/>
                <w:szCs w:val="24"/>
                <w:vertAlign w:val="baseline"/>
                <w:lang w:val="en-US" w:eastAsia="zh-CN" w:bidi="ar-SA"/>
              </w:rPr>
              <w:t>不合格品</w:t>
            </w:r>
          </w:p>
        </w:tc>
        <w:tc>
          <w:tcPr>
            <w:tcW w:w="551" w:type="pct"/>
            <w:noWrap w:val="0"/>
            <w:vAlign w:val="center"/>
          </w:tcPr>
          <w:p w14:paraId="4573E2BC">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74CAC00A">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1FF484BA">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0E012F04">
            <w:pPr>
              <w:spacing w:line="240" w:lineRule="auto"/>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16</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5F5B2D75">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2" w:type="pct"/>
            <w:noWrap w:val="0"/>
            <w:vAlign w:val="center"/>
          </w:tcPr>
          <w:p w14:paraId="0D7C5660">
            <w:pPr>
              <w:spacing w:line="240" w:lineRule="auto"/>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16</w:t>
            </w:r>
            <w:r>
              <w:rPr>
                <w:rFonts w:hint="eastAsia" w:ascii="Times New Roman" w:hAnsi="Times New Roman" w:eastAsia="宋体" w:cs="Times New Roman"/>
                <w:snapToGrid w:val="0"/>
                <w:color w:val="auto"/>
                <w:kern w:val="21"/>
                <w:sz w:val="24"/>
                <w:szCs w:val="24"/>
                <w:lang w:val="en-US" w:eastAsia="zh-CN" w:bidi="ar-SA"/>
              </w:rPr>
              <w:t>t/a</w:t>
            </w:r>
          </w:p>
        </w:tc>
        <w:tc>
          <w:tcPr>
            <w:tcW w:w="557" w:type="pct"/>
            <w:noWrap w:val="0"/>
            <w:vAlign w:val="center"/>
          </w:tcPr>
          <w:p w14:paraId="52F05FFC">
            <w:pPr>
              <w:spacing w:line="240" w:lineRule="auto"/>
              <w:jc w:val="center"/>
              <w:rPr>
                <w:rFonts w:hint="eastAsia" w:cs="Times New Roman"/>
                <w:snapToGrid/>
                <w:color w:val="auto"/>
                <w:spacing w:val="0"/>
                <w:kern w:val="0"/>
                <w:position w:val="0"/>
                <w:sz w:val="24"/>
                <w:szCs w:val="24"/>
                <w:lang w:val="en-US" w:eastAsia="zh-CN"/>
              </w:rPr>
            </w:pPr>
            <w:r>
              <w:rPr>
                <w:rFonts w:hint="eastAsia" w:ascii="Times New Roman" w:hAnsi="Times New Roman" w:cs="Times New Roman"/>
                <w:snapToGrid/>
                <w:color w:val="auto"/>
                <w:spacing w:val="0"/>
                <w:kern w:val="0"/>
                <w:position w:val="0"/>
                <w:sz w:val="24"/>
                <w:szCs w:val="24"/>
                <w:lang w:val="en-US" w:eastAsia="zh-CN"/>
              </w:rPr>
              <w:t>+</w:t>
            </w:r>
            <w:r>
              <w:rPr>
                <w:rFonts w:hint="eastAsia" w:cs="Times New Roman"/>
                <w:snapToGrid/>
                <w:color w:val="auto"/>
                <w:spacing w:val="0"/>
                <w:kern w:val="0"/>
                <w:position w:val="0"/>
                <w:sz w:val="24"/>
                <w:szCs w:val="24"/>
                <w:lang w:val="en-US" w:eastAsia="zh-CN"/>
              </w:rPr>
              <w:t>16</w:t>
            </w:r>
            <w:r>
              <w:rPr>
                <w:rFonts w:hint="eastAsia" w:ascii="Times New Roman" w:hAnsi="Times New Roman" w:eastAsia="宋体" w:cs="Times New Roman"/>
                <w:snapToGrid w:val="0"/>
                <w:color w:val="auto"/>
                <w:kern w:val="21"/>
                <w:sz w:val="24"/>
                <w:szCs w:val="24"/>
                <w:lang w:val="en-US" w:eastAsia="zh-CN" w:bidi="ar-SA"/>
              </w:rPr>
              <w:t>t/a</w:t>
            </w:r>
          </w:p>
        </w:tc>
      </w:tr>
      <w:tr w14:paraId="06F14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vMerge w:val="continue"/>
            <w:noWrap w:val="0"/>
            <w:vAlign w:val="center"/>
          </w:tcPr>
          <w:p w14:paraId="38218667">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3F3B5F43">
            <w:pPr>
              <w:jc w:val="center"/>
              <w:rPr>
                <w:rFonts w:hint="eastAsia"/>
                <w:color w:val="auto"/>
                <w:sz w:val="24"/>
                <w:szCs w:val="24"/>
                <w:lang w:val="en-US" w:eastAsia="zh-CN"/>
              </w:rPr>
            </w:pPr>
            <w:r>
              <w:rPr>
                <w:rFonts w:hint="eastAsia" w:cs="Times New Roman"/>
                <w:b w:val="0"/>
                <w:bCs w:val="0"/>
                <w:snapToGrid/>
                <w:color w:val="auto"/>
                <w:spacing w:val="0"/>
                <w:kern w:val="0"/>
                <w:position w:val="0"/>
                <w:sz w:val="24"/>
                <w:szCs w:val="24"/>
                <w:vertAlign w:val="baseline"/>
                <w:lang w:val="en-US" w:eastAsia="zh-CN" w:bidi="ar-SA"/>
              </w:rPr>
              <w:t>废包装材料</w:t>
            </w:r>
          </w:p>
        </w:tc>
        <w:tc>
          <w:tcPr>
            <w:tcW w:w="551" w:type="pct"/>
            <w:noWrap w:val="0"/>
            <w:vAlign w:val="center"/>
          </w:tcPr>
          <w:p w14:paraId="2CF67AD4">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70513ED1">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0230A406">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2459DC92">
            <w:pPr>
              <w:spacing w:line="240" w:lineRule="auto"/>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0.2</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42AEB2E1">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2" w:type="pct"/>
            <w:noWrap w:val="0"/>
            <w:vAlign w:val="center"/>
          </w:tcPr>
          <w:p w14:paraId="2F5F971D">
            <w:pPr>
              <w:spacing w:line="240" w:lineRule="auto"/>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0.2</w:t>
            </w:r>
            <w:r>
              <w:rPr>
                <w:rFonts w:hint="eastAsia" w:ascii="Times New Roman" w:hAnsi="Times New Roman" w:eastAsia="宋体" w:cs="Times New Roman"/>
                <w:snapToGrid w:val="0"/>
                <w:color w:val="auto"/>
                <w:kern w:val="21"/>
                <w:sz w:val="24"/>
                <w:szCs w:val="24"/>
                <w:lang w:val="en-US" w:eastAsia="zh-CN" w:bidi="ar-SA"/>
              </w:rPr>
              <w:t>t/a</w:t>
            </w:r>
          </w:p>
        </w:tc>
        <w:tc>
          <w:tcPr>
            <w:tcW w:w="557" w:type="pct"/>
            <w:noWrap w:val="0"/>
            <w:vAlign w:val="center"/>
          </w:tcPr>
          <w:p w14:paraId="7B21CA2F">
            <w:pPr>
              <w:spacing w:line="240" w:lineRule="auto"/>
              <w:jc w:val="center"/>
              <w:rPr>
                <w:rFonts w:hint="eastAsia" w:cs="Times New Roman"/>
                <w:snapToGrid/>
                <w:color w:val="auto"/>
                <w:spacing w:val="0"/>
                <w:kern w:val="0"/>
                <w:position w:val="0"/>
                <w:sz w:val="24"/>
                <w:szCs w:val="24"/>
                <w:lang w:val="en-US" w:eastAsia="zh-CN"/>
              </w:rPr>
            </w:pPr>
            <w:r>
              <w:rPr>
                <w:rFonts w:hint="eastAsia" w:ascii="Times New Roman" w:hAnsi="Times New Roman" w:cs="Times New Roman"/>
                <w:snapToGrid/>
                <w:color w:val="auto"/>
                <w:spacing w:val="0"/>
                <w:kern w:val="0"/>
                <w:position w:val="0"/>
                <w:sz w:val="24"/>
                <w:szCs w:val="24"/>
                <w:lang w:val="en-US" w:eastAsia="zh-CN"/>
              </w:rPr>
              <w:t>+</w:t>
            </w:r>
            <w:r>
              <w:rPr>
                <w:rFonts w:hint="eastAsia" w:cs="Times New Roman"/>
                <w:snapToGrid/>
                <w:color w:val="auto"/>
                <w:spacing w:val="0"/>
                <w:kern w:val="0"/>
                <w:position w:val="0"/>
                <w:sz w:val="24"/>
                <w:szCs w:val="24"/>
                <w:lang w:val="en-US" w:eastAsia="zh-CN"/>
              </w:rPr>
              <w:t>0.2</w:t>
            </w:r>
            <w:r>
              <w:rPr>
                <w:rFonts w:hint="eastAsia" w:ascii="Times New Roman" w:hAnsi="Times New Roman" w:eastAsia="宋体" w:cs="Times New Roman"/>
                <w:snapToGrid w:val="0"/>
                <w:color w:val="auto"/>
                <w:kern w:val="21"/>
                <w:sz w:val="24"/>
                <w:szCs w:val="24"/>
                <w:lang w:val="en-US" w:eastAsia="zh-CN" w:bidi="ar-SA"/>
              </w:rPr>
              <w:t>t/a</w:t>
            </w:r>
          </w:p>
        </w:tc>
      </w:tr>
      <w:tr w14:paraId="5FA25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vMerge w:val="restart"/>
            <w:noWrap w:val="0"/>
            <w:vAlign w:val="center"/>
          </w:tcPr>
          <w:p w14:paraId="252161A0">
            <w:pPr>
              <w:pStyle w:val="44"/>
              <w:spacing w:beforeLines="0" w:afterLines="0" w:line="240" w:lineRule="auto"/>
              <w:rPr>
                <w:rFonts w:hint="default" w:ascii="Times New Roman" w:hAnsi="Times New Roman" w:eastAsia="宋体" w:cs="Times New Roman"/>
                <w:snapToGrid w:val="0"/>
                <w:color w:val="auto"/>
                <w:kern w:val="21"/>
                <w:sz w:val="24"/>
                <w:szCs w:val="24"/>
              </w:rPr>
            </w:pPr>
            <w:r>
              <w:rPr>
                <w:rFonts w:hint="default" w:ascii="Times New Roman" w:hAnsi="Times New Roman" w:eastAsia="宋体" w:cs="Times New Roman"/>
                <w:snapToGrid w:val="0"/>
                <w:color w:val="auto"/>
                <w:kern w:val="21"/>
                <w:sz w:val="24"/>
                <w:szCs w:val="24"/>
              </w:rPr>
              <w:t>危险废物</w:t>
            </w:r>
          </w:p>
        </w:tc>
        <w:tc>
          <w:tcPr>
            <w:tcW w:w="511" w:type="pct"/>
            <w:noWrap w:val="0"/>
            <w:vAlign w:val="center"/>
          </w:tcPr>
          <w:p w14:paraId="272AB86D">
            <w:pPr>
              <w:jc w:val="center"/>
              <w:rPr>
                <w:rFonts w:hint="eastAsia"/>
                <w:color w:val="auto"/>
                <w:sz w:val="24"/>
                <w:szCs w:val="24"/>
                <w:lang w:val="en-US" w:eastAsia="zh-CN"/>
              </w:rPr>
            </w:pPr>
            <w:r>
              <w:rPr>
                <w:rFonts w:hint="eastAsia" w:cs="Times New Roman"/>
                <w:bCs/>
                <w:snapToGrid/>
                <w:color w:val="auto"/>
                <w:spacing w:val="0"/>
                <w:kern w:val="0"/>
                <w:position w:val="0"/>
                <w:sz w:val="24"/>
                <w:szCs w:val="24"/>
                <w:lang w:val="en-US" w:eastAsia="zh-CN"/>
              </w:rPr>
              <w:t>废油桶</w:t>
            </w:r>
          </w:p>
        </w:tc>
        <w:tc>
          <w:tcPr>
            <w:tcW w:w="551" w:type="pct"/>
            <w:noWrap w:val="0"/>
            <w:vAlign w:val="center"/>
          </w:tcPr>
          <w:p w14:paraId="779638FC">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7AA75933">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679B8B87">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7F94D1BE">
            <w:pPr>
              <w:spacing w:line="240" w:lineRule="exact"/>
              <w:jc w:val="center"/>
              <w:rPr>
                <w:rFonts w:hint="eastAsia" w:cs="Times New Roman"/>
                <w:snapToGrid w:val="0"/>
                <w:color w:val="auto"/>
                <w:kern w:val="21"/>
                <w:sz w:val="24"/>
                <w:szCs w:val="24"/>
                <w:lang w:val="en-US" w:eastAsia="zh-CN" w:bidi="ar-SA"/>
              </w:rPr>
            </w:pPr>
            <w:r>
              <w:rPr>
                <w:rFonts w:hint="eastAsia" w:cs="Times New Roman"/>
                <w:snapToGrid/>
                <w:color w:val="auto"/>
                <w:spacing w:val="0"/>
                <w:kern w:val="0"/>
                <w:position w:val="0"/>
                <w:sz w:val="24"/>
                <w:szCs w:val="24"/>
                <w:lang w:val="en-US" w:eastAsia="zh-CN"/>
              </w:rPr>
              <w:t>0.22</w:t>
            </w:r>
            <w:r>
              <w:rPr>
                <w:rFonts w:hint="eastAsia" w:ascii="Times New Roman" w:hAnsi="Times New Roman" w:eastAsia="宋体" w:cs="Times New Roman"/>
                <w:snapToGrid w:val="0"/>
                <w:color w:val="auto"/>
                <w:kern w:val="21"/>
                <w:sz w:val="24"/>
                <w:szCs w:val="24"/>
                <w:lang w:val="en-US" w:eastAsia="zh-CN" w:bidi="ar-SA"/>
              </w:rPr>
              <w:t>/a</w:t>
            </w:r>
          </w:p>
        </w:tc>
        <w:tc>
          <w:tcPr>
            <w:tcW w:w="551" w:type="pct"/>
            <w:noWrap w:val="0"/>
            <w:vAlign w:val="center"/>
          </w:tcPr>
          <w:p w14:paraId="6CCAC152">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2" w:type="pct"/>
            <w:noWrap w:val="0"/>
            <w:vAlign w:val="center"/>
          </w:tcPr>
          <w:p w14:paraId="5AA1D8FA">
            <w:pPr>
              <w:spacing w:line="240" w:lineRule="exact"/>
              <w:jc w:val="center"/>
              <w:rPr>
                <w:rFonts w:hint="eastAsia" w:cs="Times New Roman"/>
                <w:snapToGrid w:val="0"/>
                <w:color w:val="auto"/>
                <w:kern w:val="21"/>
                <w:sz w:val="24"/>
                <w:szCs w:val="24"/>
                <w:lang w:val="en-US" w:eastAsia="zh-CN" w:bidi="ar-SA"/>
              </w:rPr>
            </w:pPr>
            <w:r>
              <w:rPr>
                <w:rFonts w:hint="eastAsia" w:cs="Times New Roman"/>
                <w:snapToGrid/>
                <w:color w:val="auto"/>
                <w:spacing w:val="0"/>
                <w:kern w:val="0"/>
                <w:position w:val="0"/>
                <w:sz w:val="24"/>
                <w:szCs w:val="24"/>
                <w:lang w:val="en-US" w:eastAsia="zh-CN"/>
              </w:rPr>
              <w:t>0.22</w:t>
            </w:r>
            <w:r>
              <w:rPr>
                <w:rFonts w:hint="eastAsia" w:ascii="Times New Roman" w:hAnsi="Times New Roman" w:eastAsia="宋体" w:cs="Times New Roman"/>
                <w:snapToGrid w:val="0"/>
                <w:color w:val="auto"/>
                <w:kern w:val="21"/>
                <w:sz w:val="24"/>
                <w:szCs w:val="24"/>
                <w:lang w:val="en-US" w:eastAsia="zh-CN" w:bidi="ar-SA"/>
              </w:rPr>
              <w:t>t/a</w:t>
            </w:r>
          </w:p>
        </w:tc>
        <w:tc>
          <w:tcPr>
            <w:tcW w:w="557" w:type="pct"/>
            <w:noWrap w:val="0"/>
            <w:vAlign w:val="center"/>
          </w:tcPr>
          <w:p w14:paraId="34B5888A">
            <w:pPr>
              <w:spacing w:line="240" w:lineRule="exact"/>
              <w:jc w:val="center"/>
              <w:rPr>
                <w:rFonts w:hint="eastAsia"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+0.22</w:t>
            </w:r>
            <w:r>
              <w:rPr>
                <w:rFonts w:hint="eastAsia" w:ascii="Times New Roman" w:hAnsi="Times New Roman" w:eastAsia="宋体" w:cs="Times New Roman"/>
                <w:snapToGrid w:val="0"/>
                <w:color w:val="auto"/>
                <w:kern w:val="21"/>
                <w:sz w:val="24"/>
                <w:szCs w:val="24"/>
                <w:lang w:val="en-US" w:eastAsia="zh-CN" w:bidi="ar-SA"/>
              </w:rPr>
              <w:t>t/a</w:t>
            </w:r>
          </w:p>
        </w:tc>
      </w:tr>
      <w:tr w14:paraId="2D527D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vMerge w:val="continue"/>
            <w:noWrap w:val="0"/>
            <w:vAlign w:val="center"/>
          </w:tcPr>
          <w:p w14:paraId="16026215">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5CF67CA4">
            <w:pPr>
              <w:jc w:val="center"/>
              <w:rPr>
                <w:rFonts w:hint="eastAsia"/>
                <w:color w:val="auto"/>
                <w:sz w:val="24"/>
                <w:szCs w:val="24"/>
                <w:lang w:val="en-US" w:eastAsia="zh-CN"/>
              </w:rPr>
            </w:pPr>
            <w:r>
              <w:rPr>
                <w:rFonts w:hint="eastAsia"/>
                <w:color w:val="auto"/>
                <w:sz w:val="24"/>
                <w:szCs w:val="24"/>
                <w:lang w:val="en-US" w:eastAsia="zh-CN"/>
              </w:rPr>
              <w:t>废抗磨液压油</w:t>
            </w:r>
          </w:p>
        </w:tc>
        <w:tc>
          <w:tcPr>
            <w:tcW w:w="551" w:type="pct"/>
            <w:noWrap w:val="0"/>
            <w:vAlign w:val="center"/>
          </w:tcPr>
          <w:p w14:paraId="3E51E5BA">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5F7425A3">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7F287CA3">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08E46FEE">
            <w:pPr>
              <w:spacing w:line="240" w:lineRule="exact"/>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0.4</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4DAFEC6A">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2" w:type="pct"/>
            <w:noWrap w:val="0"/>
            <w:vAlign w:val="center"/>
          </w:tcPr>
          <w:p w14:paraId="321773A6">
            <w:pPr>
              <w:spacing w:line="240" w:lineRule="exact"/>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0.4</w:t>
            </w:r>
            <w:r>
              <w:rPr>
                <w:rFonts w:hint="eastAsia" w:ascii="Times New Roman" w:hAnsi="Times New Roman" w:eastAsia="宋体" w:cs="Times New Roman"/>
                <w:snapToGrid w:val="0"/>
                <w:color w:val="auto"/>
                <w:kern w:val="21"/>
                <w:sz w:val="24"/>
                <w:szCs w:val="24"/>
                <w:lang w:val="en-US" w:eastAsia="zh-CN" w:bidi="ar-SA"/>
              </w:rPr>
              <w:t>t/a</w:t>
            </w:r>
          </w:p>
        </w:tc>
        <w:tc>
          <w:tcPr>
            <w:tcW w:w="557" w:type="pct"/>
            <w:noWrap w:val="0"/>
            <w:vAlign w:val="center"/>
          </w:tcPr>
          <w:p w14:paraId="73EF6FF9">
            <w:pPr>
              <w:spacing w:line="240" w:lineRule="exact"/>
              <w:jc w:val="center"/>
              <w:rPr>
                <w:rFonts w:hint="eastAsia"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+0.4</w:t>
            </w:r>
            <w:r>
              <w:rPr>
                <w:rFonts w:hint="eastAsia" w:ascii="Times New Roman" w:hAnsi="Times New Roman" w:eastAsia="宋体" w:cs="Times New Roman"/>
                <w:snapToGrid w:val="0"/>
                <w:color w:val="auto"/>
                <w:kern w:val="21"/>
                <w:sz w:val="24"/>
                <w:szCs w:val="24"/>
                <w:lang w:val="en-US" w:eastAsia="zh-CN" w:bidi="ar-SA"/>
              </w:rPr>
              <w:t>t/a</w:t>
            </w:r>
          </w:p>
        </w:tc>
      </w:tr>
      <w:tr w14:paraId="1FF60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9" w:type="pct"/>
            <w:vMerge w:val="continue"/>
            <w:noWrap w:val="0"/>
            <w:vAlign w:val="center"/>
          </w:tcPr>
          <w:p w14:paraId="13531A62">
            <w:pPr>
              <w:pStyle w:val="44"/>
              <w:spacing w:beforeLines="0" w:afterLines="0" w:line="240" w:lineRule="auto"/>
              <w:rPr>
                <w:rFonts w:hint="default" w:ascii="Times New Roman" w:hAnsi="Times New Roman" w:eastAsia="宋体" w:cs="Times New Roman"/>
                <w:snapToGrid w:val="0"/>
                <w:color w:val="auto"/>
                <w:kern w:val="21"/>
                <w:sz w:val="24"/>
                <w:szCs w:val="24"/>
              </w:rPr>
            </w:pPr>
          </w:p>
        </w:tc>
        <w:tc>
          <w:tcPr>
            <w:tcW w:w="511" w:type="pct"/>
            <w:noWrap w:val="0"/>
            <w:vAlign w:val="center"/>
          </w:tcPr>
          <w:p w14:paraId="7C67C86E">
            <w:pPr>
              <w:jc w:val="center"/>
              <w:rPr>
                <w:rFonts w:hint="eastAsia"/>
                <w:color w:val="auto"/>
                <w:sz w:val="24"/>
                <w:szCs w:val="24"/>
                <w:lang w:val="en-US" w:eastAsia="zh-CN"/>
              </w:rPr>
            </w:pPr>
            <w:r>
              <w:rPr>
                <w:rFonts w:hint="eastAsia"/>
                <w:color w:val="auto"/>
                <w:sz w:val="24"/>
                <w:szCs w:val="24"/>
                <w:lang w:val="en-US" w:eastAsia="zh-CN"/>
              </w:rPr>
              <w:t>废切削液</w:t>
            </w:r>
          </w:p>
        </w:tc>
        <w:tc>
          <w:tcPr>
            <w:tcW w:w="551" w:type="pct"/>
            <w:noWrap w:val="0"/>
            <w:vAlign w:val="center"/>
          </w:tcPr>
          <w:p w14:paraId="22930921">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643FF924">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101FEF35">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1" w:type="pct"/>
            <w:noWrap w:val="0"/>
            <w:vAlign w:val="center"/>
          </w:tcPr>
          <w:p w14:paraId="62EA384E">
            <w:pPr>
              <w:spacing w:line="240" w:lineRule="exact"/>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0.5</w:t>
            </w:r>
            <w:r>
              <w:rPr>
                <w:rFonts w:hint="eastAsia" w:ascii="Times New Roman" w:hAnsi="Times New Roman" w:eastAsia="宋体" w:cs="Times New Roman"/>
                <w:snapToGrid w:val="0"/>
                <w:color w:val="auto"/>
                <w:kern w:val="21"/>
                <w:sz w:val="24"/>
                <w:szCs w:val="24"/>
                <w:lang w:val="en-US" w:eastAsia="zh-CN" w:bidi="ar-SA"/>
              </w:rPr>
              <w:t>t/a</w:t>
            </w:r>
          </w:p>
        </w:tc>
        <w:tc>
          <w:tcPr>
            <w:tcW w:w="551" w:type="pct"/>
            <w:noWrap w:val="0"/>
            <w:vAlign w:val="center"/>
          </w:tcPr>
          <w:p w14:paraId="2FBC40C6">
            <w:pPr>
              <w:spacing w:beforeLines="0" w:afterLines="0" w:line="240" w:lineRule="auto"/>
              <w:jc w:val="center"/>
              <w:rPr>
                <w:rFonts w:hint="eastAsia" w:cs="Times New Roman"/>
                <w:snapToGrid w:val="0"/>
                <w:color w:val="auto"/>
                <w:kern w:val="21"/>
                <w:sz w:val="24"/>
                <w:szCs w:val="24"/>
                <w:lang w:val="en-US" w:eastAsia="zh-CN"/>
              </w:rPr>
            </w:pPr>
            <w:r>
              <w:rPr>
                <w:rFonts w:hint="eastAsia" w:cs="Times New Roman"/>
                <w:snapToGrid w:val="0"/>
                <w:color w:val="auto"/>
                <w:kern w:val="21"/>
                <w:sz w:val="24"/>
                <w:szCs w:val="24"/>
                <w:lang w:val="en-US" w:eastAsia="zh-CN"/>
              </w:rPr>
              <w:t>/</w:t>
            </w:r>
          </w:p>
        </w:tc>
        <w:tc>
          <w:tcPr>
            <w:tcW w:w="552" w:type="pct"/>
            <w:noWrap w:val="0"/>
            <w:vAlign w:val="center"/>
          </w:tcPr>
          <w:p w14:paraId="7E9C5E7A">
            <w:pPr>
              <w:spacing w:line="240" w:lineRule="exact"/>
              <w:jc w:val="center"/>
              <w:rPr>
                <w:rFonts w:hint="eastAsia" w:cs="Times New Roman"/>
                <w:snapToGrid w:val="0"/>
                <w:color w:val="auto"/>
                <w:kern w:val="21"/>
                <w:sz w:val="24"/>
                <w:szCs w:val="24"/>
                <w:lang w:val="en-US" w:eastAsia="zh-CN" w:bidi="ar-SA"/>
              </w:rPr>
            </w:pPr>
            <w:r>
              <w:rPr>
                <w:rFonts w:hint="eastAsia" w:cs="Times New Roman"/>
                <w:snapToGrid w:val="0"/>
                <w:color w:val="auto"/>
                <w:kern w:val="21"/>
                <w:sz w:val="24"/>
                <w:szCs w:val="24"/>
                <w:lang w:val="en-US" w:eastAsia="zh-CN" w:bidi="ar-SA"/>
              </w:rPr>
              <w:t>0.5</w:t>
            </w:r>
            <w:r>
              <w:rPr>
                <w:rFonts w:hint="eastAsia" w:ascii="Times New Roman" w:hAnsi="Times New Roman" w:eastAsia="宋体" w:cs="Times New Roman"/>
                <w:snapToGrid w:val="0"/>
                <w:color w:val="auto"/>
                <w:kern w:val="21"/>
                <w:sz w:val="24"/>
                <w:szCs w:val="24"/>
                <w:lang w:val="en-US" w:eastAsia="zh-CN" w:bidi="ar-SA"/>
              </w:rPr>
              <w:t>t/a</w:t>
            </w:r>
          </w:p>
        </w:tc>
        <w:tc>
          <w:tcPr>
            <w:tcW w:w="557" w:type="pct"/>
            <w:noWrap w:val="0"/>
            <w:vAlign w:val="center"/>
          </w:tcPr>
          <w:p w14:paraId="038A2FAB">
            <w:pPr>
              <w:spacing w:line="240" w:lineRule="exact"/>
              <w:jc w:val="center"/>
              <w:rPr>
                <w:rFonts w:hint="eastAsia"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+0.5</w:t>
            </w:r>
            <w:r>
              <w:rPr>
                <w:rFonts w:hint="eastAsia" w:ascii="Times New Roman" w:hAnsi="Times New Roman" w:eastAsia="宋体" w:cs="Times New Roman"/>
                <w:snapToGrid w:val="0"/>
                <w:color w:val="auto"/>
                <w:kern w:val="21"/>
                <w:sz w:val="24"/>
                <w:szCs w:val="24"/>
                <w:lang w:val="en-US" w:eastAsia="zh-CN" w:bidi="ar-SA"/>
              </w:rPr>
              <w:t>t/a</w:t>
            </w:r>
          </w:p>
        </w:tc>
      </w:tr>
    </w:tbl>
    <w:p w14:paraId="347BCCB3">
      <w:pPr>
        <w:pStyle w:val="44"/>
        <w:spacing w:before="192" w:beforeLines="80" w:after="24"/>
        <w:jc w:val="left"/>
        <w:rPr>
          <w:color w:val="auto"/>
        </w:rPr>
      </w:pPr>
      <w:r>
        <w:rPr>
          <w:rFonts w:hint="default" w:ascii="Times New Roman" w:hAnsi="Times New Roman" w:eastAsia="宋体" w:cs="Times New Roman"/>
          <w:snapToGrid w:val="0"/>
          <w:color w:val="auto"/>
          <w:kern w:val="21"/>
          <w:szCs w:val="21"/>
        </w:rPr>
        <w:t>注：</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③</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④</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⑤</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⑦</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Wingdings 2">
    <w:altName w:val="Wingdings"/>
    <w:panose1 w:val="05020102010507070707"/>
    <w:charset w:val="02"/>
    <w:family w:val="auto"/>
    <w:pitch w:val="default"/>
    <w:sig w:usb0="00000000" w:usb1="00000000" w:usb2="00000000" w:usb3="00000000" w:csb0="80000000" w:csb1="00000000"/>
  </w:font>
  <w:font w:name="宋?">
    <w:altName w:val="宋体"/>
    <w:panose1 w:val="00000000000000000000"/>
    <w:charset w:val="81"/>
    <w:family w:val="auto"/>
    <w:pitch w:val="default"/>
    <w:sig w:usb0="00000000" w:usb1="00000000" w:usb2="00000010" w:usb3="00000000" w:csb0="00080000" w:csb1="00000000"/>
  </w:font>
  <w:font w:name="Cambria Math">
    <w:panose1 w:val="02040503050406030204"/>
    <w:charset w:val="00"/>
    <w:family w:val="auto"/>
    <w:pitch w:val="default"/>
    <w:sig w:usb0="E00002FF" w:usb1="420024FF" w:usb2="00000000" w:usb3="00000000" w:csb0="2000019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AE6D7">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6DE22">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96DE2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B148">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AF4A5"/>
    <w:multiLevelType w:val="singleLevel"/>
    <w:tmpl w:val="971AF4A5"/>
    <w:lvl w:ilvl="0" w:tentative="0">
      <w:start w:val="1"/>
      <w:numFmt w:val="decimal"/>
      <w:suff w:val="nothing"/>
      <w:lvlText w:val="（%1）"/>
      <w:lvlJc w:val="left"/>
    </w:lvl>
  </w:abstractNum>
  <w:abstractNum w:abstractNumId="1">
    <w:nsid w:val="B11D03D7"/>
    <w:multiLevelType w:val="singleLevel"/>
    <w:tmpl w:val="B11D03D7"/>
    <w:lvl w:ilvl="0" w:tentative="0">
      <w:start w:val="3"/>
      <w:numFmt w:val="decimal"/>
      <w:suff w:val="nothing"/>
      <w:lvlText w:val="%1、"/>
      <w:lvlJc w:val="left"/>
    </w:lvl>
  </w:abstractNum>
  <w:abstractNum w:abstractNumId="2">
    <w:nsid w:val="E81F7D2E"/>
    <w:multiLevelType w:val="singleLevel"/>
    <w:tmpl w:val="E81F7D2E"/>
    <w:lvl w:ilvl="0" w:tentative="0">
      <w:start w:val="2"/>
      <w:numFmt w:val="decimal"/>
      <w:suff w:val="nothing"/>
      <w:lvlText w:val="（%1）"/>
      <w:lvlJc w:val="left"/>
    </w:lvl>
  </w:abstractNum>
  <w:abstractNum w:abstractNumId="3">
    <w:nsid w:val="F61289BB"/>
    <w:multiLevelType w:val="singleLevel"/>
    <w:tmpl w:val="F61289BB"/>
    <w:lvl w:ilvl="0" w:tentative="0">
      <w:start w:val="5"/>
      <w:numFmt w:val="decimal"/>
      <w:suff w:val="nothing"/>
      <w:lvlText w:val="%1、"/>
      <w:lvlJc w:val="left"/>
    </w:lvl>
  </w:abstractNum>
  <w:abstractNum w:abstractNumId="4">
    <w:nsid w:val="53B9367B"/>
    <w:multiLevelType w:val="singleLevel"/>
    <w:tmpl w:val="53B9367B"/>
    <w:lvl w:ilvl="0" w:tentative="0">
      <w:start w:val="2"/>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YjkyYTdlNTUzMDRhODRiNzg1MjkyOWY5YmJhOWYifQ=="/>
  </w:docVars>
  <w:rsids>
    <w:rsidRoot w:val="36E54A3D"/>
    <w:rsid w:val="00093F9D"/>
    <w:rsid w:val="000C64EC"/>
    <w:rsid w:val="000D76DA"/>
    <w:rsid w:val="000E34AB"/>
    <w:rsid w:val="0011144A"/>
    <w:rsid w:val="001B1AAF"/>
    <w:rsid w:val="002A3360"/>
    <w:rsid w:val="00315A8E"/>
    <w:rsid w:val="003838F5"/>
    <w:rsid w:val="003931E3"/>
    <w:rsid w:val="00394AA9"/>
    <w:rsid w:val="003E3E82"/>
    <w:rsid w:val="003F6368"/>
    <w:rsid w:val="0043506E"/>
    <w:rsid w:val="00526FEA"/>
    <w:rsid w:val="00537603"/>
    <w:rsid w:val="00545DD0"/>
    <w:rsid w:val="00573E5A"/>
    <w:rsid w:val="005917D3"/>
    <w:rsid w:val="005A717F"/>
    <w:rsid w:val="005F048E"/>
    <w:rsid w:val="00634A31"/>
    <w:rsid w:val="0065529C"/>
    <w:rsid w:val="00675039"/>
    <w:rsid w:val="006B20E7"/>
    <w:rsid w:val="006E53E5"/>
    <w:rsid w:val="006E6F5F"/>
    <w:rsid w:val="00705C74"/>
    <w:rsid w:val="0076585C"/>
    <w:rsid w:val="007A451F"/>
    <w:rsid w:val="007F280E"/>
    <w:rsid w:val="0084339E"/>
    <w:rsid w:val="00896573"/>
    <w:rsid w:val="008B38EA"/>
    <w:rsid w:val="008D6D66"/>
    <w:rsid w:val="00910C2B"/>
    <w:rsid w:val="00924877"/>
    <w:rsid w:val="00966934"/>
    <w:rsid w:val="009819B5"/>
    <w:rsid w:val="009C1321"/>
    <w:rsid w:val="00A27C7F"/>
    <w:rsid w:val="00A815F5"/>
    <w:rsid w:val="00AA32F5"/>
    <w:rsid w:val="00AE7150"/>
    <w:rsid w:val="00B95B81"/>
    <w:rsid w:val="00C124FB"/>
    <w:rsid w:val="00C6125C"/>
    <w:rsid w:val="00CE11FB"/>
    <w:rsid w:val="00DF7DBB"/>
    <w:rsid w:val="00E54475"/>
    <w:rsid w:val="00EE0516"/>
    <w:rsid w:val="00F27F24"/>
    <w:rsid w:val="00F51237"/>
    <w:rsid w:val="00FB581F"/>
    <w:rsid w:val="00FC63AD"/>
    <w:rsid w:val="00FC779F"/>
    <w:rsid w:val="01035F95"/>
    <w:rsid w:val="0114166C"/>
    <w:rsid w:val="0117417F"/>
    <w:rsid w:val="011E3D92"/>
    <w:rsid w:val="01211B62"/>
    <w:rsid w:val="0128630C"/>
    <w:rsid w:val="012C13EB"/>
    <w:rsid w:val="013465C7"/>
    <w:rsid w:val="013A510B"/>
    <w:rsid w:val="013B1E3D"/>
    <w:rsid w:val="013C0B6E"/>
    <w:rsid w:val="014C2764"/>
    <w:rsid w:val="014D5526"/>
    <w:rsid w:val="015A4089"/>
    <w:rsid w:val="015C46B1"/>
    <w:rsid w:val="015F0B55"/>
    <w:rsid w:val="015F33CC"/>
    <w:rsid w:val="01632ADE"/>
    <w:rsid w:val="016352AB"/>
    <w:rsid w:val="01663E92"/>
    <w:rsid w:val="0174247F"/>
    <w:rsid w:val="017D132A"/>
    <w:rsid w:val="0181425A"/>
    <w:rsid w:val="01815A68"/>
    <w:rsid w:val="01826A17"/>
    <w:rsid w:val="01844F23"/>
    <w:rsid w:val="018A19D5"/>
    <w:rsid w:val="01924F05"/>
    <w:rsid w:val="019746AE"/>
    <w:rsid w:val="019C197F"/>
    <w:rsid w:val="019F0928"/>
    <w:rsid w:val="01A23DCD"/>
    <w:rsid w:val="01A446B0"/>
    <w:rsid w:val="01AE3E81"/>
    <w:rsid w:val="01B32525"/>
    <w:rsid w:val="01B54947"/>
    <w:rsid w:val="01B94D9C"/>
    <w:rsid w:val="01BF00A2"/>
    <w:rsid w:val="01BF3F62"/>
    <w:rsid w:val="01C253D6"/>
    <w:rsid w:val="01C9576E"/>
    <w:rsid w:val="01CB7F8E"/>
    <w:rsid w:val="01CF066A"/>
    <w:rsid w:val="01D147BE"/>
    <w:rsid w:val="01D86637"/>
    <w:rsid w:val="01DD72CB"/>
    <w:rsid w:val="01DE105B"/>
    <w:rsid w:val="01DE7266"/>
    <w:rsid w:val="01E168AC"/>
    <w:rsid w:val="01E5165F"/>
    <w:rsid w:val="01E564A8"/>
    <w:rsid w:val="01E809B5"/>
    <w:rsid w:val="01EB0FB1"/>
    <w:rsid w:val="01EB786F"/>
    <w:rsid w:val="01EE06DB"/>
    <w:rsid w:val="01EF3E79"/>
    <w:rsid w:val="01F20BCD"/>
    <w:rsid w:val="01F8353E"/>
    <w:rsid w:val="01F8464C"/>
    <w:rsid w:val="01FB3170"/>
    <w:rsid w:val="01FE2B11"/>
    <w:rsid w:val="02072CDB"/>
    <w:rsid w:val="020E5184"/>
    <w:rsid w:val="020E7999"/>
    <w:rsid w:val="022B6BD7"/>
    <w:rsid w:val="02345A01"/>
    <w:rsid w:val="02350700"/>
    <w:rsid w:val="023774C4"/>
    <w:rsid w:val="023838FC"/>
    <w:rsid w:val="023E4637"/>
    <w:rsid w:val="023E692F"/>
    <w:rsid w:val="023F4931"/>
    <w:rsid w:val="024E03DA"/>
    <w:rsid w:val="02583C4D"/>
    <w:rsid w:val="02586639"/>
    <w:rsid w:val="026208D2"/>
    <w:rsid w:val="026854B1"/>
    <w:rsid w:val="027527FA"/>
    <w:rsid w:val="02775C6D"/>
    <w:rsid w:val="02777B9D"/>
    <w:rsid w:val="028113A6"/>
    <w:rsid w:val="028219C6"/>
    <w:rsid w:val="02943F94"/>
    <w:rsid w:val="02945890"/>
    <w:rsid w:val="0297283E"/>
    <w:rsid w:val="029A39F7"/>
    <w:rsid w:val="029C2EA2"/>
    <w:rsid w:val="02A02691"/>
    <w:rsid w:val="02A04828"/>
    <w:rsid w:val="02A93709"/>
    <w:rsid w:val="02AC4D73"/>
    <w:rsid w:val="02B43423"/>
    <w:rsid w:val="02B85654"/>
    <w:rsid w:val="02B86D56"/>
    <w:rsid w:val="02BE2FC6"/>
    <w:rsid w:val="02C14DF4"/>
    <w:rsid w:val="02C66D47"/>
    <w:rsid w:val="02D246E6"/>
    <w:rsid w:val="02D82581"/>
    <w:rsid w:val="02D9618F"/>
    <w:rsid w:val="02DB033E"/>
    <w:rsid w:val="02DB2494"/>
    <w:rsid w:val="02DB396C"/>
    <w:rsid w:val="02DC5CB3"/>
    <w:rsid w:val="02E114AC"/>
    <w:rsid w:val="02E1300A"/>
    <w:rsid w:val="02E57DB7"/>
    <w:rsid w:val="02E87EFF"/>
    <w:rsid w:val="02F5543D"/>
    <w:rsid w:val="02F8056C"/>
    <w:rsid w:val="02FE5A50"/>
    <w:rsid w:val="030B7487"/>
    <w:rsid w:val="03100052"/>
    <w:rsid w:val="031667C5"/>
    <w:rsid w:val="031773A8"/>
    <w:rsid w:val="03177415"/>
    <w:rsid w:val="031A09C2"/>
    <w:rsid w:val="031B6DB6"/>
    <w:rsid w:val="0331568B"/>
    <w:rsid w:val="033B0EBF"/>
    <w:rsid w:val="03574D79"/>
    <w:rsid w:val="0357538E"/>
    <w:rsid w:val="03643C37"/>
    <w:rsid w:val="03650C70"/>
    <w:rsid w:val="0366448F"/>
    <w:rsid w:val="038B166E"/>
    <w:rsid w:val="039723B4"/>
    <w:rsid w:val="039A7456"/>
    <w:rsid w:val="03A50C7B"/>
    <w:rsid w:val="03A55121"/>
    <w:rsid w:val="03B10832"/>
    <w:rsid w:val="03B31D5B"/>
    <w:rsid w:val="03BB3CF6"/>
    <w:rsid w:val="03CB27EB"/>
    <w:rsid w:val="03CE6D99"/>
    <w:rsid w:val="03CF7635"/>
    <w:rsid w:val="03D16926"/>
    <w:rsid w:val="03EA08A3"/>
    <w:rsid w:val="03EB527A"/>
    <w:rsid w:val="03FC461D"/>
    <w:rsid w:val="03FD6A7E"/>
    <w:rsid w:val="03FE3607"/>
    <w:rsid w:val="0402760F"/>
    <w:rsid w:val="04045917"/>
    <w:rsid w:val="04063A21"/>
    <w:rsid w:val="04130558"/>
    <w:rsid w:val="041317C1"/>
    <w:rsid w:val="0418191F"/>
    <w:rsid w:val="04187189"/>
    <w:rsid w:val="04192731"/>
    <w:rsid w:val="041E568C"/>
    <w:rsid w:val="04225F96"/>
    <w:rsid w:val="04286A0B"/>
    <w:rsid w:val="042903FF"/>
    <w:rsid w:val="04342BA7"/>
    <w:rsid w:val="04377360"/>
    <w:rsid w:val="043A7F57"/>
    <w:rsid w:val="043E3B0B"/>
    <w:rsid w:val="04404A5C"/>
    <w:rsid w:val="04476D79"/>
    <w:rsid w:val="044D5E64"/>
    <w:rsid w:val="0451344B"/>
    <w:rsid w:val="045919BB"/>
    <w:rsid w:val="045B07DA"/>
    <w:rsid w:val="04623A2E"/>
    <w:rsid w:val="04640655"/>
    <w:rsid w:val="046E5030"/>
    <w:rsid w:val="04750AA1"/>
    <w:rsid w:val="04766B90"/>
    <w:rsid w:val="047B4107"/>
    <w:rsid w:val="047D2273"/>
    <w:rsid w:val="04812FB5"/>
    <w:rsid w:val="04816E02"/>
    <w:rsid w:val="04884122"/>
    <w:rsid w:val="04897F34"/>
    <w:rsid w:val="048E7017"/>
    <w:rsid w:val="04932CE9"/>
    <w:rsid w:val="04934E29"/>
    <w:rsid w:val="0496552A"/>
    <w:rsid w:val="049A4937"/>
    <w:rsid w:val="04A942BA"/>
    <w:rsid w:val="04AC2AF8"/>
    <w:rsid w:val="04B02B1D"/>
    <w:rsid w:val="04B73B59"/>
    <w:rsid w:val="04B77BE1"/>
    <w:rsid w:val="04C16BAD"/>
    <w:rsid w:val="04D803C0"/>
    <w:rsid w:val="04E020AC"/>
    <w:rsid w:val="04E11C55"/>
    <w:rsid w:val="04F03144"/>
    <w:rsid w:val="04FC4681"/>
    <w:rsid w:val="04FD1EAF"/>
    <w:rsid w:val="04FF26BD"/>
    <w:rsid w:val="04FF7F83"/>
    <w:rsid w:val="05003035"/>
    <w:rsid w:val="050676DD"/>
    <w:rsid w:val="050B20EB"/>
    <w:rsid w:val="050E548B"/>
    <w:rsid w:val="05100F97"/>
    <w:rsid w:val="051D70CE"/>
    <w:rsid w:val="05216B36"/>
    <w:rsid w:val="0528724F"/>
    <w:rsid w:val="05306615"/>
    <w:rsid w:val="05322D21"/>
    <w:rsid w:val="05414DB5"/>
    <w:rsid w:val="0544122C"/>
    <w:rsid w:val="05485468"/>
    <w:rsid w:val="054F122A"/>
    <w:rsid w:val="0556623F"/>
    <w:rsid w:val="05634787"/>
    <w:rsid w:val="056A5345"/>
    <w:rsid w:val="057F2B7A"/>
    <w:rsid w:val="057F5830"/>
    <w:rsid w:val="05856FCD"/>
    <w:rsid w:val="058831DD"/>
    <w:rsid w:val="058F4C7C"/>
    <w:rsid w:val="05904656"/>
    <w:rsid w:val="05925043"/>
    <w:rsid w:val="0593684A"/>
    <w:rsid w:val="05946D18"/>
    <w:rsid w:val="05966C57"/>
    <w:rsid w:val="05974547"/>
    <w:rsid w:val="059A12FD"/>
    <w:rsid w:val="059E36F3"/>
    <w:rsid w:val="059F1039"/>
    <w:rsid w:val="05A36226"/>
    <w:rsid w:val="05A421FC"/>
    <w:rsid w:val="05B0372F"/>
    <w:rsid w:val="05B2329B"/>
    <w:rsid w:val="05B423DF"/>
    <w:rsid w:val="05BB3D3E"/>
    <w:rsid w:val="05CA3F67"/>
    <w:rsid w:val="05D4112D"/>
    <w:rsid w:val="05D5655C"/>
    <w:rsid w:val="05D86E32"/>
    <w:rsid w:val="05E33AB1"/>
    <w:rsid w:val="05E349AE"/>
    <w:rsid w:val="05ED28B1"/>
    <w:rsid w:val="05F057FF"/>
    <w:rsid w:val="05F2691B"/>
    <w:rsid w:val="05F47F43"/>
    <w:rsid w:val="05F81055"/>
    <w:rsid w:val="05F844D9"/>
    <w:rsid w:val="05FC4FFF"/>
    <w:rsid w:val="05FF4A3D"/>
    <w:rsid w:val="06037D41"/>
    <w:rsid w:val="060642C2"/>
    <w:rsid w:val="060A0E5F"/>
    <w:rsid w:val="060D4757"/>
    <w:rsid w:val="060E71BA"/>
    <w:rsid w:val="061D7FC5"/>
    <w:rsid w:val="062324EB"/>
    <w:rsid w:val="062F0663"/>
    <w:rsid w:val="06380D20"/>
    <w:rsid w:val="063A02D7"/>
    <w:rsid w:val="0644429B"/>
    <w:rsid w:val="06461B7F"/>
    <w:rsid w:val="06515A4A"/>
    <w:rsid w:val="06572FE4"/>
    <w:rsid w:val="066059E5"/>
    <w:rsid w:val="06617C1F"/>
    <w:rsid w:val="06696367"/>
    <w:rsid w:val="066C4BC8"/>
    <w:rsid w:val="06744392"/>
    <w:rsid w:val="06850294"/>
    <w:rsid w:val="06854EE6"/>
    <w:rsid w:val="06884722"/>
    <w:rsid w:val="069235F5"/>
    <w:rsid w:val="0697319C"/>
    <w:rsid w:val="06A25E67"/>
    <w:rsid w:val="06A45714"/>
    <w:rsid w:val="06A83E49"/>
    <w:rsid w:val="06AB11DA"/>
    <w:rsid w:val="06B01114"/>
    <w:rsid w:val="06B80D24"/>
    <w:rsid w:val="06BE26FE"/>
    <w:rsid w:val="06BF012D"/>
    <w:rsid w:val="06BF56B1"/>
    <w:rsid w:val="06DC0B21"/>
    <w:rsid w:val="06DC5BC2"/>
    <w:rsid w:val="06DF6A10"/>
    <w:rsid w:val="06E02AA8"/>
    <w:rsid w:val="06E508E4"/>
    <w:rsid w:val="06E8306E"/>
    <w:rsid w:val="06F569F2"/>
    <w:rsid w:val="06FA3374"/>
    <w:rsid w:val="0703451C"/>
    <w:rsid w:val="071961D6"/>
    <w:rsid w:val="071F1A4C"/>
    <w:rsid w:val="07262089"/>
    <w:rsid w:val="072A5E83"/>
    <w:rsid w:val="0733374D"/>
    <w:rsid w:val="07484A04"/>
    <w:rsid w:val="0748602D"/>
    <w:rsid w:val="074C2DD3"/>
    <w:rsid w:val="074F363D"/>
    <w:rsid w:val="075F5F6F"/>
    <w:rsid w:val="076646E5"/>
    <w:rsid w:val="07711827"/>
    <w:rsid w:val="077B1431"/>
    <w:rsid w:val="0781507A"/>
    <w:rsid w:val="07837D5F"/>
    <w:rsid w:val="078C5CB7"/>
    <w:rsid w:val="0791097C"/>
    <w:rsid w:val="079338FB"/>
    <w:rsid w:val="0794730E"/>
    <w:rsid w:val="07950B26"/>
    <w:rsid w:val="07964170"/>
    <w:rsid w:val="07995EA0"/>
    <w:rsid w:val="07A5235B"/>
    <w:rsid w:val="07A640DD"/>
    <w:rsid w:val="07A75F79"/>
    <w:rsid w:val="07AD2D19"/>
    <w:rsid w:val="07B03BF0"/>
    <w:rsid w:val="07B974BA"/>
    <w:rsid w:val="07BF5DB3"/>
    <w:rsid w:val="07C4459A"/>
    <w:rsid w:val="07C90E49"/>
    <w:rsid w:val="07C91310"/>
    <w:rsid w:val="07CF4038"/>
    <w:rsid w:val="07D653C6"/>
    <w:rsid w:val="07D6574A"/>
    <w:rsid w:val="07E07B35"/>
    <w:rsid w:val="07E506B2"/>
    <w:rsid w:val="07ED5C1D"/>
    <w:rsid w:val="07EE00D8"/>
    <w:rsid w:val="07F375FF"/>
    <w:rsid w:val="07F749AF"/>
    <w:rsid w:val="07FB4F41"/>
    <w:rsid w:val="08045AFF"/>
    <w:rsid w:val="080D5451"/>
    <w:rsid w:val="0816310B"/>
    <w:rsid w:val="08244269"/>
    <w:rsid w:val="082500FC"/>
    <w:rsid w:val="082A46C8"/>
    <w:rsid w:val="082E5202"/>
    <w:rsid w:val="083105EF"/>
    <w:rsid w:val="08397B1C"/>
    <w:rsid w:val="08420B5C"/>
    <w:rsid w:val="084C3690"/>
    <w:rsid w:val="084F1E69"/>
    <w:rsid w:val="0859548A"/>
    <w:rsid w:val="085A2187"/>
    <w:rsid w:val="086733ED"/>
    <w:rsid w:val="08711C8C"/>
    <w:rsid w:val="08760FB1"/>
    <w:rsid w:val="08767111"/>
    <w:rsid w:val="087B0B99"/>
    <w:rsid w:val="087C3FB5"/>
    <w:rsid w:val="087D4E07"/>
    <w:rsid w:val="08864F1F"/>
    <w:rsid w:val="088865FB"/>
    <w:rsid w:val="088E2D49"/>
    <w:rsid w:val="088F28AD"/>
    <w:rsid w:val="089351C1"/>
    <w:rsid w:val="0898093B"/>
    <w:rsid w:val="089840A8"/>
    <w:rsid w:val="089E6484"/>
    <w:rsid w:val="08A22DE5"/>
    <w:rsid w:val="08A43A42"/>
    <w:rsid w:val="08A71B74"/>
    <w:rsid w:val="08A861DD"/>
    <w:rsid w:val="08AE387D"/>
    <w:rsid w:val="08C0585B"/>
    <w:rsid w:val="08CE70F9"/>
    <w:rsid w:val="08D044D5"/>
    <w:rsid w:val="08D34BA5"/>
    <w:rsid w:val="08D35DAA"/>
    <w:rsid w:val="08D824B8"/>
    <w:rsid w:val="08DA5F62"/>
    <w:rsid w:val="08EF2168"/>
    <w:rsid w:val="08FB0560"/>
    <w:rsid w:val="08FB4356"/>
    <w:rsid w:val="08FB7166"/>
    <w:rsid w:val="08FE7955"/>
    <w:rsid w:val="090167F1"/>
    <w:rsid w:val="090F496D"/>
    <w:rsid w:val="0911174D"/>
    <w:rsid w:val="09125397"/>
    <w:rsid w:val="09154CC0"/>
    <w:rsid w:val="09175AB4"/>
    <w:rsid w:val="092E4D8E"/>
    <w:rsid w:val="09325DD9"/>
    <w:rsid w:val="09332B49"/>
    <w:rsid w:val="093B29BC"/>
    <w:rsid w:val="09443A9B"/>
    <w:rsid w:val="09453A3B"/>
    <w:rsid w:val="094D5219"/>
    <w:rsid w:val="09513927"/>
    <w:rsid w:val="0966692B"/>
    <w:rsid w:val="096A0C0A"/>
    <w:rsid w:val="09774E19"/>
    <w:rsid w:val="097777E3"/>
    <w:rsid w:val="097B22B2"/>
    <w:rsid w:val="098700FE"/>
    <w:rsid w:val="098C1E41"/>
    <w:rsid w:val="098D1090"/>
    <w:rsid w:val="098E11E0"/>
    <w:rsid w:val="0993328B"/>
    <w:rsid w:val="099842D5"/>
    <w:rsid w:val="099D25A6"/>
    <w:rsid w:val="099D3842"/>
    <w:rsid w:val="09A020AB"/>
    <w:rsid w:val="09A11298"/>
    <w:rsid w:val="09A56B4E"/>
    <w:rsid w:val="09A60DC8"/>
    <w:rsid w:val="09B368AE"/>
    <w:rsid w:val="09B4212F"/>
    <w:rsid w:val="09B944CC"/>
    <w:rsid w:val="09BC0812"/>
    <w:rsid w:val="09BD77E1"/>
    <w:rsid w:val="09CA45F0"/>
    <w:rsid w:val="09CE5C8C"/>
    <w:rsid w:val="09D15E1A"/>
    <w:rsid w:val="09D31ED1"/>
    <w:rsid w:val="09D4353B"/>
    <w:rsid w:val="09D612C2"/>
    <w:rsid w:val="09DC27A1"/>
    <w:rsid w:val="09DD09C9"/>
    <w:rsid w:val="09DF582D"/>
    <w:rsid w:val="09E126E5"/>
    <w:rsid w:val="09E67768"/>
    <w:rsid w:val="09E72DF4"/>
    <w:rsid w:val="09E734C9"/>
    <w:rsid w:val="09EA2DE8"/>
    <w:rsid w:val="09EA2E87"/>
    <w:rsid w:val="09F15B41"/>
    <w:rsid w:val="09F87A9A"/>
    <w:rsid w:val="09FB20B3"/>
    <w:rsid w:val="09FC4E8C"/>
    <w:rsid w:val="0A135AC0"/>
    <w:rsid w:val="0A1B7495"/>
    <w:rsid w:val="0A1F29E9"/>
    <w:rsid w:val="0A1F5CA2"/>
    <w:rsid w:val="0A2A37A7"/>
    <w:rsid w:val="0A2E7345"/>
    <w:rsid w:val="0A3742EA"/>
    <w:rsid w:val="0A3C3CA5"/>
    <w:rsid w:val="0A3E0453"/>
    <w:rsid w:val="0A4525DD"/>
    <w:rsid w:val="0A4E5403"/>
    <w:rsid w:val="0A4F3A7B"/>
    <w:rsid w:val="0A557E27"/>
    <w:rsid w:val="0A6637A4"/>
    <w:rsid w:val="0A6A10CF"/>
    <w:rsid w:val="0A75555B"/>
    <w:rsid w:val="0A7A080C"/>
    <w:rsid w:val="0A7C0B6A"/>
    <w:rsid w:val="0A81059C"/>
    <w:rsid w:val="0A851326"/>
    <w:rsid w:val="0A8D6EB8"/>
    <w:rsid w:val="0A9578E6"/>
    <w:rsid w:val="0A9879C8"/>
    <w:rsid w:val="0A992D96"/>
    <w:rsid w:val="0A9C0F21"/>
    <w:rsid w:val="0AA5149E"/>
    <w:rsid w:val="0AAA6BFB"/>
    <w:rsid w:val="0AAC7730"/>
    <w:rsid w:val="0AB33FD6"/>
    <w:rsid w:val="0ABC7EC7"/>
    <w:rsid w:val="0AC4417F"/>
    <w:rsid w:val="0ACF360C"/>
    <w:rsid w:val="0AD67A84"/>
    <w:rsid w:val="0AE86E5F"/>
    <w:rsid w:val="0AE907AE"/>
    <w:rsid w:val="0AEA2C71"/>
    <w:rsid w:val="0AEC6FC7"/>
    <w:rsid w:val="0AF03991"/>
    <w:rsid w:val="0AF0558B"/>
    <w:rsid w:val="0AF572B1"/>
    <w:rsid w:val="0AF951DC"/>
    <w:rsid w:val="0B027109"/>
    <w:rsid w:val="0B060ADB"/>
    <w:rsid w:val="0B0D453B"/>
    <w:rsid w:val="0B1306DF"/>
    <w:rsid w:val="0B15078D"/>
    <w:rsid w:val="0B1C3374"/>
    <w:rsid w:val="0B1D71E2"/>
    <w:rsid w:val="0B2013C2"/>
    <w:rsid w:val="0B222C7C"/>
    <w:rsid w:val="0B2231B9"/>
    <w:rsid w:val="0B231FE8"/>
    <w:rsid w:val="0B2B71F1"/>
    <w:rsid w:val="0B3121D1"/>
    <w:rsid w:val="0B321696"/>
    <w:rsid w:val="0B330D82"/>
    <w:rsid w:val="0B393AA2"/>
    <w:rsid w:val="0B436E11"/>
    <w:rsid w:val="0B507715"/>
    <w:rsid w:val="0B545C99"/>
    <w:rsid w:val="0B55177F"/>
    <w:rsid w:val="0B5B3623"/>
    <w:rsid w:val="0B643645"/>
    <w:rsid w:val="0B6A06DD"/>
    <w:rsid w:val="0B736F8B"/>
    <w:rsid w:val="0B7C430F"/>
    <w:rsid w:val="0B911AEA"/>
    <w:rsid w:val="0B922469"/>
    <w:rsid w:val="0B9C64C3"/>
    <w:rsid w:val="0B9E2A10"/>
    <w:rsid w:val="0BAB0AA0"/>
    <w:rsid w:val="0BAC0FE0"/>
    <w:rsid w:val="0BB66998"/>
    <w:rsid w:val="0BC27DEF"/>
    <w:rsid w:val="0BC3189C"/>
    <w:rsid w:val="0BCC6713"/>
    <w:rsid w:val="0BCE7A28"/>
    <w:rsid w:val="0BD5356D"/>
    <w:rsid w:val="0BD850CF"/>
    <w:rsid w:val="0BDE5EC8"/>
    <w:rsid w:val="0BF33362"/>
    <w:rsid w:val="0BF74C66"/>
    <w:rsid w:val="0BFA4AE1"/>
    <w:rsid w:val="0C1B28FA"/>
    <w:rsid w:val="0C242666"/>
    <w:rsid w:val="0C244EFF"/>
    <w:rsid w:val="0C2B5EA7"/>
    <w:rsid w:val="0C2C7CAB"/>
    <w:rsid w:val="0C2D0CFC"/>
    <w:rsid w:val="0C350EE1"/>
    <w:rsid w:val="0C373443"/>
    <w:rsid w:val="0C3742FC"/>
    <w:rsid w:val="0C3D1023"/>
    <w:rsid w:val="0C403FCF"/>
    <w:rsid w:val="0C440376"/>
    <w:rsid w:val="0C456767"/>
    <w:rsid w:val="0C526446"/>
    <w:rsid w:val="0C586B0B"/>
    <w:rsid w:val="0C587F90"/>
    <w:rsid w:val="0C596B08"/>
    <w:rsid w:val="0C5A49FF"/>
    <w:rsid w:val="0C5A772F"/>
    <w:rsid w:val="0C611DC1"/>
    <w:rsid w:val="0C63275A"/>
    <w:rsid w:val="0C635C53"/>
    <w:rsid w:val="0C6731EE"/>
    <w:rsid w:val="0C697853"/>
    <w:rsid w:val="0C6A53E8"/>
    <w:rsid w:val="0C6F72B9"/>
    <w:rsid w:val="0C730EE1"/>
    <w:rsid w:val="0C734445"/>
    <w:rsid w:val="0C7B6D1C"/>
    <w:rsid w:val="0C7D224A"/>
    <w:rsid w:val="0C7E5015"/>
    <w:rsid w:val="0C800951"/>
    <w:rsid w:val="0C89638C"/>
    <w:rsid w:val="0C8A359E"/>
    <w:rsid w:val="0C91664A"/>
    <w:rsid w:val="0C995D73"/>
    <w:rsid w:val="0C9E7BE7"/>
    <w:rsid w:val="0CA3313E"/>
    <w:rsid w:val="0CA83D8F"/>
    <w:rsid w:val="0CA92EEC"/>
    <w:rsid w:val="0CA93CCC"/>
    <w:rsid w:val="0CAC055F"/>
    <w:rsid w:val="0CB51FB9"/>
    <w:rsid w:val="0CB75A02"/>
    <w:rsid w:val="0CBC5629"/>
    <w:rsid w:val="0CBC5F16"/>
    <w:rsid w:val="0CC815AB"/>
    <w:rsid w:val="0CCD79A9"/>
    <w:rsid w:val="0CE10742"/>
    <w:rsid w:val="0CE57F21"/>
    <w:rsid w:val="0CEC3A56"/>
    <w:rsid w:val="0CEF15E1"/>
    <w:rsid w:val="0CEF6651"/>
    <w:rsid w:val="0CF0049D"/>
    <w:rsid w:val="0CF14D76"/>
    <w:rsid w:val="0CF23F5F"/>
    <w:rsid w:val="0CF54A25"/>
    <w:rsid w:val="0CF56BED"/>
    <w:rsid w:val="0CF8403B"/>
    <w:rsid w:val="0CF84955"/>
    <w:rsid w:val="0CFE33FD"/>
    <w:rsid w:val="0D007FBA"/>
    <w:rsid w:val="0D04175D"/>
    <w:rsid w:val="0D0B288D"/>
    <w:rsid w:val="0D0E4F6F"/>
    <w:rsid w:val="0D130C0D"/>
    <w:rsid w:val="0D1614B7"/>
    <w:rsid w:val="0D181FDD"/>
    <w:rsid w:val="0D1D5DB4"/>
    <w:rsid w:val="0D1D6320"/>
    <w:rsid w:val="0D26597A"/>
    <w:rsid w:val="0D34798A"/>
    <w:rsid w:val="0D356B1E"/>
    <w:rsid w:val="0D3929BA"/>
    <w:rsid w:val="0D520843"/>
    <w:rsid w:val="0D576FA9"/>
    <w:rsid w:val="0D5B3F2B"/>
    <w:rsid w:val="0D6018BA"/>
    <w:rsid w:val="0D631E83"/>
    <w:rsid w:val="0D6521C5"/>
    <w:rsid w:val="0D66719A"/>
    <w:rsid w:val="0D70556A"/>
    <w:rsid w:val="0D722086"/>
    <w:rsid w:val="0D7922E8"/>
    <w:rsid w:val="0D7A5411"/>
    <w:rsid w:val="0D7C7A6C"/>
    <w:rsid w:val="0D8247E5"/>
    <w:rsid w:val="0D8530EE"/>
    <w:rsid w:val="0D862767"/>
    <w:rsid w:val="0D930C4F"/>
    <w:rsid w:val="0D9840FE"/>
    <w:rsid w:val="0D993D24"/>
    <w:rsid w:val="0DA119D9"/>
    <w:rsid w:val="0DA41254"/>
    <w:rsid w:val="0DA67CA4"/>
    <w:rsid w:val="0DA73343"/>
    <w:rsid w:val="0DB6520A"/>
    <w:rsid w:val="0DB67BBA"/>
    <w:rsid w:val="0DBC5F57"/>
    <w:rsid w:val="0DC54B95"/>
    <w:rsid w:val="0DD1000A"/>
    <w:rsid w:val="0DD66ED6"/>
    <w:rsid w:val="0DD76AA7"/>
    <w:rsid w:val="0DDC771D"/>
    <w:rsid w:val="0DDF307B"/>
    <w:rsid w:val="0DDF5361"/>
    <w:rsid w:val="0DE526D2"/>
    <w:rsid w:val="0DE90541"/>
    <w:rsid w:val="0DF06AB6"/>
    <w:rsid w:val="0DFA3889"/>
    <w:rsid w:val="0DFC2357"/>
    <w:rsid w:val="0E0C740E"/>
    <w:rsid w:val="0E0D60FE"/>
    <w:rsid w:val="0E12436B"/>
    <w:rsid w:val="0E276D0C"/>
    <w:rsid w:val="0E2A2BAA"/>
    <w:rsid w:val="0E2E7EEA"/>
    <w:rsid w:val="0E350017"/>
    <w:rsid w:val="0E403ACB"/>
    <w:rsid w:val="0E48321D"/>
    <w:rsid w:val="0E494C9C"/>
    <w:rsid w:val="0E4C0043"/>
    <w:rsid w:val="0E4F4A42"/>
    <w:rsid w:val="0E544D63"/>
    <w:rsid w:val="0E5B4999"/>
    <w:rsid w:val="0E5F2F02"/>
    <w:rsid w:val="0E6C4952"/>
    <w:rsid w:val="0E70118F"/>
    <w:rsid w:val="0E735E71"/>
    <w:rsid w:val="0E7B1B18"/>
    <w:rsid w:val="0E7C4C78"/>
    <w:rsid w:val="0E836E49"/>
    <w:rsid w:val="0E913DA9"/>
    <w:rsid w:val="0E946AAA"/>
    <w:rsid w:val="0E9976B4"/>
    <w:rsid w:val="0E9E13B5"/>
    <w:rsid w:val="0E9E200F"/>
    <w:rsid w:val="0E9E6E62"/>
    <w:rsid w:val="0EA32063"/>
    <w:rsid w:val="0EA433C4"/>
    <w:rsid w:val="0EA47E54"/>
    <w:rsid w:val="0EAD7B66"/>
    <w:rsid w:val="0EAE6874"/>
    <w:rsid w:val="0EAF6955"/>
    <w:rsid w:val="0EB55DAE"/>
    <w:rsid w:val="0EBC4160"/>
    <w:rsid w:val="0EBD735D"/>
    <w:rsid w:val="0ECF75CD"/>
    <w:rsid w:val="0ED337D3"/>
    <w:rsid w:val="0ED368B5"/>
    <w:rsid w:val="0EE03D3D"/>
    <w:rsid w:val="0EE31016"/>
    <w:rsid w:val="0EEE2F7E"/>
    <w:rsid w:val="0EFE50BE"/>
    <w:rsid w:val="0F025CB4"/>
    <w:rsid w:val="0F042C65"/>
    <w:rsid w:val="0F103D9C"/>
    <w:rsid w:val="0F132E71"/>
    <w:rsid w:val="0F1F26F0"/>
    <w:rsid w:val="0F2C1D70"/>
    <w:rsid w:val="0F306841"/>
    <w:rsid w:val="0F3438CB"/>
    <w:rsid w:val="0F353C4A"/>
    <w:rsid w:val="0F3B4FA4"/>
    <w:rsid w:val="0F3E1AFA"/>
    <w:rsid w:val="0F435E3E"/>
    <w:rsid w:val="0F5540AC"/>
    <w:rsid w:val="0F563B1E"/>
    <w:rsid w:val="0F634BA7"/>
    <w:rsid w:val="0F67142A"/>
    <w:rsid w:val="0F67724C"/>
    <w:rsid w:val="0F6C6CDA"/>
    <w:rsid w:val="0F76422D"/>
    <w:rsid w:val="0F7756E1"/>
    <w:rsid w:val="0F7D0FE3"/>
    <w:rsid w:val="0F7F0E64"/>
    <w:rsid w:val="0F8000AE"/>
    <w:rsid w:val="0F8B45AC"/>
    <w:rsid w:val="0F8B662C"/>
    <w:rsid w:val="0F9748A3"/>
    <w:rsid w:val="0F997756"/>
    <w:rsid w:val="0F9F2542"/>
    <w:rsid w:val="0F9F4729"/>
    <w:rsid w:val="0FAF6AE2"/>
    <w:rsid w:val="0FB1473E"/>
    <w:rsid w:val="0FB60523"/>
    <w:rsid w:val="0FC40399"/>
    <w:rsid w:val="0FC621E0"/>
    <w:rsid w:val="0FD4371A"/>
    <w:rsid w:val="0FDA2D85"/>
    <w:rsid w:val="0FDA3BC9"/>
    <w:rsid w:val="0FDC54FF"/>
    <w:rsid w:val="0FE12C6B"/>
    <w:rsid w:val="0FE443F8"/>
    <w:rsid w:val="0FE52061"/>
    <w:rsid w:val="0FF11752"/>
    <w:rsid w:val="0FF23A49"/>
    <w:rsid w:val="0FF26256"/>
    <w:rsid w:val="0FFA1E6E"/>
    <w:rsid w:val="10031E9A"/>
    <w:rsid w:val="1008458B"/>
    <w:rsid w:val="100C2483"/>
    <w:rsid w:val="10142D1C"/>
    <w:rsid w:val="101A6DD9"/>
    <w:rsid w:val="102028D4"/>
    <w:rsid w:val="102752D5"/>
    <w:rsid w:val="103847E3"/>
    <w:rsid w:val="10386AD0"/>
    <w:rsid w:val="10484330"/>
    <w:rsid w:val="1049325B"/>
    <w:rsid w:val="10496889"/>
    <w:rsid w:val="104D4445"/>
    <w:rsid w:val="105159FE"/>
    <w:rsid w:val="10591C19"/>
    <w:rsid w:val="10642E0F"/>
    <w:rsid w:val="1068085B"/>
    <w:rsid w:val="106A7A3B"/>
    <w:rsid w:val="10712322"/>
    <w:rsid w:val="10743E8E"/>
    <w:rsid w:val="10840BA0"/>
    <w:rsid w:val="108B40A6"/>
    <w:rsid w:val="108B5963"/>
    <w:rsid w:val="108E2AAE"/>
    <w:rsid w:val="10935751"/>
    <w:rsid w:val="1099195A"/>
    <w:rsid w:val="10AA3A72"/>
    <w:rsid w:val="10B14B7C"/>
    <w:rsid w:val="10B20767"/>
    <w:rsid w:val="10B22596"/>
    <w:rsid w:val="10B87611"/>
    <w:rsid w:val="10C02C4E"/>
    <w:rsid w:val="10D47133"/>
    <w:rsid w:val="10D516A3"/>
    <w:rsid w:val="10D76943"/>
    <w:rsid w:val="10DB208D"/>
    <w:rsid w:val="10E15043"/>
    <w:rsid w:val="10E548CC"/>
    <w:rsid w:val="10E85F7D"/>
    <w:rsid w:val="10E872CA"/>
    <w:rsid w:val="10F031AA"/>
    <w:rsid w:val="10FE1EDE"/>
    <w:rsid w:val="110404C0"/>
    <w:rsid w:val="11087313"/>
    <w:rsid w:val="11171BBA"/>
    <w:rsid w:val="111904D9"/>
    <w:rsid w:val="111D3C83"/>
    <w:rsid w:val="112B4195"/>
    <w:rsid w:val="112C177C"/>
    <w:rsid w:val="112F23A7"/>
    <w:rsid w:val="113428D5"/>
    <w:rsid w:val="113B27A7"/>
    <w:rsid w:val="11405BD5"/>
    <w:rsid w:val="115E11B8"/>
    <w:rsid w:val="1161013B"/>
    <w:rsid w:val="116667A8"/>
    <w:rsid w:val="11761321"/>
    <w:rsid w:val="1178029B"/>
    <w:rsid w:val="11792E27"/>
    <w:rsid w:val="1180355D"/>
    <w:rsid w:val="11867E5D"/>
    <w:rsid w:val="118A6EB1"/>
    <w:rsid w:val="118B7FB4"/>
    <w:rsid w:val="118F482D"/>
    <w:rsid w:val="11904FEF"/>
    <w:rsid w:val="11923EE9"/>
    <w:rsid w:val="1194095F"/>
    <w:rsid w:val="1195023C"/>
    <w:rsid w:val="11A2111A"/>
    <w:rsid w:val="11A7248C"/>
    <w:rsid w:val="11B53E53"/>
    <w:rsid w:val="11B7151D"/>
    <w:rsid w:val="11BA2F46"/>
    <w:rsid w:val="11BD1682"/>
    <w:rsid w:val="11BF7805"/>
    <w:rsid w:val="11C17DDD"/>
    <w:rsid w:val="11C31C43"/>
    <w:rsid w:val="11DE3CF9"/>
    <w:rsid w:val="11ED3CFA"/>
    <w:rsid w:val="11EE44D7"/>
    <w:rsid w:val="11F64034"/>
    <w:rsid w:val="11F72887"/>
    <w:rsid w:val="120D536B"/>
    <w:rsid w:val="12286355"/>
    <w:rsid w:val="12331667"/>
    <w:rsid w:val="12355BC6"/>
    <w:rsid w:val="12392C84"/>
    <w:rsid w:val="123A18DC"/>
    <w:rsid w:val="124B075F"/>
    <w:rsid w:val="124F5DC2"/>
    <w:rsid w:val="12551AF7"/>
    <w:rsid w:val="12566024"/>
    <w:rsid w:val="125D368A"/>
    <w:rsid w:val="12604BC1"/>
    <w:rsid w:val="126D0CF9"/>
    <w:rsid w:val="127343C3"/>
    <w:rsid w:val="127356E8"/>
    <w:rsid w:val="1278384C"/>
    <w:rsid w:val="127A4260"/>
    <w:rsid w:val="127D0CFF"/>
    <w:rsid w:val="127E4D78"/>
    <w:rsid w:val="127F3160"/>
    <w:rsid w:val="12823FCA"/>
    <w:rsid w:val="128674FB"/>
    <w:rsid w:val="12911046"/>
    <w:rsid w:val="12921A31"/>
    <w:rsid w:val="1293272A"/>
    <w:rsid w:val="129544F8"/>
    <w:rsid w:val="129A2BA4"/>
    <w:rsid w:val="129B1A86"/>
    <w:rsid w:val="129C545E"/>
    <w:rsid w:val="12A00DDD"/>
    <w:rsid w:val="12A71DE5"/>
    <w:rsid w:val="12A71FB7"/>
    <w:rsid w:val="12AA1D26"/>
    <w:rsid w:val="12AD0251"/>
    <w:rsid w:val="12AD6459"/>
    <w:rsid w:val="12AE4659"/>
    <w:rsid w:val="12B02A26"/>
    <w:rsid w:val="12B26CB7"/>
    <w:rsid w:val="12B34F4B"/>
    <w:rsid w:val="12BE6B2D"/>
    <w:rsid w:val="12C41B09"/>
    <w:rsid w:val="12C60302"/>
    <w:rsid w:val="12CB07B9"/>
    <w:rsid w:val="12CF71F9"/>
    <w:rsid w:val="12D06377"/>
    <w:rsid w:val="12D34714"/>
    <w:rsid w:val="12D374EC"/>
    <w:rsid w:val="12D64D8E"/>
    <w:rsid w:val="12D82013"/>
    <w:rsid w:val="12D86DE8"/>
    <w:rsid w:val="12DC6125"/>
    <w:rsid w:val="12DD5D68"/>
    <w:rsid w:val="12E518A2"/>
    <w:rsid w:val="12EE68CB"/>
    <w:rsid w:val="12F8341C"/>
    <w:rsid w:val="13061C67"/>
    <w:rsid w:val="1318305F"/>
    <w:rsid w:val="131861DB"/>
    <w:rsid w:val="131B3AA8"/>
    <w:rsid w:val="13243733"/>
    <w:rsid w:val="132456E5"/>
    <w:rsid w:val="132E1438"/>
    <w:rsid w:val="13362245"/>
    <w:rsid w:val="133D3F21"/>
    <w:rsid w:val="13400295"/>
    <w:rsid w:val="1340442E"/>
    <w:rsid w:val="13421681"/>
    <w:rsid w:val="13451A37"/>
    <w:rsid w:val="134564BE"/>
    <w:rsid w:val="13474B4E"/>
    <w:rsid w:val="1350697D"/>
    <w:rsid w:val="13547E53"/>
    <w:rsid w:val="135E10C2"/>
    <w:rsid w:val="13634FC3"/>
    <w:rsid w:val="13675029"/>
    <w:rsid w:val="13702671"/>
    <w:rsid w:val="13765FAF"/>
    <w:rsid w:val="13776BF3"/>
    <w:rsid w:val="13793CCB"/>
    <w:rsid w:val="137D0682"/>
    <w:rsid w:val="138513F0"/>
    <w:rsid w:val="13872936"/>
    <w:rsid w:val="1388747B"/>
    <w:rsid w:val="13896034"/>
    <w:rsid w:val="138B233A"/>
    <w:rsid w:val="13914428"/>
    <w:rsid w:val="13994EB9"/>
    <w:rsid w:val="1399712F"/>
    <w:rsid w:val="139D4C78"/>
    <w:rsid w:val="13A176F4"/>
    <w:rsid w:val="13A230E6"/>
    <w:rsid w:val="13B55BE1"/>
    <w:rsid w:val="13B87E7C"/>
    <w:rsid w:val="13BF2749"/>
    <w:rsid w:val="13C8389D"/>
    <w:rsid w:val="13C9298F"/>
    <w:rsid w:val="13CA5257"/>
    <w:rsid w:val="13CF1935"/>
    <w:rsid w:val="13D10B57"/>
    <w:rsid w:val="13D70DD5"/>
    <w:rsid w:val="13D72416"/>
    <w:rsid w:val="13DB78ED"/>
    <w:rsid w:val="13DD0FD6"/>
    <w:rsid w:val="13E10621"/>
    <w:rsid w:val="13ED2834"/>
    <w:rsid w:val="13F3793B"/>
    <w:rsid w:val="13F441F9"/>
    <w:rsid w:val="13F6703A"/>
    <w:rsid w:val="13FB1BD9"/>
    <w:rsid w:val="14055EC7"/>
    <w:rsid w:val="140B1585"/>
    <w:rsid w:val="140B5D31"/>
    <w:rsid w:val="140C1492"/>
    <w:rsid w:val="14203F18"/>
    <w:rsid w:val="142113AA"/>
    <w:rsid w:val="14221494"/>
    <w:rsid w:val="1429020D"/>
    <w:rsid w:val="142F2C24"/>
    <w:rsid w:val="143023AD"/>
    <w:rsid w:val="143C31A3"/>
    <w:rsid w:val="143C4A78"/>
    <w:rsid w:val="143F257F"/>
    <w:rsid w:val="14477A34"/>
    <w:rsid w:val="1452300A"/>
    <w:rsid w:val="145651D0"/>
    <w:rsid w:val="145A7DA4"/>
    <w:rsid w:val="1464630F"/>
    <w:rsid w:val="146A625D"/>
    <w:rsid w:val="14763200"/>
    <w:rsid w:val="147E555F"/>
    <w:rsid w:val="14820B51"/>
    <w:rsid w:val="148F313C"/>
    <w:rsid w:val="14906E60"/>
    <w:rsid w:val="149074E0"/>
    <w:rsid w:val="14916170"/>
    <w:rsid w:val="149C211B"/>
    <w:rsid w:val="149F0F45"/>
    <w:rsid w:val="14AC5BAF"/>
    <w:rsid w:val="14B528DC"/>
    <w:rsid w:val="14EA1A2B"/>
    <w:rsid w:val="14EF13A1"/>
    <w:rsid w:val="14F06778"/>
    <w:rsid w:val="14FA03BF"/>
    <w:rsid w:val="14FD16EF"/>
    <w:rsid w:val="150828CD"/>
    <w:rsid w:val="150A1BFA"/>
    <w:rsid w:val="150D4001"/>
    <w:rsid w:val="150D7C1B"/>
    <w:rsid w:val="151A1D31"/>
    <w:rsid w:val="151B7A0A"/>
    <w:rsid w:val="15232FFC"/>
    <w:rsid w:val="15275027"/>
    <w:rsid w:val="152F2965"/>
    <w:rsid w:val="15307550"/>
    <w:rsid w:val="153A557E"/>
    <w:rsid w:val="15415E49"/>
    <w:rsid w:val="1548133E"/>
    <w:rsid w:val="15495F27"/>
    <w:rsid w:val="154E4117"/>
    <w:rsid w:val="154F0566"/>
    <w:rsid w:val="1557566D"/>
    <w:rsid w:val="15671D54"/>
    <w:rsid w:val="157134CA"/>
    <w:rsid w:val="15761D10"/>
    <w:rsid w:val="15783E7E"/>
    <w:rsid w:val="15835DF8"/>
    <w:rsid w:val="158B397F"/>
    <w:rsid w:val="158D1788"/>
    <w:rsid w:val="1590745D"/>
    <w:rsid w:val="15967072"/>
    <w:rsid w:val="15981F0D"/>
    <w:rsid w:val="1598664C"/>
    <w:rsid w:val="159D39C7"/>
    <w:rsid w:val="15A01A35"/>
    <w:rsid w:val="15A04100"/>
    <w:rsid w:val="15AA4040"/>
    <w:rsid w:val="15AC6506"/>
    <w:rsid w:val="15B14F59"/>
    <w:rsid w:val="15B405C7"/>
    <w:rsid w:val="15B65B88"/>
    <w:rsid w:val="15B66B87"/>
    <w:rsid w:val="15BA158B"/>
    <w:rsid w:val="15C55EA2"/>
    <w:rsid w:val="15CF348F"/>
    <w:rsid w:val="15D179FF"/>
    <w:rsid w:val="15E0282E"/>
    <w:rsid w:val="15E92769"/>
    <w:rsid w:val="15F10E85"/>
    <w:rsid w:val="15FC352A"/>
    <w:rsid w:val="15FC374E"/>
    <w:rsid w:val="15FC75D1"/>
    <w:rsid w:val="15FD2CB8"/>
    <w:rsid w:val="160E5513"/>
    <w:rsid w:val="16125958"/>
    <w:rsid w:val="16141E75"/>
    <w:rsid w:val="161D68B6"/>
    <w:rsid w:val="161D709A"/>
    <w:rsid w:val="16265302"/>
    <w:rsid w:val="16314A6A"/>
    <w:rsid w:val="163412F3"/>
    <w:rsid w:val="16351F42"/>
    <w:rsid w:val="163B7EC3"/>
    <w:rsid w:val="1642631D"/>
    <w:rsid w:val="1645164F"/>
    <w:rsid w:val="16464F80"/>
    <w:rsid w:val="16471AAA"/>
    <w:rsid w:val="16530DCC"/>
    <w:rsid w:val="165E4E8F"/>
    <w:rsid w:val="166167A3"/>
    <w:rsid w:val="166869E0"/>
    <w:rsid w:val="16710A56"/>
    <w:rsid w:val="167570BE"/>
    <w:rsid w:val="16810DC9"/>
    <w:rsid w:val="16876BB4"/>
    <w:rsid w:val="168C5039"/>
    <w:rsid w:val="169830D8"/>
    <w:rsid w:val="169A03EF"/>
    <w:rsid w:val="169B34C7"/>
    <w:rsid w:val="169F7183"/>
    <w:rsid w:val="16A01165"/>
    <w:rsid w:val="16A539B2"/>
    <w:rsid w:val="16B7140C"/>
    <w:rsid w:val="16BA1CC2"/>
    <w:rsid w:val="16C038D7"/>
    <w:rsid w:val="16C47740"/>
    <w:rsid w:val="16C75889"/>
    <w:rsid w:val="16C971E5"/>
    <w:rsid w:val="16CB00E7"/>
    <w:rsid w:val="16CB41D9"/>
    <w:rsid w:val="16D2418D"/>
    <w:rsid w:val="16D4556F"/>
    <w:rsid w:val="16D5441C"/>
    <w:rsid w:val="16D72456"/>
    <w:rsid w:val="16DD7EFB"/>
    <w:rsid w:val="16E70C2D"/>
    <w:rsid w:val="16F96ABA"/>
    <w:rsid w:val="16FA5A3C"/>
    <w:rsid w:val="16FE02CD"/>
    <w:rsid w:val="17022BBB"/>
    <w:rsid w:val="170371DE"/>
    <w:rsid w:val="17084352"/>
    <w:rsid w:val="17147EF2"/>
    <w:rsid w:val="17171BAE"/>
    <w:rsid w:val="17181ED4"/>
    <w:rsid w:val="1718327D"/>
    <w:rsid w:val="171D2C26"/>
    <w:rsid w:val="1725573A"/>
    <w:rsid w:val="17283CE0"/>
    <w:rsid w:val="172B6939"/>
    <w:rsid w:val="173B5775"/>
    <w:rsid w:val="173C534B"/>
    <w:rsid w:val="17424826"/>
    <w:rsid w:val="17432B58"/>
    <w:rsid w:val="17440C7A"/>
    <w:rsid w:val="17595518"/>
    <w:rsid w:val="17623108"/>
    <w:rsid w:val="17681F58"/>
    <w:rsid w:val="17732C32"/>
    <w:rsid w:val="177A3FBF"/>
    <w:rsid w:val="177B48B6"/>
    <w:rsid w:val="177C1DC6"/>
    <w:rsid w:val="177F5965"/>
    <w:rsid w:val="1784342B"/>
    <w:rsid w:val="17867751"/>
    <w:rsid w:val="178A011E"/>
    <w:rsid w:val="179130B8"/>
    <w:rsid w:val="1797396E"/>
    <w:rsid w:val="17995EB7"/>
    <w:rsid w:val="17A07DB6"/>
    <w:rsid w:val="17A828E3"/>
    <w:rsid w:val="17A93FA2"/>
    <w:rsid w:val="17AA6690"/>
    <w:rsid w:val="17AD3150"/>
    <w:rsid w:val="17B03CF5"/>
    <w:rsid w:val="17B252E2"/>
    <w:rsid w:val="17C156D5"/>
    <w:rsid w:val="17C35B14"/>
    <w:rsid w:val="17C7249B"/>
    <w:rsid w:val="17C77F84"/>
    <w:rsid w:val="17CA05A6"/>
    <w:rsid w:val="17D31E60"/>
    <w:rsid w:val="17DB5F2A"/>
    <w:rsid w:val="17DC2638"/>
    <w:rsid w:val="17DE56E0"/>
    <w:rsid w:val="17DF4D7E"/>
    <w:rsid w:val="17E72295"/>
    <w:rsid w:val="17EE5715"/>
    <w:rsid w:val="17EE76CB"/>
    <w:rsid w:val="17EF646B"/>
    <w:rsid w:val="17F60796"/>
    <w:rsid w:val="18023FB5"/>
    <w:rsid w:val="18035174"/>
    <w:rsid w:val="1811117B"/>
    <w:rsid w:val="182D1B13"/>
    <w:rsid w:val="18307C62"/>
    <w:rsid w:val="1837293F"/>
    <w:rsid w:val="1840599E"/>
    <w:rsid w:val="1845760B"/>
    <w:rsid w:val="18494376"/>
    <w:rsid w:val="184A536F"/>
    <w:rsid w:val="184C6E25"/>
    <w:rsid w:val="184D3881"/>
    <w:rsid w:val="185E18EB"/>
    <w:rsid w:val="185F6FDB"/>
    <w:rsid w:val="18623FA4"/>
    <w:rsid w:val="1862726F"/>
    <w:rsid w:val="18671CB9"/>
    <w:rsid w:val="186C1A0B"/>
    <w:rsid w:val="18703AAE"/>
    <w:rsid w:val="18752002"/>
    <w:rsid w:val="188113AC"/>
    <w:rsid w:val="189002D6"/>
    <w:rsid w:val="18914828"/>
    <w:rsid w:val="189B441F"/>
    <w:rsid w:val="189B7F02"/>
    <w:rsid w:val="18A65E55"/>
    <w:rsid w:val="18B10B29"/>
    <w:rsid w:val="18B359CF"/>
    <w:rsid w:val="18B66AA4"/>
    <w:rsid w:val="18BE681F"/>
    <w:rsid w:val="18CB25F9"/>
    <w:rsid w:val="18CC7662"/>
    <w:rsid w:val="18CE44B5"/>
    <w:rsid w:val="18CF006A"/>
    <w:rsid w:val="18D17DEF"/>
    <w:rsid w:val="18D561F5"/>
    <w:rsid w:val="18D6206B"/>
    <w:rsid w:val="18DA200C"/>
    <w:rsid w:val="18DE1C6B"/>
    <w:rsid w:val="18E15B2A"/>
    <w:rsid w:val="18E377D0"/>
    <w:rsid w:val="18E70AB1"/>
    <w:rsid w:val="18EA6F23"/>
    <w:rsid w:val="18ED0429"/>
    <w:rsid w:val="18ED5A94"/>
    <w:rsid w:val="18FE2D21"/>
    <w:rsid w:val="19084141"/>
    <w:rsid w:val="190C0FC6"/>
    <w:rsid w:val="19100688"/>
    <w:rsid w:val="1925378A"/>
    <w:rsid w:val="1926777A"/>
    <w:rsid w:val="192B3098"/>
    <w:rsid w:val="193103E8"/>
    <w:rsid w:val="1932670A"/>
    <w:rsid w:val="193E6932"/>
    <w:rsid w:val="19430AE5"/>
    <w:rsid w:val="194609A9"/>
    <w:rsid w:val="19494D1D"/>
    <w:rsid w:val="194F0D5B"/>
    <w:rsid w:val="19513804"/>
    <w:rsid w:val="1962296F"/>
    <w:rsid w:val="19637854"/>
    <w:rsid w:val="1967707E"/>
    <w:rsid w:val="196A78D2"/>
    <w:rsid w:val="19717FCF"/>
    <w:rsid w:val="19785D38"/>
    <w:rsid w:val="197B401F"/>
    <w:rsid w:val="197C6814"/>
    <w:rsid w:val="19814BFC"/>
    <w:rsid w:val="19837A31"/>
    <w:rsid w:val="19935D4B"/>
    <w:rsid w:val="199479FA"/>
    <w:rsid w:val="19991E7F"/>
    <w:rsid w:val="199E5917"/>
    <w:rsid w:val="19A07254"/>
    <w:rsid w:val="19A400E6"/>
    <w:rsid w:val="19AE4E78"/>
    <w:rsid w:val="19B96C68"/>
    <w:rsid w:val="19BA1A01"/>
    <w:rsid w:val="19BB7443"/>
    <w:rsid w:val="19BF1BEB"/>
    <w:rsid w:val="19C41209"/>
    <w:rsid w:val="19CE6B35"/>
    <w:rsid w:val="19CF4426"/>
    <w:rsid w:val="19D358DC"/>
    <w:rsid w:val="19D36C10"/>
    <w:rsid w:val="19D456E5"/>
    <w:rsid w:val="19D7043A"/>
    <w:rsid w:val="19DA0EAA"/>
    <w:rsid w:val="19DB5F77"/>
    <w:rsid w:val="19DD55F2"/>
    <w:rsid w:val="19F67B09"/>
    <w:rsid w:val="19FB75E9"/>
    <w:rsid w:val="19FE6CD2"/>
    <w:rsid w:val="1A102A8F"/>
    <w:rsid w:val="1A1055C2"/>
    <w:rsid w:val="1A177179"/>
    <w:rsid w:val="1A1A3838"/>
    <w:rsid w:val="1A1B135F"/>
    <w:rsid w:val="1A216430"/>
    <w:rsid w:val="1A234BDB"/>
    <w:rsid w:val="1A257CBD"/>
    <w:rsid w:val="1A2A2848"/>
    <w:rsid w:val="1A2C398C"/>
    <w:rsid w:val="1A300FBF"/>
    <w:rsid w:val="1A3049C8"/>
    <w:rsid w:val="1A3A5094"/>
    <w:rsid w:val="1A5A475E"/>
    <w:rsid w:val="1A734B68"/>
    <w:rsid w:val="1A757DEB"/>
    <w:rsid w:val="1A782748"/>
    <w:rsid w:val="1A7A7E33"/>
    <w:rsid w:val="1A8E3B1D"/>
    <w:rsid w:val="1A9D4D56"/>
    <w:rsid w:val="1AA03E29"/>
    <w:rsid w:val="1AA40F32"/>
    <w:rsid w:val="1AB1340C"/>
    <w:rsid w:val="1AB76F1C"/>
    <w:rsid w:val="1ABA5B9D"/>
    <w:rsid w:val="1AC1157E"/>
    <w:rsid w:val="1AC23E8C"/>
    <w:rsid w:val="1ACD25E6"/>
    <w:rsid w:val="1ADA295D"/>
    <w:rsid w:val="1AE72B6A"/>
    <w:rsid w:val="1AF745D1"/>
    <w:rsid w:val="1AFD30A3"/>
    <w:rsid w:val="1AFF445E"/>
    <w:rsid w:val="1B055BF1"/>
    <w:rsid w:val="1B0729A2"/>
    <w:rsid w:val="1B090F8C"/>
    <w:rsid w:val="1B0B139C"/>
    <w:rsid w:val="1B0C05B5"/>
    <w:rsid w:val="1B0F4FEF"/>
    <w:rsid w:val="1B125A79"/>
    <w:rsid w:val="1B140FE7"/>
    <w:rsid w:val="1B1808A1"/>
    <w:rsid w:val="1B1F4211"/>
    <w:rsid w:val="1B1F4934"/>
    <w:rsid w:val="1B215C43"/>
    <w:rsid w:val="1B2E2B56"/>
    <w:rsid w:val="1B413F05"/>
    <w:rsid w:val="1B43555C"/>
    <w:rsid w:val="1B4533B3"/>
    <w:rsid w:val="1B4A627F"/>
    <w:rsid w:val="1B4F587D"/>
    <w:rsid w:val="1B5352BD"/>
    <w:rsid w:val="1B5B0185"/>
    <w:rsid w:val="1B770E14"/>
    <w:rsid w:val="1B7A3696"/>
    <w:rsid w:val="1B7E5700"/>
    <w:rsid w:val="1B815628"/>
    <w:rsid w:val="1B9556D0"/>
    <w:rsid w:val="1B9D5C45"/>
    <w:rsid w:val="1BAC0B96"/>
    <w:rsid w:val="1BAF48EB"/>
    <w:rsid w:val="1BB23224"/>
    <w:rsid w:val="1BB85FD9"/>
    <w:rsid w:val="1BBB6672"/>
    <w:rsid w:val="1BC554E6"/>
    <w:rsid w:val="1BC82E20"/>
    <w:rsid w:val="1BD17048"/>
    <w:rsid w:val="1BD23C9F"/>
    <w:rsid w:val="1BD84511"/>
    <w:rsid w:val="1BE2685D"/>
    <w:rsid w:val="1BEC739F"/>
    <w:rsid w:val="1BED4D34"/>
    <w:rsid w:val="1BEE75C6"/>
    <w:rsid w:val="1BF00FB1"/>
    <w:rsid w:val="1BF63C7C"/>
    <w:rsid w:val="1BF9122C"/>
    <w:rsid w:val="1BFB0F12"/>
    <w:rsid w:val="1BFD240D"/>
    <w:rsid w:val="1C0545C6"/>
    <w:rsid w:val="1C07238A"/>
    <w:rsid w:val="1C074CF0"/>
    <w:rsid w:val="1C0C0218"/>
    <w:rsid w:val="1C0D63FD"/>
    <w:rsid w:val="1C1265A1"/>
    <w:rsid w:val="1C1510DA"/>
    <w:rsid w:val="1C193DDB"/>
    <w:rsid w:val="1C1D6E7A"/>
    <w:rsid w:val="1C250273"/>
    <w:rsid w:val="1C2532ED"/>
    <w:rsid w:val="1C3D47EF"/>
    <w:rsid w:val="1C42061E"/>
    <w:rsid w:val="1C47083A"/>
    <w:rsid w:val="1C4753CF"/>
    <w:rsid w:val="1C4A56A9"/>
    <w:rsid w:val="1C4E07FC"/>
    <w:rsid w:val="1C516B8F"/>
    <w:rsid w:val="1C5F4E25"/>
    <w:rsid w:val="1C700045"/>
    <w:rsid w:val="1C724E70"/>
    <w:rsid w:val="1C7D57CB"/>
    <w:rsid w:val="1C7E1C09"/>
    <w:rsid w:val="1C7F0902"/>
    <w:rsid w:val="1C7F5BD5"/>
    <w:rsid w:val="1C87428B"/>
    <w:rsid w:val="1C8C5F54"/>
    <w:rsid w:val="1C8D0545"/>
    <w:rsid w:val="1C914ADE"/>
    <w:rsid w:val="1C9849C2"/>
    <w:rsid w:val="1C9C140A"/>
    <w:rsid w:val="1CA30C03"/>
    <w:rsid w:val="1CA56A49"/>
    <w:rsid w:val="1CA91C7E"/>
    <w:rsid w:val="1CAA31F6"/>
    <w:rsid w:val="1CB16D85"/>
    <w:rsid w:val="1CB26A79"/>
    <w:rsid w:val="1CBA6463"/>
    <w:rsid w:val="1CBD352C"/>
    <w:rsid w:val="1CC37347"/>
    <w:rsid w:val="1CC932F4"/>
    <w:rsid w:val="1CCF71CB"/>
    <w:rsid w:val="1CD16F91"/>
    <w:rsid w:val="1CD77DD1"/>
    <w:rsid w:val="1CE342A1"/>
    <w:rsid w:val="1CE65B3E"/>
    <w:rsid w:val="1CE95744"/>
    <w:rsid w:val="1CF37C0D"/>
    <w:rsid w:val="1CF53A7C"/>
    <w:rsid w:val="1CF70C13"/>
    <w:rsid w:val="1CF85FB1"/>
    <w:rsid w:val="1CFE089E"/>
    <w:rsid w:val="1D0C07E4"/>
    <w:rsid w:val="1D0E2271"/>
    <w:rsid w:val="1D135315"/>
    <w:rsid w:val="1D14049C"/>
    <w:rsid w:val="1D152095"/>
    <w:rsid w:val="1D1B5757"/>
    <w:rsid w:val="1D1F67D8"/>
    <w:rsid w:val="1D2142B0"/>
    <w:rsid w:val="1D2422D8"/>
    <w:rsid w:val="1D290F5E"/>
    <w:rsid w:val="1D2D0D01"/>
    <w:rsid w:val="1D2E47A3"/>
    <w:rsid w:val="1D33501D"/>
    <w:rsid w:val="1D346707"/>
    <w:rsid w:val="1D3B37AC"/>
    <w:rsid w:val="1D3E47C1"/>
    <w:rsid w:val="1D3E6FE1"/>
    <w:rsid w:val="1D424AAF"/>
    <w:rsid w:val="1D441AF9"/>
    <w:rsid w:val="1D58265F"/>
    <w:rsid w:val="1D5B148D"/>
    <w:rsid w:val="1D5E03C2"/>
    <w:rsid w:val="1D5E1B21"/>
    <w:rsid w:val="1D6D6BB0"/>
    <w:rsid w:val="1D6E6331"/>
    <w:rsid w:val="1D7A0ECC"/>
    <w:rsid w:val="1D7C4D21"/>
    <w:rsid w:val="1D882AAC"/>
    <w:rsid w:val="1D886927"/>
    <w:rsid w:val="1D8E7BB4"/>
    <w:rsid w:val="1D914387"/>
    <w:rsid w:val="1D9B1FBD"/>
    <w:rsid w:val="1D9C1756"/>
    <w:rsid w:val="1DA100B2"/>
    <w:rsid w:val="1DA643DA"/>
    <w:rsid w:val="1DA94B63"/>
    <w:rsid w:val="1DAD3A0C"/>
    <w:rsid w:val="1DB320ED"/>
    <w:rsid w:val="1DB418AE"/>
    <w:rsid w:val="1DBA02B7"/>
    <w:rsid w:val="1DCD318E"/>
    <w:rsid w:val="1DD56637"/>
    <w:rsid w:val="1DE56DFF"/>
    <w:rsid w:val="1DEF4154"/>
    <w:rsid w:val="1DF575EF"/>
    <w:rsid w:val="1DF57DD3"/>
    <w:rsid w:val="1DF75AF2"/>
    <w:rsid w:val="1DF80A7D"/>
    <w:rsid w:val="1DF82C5A"/>
    <w:rsid w:val="1DF95D89"/>
    <w:rsid w:val="1DFF1E83"/>
    <w:rsid w:val="1E00115A"/>
    <w:rsid w:val="1E043650"/>
    <w:rsid w:val="1E044F38"/>
    <w:rsid w:val="1E13051C"/>
    <w:rsid w:val="1E267102"/>
    <w:rsid w:val="1E2A0E6F"/>
    <w:rsid w:val="1E2A187E"/>
    <w:rsid w:val="1E2A72DF"/>
    <w:rsid w:val="1E345D00"/>
    <w:rsid w:val="1E3E35F6"/>
    <w:rsid w:val="1E450770"/>
    <w:rsid w:val="1E4662D5"/>
    <w:rsid w:val="1E531D0C"/>
    <w:rsid w:val="1E535B97"/>
    <w:rsid w:val="1E592DCA"/>
    <w:rsid w:val="1E5D735F"/>
    <w:rsid w:val="1E5F2522"/>
    <w:rsid w:val="1E5F5AEB"/>
    <w:rsid w:val="1E677291"/>
    <w:rsid w:val="1E8E33C7"/>
    <w:rsid w:val="1E90019C"/>
    <w:rsid w:val="1E975F3A"/>
    <w:rsid w:val="1E9C57E9"/>
    <w:rsid w:val="1EB34030"/>
    <w:rsid w:val="1EB52F05"/>
    <w:rsid w:val="1EB65C7E"/>
    <w:rsid w:val="1EB73B68"/>
    <w:rsid w:val="1EBA0E80"/>
    <w:rsid w:val="1EC3599D"/>
    <w:rsid w:val="1EC52D6E"/>
    <w:rsid w:val="1EC54835"/>
    <w:rsid w:val="1EC86B3D"/>
    <w:rsid w:val="1ED75E5F"/>
    <w:rsid w:val="1EE43E5B"/>
    <w:rsid w:val="1EE74D4F"/>
    <w:rsid w:val="1EEC1E96"/>
    <w:rsid w:val="1EF17361"/>
    <w:rsid w:val="1EFC7B15"/>
    <w:rsid w:val="1EFF25E6"/>
    <w:rsid w:val="1F02270A"/>
    <w:rsid w:val="1F094F8D"/>
    <w:rsid w:val="1F0B3C98"/>
    <w:rsid w:val="1F0C1276"/>
    <w:rsid w:val="1F0D04AF"/>
    <w:rsid w:val="1F17618E"/>
    <w:rsid w:val="1F1B7A50"/>
    <w:rsid w:val="1F225257"/>
    <w:rsid w:val="1F29246F"/>
    <w:rsid w:val="1F2C132E"/>
    <w:rsid w:val="1F440EC0"/>
    <w:rsid w:val="1F4A6434"/>
    <w:rsid w:val="1F4D64D2"/>
    <w:rsid w:val="1F4D6EAE"/>
    <w:rsid w:val="1F573DC7"/>
    <w:rsid w:val="1F596132"/>
    <w:rsid w:val="1F5A0233"/>
    <w:rsid w:val="1F613AC0"/>
    <w:rsid w:val="1F6C1D3C"/>
    <w:rsid w:val="1F727B04"/>
    <w:rsid w:val="1F751BB6"/>
    <w:rsid w:val="1F7924B4"/>
    <w:rsid w:val="1F7F0325"/>
    <w:rsid w:val="1F9064EF"/>
    <w:rsid w:val="1F960F0D"/>
    <w:rsid w:val="1F9869D3"/>
    <w:rsid w:val="1F996FAD"/>
    <w:rsid w:val="1F9D4DB4"/>
    <w:rsid w:val="1FA33C17"/>
    <w:rsid w:val="1FAC0EF5"/>
    <w:rsid w:val="1FB33769"/>
    <w:rsid w:val="1FB84D30"/>
    <w:rsid w:val="1FC07F7C"/>
    <w:rsid w:val="1FD35176"/>
    <w:rsid w:val="1FD572DD"/>
    <w:rsid w:val="1FD75D28"/>
    <w:rsid w:val="1FDE695D"/>
    <w:rsid w:val="1FDF183F"/>
    <w:rsid w:val="1FE54130"/>
    <w:rsid w:val="1FED160C"/>
    <w:rsid w:val="1FF42D9C"/>
    <w:rsid w:val="1FF93E17"/>
    <w:rsid w:val="1FFE208B"/>
    <w:rsid w:val="1FFE5EC3"/>
    <w:rsid w:val="2000337C"/>
    <w:rsid w:val="200B2440"/>
    <w:rsid w:val="20126063"/>
    <w:rsid w:val="20135C46"/>
    <w:rsid w:val="20146080"/>
    <w:rsid w:val="20164DE2"/>
    <w:rsid w:val="20226140"/>
    <w:rsid w:val="20230F07"/>
    <w:rsid w:val="20233C33"/>
    <w:rsid w:val="202809B9"/>
    <w:rsid w:val="202C2907"/>
    <w:rsid w:val="202D4CCB"/>
    <w:rsid w:val="202E0B16"/>
    <w:rsid w:val="202F793D"/>
    <w:rsid w:val="20311AD4"/>
    <w:rsid w:val="20347A65"/>
    <w:rsid w:val="203F6880"/>
    <w:rsid w:val="20437EAB"/>
    <w:rsid w:val="204F6E3A"/>
    <w:rsid w:val="205031CD"/>
    <w:rsid w:val="205528C2"/>
    <w:rsid w:val="205A7359"/>
    <w:rsid w:val="20602C18"/>
    <w:rsid w:val="206910CE"/>
    <w:rsid w:val="206C240C"/>
    <w:rsid w:val="206F7D26"/>
    <w:rsid w:val="20730E31"/>
    <w:rsid w:val="20770154"/>
    <w:rsid w:val="208038C8"/>
    <w:rsid w:val="2082385C"/>
    <w:rsid w:val="20851D82"/>
    <w:rsid w:val="208A7FF7"/>
    <w:rsid w:val="20972E2C"/>
    <w:rsid w:val="20980B1A"/>
    <w:rsid w:val="209F02CD"/>
    <w:rsid w:val="20A11544"/>
    <w:rsid w:val="20A54E41"/>
    <w:rsid w:val="20AD4184"/>
    <w:rsid w:val="20B306E7"/>
    <w:rsid w:val="20B76B6E"/>
    <w:rsid w:val="20B90F30"/>
    <w:rsid w:val="20BA4366"/>
    <w:rsid w:val="20C86C10"/>
    <w:rsid w:val="20CE4C82"/>
    <w:rsid w:val="20D004EF"/>
    <w:rsid w:val="20D24102"/>
    <w:rsid w:val="20E701EC"/>
    <w:rsid w:val="20FF2A95"/>
    <w:rsid w:val="2100229F"/>
    <w:rsid w:val="210510F7"/>
    <w:rsid w:val="2109195F"/>
    <w:rsid w:val="210F53C1"/>
    <w:rsid w:val="211336EE"/>
    <w:rsid w:val="21181FA0"/>
    <w:rsid w:val="211F34E2"/>
    <w:rsid w:val="212158CE"/>
    <w:rsid w:val="21226E3A"/>
    <w:rsid w:val="212B3A2F"/>
    <w:rsid w:val="2136212A"/>
    <w:rsid w:val="213D1C59"/>
    <w:rsid w:val="21465627"/>
    <w:rsid w:val="21472F58"/>
    <w:rsid w:val="214C2D4F"/>
    <w:rsid w:val="21505470"/>
    <w:rsid w:val="2154799E"/>
    <w:rsid w:val="215A222C"/>
    <w:rsid w:val="21633122"/>
    <w:rsid w:val="216B3176"/>
    <w:rsid w:val="21713E74"/>
    <w:rsid w:val="21812CCB"/>
    <w:rsid w:val="21886BFD"/>
    <w:rsid w:val="218E390E"/>
    <w:rsid w:val="21A2076F"/>
    <w:rsid w:val="21A8698B"/>
    <w:rsid w:val="21AD5223"/>
    <w:rsid w:val="21AE4DC9"/>
    <w:rsid w:val="21BF38E2"/>
    <w:rsid w:val="21C5435F"/>
    <w:rsid w:val="21C762C9"/>
    <w:rsid w:val="21CC2BCE"/>
    <w:rsid w:val="21CC6E7A"/>
    <w:rsid w:val="21CE4FCA"/>
    <w:rsid w:val="21D06ED2"/>
    <w:rsid w:val="21D17C97"/>
    <w:rsid w:val="21DC018A"/>
    <w:rsid w:val="21DC620D"/>
    <w:rsid w:val="21DD0DC5"/>
    <w:rsid w:val="21DF6E90"/>
    <w:rsid w:val="21E27BA6"/>
    <w:rsid w:val="21E35C7D"/>
    <w:rsid w:val="21EF1D37"/>
    <w:rsid w:val="21FE4E8B"/>
    <w:rsid w:val="22103BA5"/>
    <w:rsid w:val="22162717"/>
    <w:rsid w:val="22167D4C"/>
    <w:rsid w:val="22170932"/>
    <w:rsid w:val="22224691"/>
    <w:rsid w:val="22277EEC"/>
    <w:rsid w:val="22315F6D"/>
    <w:rsid w:val="22361E75"/>
    <w:rsid w:val="22444B4C"/>
    <w:rsid w:val="22492A29"/>
    <w:rsid w:val="22554B3D"/>
    <w:rsid w:val="225D445D"/>
    <w:rsid w:val="225F49D8"/>
    <w:rsid w:val="22634945"/>
    <w:rsid w:val="2263659F"/>
    <w:rsid w:val="22642A00"/>
    <w:rsid w:val="22674530"/>
    <w:rsid w:val="226B3B74"/>
    <w:rsid w:val="227A7C7E"/>
    <w:rsid w:val="227D04C1"/>
    <w:rsid w:val="228B7D11"/>
    <w:rsid w:val="22992A8D"/>
    <w:rsid w:val="229A7176"/>
    <w:rsid w:val="22A04518"/>
    <w:rsid w:val="22A34ED5"/>
    <w:rsid w:val="22A557D5"/>
    <w:rsid w:val="22A719E1"/>
    <w:rsid w:val="22AC58FB"/>
    <w:rsid w:val="22B362BF"/>
    <w:rsid w:val="22C7182C"/>
    <w:rsid w:val="22D04BB0"/>
    <w:rsid w:val="22E402A5"/>
    <w:rsid w:val="22E715EC"/>
    <w:rsid w:val="22E744D4"/>
    <w:rsid w:val="22EA1511"/>
    <w:rsid w:val="22EA55A7"/>
    <w:rsid w:val="22EC763C"/>
    <w:rsid w:val="22ED5B93"/>
    <w:rsid w:val="22EF4281"/>
    <w:rsid w:val="22F17119"/>
    <w:rsid w:val="22F32069"/>
    <w:rsid w:val="22F34277"/>
    <w:rsid w:val="22F60B78"/>
    <w:rsid w:val="22F92429"/>
    <w:rsid w:val="22F964C1"/>
    <w:rsid w:val="22F97D63"/>
    <w:rsid w:val="22FC2640"/>
    <w:rsid w:val="22FD19DF"/>
    <w:rsid w:val="2302156A"/>
    <w:rsid w:val="23100DE0"/>
    <w:rsid w:val="2319267D"/>
    <w:rsid w:val="231B1D19"/>
    <w:rsid w:val="231B551F"/>
    <w:rsid w:val="231C5BAA"/>
    <w:rsid w:val="231E0748"/>
    <w:rsid w:val="232726A8"/>
    <w:rsid w:val="23282771"/>
    <w:rsid w:val="232E3EB1"/>
    <w:rsid w:val="23347D36"/>
    <w:rsid w:val="233A7F01"/>
    <w:rsid w:val="2344794B"/>
    <w:rsid w:val="23466EC1"/>
    <w:rsid w:val="235166AF"/>
    <w:rsid w:val="235B0B0C"/>
    <w:rsid w:val="236331CD"/>
    <w:rsid w:val="23690883"/>
    <w:rsid w:val="23697B20"/>
    <w:rsid w:val="23705B61"/>
    <w:rsid w:val="237118FA"/>
    <w:rsid w:val="23751E14"/>
    <w:rsid w:val="23752F24"/>
    <w:rsid w:val="2377669D"/>
    <w:rsid w:val="237B721A"/>
    <w:rsid w:val="23832764"/>
    <w:rsid w:val="2385386C"/>
    <w:rsid w:val="238E1E7F"/>
    <w:rsid w:val="23934957"/>
    <w:rsid w:val="23946417"/>
    <w:rsid w:val="23965C62"/>
    <w:rsid w:val="239A5B1E"/>
    <w:rsid w:val="23AD584B"/>
    <w:rsid w:val="23AF3EFE"/>
    <w:rsid w:val="23B35DD3"/>
    <w:rsid w:val="23B63C6B"/>
    <w:rsid w:val="23B674CC"/>
    <w:rsid w:val="23BA7C4E"/>
    <w:rsid w:val="23D15136"/>
    <w:rsid w:val="23DE2E3C"/>
    <w:rsid w:val="23DE58D7"/>
    <w:rsid w:val="23F511B0"/>
    <w:rsid w:val="23FB5310"/>
    <w:rsid w:val="24052B58"/>
    <w:rsid w:val="240817D7"/>
    <w:rsid w:val="240829B9"/>
    <w:rsid w:val="240D18DC"/>
    <w:rsid w:val="240D74E6"/>
    <w:rsid w:val="240F77D9"/>
    <w:rsid w:val="24117FF5"/>
    <w:rsid w:val="24122F58"/>
    <w:rsid w:val="241B0D9D"/>
    <w:rsid w:val="241E4B04"/>
    <w:rsid w:val="242650CD"/>
    <w:rsid w:val="24283C1B"/>
    <w:rsid w:val="242C3B6A"/>
    <w:rsid w:val="242E566B"/>
    <w:rsid w:val="242F651F"/>
    <w:rsid w:val="243674C1"/>
    <w:rsid w:val="243A3723"/>
    <w:rsid w:val="244209B7"/>
    <w:rsid w:val="244D65B8"/>
    <w:rsid w:val="244E54E2"/>
    <w:rsid w:val="24517F3A"/>
    <w:rsid w:val="24547947"/>
    <w:rsid w:val="2456037A"/>
    <w:rsid w:val="24570AB6"/>
    <w:rsid w:val="246368BD"/>
    <w:rsid w:val="246F6D5B"/>
    <w:rsid w:val="247022A7"/>
    <w:rsid w:val="24716C4C"/>
    <w:rsid w:val="247609FF"/>
    <w:rsid w:val="24764CE6"/>
    <w:rsid w:val="247F392A"/>
    <w:rsid w:val="24843805"/>
    <w:rsid w:val="24BE3012"/>
    <w:rsid w:val="24BE3A1D"/>
    <w:rsid w:val="24BE41F3"/>
    <w:rsid w:val="24CB3D84"/>
    <w:rsid w:val="24D0464D"/>
    <w:rsid w:val="24D65CC2"/>
    <w:rsid w:val="24DB0068"/>
    <w:rsid w:val="24DD7A43"/>
    <w:rsid w:val="24DE08C2"/>
    <w:rsid w:val="24DE4E98"/>
    <w:rsid w:val="24E0567E"/>
    <w:rsid w:val="24EA599B"/>
    <w:rsid w:val="24ED2572"/>
    <w:rsid w:val="24EE5BEE"/>
    <w:rsid w:val="24FD3B3B"/>
    <w:rsid w:val="24FD3CAF"/>
    <w:rsid w:val="24FF6206"/>
    <w:rsid w:val="2505077C"/>
    <w:rsid w:val="250B212A"/>
    <w:rsid w:val="250D155D"/>
    <w:rsid w:val="250D5B3F"/>
    <w:rsid w:val="250E5B68"/>
    <w:rsid w:val="25112DB1"/>
    <w:rsid w:val="251507B2"/>
    <w:rsid w:val="25165E7C"/>
    <w:rsid w:val="251D3D77"/>
    <w:rsid w:val="25204394"/>
    <w:rsid w:val="25234C52"/>
    <w:rsid w:val="25302DED"/>
    <w:rsid w:val="25342CFE"/>
    <w:rsid w:val="25356C92"/>
    <w:rsid w:val="253A2C80"/>
    <w:rsid w:val="253C648B"/>
    <w:rsid w:val="254554E2"/>
    <w:rsid w:val="25463002"/>
    <w:rsid w:val="25480708"/>
    <w:rsid w:val="255523F4"/>
    <w:rsid w:val="255F350C"/>
    <w:rsid w:val="2560647E"/>
    <w:rsid w:val="25641B14"/>
    <w:rsid w:val="2575264B"/>
    <w:rsid w:val="25785A39"/>
    <w:rsid w:val="257B7248"/>
    <w:rsid w:val="257F7CF4"/>
    <w:rsid w:val="2584511A"/>
    <w:rsid w:val="258B3415"/>
    <w:rsid w:val="258C5E63"/>
    <w:rsid w:val="259A184E"/>
    <w:rsid w:val="259A6568"/>
    <w:rsid w:val="25A37FFA"/>
    <w:rsid w:val="25A70E44"/>
    <w:rsid w:val="25AE24B3"/>
    <w:rsid w:val="25B21CB9"/>
    <w:rsid w:val="25BA3008"/>
    <w:rsid w:val="25CB19A7"/>
    <w:rsid w:val="25D10CAB"/>
    <w:rsid w:val="25D602AD"/>
    <w:rsid w:val="25D70288"/>
    <w:rsid w:val="25D81D89"/>
    <w:rsid w:val="25D93504"/>
    <w:rsid w:val="25DA4441"/>
    <w:rsid w:val="25DA6838"/>
    <w:rsid w:val="25E11FA7"/>
    <w:rsid w:val="25F74D14"/>
    <w:rsid w:val="25F85611"/>
    <w:rsid w:val="25FC5FF5"/>
    <w:rsid w:val="25FD0B72"/>
    <w:rsid w:val="2602761C"/>
    <w:rsid w:val="2616563E"/>
    <w:rsid w:val="26214B85"/>
    <w:rsid w:val="2626537F"/>
    <w:rsid w:val="262B1A74"/>
    <w:rsid w:val="262B3A8D"/>
    <w:rsid w:val="263F5091"/>
    <w:rsid w:val="264B614D"/>
    <w:rsid w:val="2650098C"/>
    <w:rsid w:val="265869A4"/>
    <w:rsid w:val="265C541F"/>
    <w:rsid w:val="265E4567"/>
    <w:rsid w:val="26652515"/>
    <w:rsid w:val="26660CC8"/>
    <w:rsid w:val="2667298E"/>
    <w:rsid w:val="266A16A4"/>
    <w:rsid w:val="266D6B23"/>
    <w:rsid w:val="267317D1"/>
    <w:rsid w:val="2677613E"/>
    <w:rsid w:val="26794017"/>
    <w:rsid w:val="268431F3"/>
    <w:rsid w:val="268513B8"/>
    <w:rsid w:val="268777A1"/>
    <w:rsid w:val="26931EBE"/>
    <w:rsid w:val="269E2B2F"/>
    <w:rsid w:val="269E5ADA"/>
    <w:rsid w:val="269F1099"/>
    <w:rsid w:val="26A1791B"/>
    <w:rsid w:val="26A4360A"/>
    <w:rsid w:val="26AC1839"/>
    <w:rsid w:val="26AD5F3F"/>
    <w:rsid w:val="26B40B71"/>
    <w:rsid w:val="26B755BD"/>
    <w:rsid w:val="26B81BB2"/>
    <w:rsid w:val="26C01112"/>
    <w:rsid w:val="26C03072"/>
    <w:rsid w:val="26C568DA"/>
    <w:rsid w:val="26D46677"/>
    <w:rsid w:val="26D503DA"/>
    <w:rsid w:val="26D60DDD"/>
    <w:rsid w:val="26D9351A"/>
    <w:rsid w:val="26E14378"/>
    <w:rsid w:val="26EC19FC"/>
    <w:rsid w:val="26EC5FA2"/>
    <w:rsid w:val="26F17F63"/>
    <w:rsid w:val="26F6419B"/>
    <w:rsid w:val="26FA190F"/>
    <w:rsid w:val="27067EC2"/>
    <w:rsid w:val="27086AFF"/>
    <w:rsid w:val="270A7089"/>
    <w:rsid w:val="27125A32"/>
    <w:rsid w:val="271675AA"/>
    <w:rsid w:val="271C4089"/>
    <w:rsid w:val="272558D5"/>
    <w:rsid w:val="272705D4"/>
    <w:rsid w:val="272775DA"/>
    <w:rsid w:val="27301365"/>
    <w:rsid w:val="27315FED"/>
    <w:rsid w:val="27344F37"/>
    <w:rsid w:val="273707A4"/>
    <w:rsid w:val="273A1825"/>
    <w:rsid w:val="273B76E6"/>
    <w:rsid w:val="273C1CED"/>
    <w:rsid w:val="273F2418"/>
    <w:rsid w:val="27444ECD"/>
    <w:rsid w:val="27582C97"/>
    <w:rsid w:val="27585D1F"/>
    <w:rsid w:val="27586AE6"/>
    <w:rsid w:val="275A7F68"/>
    <w:rsid w:val="275F5ADF"/>
    <w:rsid w:val="27603F1B"/>
    <w:rsid w:val="27626078"/>
    <w:rsid w:val="27656FD6"/>
    <w:rsid w:val="276613AE"/>
    <w:rsid w:val="276849E3"/>
    <w:rsid w:val="2771492D"/>
    <w:rsid w:val="27811F6E"/>
    <w:rsid w:val="278201C4"/>
    <w:rsid w:val="27851F7A"/>
    <w:rsid w:val="278B07A6"/>
    <w:rsid w:val="27900D1A"/>
    <w:rsid w:val="27905A1E"/>
    <w:rsid w:val="27992D95"/>
    <w:rsid w:val="27A134FA"/>
    <w:rsid w:val="27A3684C"/>
    <w:rsid w:val="27A607E7"/>
    <w:rsid w:val="27AE0F3B"/>
    <w:rsid w:val="27B13F0E"/>
    <w:rsid w:val="27B31E2B"/>
    <w:rsid w:val="27B72543"/>
    <w:rsid w:val="27B76B15"/>
    <w:rsid w:val="27B817BE"/>
    <w:rsid w:val="27BC76DA"/>
    <w:rsid w:val="27C138E3"/>
    <w:rsid w:val="27C37C33"/>
    <w:rsid w:val="27C71C34"/>
    <w:rsid w:val="27D17500"/>
    <w:rsid w:val="27DC656A"/>
    <w:rsid w:val="27DF1C1D"/>
    <w:rsid w:val="27DF39F9"/>
    <w:rsid w:val="27E61E92"/>
    <w:rsid w:val="27E93B6C"/>
    <w:rsid w:val="27F068BA"/>
    <w:rsid w:val="27FA2A6C"/>
    <w:rsid w:val="27FA68F3"/>
    <w:rsid w:val="27FC6A93"/>
    <w:rsid w:val="28041684"/>
    <w:rsid w:val="280478D6"/>
    <w:rsid w:val="280B661D"/>
    <w:rsid w:val="280C58D0"/>
    <w:rsid w:val="28116DEB"/>
    <w:rsid w:val="281F39ED"/>
    <w:rsid w:val="282548AA"/>
    <w:rsid w:val="28254914"/>
    <w:rsid w:val="28280C8A"/>
    <w:rsid w:val="28285E8E"/>
    <w:rsid w:val="282C77FC"/>
    <w:rsid w:val="28311661"/>
    <w:rsid w:val="283C695C"/>
    <w:rsid w:val="284448C8"/>
    <w:rsid w:val="284B358C"/>
    <w:rsid w:val="284F7C91"/>
    <w:rsid w:val="285253E7"/>
    <w:rsid w:val="285F7361"/>
    <w:rsid w:val="28646F10"/>
    <w:rsid w:val="286A47B7"/>
    <w:rsid w:val="286B100F"/>
    <w:rsid w:val="286B3F61"/>
    <w:rsid w:val="2877097D"/>
    <w:rsid w:val="28794089"/>
    <w:rsid w:val="288F719F"/>
    <w:rsid w:val="28931F5B"/>
    <w:rsid w:val="28937B7E"/>
    <w:rsid w:val="28940677"/>
    <w:rsid w:val="28984870"/>
    <w:rsid w:val="289C1C2F"/>
    <w:rsid w:val="28A560A2"/>
    <w:rsid w:val="28A82C7F"/>
    <w:rsid w:val="28AE5BCB"/>
    <w:rsid w:val="28B40D95"/>
    <w:rsid w:val="28BA6C88"/>
    <w:rsid w:val="28BC26EB"/>
    <w:rsid w:val="28C0001A"/>
    <w:rsid w:val="28CF1DC6"/>
    <w:rsid w:val="28D244D3"/>
    <w:rsid w:val="28D459DB"/>
    <w:rsid w:val="28DE6610"/>
    <w:rsid w:val="28E149A5"/>
    <w:rsid w:val="28E675FC"/>
    <w:rsid w:val="28EB7DFC"/>
    <w:rsid w:val="28F547F0"/>
    <w:rsid w:val="28FC0757"/>
    <w:rsid w:val="2900704B"/>
    <w:rsid w:val="29041A0C"/>
    <w:rsid w:val="29116EA9"/>
    <w:rsid w:val="291C67E9"/>
    <w:rsid w:val="291F269B"/>
    <w:rsid w:val="292F1663"/>
    <w:rsid w:val="2944700D"/>
    <w:rsid w:val="29462EE7"/>
    <w:rsid w:val="29493022"/>
    <w:rsid w:val="294E0B4A"/>
    <w:rsid w:val="294F4DAC"/>
    <w:rsid w:val="2955184A"/>
    <w:rsid w:val="295556C8"/>
    <w:rsid w:val="29585880"/>
    <w:rsid w:val="296502D2"/>
    <w:rsid w:val="2968054E"/>
    <w:rsid w:val="296C1258"/>
    <w:rsid w:val="296C49FD"/>
    <w:rsid w:val="29716E20"/>
    <w:rsid w:val="29722307"/>
    <w:rsid w:val="29775E7B"/>
    <w:rsid w:val="2984185F"/>
    <w:rsid w:val="29912653"/>
    <w:rsid w:val="299131D4"/>
    <w:rsid w:val="29930CB2"/>
    <w:rsid w:val="299501D6"/>
    <w:rsid w:val="29971EFB"/>
    <w:rsid w:val="299A41C5"/>
    <w:rsid w:val="299C6AA1"/>
    <w:rsid w:val="29A95573"/>
    <w:rsid w:val="29AD7CA1"/>
    <w:rsid w:val="29AF3660"/>
    <w:rsid w:val="29B118F8"/>
    <w:rsid w:val="29BF40C0"/>
    <w:rsid w:val="29C037C1"/>
    <w:rsid w:val="29C16846"/>
    <w:rsid w:val="29C565CD"/>
    <w:rsid w:val="29C75848"/>
    <w:rsid w:val="29C97667"/>
    <w:rsid w:val="29D02DF4"/>
    <w:rsid w:val="29D367CD"/>
    <w:rsid w:val="29D46561"/>
    <w:rsid w:val="29D55BD4"/>
    <w:rsid w:val="29DD29B3"/>
    <w:rsid w:val="29DD3B02"/>
    <w:rsid w:val="29E5087D"/>
    <w:rsid w:val="29EE5842"/>
    <w:rsid w:val="29EE59E6"/>
    <w:rsid w:val="29F24512"/>
    <w:rsid w:val="29FB632F"/>
    <w:rsid w:val="29FE7B47"/>
    <w:rsid w:val="2A032A3E"/>
    <w:rsid w:val="2A093608"/>
    <w:rsid w:val="2A1A1FC1"/>
    <w:rsid w:val="2A1C1E50"/>
    <w:rsid w:val="2A1E3AB6"/>
    <w:rsid w:val="2A1E5F3B"/>
    <w:rsid w:val="2A1F209F"/>
    <w:rsid w:val="2A2226D5"/>
    <w:rsid w:val="2A285100"/>
    <w:rsid w:val="2A2A5E9F"/>
    <w:rsid w:val="2A2E1528"/>
    <w:rsid w:val="2A2E7742"/>
    <w:rsid w:val="2A3144D6"/>
    <w:rsid w:val="2A3425D2"/>
    <w:rsid w:val="2A355AAF"/>
    <w:rsid w:val="2A3D5A1A"/>
    <w:rsid w:val="2A481C9F"/>
    <w:rsid w:val="2A4F070F"/>
    <w:rsid w:val="2A4F46A4"/>
    <w:rsid w:val="2A532F4F"/>
    <w:rsid w:val="2A5352DB"/>
    <w:rsid w:val="2A550257"/>
    <w:rsid w:val="2A583596"/>
    <w:rsid w:val="2A5868C5"/>
    <w:rsid w:val="2A6C3AF1"/>
    <w:rsid w:val="2A723B52"/>
    <w:rsid w:val="2A7439C8"/>
    <w:rsid w:val="2A7C14B8"/>
    <w:rsid w:val="2A825A2D"/>
    <w:rsid w:val="2A9E13BF"/>
    <w:rsid w:val="2AA4729F"/>
    <w:rsid w:val="2AA7042F"/>
    <w:rsid w:val="2AAB50E4"/>
    <w:rsid w:val="2AAD75B8"/>
    <w:rsid w:val="2AB34561"/>
    <w:rsid w:val="2ABE3597"/>
    <w:rsid w:val="2AC17979"/>
    <w:rsid w:val="2AC17DA6"/>
    <w:rsid w:val="2ACA1DEC"/>
    <w:rsid w:val="2AD10BAE"/>
    <w:rsid w:val="2ADC639A"/>
    <w:rsid w:val="2ADD1B3A"/>
    <w:rsid w:val="2ADD4E50"/>
    <w:rsid w:val="2ADD5145"/>
    <w:rsid w:val="2ADF6EBF"/>
    <w:rsid w:val="2AE1144F"/>
    <w:rsid w:val="2AEE4C68"/>
    <w:rsid w:val="2AF22497"/>
    <w:rsid w:val="2AF757C9"/>
    <w:rsid w:val="2AF80B65"/>
    <w:rsid w:val="2AFC7AFF"/>
    <w:rsid w:val="2AFD283D"/>
    <w:rsid w:val="2AFF0A9F"/>
    <w:rsid w:val="2B0650C2"/>
    <w:rsid w:val="2B0B2151"/>
    <w:rsid w:val="2B0B21F7"/>
    <w:rsid w:val="2B111209"/>
    <w:rsid w:val="2B132512"/>
    <w:rsid w:val="2B177C4E"/>
    <w:rsid w:val="2B337A0B"/>
    <w:rsid w:val="2B365CD6"/>
    <w:rsid w:val="2B3677B7"/>
    <w:rsid w:val="2B373BB2"/>
    <w:rsid w:val="2B481A81"/>
    <w:rsid w:val="2B511016"/>
    <w:rsid w:val="2B523177"/>
    <w:rsid w:val="2B585F39"/>
    <w:rsid w:val="2B68767C"/>
    <w:rsid w:val="2B6A3403"/>
    <w:rsid w:val="2B6D2D40"/>
    <w:rsid w:val="2B6E7E65"/>
    <w:rsid w:val="2B774B5B"/>
    <w:rsid w:val="2B776A47"/>
    <w:rsid w:val="2B7A5CDD"/>
    <w:rsid w:val="2B7F75E8"/>
    <w:rsid w:val="2B8561E8"/>
    <w:rsid w:val="2B8C31C8"/>
    <w:rsid w:val="2B8D15FD"/>
    <w:rsid w:val="2B8D7C37"/>
    <w:rsid w:val="2B936B44"/>
    <w:rsid w:val="2BA02B8C"/>
    <w:rsid w:val="2BA62BA2"/>
    <w:rsid w:val="2BA6616E"/>
    <w:rsid w:val="2BB2723A"/>
    <w:rsid w:val="2BB30FC0"/>
    <w:rsid w:val="2BBF5714"/>
    <w:rsid w:val="2BCF1023"/>
    <w:rsid w:val="2BD004B1"/>
    <w:rsid w:val="2BDC3DDC"/>
    <w:rsid w:val="2BDD37E8"/>
    <w:rsid w:val="2BE5134F"/>
    <w:rsid w:val="2BEB0A3C"/>
    <w:rsid w:val="2BF528D4"/>
    <w:rsid w:val="2BF67536"/>
    <w:rsid w:val="2BFC5503"/>
    <w:rsid w:val="2BFD1A6B"/>
    <w:rsid w:val="2C051D7B"/>
    <w:rsid w:val="2C076EED"/>
    <w:rsid w:val="2C0B07F0"/>
    <w:rsid w:val="2C1C45E5"/>
    <w:rsid w:val="2C1D7DAB"/>
    <w:rsid w:val="2C275941"/>
    <w:rsid w:val="2C2B6C39"/>
    <w:rsid w:val="2C2C2194"/>
    <w:rsid w:val="2C2D0071"/>
    <w:rsid w:val="2C333DF3"/>
    <w:rsid w:val="2C356C38"/>
    <w:rsid w:val="2C3715A5"/>
    <w:rsid w:val="2C372E68"/>
    <w:rsid w:val="2C3E7FA8"/>
    <w:rsid w:val="2C455BAE"/>
    <w:rsid w:val="2C471AC0"/>
    <w:rsid w:val="2C5960B0"/>
    <w:rsid w:val="2C605A3B"/>
    <w:rsid w:val="2C6A6548"/>
    <w:rsid w:val="2C7274C8"/>
    <w:rsid w:val="2C766629"/>
    <w:rsid w:val="2C7F752B"/>
    <w:rsid w:val="2C85496B"/>
    <w:rsid w:val="2C88432A"/>
    <w:rsid w:val="2C916869"/>
    <w:rsid w:val="2C945D12"/>
    <w:rsid w:val="2C9C35D5"/>
    <w:rsid w:val="2CA1176D"/>
    <w:rsid w:val="2CA52587"/>
    <w:rsid w:val="2CA615FA"/>
    <w:rsid w:val="2CAA3002"/>
    <w:rsid w:val="2CAA5FD5"/>
    <w:rsid w:val="2CAE0E69"/>
    <w:rsid w:val="2CB245D5"/>
    <w:rsid w:val="2CBA2045"/>
    <w:rsid w:val="2CBB52A1"/>
    <w:rsid w:val="2CC84F88"/>
    <w:rsid w:val="2CD03175"/>
    <w:rsid w:val="2CD223B8"/>
    <w:rsid w:val="2CDB6FC1"/>
    <w:rsid w:val="2CDC6B2E"/>
    <w:rsid w:val="2CE33517"/>
    <w:rsid w:val="2CE36DAF"/>
    <w:rsid w:val="2CE90735"/>
    <w:rsid w:val="2CF62E34"/>
    <w:rsid w:val="2CF93F94"/>
    <w:rsid w:val="2CFC7933"/>
    <w:rsid w:val="2CFD677B"/>
    <w:rsid w:val="2D03374A"/>
    <w:rsid w:val="2D053EF4"/>
    <w:rsid w:val="2D092F21"/>
    <w:rsid w:val="2D0A6A66"/>
    <w:rsid w:val="2D0B1F24"/>
    <w:rsid w:val="2D0B5263"/>
    <w:rsid w:val="2D0E684D"/>
    <w:rsid w:val="2D0F15F2"/>
    <w:rsid w:val="2D132C59"/>
    <w:rsid w:val="2D155A9A"/>
    <w:rsid w:val="2D157B0F"/>
    <w:rsid w:val="2D19172E"/>
    <w:rsid w:val="2D221203"/>
    <w:rsid w:val="2D2D1733"/>
    <w:rsid w:val="2D2E21D2"/>
    <w:rsid w:val="2D300B25"/>
    <w:rsid w:val="2D313CFE"/>
    <w:rsid w:val="2D321E93"/>
    <w:rsid w:val="2D347C6D"/>
    <w:rsid w:val="2D3636EF"/>
    <w:rsid w:val="2D3C04AB"/>
    <w:rsid w:val="2D3D4D8E"/>
    <w:rsid w:val="2D445A1A"/>
    <w:rsid w:val="2D482536"/>
    <w:rsid w:val="2D4F75DC"/>
    <w:rsid w:val="2D5F2FE6"/>
    <w:rsid w:val="2D6076A2"/>
    <w:rsid w:val="2D655B20"/>
    <w:rsid w:val="2D694192"/>
    <w:rsid w:val="2D774492"/>
    <w:rsid w:val="2D855015"/>
    <w:rsid w:val="2D892A94"/>
    <w:rsid w:val="2D8A0AE1"/>
    <w:rsid w:val="2D8C5C2A"/>
    <w:rsid w:val="2D922E47"/>
    <w:rsid w:val="2D92371F"/>
    <w:rsid w:val="2D9C0328"/>
    <w:rsid w:val="2DA726AB"/>
    <w:rsid w:val="2DB06018"/>
    <w:rsid w:val="2DB0646B"/>
    <w:rsid w:val="2DBB0A37"/>
    <w:rsid w:val="2DC8433B"/>
    <w:rsid w:val="2DCA4E69"/>
    <w:rsid w:val="2DD422A8"/>
    <w:rsid w:val="2DDA5B18"/>
    <w:rsid w:val="2DE67997"/>
    <w:rsid w:val="2DEE0854"/>
    <w:rsid w:val="2DEF215C"/>
    <w:rsid w:val="2DEF5D4E"/>
    <w:rsid w:val="2DF553BF"/>
    <w:rsid w:val="2E043EA4"/>
    <w:rsid w:val="2E0618F0"/>
    <w:rsid w:val="2E076B5B"/>
    <w:rsid w:val="2E0A5CB5"/>
    <w:rsid w:val="2E1256C7"/>
    <w:rsid w:val="2E152218"/>
    <w:rsid w:val="2E154B39"/>
    <w:rsid w:val="2E1A7028"/>
    <w:rsid w:val="2E1D0D84"/>
    <w:rsid w:val="2E1E0BEC"/>
    <w:rsid w:val="2E264F33"/>
    <w:rsid w:val="2E281823"/>
    <w:rsid w:val="2E340A72"/>
    <w:rsid w:val="2E35127A"/>
    <w:rsid w:val="2E373AAB"/>
    <w:rsid w:val="2E3A7435"/>
    <w:rsid w:val="2E47102D"/>
    <w:rsid w:val="2E5B45F4"/>
    <w:rsid w:val="2E68555B"/>
    <w:rsid w:val="2E702D59"/>
    <w:rsid w:val="2E712DB5"/>
    <w:rsid w:val="2E714D1C"/>
    <w:rsid w:val="2E72709C"/>
    <w:rsid w:val="2E755FF0"/>
    <w:rsid w:val="2E76222C"/>
    <w:rsid w:val="2E794E73"/>
    <w:rsid w:val="2E79603F"/>
    <w:rsid w:val="2E7C2469"/>
    <w:rsid w:val="2E85415E"/>
    <w:rsid w:val="2E883573"/>
    <w:rsid w:val="2E884DBD"/>
    <w:rsid w:val="2E896CB4"/>
    <w:rsid w:val="2E90289C"/>
    <w:rsid w:val="2E9061AF"/>
    <w:rsid w:val="2EA001C7"/>
    <w:rsid w:val="2EA8559A"/>
    <w:rsid w:val="2EB5410D"/>
    <w:rsid w:val="2EB82C83"/>
    <w:rsid w:val="2EC17435"/>
    <w:rsid w:val="2EC73F07"/>
    <w:rsid w:val="2EC940E1"/>
    <w:rsid w:val="2ECC4FF2"/>
    <w:rsid w:val="2ED71D17"/>
    <w:rsid w:val="2EDB2254"/>
    <w:rsid w:val="2EDC2E10"/>
    <w:rsid w:val="2EDE4677"/>
    <w:rsid w:val="2EE109EB"/>
    <w:rsid w:val="2EEA62EC"/>
    <w:rsid w:val="2EF11C3C"/>
    <w:rsid w:val="2EF17918"/>
    <w:rsid w:val="2EF60AA3"/>
    <w:rsid w:val="2EF76A81"/>
    <w:rsid w:val="2EFA0987"/>
    <w:rsid w:val="2EFC1307"/>
    <w:rsid w:val="2EFD376A"/>
    <w:rsid w:val="2F002183"/>
    <w:rsid w:val="2F013F8B"/>
    <w:rsid w:val="2F0361F1"/>
    <w:rsid w:val="2F0E73C1"/>
    <w:rsid w:val="2F100B1A"/>
    <w:rsid w:val="2F10534F"/>
    <w:rsid w:val="2F122F82"/>
    <w:rsid w:val="2F134DAF"/>
    <w:rsid w:val="2F1A7C9D"/>
    <w:rsid w:val="2F1E5E31"/>
    <w:rsid w:val="2F2101C0"/>
    <w:rsid w:val="2F267730"/>
    <w:rsid w:val="2F2B1C35"/>
    <w:rsid w:val="2F2D482A"/>
    <w:rsid w:val="2F2E425C"/>
    <w:rsid w:val="2F3915C8"/>
    <w:rsid w:val="2F421912"/>
    <w:rsid w:val="2F443642"/>
    <w:rsid w:val="2F4B0E4E"/>
    <w:rsid w:val="2F4E1091"/>
    <w:rsid w:val="2F501FAF"/>
    <w:rsid w:val="2F540739"/>
    <w:rsid w:val="2F556F4E"/>
    <w:rsid w:val="2F593FBD"/>
    <w:rsid w:val="2F614E62"/>
    <w:rsid w:val="2F6778BC"/>
    <w:rsid w:val="2F745106"/>
    <w:rsid w:val="2F827B47"/>
    <w:rsid w:val="2F863C43"/>
    <w:rsid w:val="2F865E17"/>
    <w:rsid w:val="2F8D04C1"/>
    <w:rsid w:val="2F975F46"/>
    <w:rsid w:val="2F995486"/>
    <w:rsid w:val="2FB0045E"/>
    <w:rsid w:val="2FB120F1"/>
    <w:rsid w:val="2FB27EDC"/>
    <w:rsid w:val="2FB4374B"/>
    <w:rsid w:val="2FB772AF"/>
    <w:rsid w:val="2FC5521E"/>
    <w:rsid w:val="2FD4286F"/>
    <w:rsid w:val="2FDA40F8"/>
    <w:rsid w:val="2FE046B3"/>
    <w:rsid w:val="2FE53CC4"/>
    <w:rsid w:val="2FEA65CA"/>
    <w:rsid w:val="2FF00B59"/>
    <w:rsid w:val="2FF152F5"/>
    <w:rsid w:val="2FF61FA5"/>
    <w:rsid w:val="2FFD2587"/>
    <w:rsid w:val="30072795"/>
    <w:rsid w:val="30090CB5"/>
    <w:rsid w:val="300B1714"/>
    <w:rsid w:val="30120A4A"/>
    <w:rsid w:val="301938D8"/>
    <w:rsid w:val="302066C6"/>
    <w:rsid w:val="302D19C9"/>
    <w:rsid w:val="30355726"/>
    <w:rsid w:val="303C2E9C"/>
    <w:rsid w:val="3045004C"/>
    <w:rsid w:val="30491251"/>
    <w:rsid w:val="305268B5"/>
    <w:rsid w:val="30532F98"/>
    <w:rsid w:val="30596931"/>
    <w:rsid w:val="305B3CF3"/>
    <w:rsid w:val="3061192F"/>
    <w:rsid w:val="30652B54"/>
    <w:rsid w:val="306D6F72"/>
    <w:rsid w:val="306E7EBB"/>
    <w:rsid w:val="3070563D"/>
    <w:rsid w:val="3074244A"/>
    <w:rsid w:val="307B2107"/>
    <w:rsid w:val="307D083A"/>
    <w:rsid w:val="308267E1"/>
    <w:rsid w:val="30893BD3"/>
    <w:rsid w:val="308A30CE"/>
    <w:rsid w:val="308D2573"/>
    <w:rsid w:val="308F7906"/>
    <w:rsid w:val="309A4F20"/>
    <w:rsid w:val="309F1BAF"/>
    <w:rsid w:val="30A50BEB"/>
    <w:rsid w:val="30A86CDC"/>
    <w:rsid w:val="30A92738"/>
    <w:rsid w:val="30AF0559"/>
    <w:rsid w:val="30B6142F"/>
    <w:rsid w:val="30B61AA7"/>
    <w:rsid w:val="30BF0D96"/>
    <w:rsid w:val="30C5529B"/>
    <w:rsid w:val="30CA08DA"/>
    <w:rsid w:val="30D74991"/>
    <w:rsid w:val="30D91B53"/>
    <w:rsid w:val="30DF2770"/>
    <w:rsid w:val="30DF5FB0"/>
    <w:rsid w:val="30E0228F"/>
    <w:rsid w:val="30E21E80"/>
    <w:rsid w:val="30EB71B2"/>
    <w:rsid w:val="30EE4CC8"/>
    <w:rsid w:val="30F24CB3"/>
    <w:rsid w:val="30F30DC4"/>
    <w:rsid w:val="30F50888"/>
    <w:rsid w:val="30F569C7"/>
    <w:rsid w:val="30F620DD"/>
    <w:rsid w:val="30F86A83"/>
    <w:rsid w:val="30FC6D55"/>
    <w:rsid w:val="31017CE6"/>
    <w:rsid w:val="31034E47"/>
    <w:rsid w:val="31076E6A"/>
    <w:rsid w:val="31121F19"/>
    <w:rsid w:val="31154444"/>
    <w:rsid w:val="311862FD"/>
    <w:rsid w:val="311C17EC"/>
    <w:rsid w:val="311E04E8"/>
    <w:rsid w:val="311F789F"/>
    <w:rsid w:val="31291D49"/>
    <w:rsid w:val="31327409"/>
    <w:rsid w:val="313F18E5"/>
    <w:rsid w:val="31464221"/>
    <w:rsid w:val="314B01D0"/>
    <w:rsid w:val="315760D6"/>
    <w:rsid w:val="31606A04"/>
    <w:rsid w:val="31622C93"/>
    <w:rsid w:val="31662687"/>
    <w:rsid w:val="31686DBD"/>
    <w:rsid w:val="31731313"/>
    <w:rsid w:val="31804570"/>
    <w:rsid w:val="318377EA"/>
    <w:rsid w:val="318C2BC7"/>
    <w:rsid w:val="31987819"/>
    <w:rsid w:val="319F2841"/>
    <w:rsid w:val="31A20ABC"/>
    <w:rsid w:val="31A3329E"/>
    <w:rsid w:val="31A60340"/>
    <w:rsid w:val="31AD69F8"/>
    <w:rsid w:val="31AE17D4"/>
    <w:rsid w:val="31BC4B58"/>
    <w:rsid w:val="31C21A20"/>
    <w:rsid w:val="31C27815"/>
    <w:rsid w:val="31C73EFB"/>
    <w:rsid w:val="31D30186"/>
    <w:rsid w:val="31E673AF"/>
    <w:rsid w:val="31E93888"/>
    <w:rsid w:val="31EB291C"/>
    <w:rsid w:val="31EF3F13"/>
    <w:rsid w:val="31F03A98"/>
    <w:rsid w:val="31F53E64"/>
    <w:rsid w:val="31FB49C3"/>
    <w:rsid w:val="32007F93"/>
    <w:rsid w:val="32140106"/>
    <w:rsid w:val="321662B2"/>
    <w:rsid w:val="321B76BB"/>
    <w:rsid w:val="321C7ABF"/>
    <w:rsid w:val="322331E7"/>
    <w:rsid w:val="32243FE8"/>
    <w:rsid w:val="32292F6A"/>
    <w:rsid w:val="32363C7D"/>
    <w:rsid w:val="324C7E65"/>
    <w:rsid w:val="32526D7F"/>
    <w:rsid w:val="32533FA2"/>
    <w:rsid w:val="32590482"/>
    <w:rsid w:val="32594605"/>
    <w:rsid w:val="325D3ECF"/>
    <w:rsid w:val="325E06B8"/>
    <w:rsid w:val="325E708E"/>
    <w:rsid w:val="325F21B6"/>
    <w:rsid w:val="32786F8A"/>
    <w:rsid w:val="32791671"/>
    <w:rsid w:val="327D1CEB"/>
    <w:rsid w:val="327E0AAA"/>
    <w:rsid w:val="32821FD7"/>
    <w:rsid w:val="32822A4C"/>
    <w:rsid w:val="32834C9D"/>
    <w:rsid w:val="328F7717"/>
    <w:rsid w:val="329525F1"/>
    <w:rsid w:val="329D6284"/>
    <w:rsid w:val="32AF70BB"/>
    <w:rsid w:val="32B139C4"/>
    <w:rsid w:val="32B76F2D"/>
    <w:rsid w:val="32B821AC"/>
    <w:rsid w:val="32BE2513"/>
    <w:rsid w:val="32C0126A"/>
    <w:rsid w:val="32C40B0E"/>
    <w:rsid w:val="32C5698B"/>
    <w:rsid w:val="32C61FB1"/>
    <w:rsid w:val="32C843D2"/>
    <w:rsid w:val="32CB2547"/>
    <w:rsid w:val="32CC2D9E"/>
    <w:rsid w:val="32CC66BB"/>
    <w:rsid w:val="32D10A02"/>
    <w:rsid w:val="32D308E6"/>
    <w:rsid w:val="32D44002"/>
    <w:rsid w:val="32D61E6F"/>
    <w:rsid w:val="32EB5A31"/>
    <w:rsid w:val="32ED6EC3"/>
    <w:rsid w:val="32F20D20"/>
    <w:rsid w:val="32F31490"/>
    <w:rsid w:val="32F75A48"/>
    <w:rsid w:val="32FC4774"/>
    <w:rsid w:val="330C375E"/>
    <w:rsid w:val="3318076C"/>
    <w:rsid w:val="33183CCD"/>
    <w:rsid w:val="33223001"/>
    <w:rsid w:val="33232B82"/>
    <w:rsid w:val="33250F69"/>
    <w:rsid w:val="33380DA3"/>
    <w:rsid w:val="3338114F"/>
    <w:rsid w:val="333852A0"/>
    <w:rsid w:val="333D4E6D"/>
    <w:rsid w:val="333F0FC7"/>
    <w:rsid w:val="335B35CE"/>
    <w:rsid w:val="33614329"/>
    <w:rsid w:val="33653435"/>
    <w:rsid w:val="336A3DC9"/>
    <w:rsid w:val="33710866"/>
    <w:rsid w:val="339420B0"/>
    <w:rsid w:val="339B44C5"/>
    <w:rsid w:val="33A00B28"/>
    <w:rsid w:val="33A63B0A"/>
    <w:rsid w:val="33A663C1"/>
    <w:rsid w:val="33A82D00"/>
    <w:rsid w:val="33B11D5F"/>
    <w:rsid w:val="33C1228B"/>
    <w:rsid w:val="33C23796"/>
    <w:rsid w:val="33C26F7C"/>
    <w:rsid w:val="33C27D70"/>
    <w:rsid w:val="33C625ED"/>
    <w:rsid w:val="33C70135"/>
    <w:rsid w:val="33C75C50"/>
    <w:rsid w:val="33CD3980"/>
    <w:rsid w:val="33D07DDD"/>
    <w:rsid w:val="33D20CDB"/>
    <w:rsid w:val="33D85589"/>
    <w:rsid w:val="33E3663B"/>
    <w:rsid w:val="33E41564"/>
    <w:rsid w:val="33ED3EE3"/>
    <w:rsid w:val="340E1801"/>
    <w:rsid w:val="34153AA5"/>
    <w:rsid w:val="341D1823"/>
    <w:rsid w:val="341D18C8"/>
    <w:rsid w:val="341F74C9"/>
    <w:rsid w:val="342E1739"/>
    <w:rsid w:val="343C3847"/>
    <w:rsid w:val="344A1428"/>
    <w:rsid w:val="344A4C0E"/>
    <w:rsid w:val="344E7BF5"/>
    <w:rsid w:val="3454542A"/>
    <w:rsid w:val="34611DE1"/>
    <w:rsid w:val="346D4664"/>
    <w:rsid w:val="346D58BB"/>
    <w:rsid w:val="346E053F"/>
    <w:rsid w:val="347258DE"/>
    <w:rsid w:val="3473031E"/>
    <w:rsid w:val="34741658"/>
    <w:rsid w:val="347A2680"/>
    <w:rsid w:val="348A73F2"/>
    <w:rsid w:val="348B50E8"/>
    <w:rsid w:val="348C61FD"/>
    <w:rsid w:val="348F40EF"/>
    <w:rsid w:val="349541AC"/>
    <w:rsid w:val="349803C7"/>
    <w:rsid w:val="34A2349C"/>
    <w:rsid w:val="34A6729F"/>
    <w:rsid w:val="34AA10E5"/>
    <w:rsid w:val="34AF28C0"/>
    <w:rsid w:val="34B107F0"/>
    <w:rsid w:val="34BA186B"/>
    <w:rsid w:val="34BB30CA"/>
    <w:rsid w:val="34C60B19"/>
    <w:rsid w:val="34D661D7"/>
    <w:rsid w:val="34DE78DD"/>
    <w:rsid w:val="34DF2262"/>
    <w:rsid w:val="34E04671"/>
    <w:rsid w:val="34E91DBE"/>
    <w:rsid w:val="34EA06F7"/>
    <w:rsid w:val="34EA1F98"/>
    <w:rsid w:val="34F22A82"/>
    <w:rsid w:val="34F402A9"/>
    <w:rsid w:val="34FB3990"/>
    <w:rsid w:val="34FD1BDC"/>
    <w:rsid w:val="34FE3E90"/>
    <w:rsid w:val="35060A68"/>
    <w:rsid w:val="35102BA1"/>
    <w:rsid w:val="35152D87"/>
    <w:rsid w:val="351718FF"/>
    <w:rsid w:val="352456D9"/>
    <w:rsid w:val="352F327C"/>
    <w:rsid w:val="35354450"/>
    <w:rsid w:val="35466E38"/>
    <w:rsid w:val="354A1035"/>
    <w:rsid w:val="35510DDD"/>
    <w:rsid w:val="355D7537"/>
    <w:rsid w:val="35606F89"/>
    <w:rsid w:val="35664C01"/>
    <w:rsid w:val="35705CCE"/>
    <w:rsid w:val="35712E2E"/>
    <w:rsid w:val="3584118D"/>
    <w:rsid w:val="35892714"/>
    <w:rsid w:val="358F1CDD"/>
    <w:rsid w:val="359034F0"/>
    <w:rsid w:val="35A726A5"/>
    <w:rsid w:val="35AD4287"/>
    <w:rsid w:val="35B23598"/>
    <w:rsid w:val="35B45985"/>
    <w:rsid w:val="35B5102A"/>
    <w:rsid w:val="35B754D3"/>
    <w:rsid w:val="35B9455E"/>
    <w:rsid w:val="35CD5BF7"/>
    <w:rsid w:val="35CD6B89"/>
    <w:rsid w:val="35CE4131"/>
    <w:rsid w:val="35DC3A61"/>
    <w:rsid w:val="35DD63B0"/>
    <w:rsid w:val="35E343CA"/>
    <w:rsid w:val="35E5466E"/>
    <w:rsid w:val="35EB6A41"/>
    <w:rsid w:val="35F547D9"/>
    <w:rsid w:val="35FA2C68"/>
    <w:rsid w:val="35FA3BF7"/>
    <w:rsid w:val="35FC484C"/>
    <w:rsid w:val="35FC654C"/>
    <w:rsid w:val="36001EBD"/>
    <w:rsid w:val="360433D2"/>
    <w:rsid w:val="36091867"/>
    <w:rsid w:val="360D749A"/>
    <w:rsid w:val="36104325"/>
    <w:rsid w:val="361336E7"/>
    <w:rsid w:val="361916CA"/>
    <w:rsid w:val="361D235E"/>
    <w:rsid w:val="3624483E"/>
    <w:rsid w:val="362F670C"/>
    <w:rsid w:val="363018B0"/>
    <w:rsid w:val="36472F7C"/>
    <w:rsid w:val="365F77B2"/>
    <w:rsid w:val="36623BF6"/>
    <w:rsid w:val="366E5BD2"/>
    <w:rsid w:val="367002CA"/>
    <w:rsid w:val="36744009"/>
    <w:rsid w:val="36814405"/>
    <w:rsid w:val="36884CF3"/>
    <w:rsid w:val="3689182E"/>
    <w:rsid w:val="36891DA6"/>
    <w:rsid w:val="36A5156E"/>
    <w:rsid w:val="36AB06B0"/>
    <w:rsid w:val="36AB7AA8"/>
    <w:rsid w:val="36B04C1F"/>
    <w:rsid w:val="36B74EF7"/>
    <w:rsid w:val="36B7503B"/>
    <w:rsid w:val="36BB6CF0"/>
    <w:rsid w:val="36BC57A3"/>
    <w:rsid w:val="36CF7301"/>
    <w:rsid w:val="36D35F00"/>
    <w:rsid w:val="36D729F1"/>
    <w:rsid w:val="36D879F2"/>
    <w:rsid w:val="36DC7FAA"/>
    <w:rsid w:val="36E01F95"/>
    <w:rsid w:val="36E459E7"/>
    <w:rsid w:val="36E54A3D"/>
    <w:rsid w:val="36EC2F80"/>
    <w:rsid w:val="36ED6C58"/>
    <w:rsid w:val="36F30646"/>
    <w:rsid w:val="36F40B16"/>
    <w:rsid w:val="37014D69"/>
    <w:rsid w:val="37020455"/>
    <w:rsid w:val="370455C9"/>
    <w:rsid w:val="37080223"/>
    <w:rsid w:val="370B595A"/>
    <w:rsid w:val="37186C95"/>
    <w:rsid w:val="37201ADF"/>
    <w:rsid w:val="373862B0"/>
    <w:rsid w:val="373A6E26"/>
    <w:rsid w:val="373D0D3F"/>
    <w:rsid w:val="373F0F6C"/>
    <w:rsid w:val="37416EE9"/>
    <w:rsid w:val="374233A3"/>
    <w:rsid w:val="37434DF3"/>
    <w:rsid w:val="374725A7"/>
    <w:rsid w:val="37572D1F"/>
    <w:rsid w:val="37586C14"/>
    <w:rsid w:val="375910FC"/>
    <w:rsid w:val="375A12C0"/>
    <w:rsid w:val="375D1E09"/>
    <w:rsid w:val="375E25FC"/>
    <w:rsid w:val="37607F5C"/>
    <w:rsid w:val="3773523B"/>
    <w:rsid w:val="37797583"/>
    <w:rsid w:val="377B0CEE"/>
    <w:rsid w:val="37805671"/>
    <w:rsid w:val="378400EB"/>
    <w:rsid w:val="37890BAE"/>
    <w:rsid w:val="37890F8F"/>
    <w:rsid w:val="37943E64"/>
    <w:rsid w:val="37A414C6"/>
    <w:rsid w:val="37A62F7E"/>
    <w:rsid w:val="37A85171"/>
    <w:rsid w:val="37B216BD"/>
    <w:rsid w:val="37B25635"/>
    <w:rsid w:val="37B35D62"/>
    <w:rsid w:val="37CA01F4"/>
    <w:rsid w:val="37CD6EF6"/>
    <w:rsid w:val="37D96019"/>
    <w:rsid w:val="37DA3E94"/>
    <w:rsid w:val="37E14FBE"/>
    <w:rsid w:val="37E61A8D"/>
    <w:rsid w:val="37EB4955"/>
    <w:rsid w:val="37ED0FB4"/>
    <w:rsid w:val="37F45209"/>
    <w:rsid w:val="37FA19EF"/>
    <w:rsid w:val="37FB7241"/>
    <w:rsid w:val="37FC58DA"/>
    <w:rsid w:val="37FF2E0C"/>
    <w:rsid w:val="380B52AE"/>
    <w:rsid w:val="38171186"/>
    <w:rsid w:val="38183BD0"/>
    <w:rsid w:val="381F15E1"/>
    <w:rsid w:val="382673F4"/>
    <w:rsid w:val="382B2084"/>
    <w:rsid w:val="3849433D"/>
    <w:rsid w:val="38575800"/>
    <w:rsid w:val="385D551F"/>
    <w:rsid w:val="38663BBD"/>
    <w:rsid w:val="386B0CDD"/>
    <w:rsid w:val="386B4456"/>
    <w:rsid w:val="386C51DD"/>
    <w:rsid w:val="387913B3"/>
    <w:rsid w:val="3879442F"/>
    <w:rsid w:val="38824B04"/>
    <w:rsid w:val="388C54D4"/>
    <w:rsid w:val="38930127"/>
    <w:rsid w:val="389D2DFC"/>
    <w:rsid w:val="38A322AB"/>
    <w:rsid w:val="38AB0DE4"/>
    <w:rsid w:val="38AB70C6"/>
    <w:rsid w:val="38AE3672"/>
    <w:rsid w:val="38BC6314"/>
    <w:rsid w:val="38C445D5"/>
    <w:rsid w:val="38C4752B"/>
    <w:rsid w:val="38C54BCF"/>
    <w:rsid w:val="38CC3DB8"/>
    <w:rsid w:val="38CD1BC8"/>
    <w:rsid w:val="38D115B4"/>
    <w:rsid w:val="38D16894"/>
    <w:rsid w:val="38D17360"/>
    <w:rsid w:val="38D23019"/>
    <w:rsid w:val="38D26F96"/>
    <w:rsid w:val="38D678A6"/>
    <w:rsid w:val="38E771B4"/>
    <w:rsid w:val="38EB2E5B"/>
    <w:rsid w:val="38ED2EB4"/>
    <w:rsid w:val="38EE56A6"/>
    <w:rsid w:val="39044ACA"/>
    <w:rsid w:val="39046164"/>
    <w:rsid w:val="390521DA"/>
    <w:rsid w:val="390D0545"/>
    <w:rsid w:val="39175A20"/>
    <w:rsid w:val="39194863"/>
    <w:rsid w:val="391D6A64"/>
    <w:rsid w:val="391E2504"/>
    <w:rsid w:val="391E262D"/>
    <w:rsid w:val="392620CB"/>
    <w:rsid w:val="39275373"/>
    <w:rsid w:val="3928602A"/>
    <w:rsid w:val="392B029C"/>
    <w:rsid w:val="392B530F"/>
    <w:rsid w:val="39343515"/>
    <w:rsid w:val="39381C35"/>
    <w:rsid w:val="393D466F"/>
    <w:rsid w:val="39520D2A"/>
    <w:rsid w:val="3957687F"/>
    <w:rsid w:val="3958053E"/>
    <w:rsid w:val="39590BE0"/>
    <w:rsid w:val="396108A2"/>
    <w:rsid w:val="39631113"/>
    <w:rsid w:val="397B17EF"/>
    <w:rsid w:val="39826CC6"/>
    <w:rsid w:val="398E4DAC"/>
    <w:rsid w:val="399031FF"/>
    <w:rsid w:val="399B085D"/>
    <w:rsid w:val="399E0CCF"/>
    <w:rsid w:val="39AE7E1A"/>
    <w:rsid w:val="39B9572B"/>
    <w:rsid w:val="39BE4341"/>
    <w:rsid w:val="39BE54A5"/>
    <w:rsid w:val="39BF1D94"/>
    <w:rsid w:val="39BF3DBA"/>
    <w:rsid w:val="39C22946"/>
    <w:rsid w:val="39CB070E"/>
    <w:rsid w:val="39CB4F9D"/>
    <w:rsid w:val="39CD343D"/>
    <w:rsid w:val="39E31477"/>
    <w:rsid w:val="39F10CB2"/>
    <w:rsid w:val="39F34632"/>
    <w:rsid w:val="39F57EF6"/>
    <w:rsid w:val="39FA0A4D"/>
    <w:rsid w:val="3A0915BB"/>
    <w:rsid w:val="3A14252E"/>
    <w:rsid w:val="3A151359"/>
    <w:rsid w:val="3A1B69CD"/>
    <w:rsid w:val="3A1C0018"/>
    <w:rsid w:val="3A1D05AE"/>
    <w:rsid w:val="3A210E23"/>
    <w:rsid w:val="3A217980"/>
    <w:rsid w:val="3A3047F1"/>
    <w:rsid w:val="3A320674"/>
    <w:rsid w:val="3A376ED3"/>
    <w:rsid w:val="3A3A7A22"/>
    <w:rsid w:val="3A43243E"/>
    <w:rsid w:val="3A4B0908"/>
    <w:rsid w:val="3A4C71B8"/>
    <w:rsid w:val="3A520488"/>
    <w:rsid w:val="3A577915"/>
    <w:rsid w:val="3A594225"/>
    <w:rsid w:val="3A5B6D3C"/>
    <w:rsid w:val="3A5C09EA"/>
    <w:rsid w:val="3A5E5B71"/>
    <w:rsid w:val="3A650208"/>
    <w:rsid w:val="3A683CF4"/>
    <w:rsid w:val="3A6A0973"/>
    <w:rsid w:val="3A6A7228"/>
    <w:rsid w:val="3A735229"/>
    <w:rsid w:val="3A7B681A"/>
    <w:rsid w:val="3A816EE7"/>
    <w:rsid w:val="3A841A49"/>
    <w:rsid w:val="3A866DC4"/>
    <w:rsid w:val="3A884120"/>
    <w:rsid w:val="3A884215"/>
    <w:rsid w:val="3A894750"/>
    <w:rsid w:val="3A8D12A9"/>
    <w:rsid w:val="3A972A0F"/>
    <w:rsid w:val="3A9843D8"/>
    <w:rsid w:val="3A9C64EB"/>
    <w:rsid w:val="3A9C7A0B"/>
    <w:rsid w:val="3A9F03F9"/>
    <w:rsid w:val="3AA63F31"/>
    <w:rsid w:val="3AA7481D"/>
    <w:rsid w:val="3AA800BD"/>
    <w:rsid w:val="3AA82105"/>
    <w:rsid w:val="3AAF27D5"/>
    <w:rsid w:val="3AB2345B"/>
    <w:rsid w:val="3ABA08B7"/>
    <w:rsid w:val="3AC542F8"/>
    <w:rsid w:val="3ACA2717"/>
    <w:rsid w:val="3AD43C64"/>
    <w:rsid w:val="3AD77106"/>
    <w:rsid w:val="3AD87022"/>
    <w:rsid w:val="3AD95E00"/>
    <w:rsid w:val="3ADB2718"/>
    <w:rsid w:val="3ADD4378"/>
    <w:rsid w:val="3AE12DF4"/>
    <w:rsid w:val="3AE83761"/>
    <w:rsid w:val="3AEF1E11"/>
    <w:rsid w:val="3AF61E3E"/>
    <w:rsid w:val="3AFF776A"/>
    <w:rsid w:val="3B080478"/>
    <w:rsid w:val="3B1A2425"/>
    <w:rsid w:val="3B226D9C"/>
    <w:rsid w:val="3B260315"/>
    <w:rsid w:val="3B2820A8"/>
    <w:rsid w:val="3B2C75A0"/>
    <w:rsid w:val="3B2E67E8"/>
    <w:rsid w:val="3B31407A"/>
    <w:rsid w:val="3B3421A0"/>
    <w:rsid w:val="3B393FF2"/>
    <w:rsid w:val="3B3C4B5B"/>
    <w:rsid w:val="3B406AB4"/>
    <w:rsid w:val="3B41431C"/>
    <w:rsid w:val="3B494A4E"/>
    <w:rsid w:val="3B4F26EB"/>
    <w:rsid w:val="3B507218"/>
    <w:rsid w:val="3B5F4E1E"/>
    <w:rsid w:val="3B6504CF"/>
    <w:rsid w:val="3B6658D3"/>
    <w:rsid w:val="3B6D4F13"/>
    <w:rsid w:val="3B724BFD"/>
    <w:rsid w:val="3B7C7512"/>
    <w:rsid w:val="3B88624B"/>
    <w:rsid w:val="3B8953C6"/>
    <w:rsid w:val="3B91089E"/>
    <w:rsid w:val="3B943EC3"/>
    <w:rsid w:val="3B975080"/>
    <w:rsid w:val="3BA35FB8"/>
    <w:rsid w:val="3BAE125A"/>
    <w:rsid w:val="3BAE4E4B"/>
    <w:rsid w:val="3BB371F1"/>
    <w:rsid w:val="3BBA2B72"/>
    <w:rsid w:val="3BC47EDA"/>
    <w:rsid w:val="3BC65392"/>
    <w:rsid w:val="3BC76554"/>
    <w:rsid w:val="3BD64CF1"/>
    <w:rsid w:val="3BD95D1F"/>
    <w:rsid w:val="3BD95F25"/>
    <w:rsid w:val="3BDB45F0"/>
    <w:rsid w:val="3BDE68F3"/>
    <w:rsid w:val="3BE04DEB"/>
    <w:rsid w:val="3BE63470"/>
    <w:rsid w:val="3BEA0E6C"/>
    <w:rsid w:val="3BF42CBF"/>
    <w:rsid w:val="3BF94F48"/>
    <w:rsid w:val="3C147191"/>
    <w:rsid w:val="3C16187B"/>
    <w:rsid w:val="3C1B0E07"/>
    <w:rsid w:val="3C1B6F12"/>
    <w:rsid w:val="3C1E6ECF"/>
    <w:rsid w:val="3C2074F0"/>
    <w:rsid w:val="3C340CA8"/>
    <w:rsid w:val="3C381CE1"/>
    <w:rsid w:val="3C3D39D1"/>
    <w:rsid w:val="3C3F0D1D"/>
    <w:rsid w:val="3C443356"/>
    <w:rsid w:val="3C4D5FAE"/>
    <w:rsid w:val="3C5523BF"/>
    <w:rsid w:val="3C594BD9"/>
    <w:rsid w:val="3C5D386D"/>
    <w:rsid w:val="3C634F27"/>
    <w:rsid w:val="3C6D20A0"/>
    <w:rsid w:val="3C70488B"/>
    <w:rsid w:val="3C706A23"/>
    <w:rsid w:val="3C724891"/>
    <w:rsid w:val="3C785C6F"/>
    <w:rsid w:val="3C8755B4"/>
    <w:rsid w:val="3C941BB3"/>
    <w:rsid w:val="3C96134B"/>
    <w:rsid w:val="3C964DA5"/>
    <w:rsid w:val="3C9905AB"/>
    <w:rsid w:val="3CA04494"/>
    <w:rsid w:val="3CA10AFF"/>
    <w:rsid w:val="3CA82B59"/>
    <w:rsid w:val="3CAB0556"/>
    <w:rsid w:val="3CAF3E3D"/>
    <w:rsid w:val="3CB4093B"/>
    <w:rsid w:val="3CB90B12"/>
    <w:rsid w:val="3CBA1930"/>
    <w:rsid w:val="3CC808C3"/>
    <w:rsid w:val="3CD14F76"/>
    <w:rsid w:val="3CD2112D"/>
    <w:rsid w:val="3CD24502"/>
    <w:rsid w:val="3CD553F7"/>
    <w:rsid w:val="3CDC62D4"/>
    <w:rsid w:val="3CDE2F78"/>
    <w:rsid w:val="3CDE77CB"/>
    <w:rsid w:val="3CE45ABE"/>
    <w:rsid w:val="3CE63690"/>
    <w:rsid w:val="3CED505F"/>
    <w:rsid w:val="3CFB4B2C"/>
    <w:rsid w:val="3D035385"/>
    <w:rsid w:val="3D0606F7"/>
    <w:rsid w:val="3D084110"/>
    <w:rsid w:val="3D100EAA"/>
    <w:rsid w:val="3D1B5FD3"/>
    <w:rsid w:val="3D1D58AD"/>
    <w:rsid w:val="3D1F3357"/>
    <w:rsid w:val="3D256286"/>
    <w:rsid w:val="3D336907"/>
    <w:rsid w:val="3D351F52"/>
    <w:rsid w:val="3D3829ED"/>
    <w:rsid w:val="3D3A5D96"/>
    <w:rsid w:val="3D3E215E"/>
    <w:rsid w:val="3D3F60FF"/>
    <w:rsid w:val="3D4025B1"/>
    <w:rsid w:val="3D455BE3"/>
    <w:rsid w:val="3D460CF7"/>
    <w:rsid w:val="3D4742FF"/>
    <w:rsid w:val="3D4A37D2"/>
    <w:rsid w:val="3D503E19"/>
    <w:rsid w:val="3D5925BC"/>
    <w:rsid w:val="3D5E157F"/>
    <w:rsid w:val="3D641C15"/>
    <w:rsid w:val="3D6427B8"/>
    <w:rsid w:val="3D6A0445"/>
    <w:rsid w:val="3D6E0485"/>
    <w:rsid w:val="3D6E3F07"/>
    <w:rsid w:val="3D714641"/>
    <w:rsid w:val="3D7844C0"/>
    <w:rsid w:val="3D785571"/>
    <w:rsid w:val="3D7D6C5E"/>
    <w:rsid w:val="3D804C0E"/>
    <w:rsid w:val="3D827826"/>
    <w:rsid w:val="3D8C4692"/>
    <w:rsid w:val="3D944D4B"/>
    <w:rsid w:val="3D9B4478"/>
    <w:rsid w:val="3DA074F7"/>
    <w:rsid w:val="3DA42D38"/>
    <w:rsid w:val="3DA55CEB"/>
    <w:rsid w:val="3DA81ED8"/>
    <w:rsid w:val="3DA952A8"/>
    <w:rsid w:val="3DAC765A"/>
    <w:rsid w:val="3DB01158"/>
    <w:rsid w:val="3DB15A9B"/>
    <w:rsid w:val="3DB723C0"/>
    <w:rsid w:val="3DBA6528"/>
    <w:rsid w:val="3DBD52C0"/>
    <w:rsid w:val="3DC04496"/>
    <w:rsid w:val="3DCC51D9"/>
    <w:rsid w:val="3DCE409F"/>
    <w:rsid w:val="3DE1660D"/>
    <w:rsid w:val="3DF66223"/>
    <w:rsid w:val="3DF77228"/>
    <w:rsid w:val="3DFE3F0E"/>
    <w:rsid w:val="3E01031F"/>
    <w:rsid w:val="3E030FE8"/>
    <w:rsid w:val="3E0D2B25"/>
    <w:rsid w:val="3E1E0A57"/>
    <w:rsid w:val="3E1F4065"/>
    <w:rsid w:val="3E2123C2"/>
    <w:rsid w:val="3E217314"/>
    <w:rsid w:val="3E2661CA"/>
    <w:rsid w:val="3E276037"/>
    <w:rsid w:val="3E454E16"/>
    <w:rsid w:val="3E457E74"/>
    <w:rsid w:val="3E491B4E"/>
    <w:rsid w:val="3E497999"/>
    <w:rsid w:val="3E4F2AA0"/>
    <w:rsid w:val="3E542561"/>
    <w:rsid w:val="3E55494C"/>
    <w:rsid w:val="3E613161"/>
    <w:rsid w:val="3E614439"/>
    <w:rsid w:val="3E693B97"/>
    <w:rsid w:val="3E6E1318"/>
    <w:rsid w:val="3E703177"/>
    <w:rsid w:val="3E742870"/>
    <w:rsid w:val="3E7852E3"/>
    <w:rsid w:val="3E796BD3"/>
    <w:rsid w:val="3E806D8D"/>
    <w:rsid w:val="3E902658"/>
    <w:rsid w:val="3E9F0462"/>
    <w:rsid w:val="3E9F6371"/>
    <w:rsid w:val="3EA034D4"/>
    <w:rsid w:val="3EA43A09"/>
    <w:rsid w:val="3EA6184D"/>
    <w:rsid w:val="3EA61942"/>
    <w:rsid w:val="3EB27007"/>
    <w:rsid w:val="3EC760ED"/>
    <w:rsid w:val="3EDA7837"/>
    <w:rsid w:val="3EDC2955"/>
    <w:rsid w:val="3EDC3B2C"/>
    <w:rsid w:val="3EDD17E8"/>
    <w:rsid w:val="3EDF4B57"/>
    <w:rsid w:val="3EE440E8"/>
    <w:rsid w:val="3EE71D60"/>
    <w:rsid w:val="3EE847F8"/>
    <w:rsid w:val="3EEE1193"/>
    <w:rsid w:val="3EF0585C"/>
    <w:rsid w:val="3EF24AEB"/>
    <w:rsid w:val="3EF624A2"/>
    <w:rsid w:val="3F0C3A99"/>
    <w:rsid w:val="3F0D078D"/>
    <w:rsid w:val="3F0D43E2"/>
    <w:rsid w:val="3F0E7074"/>
    <w:rsid w:val="3F20691F"/>
    <w:rsid w:val="3F230BBF"/>
    <w:rsid w:val="3F346D96"/>
    <w:rsid w:val="3F363449"/>
    <w:rsid w:val="3F4160A6"/>
    <w:rsid w:val="3F49235A"/>
    <w:rsid w:val="3F4D7547"/>
    <w:rsid w:val="3F4F0FDF"/>
    <w:rsid w:val="3F530E47"/>
    <w:rsid w:val="3F555E43"/>
    <w:rsid w:val="3F5A5B59"/>
    <w:rsid w:val="3F5D194E"/>
    <w:rsid w:val="3F61764F"/>
    <w:rsid w:val="3F657608"/>
    <w:rsid w:val="3F6B7D49"/>
    <w:rsid w:val="3F6E12FF"/>
    <w:rsid w:val="3F760B6C"/>
    <w:rsid w:val="3F7D0B9B"/>
    <w:rsid w:val="3F8551CE"/>
    <w:rsid w:val="3F8A28E5"/>
    <w:rsid w:val="3F8C6580"/>
    <w:rsid w:val="3F8E15B1"/>
    <w:rsid w:val="3F8F6C6D"/>
    <w:rsid w:val="3F902961"/>
    <w:rsid w:val="3F911F48"/>
    <w:rsid w:val="3F9C0546"/>
    <w:rsid w:val="3FA84371"/>
    <w:rsid w:val="3FA979A2"/>
    <w:rsid w:val="3FB21CC0"/>
    <w:rsid w:val="3FB34589"/>
    <w:rsid w:val="3FB5178A"/>
    <w:rsid w:val="3FB86B84"/>
    <w:rsid w:val="3FBC1C2C"/>
    <w:rsid w:val="3FC15302"/>
    <w:rsid w:val="3FCA31C9"/>
    <w:rsid w:val="3FCE63A8"/>
    <w:rsid w:val="3FD51816"/>
    <w:rsid w:val="3FD74CDD"/>
    <w:rsid w:val="3FDE6B45"/>
    <w:rsid w:val="3FE3458E"/>
    <w:rsid w:val="3FEE6AE1"/>
    <w:rsid w:val="3FF05C2F"/>
    <w:rsid w:val="3FF6688B"/>
    <w:rsid w:val="3FFA2A02"/>
    <w:rsid w:val="40057690"/>
    <w:rsid w:val="4007594C"/>
    <w:rsid w:val="400D1872"/>
    <w:rsid w:val="40124B68"/>
    <w:rsid w:val="40165DFD"/>
    <w:rsid w:val="40172D20"/>
    <w:rsid w:val="401C35B7"/>
    <w:rsid w:val="4029282C"/>
    <w:rsid w:val="40334D24"/>
    <w:rsid w:val="40423BDB"/>
    <w:rsid w:val="404D61B1"/>
    <w:rsid w:val="404E088A"/>
    <w:rsid w:val="40581DE5"/>
    <w:rsid w:val="405B2FC4"/>
    <w:rsid w:val="405C320F"/>
    <w:rsid w:val="405F2F97"/>
    <w:rsid w:val="406C44AE"/>
    <w:rsid w:val="407960E6"/>
    <w:rsid w:val="407E16CF"/>
    <w:rsid w:val="408419C2"/>
    <w:rsid w:val="40844CB8"/>
    <w:rsid w:val="408D25C6"/>
    <w:rsid w:val="40905E92"/>
    <w:rsid w:val="40970E8F"/>
    <w:rsid w:val="409E7023"/>
    <w:rsid w:val="40A00800"/>
    <w:rsid w:val="40A4653F"/>
    <w:rsid w:val="40B224B1"/>
    <w:rsid w:val="40B27A77"/>
    <w:rsid w:val="40B5737D"/>
    <w:rsid w:val="40BD15AA"/>
    <w:rsid w:val="40CB695E"/>
    <w:rsid w:val="40D0292F"/>
    <w:rsid w:val="40D415BE"/>
    <w:rsid w:val="40E526AF"/>
    <w:rsid w:val="40E52A85"/>
    <w:rsid w:val="40F1457A"/>
    <w:rsid w:val="40F238EA"/>
    <w:rsid w:val="40FB21A6"/>
    <w:rsid w:val="41002D10"/>
    <w:rsid w:val="410B74AA"/>
    <w:rsid w:val="410D214C"/>
    <w:rsid w:val="41142097"/>
    <w:rsid w:val="41171820"/>
    <w:rsid w:val="41173667"/>
    <w:rsid w:val="41193A5C"/>
    <w:rsid w:val="41231CF2"/>
    <w:rsid w:val="41290A39"/>
    <w:rsid w:val="412966A3"/>
    <w:rsid w:val="413452C9"/>
    <w:rsid w:val="41394692"/>
    <w:rsid w:val="413A0E72"/>
    <w:rsid w:val="413D1ADF"/>
    <w:rsid w:val="413F1F55"/>
    <w:rsid w:val="414A5E84"/>
    <w:rsid w:val="4152141E"/>
    <w:rsid w:val="416067A3"/>
    <w:rsid w:val="41612F83"/>
    <w:rsid w:val="416348C5"/>
    <w:rsid w:val="41693E0F"/>
    <w:rsid w:val="41754E95"/>
    <w:rsid w:val="417A1F11"/>
    <w:rsid w:val="417B0120"/>
    <w:rsid w:val="41822901"/>
    <w:rsid w:val="4185640F"/>
    <w:rsid w:val="418F7DB9"/>
    <w:rsid w:val="419B4FB6"/>
    <w:rsid w:val="41A173CE"/>
    <w:rsid w:val="41AC7F17"/>
    <w:rsid w:val="41AE3484"/>
    <w:rsid w:val="41B17D2F"/>
    <w:rsid w:val="41B24ECF"/>
    <w:rsid w:val="41B7263F"/>
    <w:rsid w:val="41C07559"/>
    <w:rsid w:val="41C52869"/>
    <w:rsid w:val="41C93C74"/>
    <w:rsid w:val="41D153C2"/>
    <w:rsid w:val="41D97E08"/>
    <w:rsid w:val="41DB4727"/>
    <w:rsid w:val="41DD4896"/>
    <w:rsid w:val="41E24B54"/>
    <w:rsid w:val="41EC520B"/>
    <w:rsid w:val="41FA7B3C"/>
    <w:rsid w:val="41FB3B86"/>
    <w:rsid w:val="42000508"/>
    <w:rsid w:val="42022339"/>
    <w:rsid w:val="420A30CE"/>
    <w:rsid w:val="42176CD4"/>
    <w:rsid w:val="4218149B"/>
    <w:rsid w:val="421A1C6D"/>
    <w:rsid w:val="421A5469"/>
    <w:rsid w:val="421E39FF"/>
    <w:rsid w:val="422B498F"/>
    <w:rsid w:val="423654AA"/>
    <w:rsid w:val="423A7D8B"/>
    <w:rsid w:val="423C07C7"/>
    <w:rsid w:val="42487643"/>
    <w:rsid w:val="424D20F9"/>
    <w:rsid w:val="42660060"/>
    <w:rsid w:val="42663511"/>
    <w:rsid w:val="42740D2A"/>
    <w:rsid w:val="42764A9A"/>
    <w:rsid w:val="42767ED3"/>
    <w:rsid w:val="42797E2D"/>
    <w:rsid w:val="42831901"/>
    <w:rsid w:val="42832700"/>
    <w:rsid w:val="4285058A"/>
    <w:rsid w:val="428637CA"/>
    <w:rsid w:val="429153FD"/>
    <w:rsid w:val="429B7671"/>
    <w:rsid w:val="429D02B3"/>
    <w:rsid w:val="42A178D4"/>
    <w:rsid w:val="42A262ED"/>
    <w:rsid w:val="42AB3BA3"/>
    <w:rsid w:val="42AE3E8C"/>
    <w:rsid w:val="42B10922"/>
    <w:rsid w:val="42B23FB3"/>
    <w:rsid w:val="42B554B9"/>
    <w:rsid w:val="42B910C6"/>
    <w:rsid w:val="42B92907"/>
    <w:rsid w:val="42BA0749"/>
    <w:rsid w:val="42BD0196"/>
    <w:rsid w:val="42C34F1D"/>
    <w:rsid w:val="42C65383"/>
    <w:rsid w:val="42C850A8"/>
    <w:rsid w:val="42CE3CB7"/>
    <w:rsid w:val="42CF2B62"/>
    <w:rsid w:val="42D11902"/>
    <w:rsid w:val="42DF605F"/>
    <w:rsid w:val="42E042E9"/>
    <w:rsid w:val="42EA77E5"/>
    <w:rsid w:val="42EB3B31"/>
    <w:rsid w:val="42EF0FA6"/>
    <w:rsid w:val="42F519F3"/>
    <w:rsid w:val="42F5228C"/>
    <w:rsid w:val="430132E1"/>
    <w:rsid w:val="43063D08"/>
    <w:rsid w:val="430B43C4"/>
    <w:rsid w:val="430B78C8"/>
    <w:rsid w:val="431350CD"/>
    <w:rsid w:val="4315133F"/>
    <w:rsid w:val="431B088E"/>
    <w:rsid w:val="43207419"/>
    <w:rsid w:val="43215152"/>
    <w:rsid w:val="432B29CC"/>
    <w:rsid w:val="432D2FFD"/>
    <w:rsid w:val="432F2DF0"/>
    <w:rsid w:val="433725E9"/>
    <w:rsid w:val="433C7743"/>
    <w:rsid w:val="43481B89"/>
    <w:rsid w:val="434F4732"/>
    <w:rsid w:val="43637ABF"/>
    <w:rsid w:val="43671DDD"/>
    <w:rsid w:val="436A4575"/>
    <w:rsid w:val="437B05F4"/>
    <w:rsid w:val="437B07EE"/>
    <w:rsid w:val="437D18AE"/>
    <w:rsid w:val="437F62B2"/>
    <w:rsid w:val="438806DF"/>
    <w:rsid w:val="438C233D"/>
    <w:rsid w:val="438D7E4F"/>
    <w:rsid w:val="43941828"/>
    <w:rsid w:val="43A07AAF"/>
    <w:rsid w:val="43A86E43"/>
    <w:rsid w:val="43A870B4"/>
    <w:rsid w:val="43AA7D8F"/>
    <w:rsid w:val="43B158FA"/>
    <w:rsid w:val="43B451F5"/>
    <w:rsid w:val="43C02240"/>
    <w:rsid w:val="43C91043"/>
    <w:rsid w:val="43C968B9"/>
    <w:rsid w:val="43C968C7"/>
    <w:rsid w:val="43CB5685"/>
    <w:rsid w:val="43CE2E1A"/>
    <w:rsid w:val="43D1290A"/>
    <w:rsid w:val="43D23AF8"/>
    <w:rsid w:val="43D9531B"/>
    <w:rsid w:val="43E7374C"/>
    <w:rsid w:val="43E955E8"/>
    <w:rsid w:val="43EB369E"/>
    <w:rsid w:val="43EF32C7"/>
    <w:rsid w:val="43FE5FE9"/>
    <w:rsid w:val="4401480C"/>
    <w:rsid w:val="440179A9"/>
    <w:rsid w:val="44033358"/>
    <w:rsid w:val="440A7B6B"/>
    <w:rsid w:val="440C6944"/>
    <w:rsid w:val="44127203"/>
    <w:rsid w:val="441601C7"/>
    <w:rsid w:val="441872C2"/>
    <w:rsid w:val="442D3721"/>
    <w:rsid w:val="443A1595"/>
    <w:rsid w:val="44464B5B"/>
    <w:rsid w:val="44524D42"/>
    <w:rsid w:val="445B0E13"/>
    <w:rsid w:val="445D1F9B"/>
    <w:rsid w:val="445E6888"/>
    <w:rsid w:val="445F5484"/>
    <w:rsid w:val="44692332"/>
    <w:rsid w:val="44715F65"/>
    <w:rsid w:val="447A3307"/>
    <w:rsid w:val="447C320F"/>
    <w:rsid w:val="448E6105"/>
    <w:rsid w:val="44901A22"/>
    <w:rsid w:val="44920CA4"/>
    <w:rsid w:val="449A1399"/>
    <w:rsid w:val="44A2610A"/>
    <w:rsid w:val="44AE1615"/>
    <w:rsid w:val="44BE5780"/>
    <w:rsid w:val="44BF6C3C"/>
    <w:rsid w:val="44C1116D"/>
    <w:rsid w:val="44C358FC"/>
    <w:rsid w:val="44C90C8F"/>
    <w:rsid w:val="44D4415E"/>
    <w:rsid w:val="44D7704C"/>
    <w:rsid w:val="44DA1F7B"/>
    <w:rsid w:val="44E346A3"/>
    <w:rsid w:val="44E433D4"/>
    <w:rsid w:val="44EA7BAB"/>
    <w:rsid w:val="44EC644E"/>
    <w:rsid w:val="44EF0A8F"/>
    <w:rsid w:val="450064E6"/>
    <w:rsid w:val="45031A6E"/>
    <w:rsid w:val="450B276A"/>
    <w:rsid w:val="450C7FCB"/>
    <w:rsid w:val="450D7D98"/>
    <w:rsid w:val="45181E73"/>
    <w:rsid w:val="452151CC"/>
    <w:rsid w:val="45216F7A"/>
    <w:rsid w:val="452922EF"/>
    <w:rsid w:val="45297D42"/>
    <w:rsid w:val="452A5651"/>
    <w:rsid w:val="45326443"/>
    <w:rsid w:val="45333AA2"/>
    <w:rsid w:val="45443D79"/>
    <w:rsid w:val="45474D93"/>
    <w:rsid w:val="45481025"/>
    <w:rsid w:val="454A5BC2"/>
    <w:rsid w:val="454B0A86"/>
    <w:rsid w:val="45562CCE"/>
    <w:rsid w:val="45565F60"/>
    <w:rsid w:val="455C7ABD"/>
    <w:rsid w:val="4570109D"/>
    <w:rsid w:val="457023B9"/>
    <w:rsid w:val="457B41DD"/>
    <w:rsid w:val="458407E9"/>
    <w:rsid w:val="458B7D6C"/>
    <w:rsid w:val="45927CF0"/>
    <w:rsid w:val="45944D52"/>
    <w:rsid w:val="459873F0"/>
    <w:rsid w:val="45A57BAB"/>
    <w:rsid w:val="45AD7DD8"/>
    <w:rsid w:val="45AE22FA"/>
    <w:rsid w:val="45B05A4D"/>
    <w:rsid w:val="45B37A6F"/>
    <w:rsid w:val="45B664AD"/>
    <w:rsid w:val="45C00C51"/>
    <w:rsid w:val="45C17718"/>
    <w:rsid w:val="45C635AD"/>
    <w:rsid w:val="45DD1B29"/>
    <w:rsid w:val="45DE00F1"/>
    <w:rsid w:val="45DE2D0C"/>
    <w:rsid w:val="45F05D9D"/>
    <w:rsid w:val="45F76A9B"/>
    <w:rsid w:val="45F91DED"/>
    <w:rsid w:val="45FA55AC"/>
    <w:rsid w:val="46035159"/>
    <w:rsid w:val="46085BD0"/>
    <w:rsid w:val="46156436"/>
    <w:rsid w:val="46223F0F"/>
    <w:rsid w:val="46236D21"/>
    <w:rsid w:val="46274BFF"/>
    <w:rsid w:val="46294A8B"/>
    <w:rsid w:val="462B1E0A"/>
    <w:rsid w:val="462F740B"/>
    <w:rsid w:val="46356B8C"/>
    <w:rsid w:val="463E4001"/>
    <w:rsid w:val="463E5F96"/>
    <w:rsid w:val="464154F9"/>
    <w:rsid w:val="465B0A95"/>
    <w:rsid w:val="465B0D19"/>
    <w:rsid w:val="465B438E"/>
    <w:rsid w:val="465F470A"/>
    <w:rsid w:val="4661740F"/>
    <w:rsid w:val="46696B4C"/>
    <w:rsid w:val="466B0DF4"/>
    <w:rsid w:val="466B5711"/>
    <w:rsid w:val="467F5473"/>
    <w:rsid w:val="46854511"/>
    <w:rsid w:val="468B5640"/>
    <w:rsid w:val="468C6355"/>
    <w:rsid w:val="469377A6"/>
    <w:rsid w:val="469E6BBA"/>
    <w:rsid w:val="46A370AB"/>
    <w:rsid w:val="46A94E11"/>
    <w:rsid w:val="46B67B95"/>
    <w:rsid w:val="46BE54AC"/>
    <w:rsid w:val="46C15EAB"/>
    <w:rsid w:val="46CC1773"/>
    <w:rsid w:val="46CE7A71"/>
    <w:rsid w:val="46DA3BA5"/>
    <w:rsid w:val="46DD44A9"/>
    <w:rsid w:val="46DF7B74"/>
    <w:rsid w:val="46F2583F"/>
    <w:rsid w:val="46FB0CFE"/>
    <w:rsid w:val="46FD2517"/>
    <w:rsid w:val="47052E70"/>
    <w:rsid w:val="47072195"/>
    <w:rsid w:val="47125343"/>
    <w:rsid w:val="47152A17"/>
    <w:rsid w:val="471B756E"/>
    <w:rsid w:val="471E60B3"/>
    <w:rsid w:val="4722458B"/>
    <w:rsid w:val="47284120"/>
    <w:rsid w:val="473675B0"/>
    <w:rsid w:val="474B33A4"/>
    <w:rsid w:val="474C3729"/>
    <w:rsid w:val="4754758C"/>
    <w:rsid w:val="47550B24"/>
    <w:rsid w:val="475E634E"/>
    <w:rsid w:val="476138F0"/>
    <w:rsid w:val="476F0691"/>
    <w:rsid w:val="47782E41"/>
    <w:rsid w:val="477968E4"/>
    <w:rsid w:val="477E629B"/>
    <w:rsid w:val="47863348"/>
    <w:rsid w:val="47892C83"/>
    <w:rsid w:val="478C0A12"/>
    <w:rsid w:val="478E6735"/>
    <w:rsid w:val="4791488A"/>
    <w:rsid w:val="47960F58"/>
    <w:rsid w:val="479915BF"/>
    <w:rsid w:val="479C3DEA"/>
    <w:rsid w:val="479D5E27"/>
    <w:rsid w:val="47A15B29"/>
    <w:rsid w:val="47A42253"/>
    <w:rsid w:val="47A64BA6"/>
    <w:rsid w:val="47A9027D"/>
    <w:rsid w:val="47A91720"/>
    <w:rsid w:val="47AA166E"/>
    <w:rsid w:val="47AF4491"/>
    <w:rsid w:val="47AF4D11"/>
    <w:rsid w:val="47B76F70"/>
    <w:rsid w:val="47BC7F38"/>
    <w:rsid w:val="47C3343B"/>
    <w:rsid w:val="47C93FC2"/>
    <w:rsid w:val="47D02E9D"/>
    <w:rsid w:val="47D14110"/>
    <w:rsid w:val="47D56755"/>
    <w:rsid w:val="47DC17CE"/>
    <w:rsid w:val="47E16166"/>
    <w:rsid w:val="47E35F75"/>
    <w:rsid w:val="47EA3003"/>
    <w:rsid w:val="47F02B38"/>
    <w:rsid w:val="47F1146D"/>
    <w:rsid w:val="47F64493"/>
    <w:rsid w:val="47FB35A2"/>
    <w:rsid w:val="47FD7003"/>
    <w:rsid w:val="47FE6AD7"/>
    <w:rsid w:val="48021ACE"/>
    <w:rsid w:val="480C43FE"/>
    <w:rsid w:val="48133AD2"/>
    <w:rsid w:val="48144A7F"/>
    <w:rsid w:val="4814541A"/>
    <w:rsid w:val="48165BBF"/>
    <w:rsid w:val="482450AD"/>
    <w:rsid w:val="482B0C21"/>
    <w:rsid w:val="482C1AD1"/>
    <w:rsid w:val="482C45B3"/>
    <w:rsid w:val="48386528"/>
    <w:rsid w:val="48421394"/>
    <w:rsid w:val="48430632"/>
    <w:rsid w:val="48457F06"/>
    <w:rsid w:val="484B4B1F"/>
    <w:rsid w:val="484B7530"/>
    <w:rsid w:val="48517BBF"/>
    <w:rsid w:val="485718E8"/>
    <w:rsid w:val="485F562F"/>
    <w:rsid w:val="486468BB"/>
    <w:rsid w:val="48775F9F"/>
    <w:rsid w:val="48793127"/>
    <w:rsid w:val="487E16CC"/>
    <w:rsid w:val="488176C2"/>
    <w:rsid w:val="48824829"/>
    <w:rsid w:val="48836C7B"/>
    <w:rsid w:val="488522F5"/>
    <w:rsid w:val="48886800"/>
    <w:rsid w:val="488C03C9"/>
    <w:rsid w:val="488C2C59"/>
    <w:rsid w:val="488F0534"/>
    <w:rsid w:val="48962096"/>
    <w:rsid w:val="48973089"/>
    <w:rsid w:val="48982F9B"/>
    <w:rsid w:val="48983CC3"/>
    <w:rsid w:val="489A3394"/>
    <w:rsid w:val="489B48B4"/>
    <w:rsid w:val="489C76F2"/>
    <w:rsid w:val="48A071BC"/>
    <w:rsid w:val="48A42EB2"/>
    <w:rsid w:val="48AA675C"/>
    <w:rsid w:val="48B60C0C"/>
    <w:rsid w:val="48C103AF"/>
    <w:rsid w:val="48C43F26"/>
    <w:rsid w:val="48C61374"/>
    <w:rsid w:val="48C76C4C"/>
    <w:rsid w:val="48D80297"/>
    <w:rsid w:val="48EC26A9"/>
    <w:rsid w:val="48EE1DE7"/>
    <w:rsid w:val="48F66D69"/>
    <w:rsid w:val="4908601E"/>
    <w:rsid w:val="49094A61"/>
    <w:rsid w:val="490E4433"/>
    <w:rsid w:val="491951B1"/>
    <w:rsid w:val="491D1F38"/>
    <w:rsid w:val="491E377B"/>
    <w:rsid w:val="491F1F8A"/>
    <w:rsid w:val="49257730"/>
    <w:rsid w:val="492848C6"/>
    <w:rsid w:val="492D3D22"/>
    <w:rsid w:val="49316CBF"/>
    <w:rsid w:val="49324F8A"/>
    <w:rsid w:val="493476C1"/>
    <w:rsid w:val="493554B6"/>
    <w:rsid w:val="493A49D9"/>
    <w:rsid w:val="493F63A6"/>
    <w:rsid w:val="49493503"/>
    <w:rsid w:val="494E78A3"/>
    <w:rsid w:val="49567670"/>
    <w:rsid w:val="495719E4"/>
    <w:rsid w:val="496E1E63"/>
    <w:rsid w:val="4970768F"/>
    <w:rsid w:val="49753919"/>
    <w:rsid w:val="497C6E74"/>
    <w:rsid w:val="49900721"/>
    <w:rsid w:val="499F3A1D"/>
    <w:rsid w:val="49AB0206"/>
    <w:rsid w:val="49B02FC2"/>
    <w:rsid w:val="49B8117B"/>
    <w:rsid w:val="49BA3281"/>
    <w:rsid w:val="49BE56DF"/>
    <w:rsid w:val="49C26B65"/>
    <w:rsid w:val="49C3246B"/>
    <w:rsid w:val="49C957A7"/>
    <w:rsid w:val="49DF0984"/>
    <w:rsid w:val="49F734A8"/>
    <w:rsid w:val="4A045899"/>
    <w:rsid w:val="4A0D7F63"/>
    <w:rsid w:val="4A0F4BDE"/>
    <w:rsid w:val="4A123335"/>
    <w:rsid w:val="4A15690B"/>
    <w:rsid w:val="4A2C0DBA"/>
    <w:rsid w:val="4A2D59E5"/>
    <w:rsid w:val="4A334AB1"/>
    <w:rsid w:val="4A396E7E"/>
    <w:rsid w:val="4A4872C5"/>
    <w:rsid w:val="4A543FF3"/>
    <w:rsid w:val="4A572BFB"/>
    <w:rsid w:val="4A634A00"/>
    <w:rsid w:val="4A643D85"/>
    <w:rsid w:val="4A652BFF"/>
    <w:rsid w:val="4A6573DA"/>
    <w:rsid w:val="4A66037E"/>
    <w:rsid w:val="4A693482"/>
    <w:rsid w:val="4A696D13"/>
    <w:rsid w:val="4A6C532B"/>
    <w:rsid w:val="4A6C79AD"/>
    <w:rsid w:val="4A70088C"/>
    <w:rsid w:val="4A8535CC"/>
    <w:rsid w:val="4A8900CE"/>
    <w:rsid w:val="4AA068E7"/>
    <w:rsid w:val="4AA55E6C"/>
    <w:rsid w:val="4AA6738D"/>
    <w:rsid w:val="4AAD786E"/>
    <w:rsid w:val="4AB0089F"/>
    <w:rsid w:val="4AB64280"/>
    <w:rsid w:val="4AB72046"/>
    <w:rsid w:val="4AC35191"/>
    <w:rsid w:val="4AC80842"/>
    <w:rsid w:val="4AC82003"/>
    <w:rsid w:val="4ACD1EA1"/>
    <w:rsid w:val="4ADA20A4"/>
    <w:rsid w:val="4AE02891"/>
    <w:rsid w:val="4AE02CED"/>
    <w:rsid w:val="4AE331DA"/>
    <w:rsid w:val="4AF079D0"/>
    <w:rsid w:val="4B065F24"/>
    <w:rsid w:val="4B070013"/>
    <w:rsid w:val="4B0A2362"/>
    <w:rsid w:val="4B1069EE"/>
    <w:rsid w:val="4B126184"/>
    <w:rsid w:val="4B296BED"/>
    <w:rsid w:val="4B2D29F5"/>
    <w:rsid w:val="4B3A26BF"/>
    <w:rsid w:val="4B3D75FB"/>
    <w:rsid w:val="4B474582"/>
    <w:rsid w:val="4B5067E3"/>
    <w:rsid w:val="4B5C378B"/>
    <w:rsid w:val="4B60536A"/>
    <w:rsid w:val="4B62624E"/>
    <w:rsid w:val="4B644002"/>
    <w:rsid w:val="4B6E3BFA"/>
    <w:rsid w:val="4B6E7187"/>
    <w:rsid w:val="4B700C5B"/>
    <w:rsid w:val="4B80649B"/>
    <w:rsid w:val="4B816069"/>
    <w:rsid w:val="4B956AE5"/>
    <w:rsid w:val="4BA57777"/>
    <w:rsid w:val="4BA60F33"/>
    <w:rsid w:val="4BAD3830"/>
    <w:rsid w:val="4BB01057"/>
    <w:rsid w:val="4BB27762"/>
    <w:rsid w:val="4BBA0453"/>
    <w:rsid w:val="4BC042A0"/>
    <w:rsid w:val="4BC722AB"/>
    <w:rsid w:val="4BD00EA9"/>
    <w:rsid w:val="4BD14708"/>
    <w:rsid w:val="4BD31734"/>
    <w:rsid w:val="4BD50760"/>
    <w:rsid w:val="4BD747BA"/>
    <w:rsid w:val="4BE446B4"/>
    <w:rsid w:val="4BE62E84"/>
    <w:rsid w:val="4BEC4F5A"/>
    <w:rsid w:val="4BEC66D4"/>
    <w:rsid w:val="4BF301B4"/>
    <w:rsid w:val="4BFC53BA"/>
    <w:rsid w:val="4BFC73B3"/>
    <w:rsid w:val="4BFF32E2"/>
    <w:rsid w:val="4C0371E5"/>
    <w:rsid w:val="4C0740CF"/>
    <w:rsid w:val="4C096CE6"/>
    <w:rsid w:val="4C0E7BA6"/>
    <w:rsid w:val="4C18546D"/>
    <w:rsid w:val="4C1926CC"/>
    <w:rsid w:val="4C1D1038"/>
    <w:rsid w:val="4C1E2456"/>
    <w:rsid w:val="4C2D1D3F"/>
    <w:rsid w:val="4C3959E2"/>
    <w:rsid w:val="4C3C1B7F"/>
    <w:rsid w:val="4C4364AD"/>
    <w:rsid w:val="4C4371EF"/>
    <w:rsid w:val="4C451B60"/>
    <w:rsid w:val="4C463D10"/>
    <w:rsid w:val="4C467C1D"/>
    <w:rsid w:val="4C4905E0"/>
    <w:rsid w:val="4C5B5EFF"/>
    <w:rsid w:val="4C5C77C0"/>
    <w:rsid w:val="4C5D0BC3"/>
    <w:rsid w:val="4C707AFA"/>
    <w:rsid w:val="4C707C54"/>
    <w:rsid w:val="4C716C2C"/>
    <w:rsid w:val="4C7206C7"/>
    <w:rsid w:val="4C8E291A"/>
    <w:rsid w:val="4C9205CE"/>
    <w:rsid w:val="4C997871"/>
    <w:rsid w:val="4CAF05B4"/>
    <w:rsid w:val="4CBD1C3A"/>
    <w:rsid w:val="4CC6579E"/>
    <w:rsid w:val="4CC775E7"/>
    <w:rsid w:val="4CCA6115"/>
    <w:rsid w:val="4CCE3E8B"/>
    <w:rsid w:val="4CD23083"/>
    <w:rsid w:val="4CDD1B32"/>
    <w:rsid w:val="4CE86165"/>
    <w:rsid w:val="4CFE1050"/>
    <w:rsid w:val="4CFF32BF"/>
    <w:rsid w:val="4D0A0676"/>
    <w:rsid w:val="4D1D10AC"/>
    <w:rsid w:val="4D26127A"/>
    <w:rsid w:val="4D2E42DA"/>
    <w:rsid w:val="4D315D90"/>
    <w:rsid w:val="4D377D8C"/>
    <w:rsid w:val="4D3B2BA3"/>
    <w:rsid w:val="4D4045E3"/>
    <w:rsid w:val="4D423E9B"/>
    <w:rsid w:val="4D4C0A53"/>
    <w:rsid w:val="4D4E116D"/>
    <w:rsid w:val="4D4E3F2C"/>
    <w:rsid w:val="4D4E5919"/>
    <w:rsid w:val="4D5B20A5"/>
    <w:rsid w:val="4D6D37FE"/>
    <w:rsid w:val="4D720E44"/>
    <w:rsid w:val="4D741F86"/>
    <w:rsid w:val="4D7443D2"/>
    <w:rsid w:val="4D7467B7"/>
    <w:rsid w:val="4D752ED8"/>
    <w:rsid w:val="4D7904BB"/>
    <w:rsid w:val="4D8001AF"/>
    <w:rsid w:val="4D8253DE"/>
    <w:rsid w:val="4D957BCA"/>
    <w:rsid w:val="4D992505"/>
    <w:rsid w:val="4D9F42BB"/>
    <w:rsid w:val="4DA07767"/>
    <w:rsid w:val="4DA352DA"/>
    <w:rsid w:val="4DA40127"/>
    <w:rsid w:val="4DAD3920"/>
    <w:rsid w:val="4DAF3069"/>
    <w:rsid w:val="4DB26A06"/>
    <w:rsid w:val="4DB56837"/>
    <w:rsid w:val="4DB84A4E"/>
    <w:rsid w:val="4DBA2519"/>
    <w:rsid w:val="4DBC3759"/>
    <w:rsid w:val="4DC358DE"/>
    <w:rsid w:val="4DC63219"/>
    <w:rsid w:val="4DC73D43"/>
    <w:rsid w:val="4DCA3A06"/>
    <w:rsid w:val="4DE3728B"/>
    <w:rsid w:val="4DE63E7D"/>
    <w:rsid w:val="4DE7643E"/>
    <w:rsid w:val="4DE83381"/>
    <w:rsid w:val="4DEA1A58"/>
    <w:rsid w:val="4DF20A8D"/>
    <w:rsid w:val="4DF34A30"/>
    <w:rsid w:val="4DF62094"/>
    <w:rsid w:val="4DFD6AEB"/>
    <w:rsid w:val="4DFF76C2"/>
    <w:rsid w:val="4E015C8C"/>
    <w:rsid w:val="4E021218"/>
    <w:rsid w:val="4E1474DD"/>
    <w:rsid w:val="4E15029A"/>
    <w:rsid w:val="4E157EFD"/>
    <w:rsid w:val="4E2A1CF6"/>
    <w:rsid w:val="4E321454"/>
    <w:rsid w:val="4E321739"/>
    <w:rsid w:val="4E370F07"/>
    <w:rsid w:val="4E3E340C"/>
    <w:rsid w:val="4E53377D"/>
    <w:rsid w:val="4E5743DB"/>
    <w:rsid w:val="4E623964"/>
    <w:rsid w:val="4E634043"/>
    <w:rsid w:val="4E670645"/>
    <w:rsid w:val="4E6A2A29"/>
    <w:rsid w:val="4E6A7CC0"/>
    <w:rsid w:val="4E710DD1"/>
    <w:rsid w:val="4E712C90"/>
    <w:rsid w:val="4E747202"/>
    <w:rsid w:val="4E762ABE"/>
    <w:rsid w:val="4E785C3F"/>
    <w:rsid w:val="4E7B1960"/>
    <w:rsid w:val="4E8140DE"/>
    <w:rsid w:val="4E887ED1"/>
    <w:rsid w:val="4E8944D9"/>
    <w:rsid w:val="4E983313"/>
    <w:rsid w:val="4EA11BB7"/>
    <w:rsid w:val="4EAB293F"/>
    <w:rsid w:val="4EAD3F4E"/>
    <w:rsid w:val="4EB2794B"/>
    <w:rsid w:val="4EBC0256"/>
    <w:rsid w:val="4EBF3A0F"/>
    <w:rsid w:val="4EC35785"/>
    <w:rsid w:val="4ECA7354"/>
    <w:rsid w:val="4ED007FA"/>
    <w:rsid w:val="4ED117D6"/>
    <w:rsid w:val="4ED541B1"/>
    <w:rsid w:val="4ED709E0"/>
    <w:rsid w:val="4ED805D7"/>
    <w:rsid w:val="4EE04ACB"/>
    <w:rsid w:val="4EE20D76"/>
    <w:rsid w:val="4EE67022"/>
    <w:rsid w:val="4EEC383E"/>
    <w:rsid w:val="4EED225B"/>
    <w:rsid w:val="4EF67203"/>
    <w:rsid w:val="4EFC74B9"/>
    <w:rsid w:val="4F040AC3"/>
    <w:rsid w:val="4F066338"/>
    <w:rsid w:val="4F066D79"/>
    <w:rsid w:val="4F116806"/>
    <w:rsid w:val="4F1B6034"/>
    <w:rsid w:val="4F20056A"/>
    <w:rsid w:val="4F23763C"/>
    <w:rsid w:val="4F244145"/>
    <w:rsid w:val="4F2D6055"/>
    <w:rsid w:val="4F2F37D3"/>
    <w:rsid w:val="4F31425D"/>
    <w:rsid w:val="4F3201E4"/>
    <w:rsid w:val="4F332629"/>
    <w:rsid w:val="4F3966DD"/>
    <w:rsid w:val="4F422EF5"/>
    <w:rsid w:val="4F4422A3"/>
    <w:rsid w:val="4F477EF4"/>
    <w:rsid w:val="4F4908AD"/>
    <w:rsid w:val="4F531BCE"/>
    <w:rsid w:val="4F5D7F17"/>
    <w:rsid w:val="4F610480"/>
    <w:rsid w:val="4F651762"/>
    <w:rsid w:val="4F656183"/>
    <w:rsid w:val="4F674123"/>
    <w:rsid w:val="4F6A3C25"/>
    <w:rsid w:val="4F6B74F0"/>
    <w:rsid w:val="4F6D4414"/>
    <w:rsid w:val="4F71177E"/>
    <w:rsid w:val="4F730452"/>
    <w:rsid w:val="4F783133"/>
    <w:rsid w:val="4F916E6D"/>
    <w:rsid w:val="4F9827C6"/>
    <w:rsid w:val="4F9B36C2"/>
    <w:rsid w:val="4F9C2886"/>
    <w:rsid w:val="4F9C42D1"/>
    <w:rsid w:val="4FB14ADB"/>
    <w:rsid w:val="4FB82790"/>
    <w:rsid w:val="4FB95B47"/>
    <w:rsid w:val="4FD71D9B"/>
    <w:rsid w:val="4FD97F7E"/>
    <w:rsid w:val="4FDA749E"/>
    <w:rsid w:val="4FDB1045"/>
    <w:rsid w:val="4FDE49D7"/>
    <w:rsid w:val="4FDF07B1"/>
    <w:rsid w:val="4FE03FD0"/>
    <w:rsid w:val="4FE90673"/>
    <w:rsid w:val="4FEB19D5"/>
    <w:rsid w:val="4FF06E16"/>
    <w:rsid w:val="4FF32F39"/>
    <w:rsid w:val="4FF754D9"/>
    <w:rsid w:val="4FFC5EA7"/>
    <w:rsid w:val="500839EC"/>
    <w:rsid w:val="50097ADC"/>
    <w:rsid w:val="500D55CE"/>
    <w:rsid w:val="50212D46"/>
    <w:rsid w:val="502A0E62"/>
    <w:rsid w:val="502B25F5"/>
    <w:rsid w:val="503126E4"/>
    <w:rsid w:val="50362D27"/>
    <w:rsid w:val="5038261B"/>
    <w:rsid w:val="50407CDE"/>
    <w:rsid w:val="504D11A2"/>
    <w:rsid w:val="504F6EC5"/>
    <w:rsid w:val="50503476"/>
    <w:rsid w:val="5056546F"/>
    <w:rsid w:val="505748FA"/>
    <w:rsid w:val="50614FCB"/>
    <w:rsid w:val="50624919"/>
    <w:rsid w:val="506E2080"/>
    <w:rsid w:val="50722701"/>
    <w:rsid w:val="507A4B5B"/>
    <w:rsid w:val="507C69FC"/>
    <w:rsid w:val="50850973"/>
    <w:rsid w:val="50872B69"/>
    <w:rsid w:val="508A1DA2"/>
    <w:rsid w:val="508A4DDD"/>
    <w:rsid w:val="508C183B"/>
    <w:rsid w:val="509B6A64"/>
    <w:rsid w:val="50AD53EC"/>
    <w:rsid w:val="50C23B5C"/>
    <w:rsid w:val="50C71F94"/>
    <w:rsid w:val="50D20154"/>
    <w:rsid w:val="50D4718B"/>
    <w:rsid w:val="50D74A2A"/>
    <w:rsid w:val="50E001AE"/>
    <w:rsid w:val="50E64090"/>
    <w:rsid w:val="50EA7AC6"/>
    <w:rsid w:val="50F53164"/>
    <w:rsid w:val="50FE2006"/>
    <w:rsid w:val="50FE55ED"/>
    <w:rsid w:val="51095A26"/>
    <w:rsid w:val="510E62D0"/>
    <w:rsid w:val="51262133"/>
    <w:rsid w:val="512E018C"/>
    <w:rsid w:val="512F10D3"/>
    <w:rsid w:val="512F5C97"/>
    <w:rsid w:val="513209CB"/>
    <w:rsid w:val="51380F59"/>
    <w:rsid w:val="513B4F0D"/>
    <w:rsid w:val="513E5A43"/>
    <w:rsid w:val="51464E96"/>
    <w:rsid w:val="5148447D"/>
    <w:rsid w:val="514C78B2"/>
    <w:rsid w:val="51521233"/>
    <w:rsid w:val="516438BA"/>
    <w:rsid w:val="516B7244"/>
    <w:rsid w:val="516D7C04"/>
    <w:rsid w:val="516F169F"/>
    <w:rsid w:val="517167E6"/>
    <w:rsid w:val="517A5B87"/>
    <w:rsid w:val="518622EC"/>
    <w:rsid w:val="51887525"/>
    <w:rsid w:val="518976EE"/>
    <w:rsid w:val="518E7BC0"/>
    <w:rsid w:val="51931E84"/>
    <w:rsid w:val="51A3416B"/>
    <w:rsid w:val="51A64FFE"/>
    <w:rsid w:val="51A87B7B"/>
    <w:rsid w:val="51A92B8F"/>
    <w:rsid w:val="51B30596"/>
    <w:rsid w:val="51B94B12"/>
    <w:rsid w:val="51BA5DC2"/>
    <w:rsid w:val="51C93890"/>
    <w:rsid w:val="51CE7580"/>
    <w:rsid w:val="51D05FAF"/>
    <w:rsid w:val="51D64EE9"/>
    <w:rsid w:val="51E7143D"/>
    <w:rsid w:val="51EC314E"/>
    <w:rsid w:val="51F67C8D"/>
    <w:rsid w:val="51FD48CA"/>
    <w:rsid w:val="52061896"/>
    <w:rsid w:val="520E569F"/>
    <w:rsid w:val="52153DEA"/>
    <w:rsid w:val="52181AFB"/>
    <w:rsid w:val="52207734"/>
    <w:rsid w:val="52211A34"/>
    <w:rsid w:val="52240AE3"/>
    <w:rsid w:val="52293C4B"/>
    <w:rsid w:val="522B5875"/>
    <w:rsid w:val="522D3F03"/>
    <w:rsid w:val="5230228D"/>
    <w:rsid w:val="5233231A"/>
    <w:rsid w:val="52477B02"/>
    <w:rsid w:val="524C2268"/>
    <w:rsid w:val="524C4937"/>
    <w:rsid w:val="52507C9C"/>
    <w:rsid w:val="52554706"/>
    <w:rsid w:val="525B3341"/>
    <w:rsid w:val="525C2A21"/>
    <w:rsid w:val="525E5FFB"/>
    <w:rsid w:val="526E1136"/>
    <w:rsid w:val="52725A77"/>
    <w:rsid w:val="52754DA9"/>
    <w:rsid w:val="52791FC2"/>
    <w:rsid w:val="52795CD2"/>
    <w:rsid w:val="527D6979"/>
    <w:rsid w:val="52821F9E"/>
    <w:rsid w:val="52825A58"/>
    <w:rsid w:val="528412A0"/>
    <w:rsid w:val="528811FA"/>
    <w:rsid w:val="52894CEB"/>
    <w:rsid w:val="528E3671"/>
    <w:rsid w:val="528E36CC"/>
    <w:rsid w:val="529E3D88"/>
    <w:rsid w:val="52A01505"/>
    <w:rsid w:val="52A0625C"/>
    <w:rsid w:val="52A133BA"/>
    <w:rsid w:val="52A3579A"/>
    <w:rsid w:val="52A67043"/>
    <w:rsid w:val="52B23A87"/>
    <w:rsid w:val="52B9290F"/>
    <w:rsid w:val="52C64E0F"/>
    <w:rsid w:val="52C74478"/>
    <w:rsid w:val="52D011A3"/>
    <w:rsid w:val="52D0345F"/>
    <w:rsid w:val="52D715D6"/>
    <w:rsid w:val="52DD7ABC"/>
    <w:rsid w:val="52E02051"/>
    <w:rsid w:val="52EA0237"/>
    <w:rsid w:val="52ED493F"/>
    <w:rsid w:val="52F81D6C"/>
    <w:rsid w:val="52FF4E36"/>
    <w:rsid w:val="53004688"/>
    <w:rsid w:val="530C26CD"/>
    <w:rsid w:val="530C451E"/>
    <w:rsid w:val="530E7143"/>
    <w:rsid w:val="5315323D"/>
    <w:rsid w:val="531547C8"/>
    <w:rsid w:val="53176F7B"/>
    <w:rsid w:val="53182367"/>
    <w:rsid w:val="531B77B0"/>
    <w:rsid w:val="531D631F"/>
    <w:rsid w:val="53220744"/>
    <w:rsid w:val="532304C1"/>
    <w:rsid w:val="53237E8C"/>
    <w:rsid w:val="53245E65"/>
    <w:rsid w:val="532D2757"/>
    <w:rsid w:val="532E59DB"/>
    <w:rsid w:val="532F59A4"/>
    <w:rsid w:val="53333C4E"/>
    <w:rsid w:val="53457CA2"/>
    <w:rsid w:val="53481A18"/>
    <w:rsid w:val="5351571D"/>
    <w:rsid w:val="53535055"/>
    <w:rsid w:val="535C4B5C"/>
    <w:rsid w:val="535D42F4"/>
    <w:rsid w:val="53604732"/>
    <w:rsid w:val="5361457A"/>
    <w:rsid w:val="53627683"/>
    <w:rsid w:val="53672091"/>
    <w:rsid w:val="536746F1"/>
    <w:rsid w:val="536A065E"/>
    <w:rsid w:val="536C736C"/>
    <w:rsid w:val="536D0C1F"/>
    <w:rsid w:val="537107C2"/>
    <w:rsid w:val="53887929"/>
    <w:rsid w:val="538928BA"/>
    <w:rsid w:val="538C5A8C"/>
    <w:rsid w:val="53974CCC"/>
    <w:rsid w:val="53990941"/>
    <w:rsid w:val="539D633E"/>
    <w:rsid w:val="53A60B96"/>
    <w:rsid w:val="53AC7200"/>
    <w:rsid w:val="53AD6DB1"/>
    <w:rsid w:val="53AF7813"/>
    <w:rsid w:val="53B6465A"/>
    <w:rsid w:val="53BC28F6"/>
    <w:rsid w:val="53BD48F3"/>
    <w:rsid w:val="53C66768"/>
    <w:rsid w:val="53D13BE9"/>
    <w:rsid w:val="53D80967"/>
    <w:rsid w:val="53DE5398"/>
    <w:rsid w:val="53E22FEE"/>
    <w:rsid w:val="53E35B63"/>
    <w:rsid w:val="53E923F2"/>
    <w:rsid w:val="53EC2E48"/>
    <w:rsid w:val="53F45D8C"/>
    <w:rsid w:val="53FF0751"/>
    <w:rsid w:val="53FF2B02"/>
    <w:rsid w:val="53FF6CE3"/>
    <w:rsid w:val="540168FB"/>
    <w:rsid w:val="54027996"/>
    <w:rsid w:val="540325F4"/>
    <w:rsid w:val="54064F38"/>
    <w:rsid w:val="540A719D"/>
    <w:rsid w:val="5410223E"/>
    <w:rsid w:val="54102AEF"/>
    <w:rsid w:val="5416178A"/>
    <w:rsid w:val="54272510"/>
    <w:rsid w:val="54296E0D"/>
    <w:rsid w:val="543B471D"/>
    <w:rsid w:val="543E5D44"/>
    <w:rsid w:val="544360A6"/>
    <w:rsid w:val="545568FE"/>
    <w:rsid w:val="545B0CD2"/>
    <w:rsid w:val="54617393"/>
    <w:rsid w:val="54617D50"/>
    <w:rsid w:val="546D3CD4"/>
    <w:rsid w:val="546E5AC7"/>
    <w:rsid w:val="547B0CF4"/>
    <w:rsid w:val="548A7257"/>
    <w:rsid w:val="548E6822"/>
    <w:rsid w:val="548F0B54"/>
    <w:rsid w:val="5490445F"/>
    <w:rsid w:val="54994318"/>
    <w:rsid w:val="549E79FF"/>
    <w:rsid w:val="54A81E87"/>
    <w:rsid w:val="54AC2D56"/>
    <w:rsid w:val="54AD38A4"/>
    <w:rsid w:val="54AD55B1"/>
    <w:rsid w:val="54B0031A"/>
    <w:rsid w:val="54E21D50"/>
    <w:rsid w:val="54EA54D1"/>
    <w:rsid w:val="54F22743"/>
    <w:rsid w:val="54FD3CFC"/>
    <w:rsid w:val="55106D91"/>
    <w:rsid w:val="55111E91"/>
    <w:rsid w:val="551771C7"/>
    <w:rsid w:val="551943CA"/>
    <w:rsid w:val="55194F4F"/>
    <w:rsid w:val="551E6CEE"/>
    <w:rsid w:val="55214D74"/>
    <w:rsid w:val="55252BB5"/>
    <w:rsid w:val="55291A18"/>
    <w:rsid w:val="5529329B"/>
    <w:rsid w:val="55333FCA"/>
    <w:rsid w:val="5535315F"/>
    <w:rsid w:val="553670A2"/>
    <w:rsid w:val="55375B00"/>
    <w:rsid w:val="553E08A0"/>
    <w:rsid w:val="55442E0B"/>
    <w:rsid w:val="55531B99"/>
    <w:rsid w:val="55590CAE"/>
    <w:rsid w:val="555C3C4B"/>
    <w:rsid w:val="556871DF"/>
    <w:rsid w:val="556E625E"/>
    <w:rsid w:val="55767DE0"/>
    <w:rsid w:val="55913B22"/>
    <w:rsid w:val="55926083"/>
    <w:rsid w:val="55987049"/>
    <w:rsid w:val="559C1F6A"/>
    <w:rsid w:val="55B31263"/>
    <w:rsid w:val="55D16579"/>
    <w:rsid w:val="55DE1913"/>
    <w:rsid w:val="55E250A0"/>
    <w:rsid w:val="55E74877"/>
    <w:rsid w:val="55EC771E"/>
    <w:rsid w:val="55EE10FA"/>
    <w:rsid w:val="55F05D4B"/>
    <w:rsid w:val="55F21438"/>
    <w:rsid w:val="55F3226C"/>
    <w:rsid w:val="55F51A7C"/>
    <w:rsid w:val="55F9163F"/>
    <w:rsid w:val="56012E90"/>
    <w:rsid w:val="560B4458"/>
    <w:rsid w:val="560B78CD"/>
    <w:rsid w:val="560C5677"/>
    <w:rsid w:val="560F2B14"/>
    <w:rsid w:val="56122A36"/>
    <w:rsid w:val="56123EA7"/>
    <w:rsid w:val="56135B2C"/>
    <w:rsid w:val="561503A1"/>
    <w:rsid w:val="561548D9"/>
    <w:rsid w:val="562100FD"/>
    <w:rsid w:val="56212628"/>
    <w:rsid w:val="562823A7"/>
    <w:rsid w:val="562960F3"/>
    <w:rsid w:val="56307127"/>
    <w:rsid w:val="563177D1"/>
    <w:rsid w:val="563449B7"/>
    <w:rsid w:val="563D791D"/>
    <w:rsid w:val="5641747C"/>
    <w:rsid w:val="56461C43"/>
    <w:rsid w:val="5649678E"/>
    <w:rsid w:val="564D5FDA"/>
    <w:rsid w:val="564E0409"/>
    <w:rsid w:val="56510E72"/>
    <w:rsid w:val="56513116"/>
    <w:rsid w:val="565309FE"/>
    <w:rsid w:val="56576F55"/>
    <w:rsid w:val="565D1B01"/>
    <w:rsid w:val="566049F9"/>
    <w:rsid w:val="56713404"/>
    <w:rsid w:val="567A75C6"/>
    <w:rsid w:val="567A7F86"/>
    <w:rsid w:val="568A5D47"/>
    <w:rsid w:val="568C39AF"/>
    <w:rsid w:val="56971D8E"/>
    <w:rsid w:val="569D60E2"/>
    <w:rsid w:val="56A2715D"/>
    <w:rsid w:val="56A3318A"/>
    <w:rsid w:val="56B5026A"/>
    <w:rsid w:val="56B608E1"/>
    <w:rsid w:val="56B64F0E"/>
    <w:rsid w:val="56BD6AFB"/>
    <w:rsid w:val="56CB1112"/>
    <w:rsid w:val="56CD6915"/>
    <w:rsid w:val="56DC3816"/>
    <w:rsid w:val="56E4191D"/>
    <w:rsid w:val="56E542AB"/>
    <w:rsid w:val="56E55B44"/>
    <w:rsid w:val="56E63E91"/>
    <w:rsid w:val="56F97D56"/>
    <w:rsid w:val="56FA74FF"/>
    <w:rsid w:val="5703107C"/>
    <w:rsid w:val="57066E6C"/>
    <w:rsid w:val="57093711"/>
    <w:rsid w:val="571C0B02"/>
    <w:rsid w:val="571D27A9"/>
    <w:rsid w:val="57282755"/>
    <w:rsid w:val="572A12AA"/>
    <w:rsid w:val="572E454B"/>
    <w:rsid w:val="57406857"/>
    <w:rsid w:val="57454472"/>
    <w:rsid w:val="57476770"/>
    <w:rsid w:val="57504A5C"/>
    <w:rsid w:val="57507E2C"/>
    <w:rsid w:val="575107A1"/>
    <w:rsid w:val="576420CB"/>
    <w:rsid w:val="5764265A"/>
    <w:rsid w:val="5767387C"/>
    <w:rsid w:val="576D059F"/>
    <w:rsid w:val="576F2B33"/>
    <w:rsid w:val="577142D5"/>
    <w:rsid w:val="57750051"/>
    <w:rsid w:val="577A6D5B"/>
    <w:rsid w:val="577B076B"/>
    <w:rsid w:val="57802A2D"/>
    <w:rsid w:val="578049A1"/>
    <w:rsid w:val="57842C8A"/>
    <w:rsid w:val="579519E0"/>
    <w:rsid w:val="579F3C94"/>
    <w:rsid w:val="57A71C42"/>
    <w:rsid w:val="57AC6539"/>
    <w:rsid w:val="57AE28E1"/>
    <w:rsid w:val="57B13A99"/>
    <w:rsid w:val="57BB51BF"/>
    <w:rsid w:val="57C91FE7"/>
    <w:rsid w:val="57D6548D"/>
    <w:rsid w:val="57D7607F"/>
    <w:rsid w:val="57D9379A"/>
    <w:rsid w:val="57E502DB"/>
    <w:rsid w:val="57E64FE4"/>
    <w:rsid w:val="57E927CF"/>
    <w:rsid w:val="57ED1F5B"/>
    <w:rsid w:val="57F917DD"/>
    <w:rsid w:val="57FA46AA"/>
    <w:rsid w:val="58156C90"/>
    <w:rsid w:val="581D12C2"/>
    <w:rsid w:val="581D1822"/>
    <w:rsid w:val="58291772"/>
    <w:rsid w:val="582A7220"/>
    <w:rsid w:val="582D4528"/>
    <w:rsid w:val="582E045D"/>
    <w:rsid w:val="58345030"/>
    <w:rsid w:val="583A2FA8"/>
    <w:rsid w:val="583C0653"/>
    <w:rsid w:val="5843095D"/>
    <w:rsid w:val="58575F33"/>
    <w:rsid w:val="585D41DC"/>
    <w:rsid w:val="585E331A"/>
    <w:rsid w:val="585F5D63"/>
    <w:rsid w:val="586122B6"/>
    <w:rsid w:val="58631C30"/>
    <w:rsid w:val="5864140F"/>
    <w:rsid w:val="58652D0B"/>
    <w:rsid w:val="58671E11"/>
    <w:rsid w:val="586A0B7A"/>
    <w:rsid w:val="586B4C16"/>
    <w:rsid w:val="586C74F3"/>
    <w:rsid w:val="58701611"/>
    <w:rsid w:val="58703203"/>
    <w:rsid w:val="58703D71"/>
    <w:rsid w:val="58741EA8"/>
    <w:rsid w:val="588340F7"/>
    <w:rsid w:val="588559F8"/>
    <w:rsid w:val="588A02C1"/>
    <w:rsid w:val="589054BB"/>
    <w:rsid w:val="589331B2"/>
    <w:rsid w:val="58934FE8"/>
    <w:rsid w:val="589560E8"/>
    <w:rsid w:val="58986E96"/>
    <w:rsid w:val="58A511E8"/>
    <w:rsid w:val="58BF1452"/>
    <w:rsid w:val="58CD527F"/>
    <w:rsid w:val="58D02067"/>
    <w:rsid w:val="58D24750"/>
    <w:rsid w:val="58D279B1"/>
    <w:rsid w:val="58D43242"/>
    <w:rsid w:val="58E92BFE"/>
    <w:rsid w:val="58E93DC9"/>
    <w:rsid w:val="58F95938"/>
    <w:rsid w:val="58FD0082"/>
    <w:rsid w:val="5905549D"/>
    <w:rsid w:val="590A2B44"/>
    <w:rsid w:val="590C5226"/>
    <w:rsid w:val="590D32C7"/>
    <w:rsid w:val="591946E0"/>
    <w:rsid w:val="591F3E23"/>
    <w:rsid w:val="59200D58"/>
    <w:rsid w:val="59226396"/>
    <w:rsid w:val="59251CB3"/>
    <w:rsid w:val="59272D36"/>
    <w:rsid w:val="59294F4D"/>
    <w:rsid w:val="59357B01"/>
    <w:rsid w:val="593611D8"/>
    <w:rsid w:val="593D327C"/>
    <w:rsid w:val="593D764E"/>
    <w:rsid w:val="593E64D4"/>
    <w:rsid w:val="593F359D"/>
    <w:rsid w:val="594B09C1"/>
    <w:rsid w:val="594D3EB2"/>
    <w:rsid w:val="59503DFF"/>
    <w:rsid w:val="59540FB8"/>
    <w:rsid w:val="59597D05"/>
    <w:rsid w:val="595A7150"/>
    <w:rsid w:val="595D6519"/>
    <w:rsid w:val="595F3813"/>
    <w:rsid w:val="596C0851"/>
    <w:rsid w:val="59733891"/>
    <w:rsid w:val="59741916"/>
    <w:rsid w:val="597C5567"/>
    <w:rsid w:val="598330AC"/>
    <w:rsid w:val="598C63F6"/>
    <w:rsid w:val="598D3502"/>
    <w:rsid w:val="59986A27"/>
    <w:rsid w:val="5999137D"/>
    <w:rsid w:val="59A04570"/>
    <w:rsid w:val="59A448C6"/>
    <w:rsid w:val="59A55FF4"/>
    <w:rsid w:val="59A9539A"/>
    <w:rsid w:val="59AA00D7"/>
    <w:rsid w:val="59AA5873"/>
    <w:rsid w:val="59AE6980"/>
    <w:rsid w:val="59B71BD5"/>
    <w:rsid w:val="59C82FE8"/>
    <w:rsid w:val="59C90BD6"/>
    <w:rsid w:val="59CA6CB9"/>
    <w:rsid w:val="59D200F2"/>
    <w:rsid w:val="59D45466"/>
    <w:rsid w:val="59DA1DA8"/>
    <w:rsid w:val="59DC7194"/>
    <w:rsid w:val="59DD6F6D"/>
    <w:rsid w:val="59DE62C1"/>
    <w:rsid w:val="59DE7E2B"/>
    <w:rsid w:val="59E200D5"/>
    <w:rsid w:val="59F6742F"/>
    <w:rsid w:val="59FB6622"/>
    <w:rsid w:val="59FF26FB"/>
    <w:rsid w:val="5A032B6B"/>
    <w:rsid w:val="5A072732"/>
    <w:rsid w:val="5A0D074F"/>
    <w:rsid w:val="5A1229AC"/>
    <w:rsid w:val="5A1F4DD7"/>
    <w:rsid w:val="5A2F2E4E"/>
    <w:rsid w:val="5A3108BC"/>
    <w:rsid w:val="5A3572F7"/>
    <w:rsid w:val="5A37581D"/>
    <w:rsid w:val="5A3B376F"/>
    <w:rsid w:val="5A593B14"/>
    <w:rsid w:val="5A696A09"/>
    <w:rsid w:val="5A790A37"/>
    <w:rsid w:val="5A7D28F7"/>
    <w:rsid w:val="5A7E782B"/>
    <w:rsid w:val="5A7F37AB"/>
    <w:rsid w:val="5A7F54AB"/>
    <w:rsid w:val="5A815FBE"/>
    <w:rsid w:val="5A847336"/>
    <w:rsid w:val="5A95065C"/>
    <w:rsid w:val="5A9F05FA"/>
    <w:rsid w:val="5AA32E74"/>
    <w:rsid w:val="5AA41201"/>
    <w:rsid w:val="5AAA45CE"/>
    <w:rsid w:val="5AB60202"/>
    <w:rsid w:val="5AB87B22"/>
    <w:rsid w:val="5AC76BC7"/>
    <w:rsid w:val="5ACB3EF4"/>
    <w:rsid w:val="5ACD0131"/>
    <w:rsid w:val="5AD0311F"/>
    <w:rsid w:val="5ADD4ED5"/>
    <w:rsid w:val="5AE4054D"/>
    <w:rsid w:val="5AE5793C"/>
    <w:rsid w:val="5AE822CC"/>
    <w:rsid w:val="5AEB04F6"/>
    <w:rsid w:val="5AED1E72"/>
    <w:rsid w:val="5AED50A6"/>
    <w:rsid w:val="5AF36FD7"/>
    <w:rsid w:val="5B02188B"/>
    <w:rsid w:val="5B0F2D75"/>
    <w:rsid w:val="5B212975"/>
    <w:rsid w:val="5B4643CF"/>
    <w:rsid w:val="5B5160E9"/>
    <w:rsid w:val="5B5633D2"/>
    <w:rsid w:val="5B5727CA"/>
    <w:rsid w:val="5B5C46A3"/>
    <w:rsid w:val="5B681592"/>
    <w:rsid w:val="5B757256"/>
    <w:rsid w:val="5B7E3F6D"/>
    <w:rsid w:val="5B880D83"/>
    <w:rsid w:val="5B8A0708"/>
    <w:rsid w:val="5B966409"/>
    <w:rsid w:val="5B984141"/>
    <w:rsid w:val="5BA0154F"/>
    <w:rsid w:val="5BA17740"/>
    <w:rsid w:val="5BA4503A"/>
    <w:rsid w:val="5BA6613C"/>
    <w:rsid w:val="5BA81D4B"/>
    <w:rsid w:val="5BAA3A13"/>
    <w:rsid w:val="5BB247CE"/>
    <w:rsid w:val="5BC06753"/>
    <w:rsid w:val="5BC14C33"/>
    <w:rsid w:val="5BC51ED9"/>
    <w:rsid w:val="5BC74D9D"/>
    <w:rsid w:val="5BC93874"/>
    <w:rsid w:val="5BD043EE"/>
    <w:rsid w:val="5BD6683A"/>
    <w:rsid w:val="5BD90A8A"/>
    <w:rsid w:val="5BDB2F29"/>
    <w:rsid w:val="5BE152AC"/>
    <w:rsid w:val="5BEE0C41"/>
    <w:rsid w:val="5BF00FA3"/>
    <w:rsid w:val="5BF16622"/>
    <w:rsid w:val="5BF40AEC"/>
    <w:rsid w:val="5BFA1F1F"/>
    <w:rsid w:val="5BFC7043"/>
    <w:rsid w:val="5C0362A9"/>
    <w:rsid w:val="5C1061AA"/>
    <w:rsid w:val="5C1655E2"/>
    <w:rsid w:val="5C19713F"/>
    <w:rsid w:val="5C257BD0"/>
    <w:rsid w:val="5C27039B"/>
    <w:rsid w:val="5C2A2F43"/>
    <w:rsid w:val="5C2E0910"/>
    <w:rsid w:val="5C2F5CC5"/>
    <w:rsid w:val="5C301916"/>
    <w:rsid w:val="5C352A73"/>
    <w:rsid w:val="5C373E79"/>
    <w:rsid w:val="5C3D45DD"/>
    <w:rsid w:val="5C40041F"/>
    <w:rsid w:val="5C540BB1"/>
    <w:rsid w:val="5C565606"/>
    <w:rsid w:val="5C575A8F"/>
    <w:rsid w:val="5C61596C"/>
    <w:rsid w:val="5C671ABB"/>
    <w:rsid w:val="5C6B0A25"/>
    <w:rsid w:val="5C6F64C9"/>
    <w:rsid w:val="5C727298"/>
    <w:rsid w:val="5C7343DC"/>
    <w:rsid w:val="5C770C2C"/>
    <w:rsid w:val="5C901391"/>
    <w:rsid w:val="5C912B19"/>
    <w:rsid w:val="5C97310F"/>
    <w:rsid w:val="5C9A7652"/>
    <w:rsid w:val="5C9D7CE9"/>
    <w:rsid w:val="5C9F17D1"/>
    <w:rsid w:val="5C9F314E"/>
    <w:rsid w:val="5CA41927"/>
    <w:rsid w:val="5CA44832"/>
    <w:rsid w:val="5CAB795C"/>
    <w:rsid w:val="5CB52476"/>
    <w:rsid w:val="5CB85FBE"/>
    <w:rsid w:val="5CBB17BA"/>
    <w:rsid w:val="5CBB3C21"/>
    <w:rsid w:val="5CBC0346"/>
    <w:rsid w:val="5CBC1692"/>
    <w:rsid w:val="5CC234D3"/>
    <w:rsid w:val="5CC7356C"/>
    <w:rsid w:val="5CCA5B55"/>
    <w:rsid w:val="5CD526CC"/>
    <w:rsid w:val="5CD713F7"/>
    <w:rsid w:val="5CDB05C7"/>
    <w:rsid w:val="5CDB5E68"/>
    <w:rsid w:val="5CDE71AB"/>
    <w:rsid w:val="5CF15797"/>
    <w:rsid w:val="5CF21E0A"/>
    <w:rsid w:val="5CF2636B"/>
    <w:rsid w:val="5CFE0DCE"/>
    <w:rsid w:val="5D0413B6"/>
    <w:rsid w:val="5D0459C2"/>
    <w:rsid w:val="5D054495"/>
    <w:rsid w:val="5D100754"/>
    <w:rsid w:val="5D1267F3"/>
    <w:rsid w:val="5D1464F0"/>
    <w:rsid w:val="5D1758CC"/>
    <w:rsid w:val="5D201A00"/>
    <w:rsid w:val="5D220C89"/>
    <w:rsid w:val="5D236B07"/>
    <w:rsid w:val="5D240FFE"/>
    <w:rsid w:val="5D273D13"/>
    <w:rsid w:val="5D294DEC"/>
    <w:rsid w:val="5D2E0DF9"/>
    <w:rsid w:val="5D361F98"/>
    <w:rsid w:val="5D382F79"/>
    <w:rsid w:val="5D397720"/>
    <w:rsid w:val="5D446971"/>
    <w:rsid w:val="5D550CF3"/>
    <w:rsid w:val="5D6A4372"/>
    <w:rsid w:val="5D755C5D"/>
    <w:rsid w:val="5D791772"/>
    <w:rsid w:val="5D7A7717"/>
    <w:rsid w:val="5D814AC3"/>
    <w:rsid w:val="5D89686C"/>
    <w:rsid w:val="5D8A2820"/>
    <w:rsid w:val="5D8F2594"/>
    <w:rsid w:val="5D9205BD"/>
    <w:rsid w:val="5D924525"/>
    <w:rsid w:val="5D940C6E"/>
    <w:rsid w:val="5D944335"/>
    <w:rsid w:val="5D99624C"/>
    <w:rsid w:val="5D9D0B86"/>
    <w:rsid w:val="5DA05E17"/>
    <w:rsid w:val="5DA753E3"/>
    <w:rsid w:val="5DAA0D9A"/>
    <w:rsid w:val="5DAC613D"/>
    <w:rsid w:val="5DB60694"/>
    <w:rsid w:val="5DB85404"/>
    <w:rsid w:val="5DC44173"/>
    <w:rsid w:val="5DC759D8"/>
    <w:rsid w:val="5DC97E6E"/>
    <w:rsid w:val="5DCA5FA9"/>
    <w:rsid w:val="5DCB3ED7"/>
    <w:rsid w:val="5DD06B52"/>
    <w:rsid w:val="5DD82618"/>
    <w:rsid w:val="5DE81642"/>
    <w:rsid w:val="5DEA239C"/>
    <w:rsid w:val="5DF21A5D"/>
    <w:rsid w:val="5DFD108C"/>
    <w:rsid w:val="5E035171"/>
    <w:rsid w:val="5E043AC3"/>
    <w:rsid w:val="5E063CE3"/>
    <w:rsid w:val="5E0728A4"/>
    <w:rsid w:val="5E07345D"/>
    <w:rsid w:val="5E0B3E57"/>
    <w:rsid w:val="5E1174EE"/>
    <w:rsid w:val="5E1760D9"/>
    <w:rsid w:val="5E27418E"/>
    <w:rsid w:val="5E2B672E"/>
    <w:rsid w:val="5E2D3938"/>
    <w:rsid w:val="5E306105"/>
    <w:rsid w:val="5E3205AF"/>
    <w:rsid w:val="5E3646E2"/>
    <w:rsid w:val="5E37540B"/>
    <w:rsid w:val="5E383B1E"/>
    <w:rsid w:val="5E392D1E"/>
    <w:rsid w:val="5E3B04B2"/>
    <w:rsid w:val="5E3E69FF"/>
    <w:rsid w:val="5E48787D"/>
    <w:rsid w:val="5E4A6E89"/>
    <w:rsid w:val="5E550C83"/>
    <w:rsid w:val="5E5745D4"/>
    <w:rsid w:val="5E5E5D21"/>
    <w:rsid w:val="5E616025"/>
    <w:rsid w:val="5E6448C5"/>
    <w:rsid w:val="5E6A5479"/>
    <w:rsid w:val="5E6C7BB5"/>
    <w:rsid w:val="5E6F5492"/>
    <w:rsid w:val="5E7128C8"/>
    <w:rsid w:val="5E846A19"/>
    <w:rsid w:val="5E8A48EA"/>
    <w:rsid w:val="5E8B6680"/>
    <w:rsid w:val="5E8C0623"/>
    <w:rsid w:val="5E9034D9"/>
    <w:rsid w:val="5E96713C"/>
    <w:rsid w:val="5E977ACA"/>
    <w:rsid w:val="5E9D1581"/>
    <w:rsid w:val="5E9E6695"/>
    <w:rsid w:val="5EA9095E"/>
    <w:rsid w:val="5EB96101"/>
    <w:rsid w:val="5EC031C1"/>
    <w:rsid w:val="5EC77C88"/>
    <w:rsid w:val="5ECA3D39"/>
    <w:rsid w:val="5EDA6CC1"/>
    <w:rsid w:val="5EE9771C"/>
    <w:rsid w:val="5EFA4ACA"/>
    <w:rsid w:val="5F013656"/>
    <w:rsid w:val="5F015CCB"/>
    <w:rsid w:val="5F094FFD"/>
    <w:rsid w:val="5F0B7312"/>
    <w:rsid w:val="5F104ED0"/>
    <w:rsid w:val="5F1F7D4E"/>
    <w:rsid w:val="5F290087"/>
    <w:rsid w:val="5F2F705C"/>
    <w:rsid w:val="5F362FBD"/>
    <w:rsid w:val="5F377EF0"/>
    <w:rsid w:val="5F387DAE"/>
    <w:rsid w:val="5F3C5DBB"/>
    <w:rsid w:val="5F4B48E1"/>
    <w:rsid w:val="5F5945B0"/>
    <w:rsid w:val="5F5E5D59"/>
    <w:rsid w:val="5F696E9E"/>
    <w:rsid w:val="5F6B6964"/>
    <w:rsid w:val="5F704BFD"/>
    <w:rsid w:val="5F75578B"/>
    <w:rsid w:val="5F7C32D2"/>
    <w:rsid w:val="5F864ECA"/>
    <w:rsid w:val="5F8D5483"/>
    <w:rsid w:val="5F8E3FF8"/>
    <w:rsid w:val="5F8E6642"/>
    <w:rsid w:val="5F8F15F8"/>
    <w:rsid w:val="5F9A1949"/>
    <w:rsid w:val="5F9C7F34"/>
    <w:rsid w:val="5F9F6E97"/>
    <w:rsid w:val="5FA1378F"/>
    <w:rsid w:val="5FA6034F"/>
    <w:rsid w:val="5FAE0235"/>
    <w:rsid w:val="5FAF015C"/>
    <w:rsid w:val="5FBE08A4"/>
    <w:rsid w:val="5FBE4D1D"/>
    <w:rsid w:val="5FC20077"/>
    <w:rsid w:val="5FC36FA6"/>
    <w:rsid w:val="5FC85FC9"/>
    <w:rsid w:val="5FCE3816"/>
    <w:rsid w:val="5FD2217D"/>
    <w:rsid w:val="5FD36095"/>
    <w:rsid w:val="5FD44B4B"/>
    <w:rsid w:val="5FD478F1"/>
    <w:rsid w:val="5FD506F2"/>
    <w:rsid w:val="5FE35A58"/>
    <w:rsid w:val="5FE4474D"/>
    <w:rsid w:val="5FEA10C1"/>
    <w:rsid w:val="5FEA2D47"/>
    <w:rsid w:val="5FEC2E91"/>
    <w:rsid w:val="5FED46A4"/>
    <w:rsid w:val="5FF0402D"/>
    <w:rsid w:val="5FF96832"/>
    <w:rsid w:val="60072E0E"/>
    <w:rsid w:val="600A5ED7"/>
    <w:rsid w:val="600D0650"/>
    <w:rsid w:val="601057D9"/>
    <w:rsid w:val="60171902"/>
    <w:rsid w:val="601A17B3"/>
    <w:rsid w:val="601D2D07"/>
    <w:rsid w:val="601F74C4"/>
    <w:rsid w:val="60213C24"/>
    <w:rsid w:val="6030778C"/>
    <w:rsid w:val="603B40C7"/>
    <w:rsid w:val="603F426B"/>
    <w:rsid w:val="604E742A"/>
    <w:rsid w:val="605243FF"/>
    <w:rsid w:val="605B25D2"/>
    <w:rsid w:val="605B48E3"/>
    <w:rsid w:val="60630B92"/>
    <w:rsid w:val="60690A40"/>
    <w:rsid w:val="6069169C"/>
    <w:rsid w:val="606A7367"/>
    <w:rsid w:val="60707880"/>
    <w:rsid w:val="60726C4D"/>
    <w:rsid w:val="60753AC1"/>
    <w:rsid w:val="607E79C6"/>
    <w:rsid w:val="60820DBC"/>
    <w:rsid w:val="608D6DC9"/>
    <w:rsid w:val="608F34D9"/>
    <w:rsid w:val="60A02D8C"/>
    <w:rsid w:val="60A228FE"/>
    <w:rsid w:val="60A90F29"/>
    <w:rsid w:val="60A91776"/>
    <w:rsid w:val="60AD0DB3"/>
    <w:rsid w:val="60AE58AD"/>
    <w:rsid w:val="60B13005"/>
    <w:rsid w:val="60BC24D9"/>
    <w:rsid w:val="60BF607C"/>
    <w:rsid w:val="60CC445B"/>
    <w:rsid w:val="60D07E05"/>
    <w:rsid w:val="60E15DF6"/>
    <w:rsid w:val="60E61A57"/>
    <w:rsid w:val="60EF1056"/>
    <w:rsid w:val="60F13FC9"/>
    <w:rsid w:val="60F2099D"/>
    <w:rsid w:val="60F32A8A"/>
    <w:rsid w:val="60FE01D0"/>
    <w:rsid w:val="610605FD"/>
    <w:rsid w:val="611428EB"/>
    <w:rsid w:val="61166FC5"/>
    <w:rsid w:val="611C1F4B"/>
    <w:rsid w:val="61230D3F"/>
    <w:rsid w:val="612A0F58"/>
    <w:rsid w:val="612F58D3"/>
    <w:rsid w:val="6136784C"/>
    <w:rsid w:val="61371BA7"/>
    <w:rsid w:val="613B65D2"/>
    <w:rsid w:val="613F492A"/>
    <w:rsid w:val="61503A17"/>
    <w:rsid w:val="61554A40"/>
    <w:rsid w:val="61600B7F"/>
    <w:rsid w:val="616923F5"/>
    <w:rsid w:val="617033DB"/>
    <w:rsid w:val="617C65F5"/>
    <w:rsid w:val="618004BB"/>
    <w:rsid w:val="61845007"/>
    <w:rsid w:val="61882403"/>
    <w:rsid w:val="618906CC"/>
    <w:rsid w:val="61897F29"/>
    <w:rsid w:val="6191294C"/>
    <w:rsid w:val="61937BED"/>
    <w:rsid w:val="61947C0A"/>
    <w:rsid w:val="619E4ED4"/>
    <w:rsid w:val="61A33880"/>
    <w:rsid w:val="61AC2599"/>
    <w:rsid w:val="61B22A9A"/>
    <w:rsid w:val="61B56E2D"/>
    <w:rsid w:val="61B70BC4"/>
    <w:rsid w:val="61BA4C0D"/>
    <w:rsid w:val="61BC3C69"/>
    <w:rsid w:val="61BF4A2B"/>
    <w:rsid w:val="61C25CA5"/>
    <w:rsid w:val="61CA0857"/>
    <w:rsid w:val="61D05185"/>
    <w:rsid w:val="61D0692A"/>
    <w:rsid w:val="61D17E13"/>
    <w:rsid w:val="61D745C0"/>
    <w:rsid w:val="61DF4357"/>
    <w:rsid w:val="61E37639"/>
    <w:rsid w:val="61E83FC6"/>
    <w:rsid w:val="61F222EA"/>
    <w:rsid w:val="61FF212C"/>
    <w:rsid w:val="620627BA"/>
    <w:rsid w:val="62096FA7"/>
    <w:rsid w:val="620C072F"/>
    <w:rsid w:val="62185D02"/>
    <w:rsid w:val="62191413"/>
    <w:rsid w:val="621A6640"/>
    <w:rsid w:val="621C2579"/>
    <w:rsid w:val="622310A8"/>
    <w:rsid w:val="622A0EC9"/>
    <w:rsid w:val="622D42A7"/>
    <w:rsid w:val="622F4831"/>
    <w:rsid w:val="62371A2B"/>
    <w:rsid w:val="623C7BF2"/>
    <w:rsid w:val="623D3838"/>
    <w:rsid w:val="623F123B"/>
    <w:rsid w:val="62405BAB"/>
    <w:rsid w:val="62412B12"/>
    <w:rsid w:val="624130E8"/>
    <w:rsid w:val="624B4A86"/>
    <w:rsid w:val="624D5C5D"/>
    <w:rsid w:val="62512FEA"/>
    <w:rsid w:val="625978FB"/>
    <w:rsid w:val="625C582E"/>
    <w:rsid w:val="6260477A"/>
    <w:rsid w:val="62692BD0"/>
    <w:rsid w:val="62716393"/>
    <w:rsid w:val="6276412D"/>
    <w:rsid w:val="62765332"/>
    <w:rsid w:val="62787F3F"/>
    <w:rsid w:val="627A24BD"/>
    <w:rsid w:val="627D185F"/>
    <w:rsid w:val="628017D5"/>
    <w:rsid w:val="62806062"/>
    <w:rsid w:val="62843B07"/>
    <w:rsid w:val="628743C6"/>
    <w:rsid w:val="628C70B5"/>
    <w:rsid w:val="629258A4"/>
    <w:rsid w:val="62976040"/>
    <w:rsid w:val="629A0DC9"/>
    <w:rsid w:val="629D4C92"/>
    <w:rsid w:val="62A200EE"/>
    <w:rsid w:val="62A31D68"/>
    <w:rsid w:val="62AF167A"/>
    <w:rsid w:val="62AF7DE3"/>
    <w:rsid w:val="62B125EB"/>
    <w:rsid w:val="62BB632F"/>
    <w:rsid w:val="62C31A4F"/>
    <w:rsid w:val="62C53F17"/>
    <w:rsid w:val="62C815D2"/>
    <w:rsid w:val="62C81E9B"/>
    <w:rsid w:val="62CB62EF"/>
    <w:rsid w:val="62CC2A53"/>
    <w:rsid w:val="62CE171E"/>
    <w:rsid w:val="62DA71B3"/>
    <w:rsid w:val="62DC5344"/>
    <w:rsid w:val="62E636CB"/>
    <w:rsid w:val="62E67534"/>
    <w:rsid w:val="62E7362D"/>
    <w:rsid w:val="62F00AE3"/>
    <w:rsid w:val="62F45876"/>
    <w:rsid w:val="6302174B"/>
    <w:rsid w:val="630E6E19"/>
    <w:rsid w:val="63126C6D"/>
    <w:rsid w:val="631556C0"/>
    <w:rsid w:val="631730FB"/>
    <w:rsid w:val="631F11F3"/>
    <w:rsid w:val="63206D3F"/>
    <w:rsid w:val="632149D6"/>
    <w:rsid w:val="632B1BCB"/>
    <w:rsid w:val="632F4248"/>
    <w:rsid w:val="63314698"/>
    <w:rsid w:val="634F04F2"/>
    <w:rsid w:val="635232D6"/>
    <w:rsid w:val="6354285A"/>
    <w:rsid w:val="63543064"/>
    <w:rsid w:val="635B17DB"/>
    <w:rsid w:val="635B6A4E"/>
    <w:rsid w:val="636F3233"/>
    <w:rsid w:val="637A5691"/>
    <w:rsid w:val="638D7767"/>
    <w:rsid w:val="63926811"/>
    <w:rsid w:val="63931F5D"/>
    <w:rsid w:val="63937391"/>
    <w:rsid w:val="63A0516D"/>
    <w:rsid w:val="63A64EFC"/>
    <w:rsid w:val="63A751CA"/>
    <w:rsid w:val="63B70D82"/>
    <w:rsid w:val="63B840D2"/>
    <w:rsid w:val="63BE7F46"/>
    <w:rsid w:val="63C23421"/>
    <w:rsid w:val="63C23B3F"/>
    <w:rsid w:val="63C71A4A"/>
    <w:rsid w:val="63CD67F3"/>
    <w:rsid w:val="63CD73EE"/>
    <w:rsid w:val="63D13D5D"/>
    <w:rsid w:val="63DC107E"/>
    <w:rsid w:val="63E1576E"/>
    <w:rsid w:val="63E15790"/>
    <w:rsid w:val="63F3517A"/>
    <w:rsid w:val="63F53E44"/>
    <w:rsid w:val="63F557B9"/>
    <w:rsid w:val="63F73662"/>
    <w:rsid w:val="64033FC2"/>
    <w:rsid w:val="6404106F"/>
    <w:rsid w:val="640B186D"/>
    <w:rsid w:val="640B3322"/>
    <w:rsid w:val="64150B8A"/>
    <w:rsid w:val="641C219F"/>
    <w:rsid w:val="641C3BFC"/>
    <w:rsid w:val="642515B0"/>
    <w:rsid w:val="642807D8"/>
    <w:rsid w:val="64287ECD"/>
    <w:rsid w:val="64291347"/>
    <w:rsid w:val="642B2624"/>
    <w:rsid w:val="643339B1"/>
    <w:rsid w:val="64337EEF"/>
    <w:rsid w:val="64385352"/>
    <w:rsid w:val="64415061"/>
    <w:rsid w:val="64474E25"/>
    <w:rsid w:val="644B1806"/>
    <w:rsid w:val="6452070F"/>
    <w:rsid w:val="64521E96"/>
    <w:rsid w:val="64555F16"/>
    <w:rsid w:val="645732B0"/>
    <w:rsid w:val="64583151"/>
    <w:rsid w:val="646105EB"/>
    <w:rsid w:val="64640F6D"/>
    <w:rsid w:val="64736F6A"/>
    <w:rsid w:val="647440EB"/>
    <w:rsid w:val="647A3FC0"/>
    <w:rsid w:val="647C7BE5"/>
    <w:rsid w:val="647E40E6"/>
    <w:rsid w:val="64840106"/>
    <w:rsid w:val="64855759"/>
    <w:rsid w:val="64870DAA"/>
    <w:rsid w:val="648837CB"/>
    <w:rsid w:val="648A5765"/>
    <w:rsid w:val="648B41DC"/>
    <w:rsid w:val="648F51B3"/>
    <w:rsid w:val="649139AC"/>
    <w:rsid w:val="6494184F"/>
    <w:rsid w:val="64951CC6"/>
    <w:rsid w:val="64981AC5"/>
    <w:rsid w:val="649E44E3"/>
    <w:rsid w:val="649E59F6"/>
    <w:rsid w:val="64A224F3"/>
    <w:rsid w:val="64B975EC"/>
    <w:rsid w:val="64C332C7"/>
    <w:rsid w:val="64CE30C3"/>
    <w:rsid w:val="64CF59E1"/>
    <w:rsid w:val="64D06AD9"/>
    <w:rsid w:val="64D25204"/>
    <w:rsid w:val="64D348C4"/>
    <w:rsid w:val="64DB0E32"/>
    <w:rsid w:val="64DC3B33"/>
    <w:rsid w:val="64E02B6C"/>
    <w:rsid w:val="64E80B00"/>
    <w:rsid w:val="64EC0E84"/>
    <w:rsid w:val="64EE0F42"/>
    <w:rsid w:val="64F63A4F"/>
    <w:rsid w:val="64F83A44"/>
    <w:rsid w:val="64FA7B8A"/>
    <w:rsid w:val="64FE170D"/>
    <w:rsid w:val="65014B1B"/>
    <w:rsid w:val="65090B14"/>
    <w:rsid w:val="650C6744"/>
    <w:rsid w:val="65114B98"/>
    <w:rsid w:val="651509FE"/>
    <w:rsid w:val="65187C9E"/>
    <w:rsid w:val="65192534"/>
    <w:rsid w:val="652D1362"/>
    <w:rsid w:val="65303F7F"/>
    <w:rsid w:val="6537477C"/>
    <w:rsid w:val="65380FEB"/>
    <w:rsid w:val="65530FF0"/>
    <w:rsid w:val="655E6012"/>
    <w:rsid w:val="65644D61"/>
    <w:rsid w:val="65654674"/>
    <w:rsid w:val="656C4CA4"/>
    <w:rsid w:val="6573021F"/>
    <w:rsid w:val="657604DD"/>
    <w:rsid w:val="65774455"/>
    <w:rsid w:val="657C65E4"/>
    <w:rsid w:val="657E4A9A"/>
    <w:rsid w:val="657F1D6E"/>
    <w:rsid w:val="65850CE5"/>
    <w:rsid w:val="65980B48"/>
    <w:rsid w:val="659B6BD4"/>
    <w:rsid w:val="65A879B6"/>
    <w:rsid w:val="65AD5F71"/>
    <w:rsid w:val="65B55872"/>
    <w:rsid w:val="65B85503"/>
    <w:rsid w:val="65BC19FB"/>
    <w:rsid w:val="65CD4C8B"/>
    <w:rsid w:val="65D44334"/>
    <w:rsid w:val="65D57B63"/>
    <w:rsid w:val="65E27B0A"/>
    <w:rsid w:val="65F379CA"/>
    <w:rsid w:val="65FF07B9"/>
    <w:rsid w:val="66057923"/>
    <w:rsid w:val="6609788A"/>
    <w:rsid w:val="660D0E22"/>
    <w:rsid w:val="66122556"/>
    <w:rsid w:val="661917E6"/>
    <w:rsid w:val="66293D7A"/>
    <w:rsid w:val="662A60D9"/>
    <w:rsid w:val="662A6AFF"/>
    <w:rsid w:val="662D17BB"/>
    <w:rsid w:val="66313D1A"/>
    <w:rsid w:val="66345385"/>
    <w:rsid w:val="66367CC1"/>
    <w:rsid w:val="663722D5"/>
    <w:rsid w:val="663E53A8"/>
    <w:rsid w:val="66414C92"/>
    <w:rsid w:val="664B6E46"/>
    <w:rsid w:val="665D12D3"/>
    <w:rsid w:val="666052E3"/>
    <w:rsid w:val="6664159F"/>
    <w:rsid w:val="66661BDF"/>
    <w:rsid w:val="666D539F"/>
    <w:rsid w:val="666E69F0"/>
    <w:rsid w:val="66713E96"/>
    <w:rsid w:val="66757251"/>
    <w:rsid w:val="667E7A35"/>
    <w:rsid w:val="667F5AAD"/>
    <w:rsid w:val="66860EDB"/>
    <w:rsid w:val="66972EC3"/>
    <w:rsid w:val="669C2E49"/>
    <w:rsid w:val="669F3B5D"/>
    <w:rsid w:val="66A4585A"/>
    <w:rsid w:val="66A80E51"/>
    <w:rsid w:val="66B72650"/>
    <w:rsid w:val="66C216F7"/>
    <w:rsid w:val="66C37A39"/>
    <w:rsid w:val="66C76ABD"/>
    <w:rsid w:val="66C919F9"/>
    <w:rsid w:val="66CF273F"/>
    <w:rsid w:val="66D80610"/>
    <w:rsid w:val="66E1288D"/>
    <w:rsid w:val="66E86106"/>
    <w:rsid w:val="66EA3AD6"/>
    <w:rsid w:val="66EB4A68"/>
    <w:rsid w:val="66EE78DA"/>
    <w:rsid w:val="66EF2FFE"/>
    <w:rsid w:val="66F37F9B"/>
    <w:rsid w:val="66F56686"/>
    <w:rsid w:val="66F95BFB"/>
    <w:rsid w:val="66FB1818"/>
    <w:rsid w:val="670058D9"/>
    <w:rsid w:val="67016899"/>
    <w:rsid w:val="670735B2"/>
    <w:rsid w:val="670A5205"/>
    <w:rsid w:val="67103118"/>
    <w:rsid w:val="671D7C11"/>
    <w:rsid w:val="6723398C"/>
    <w:rsid w:val="67236225"/>
    <w:rsid w:val="6727446C"/>
    <w:rsid w:val="67286003"/>
    <w:rsid w:val="672C3A83"/>
    <w:rsid w:val="672F4862"/>
    <w:rsid w:val="67313BD6"/>
    <w:rsid w:val="67327418"/>
    <w:rsid w:val="67381E7C"/>
    <w:rsid w:val="673C7437"/>
    <w:rsid w:val="6741361C"/>
    <w:rsid w:val="6743776E"/>
    <w:rsid w:val="6744467C"/>
    <w:rsid w:val="67491EAA"/>
    <w:rsid w:val="67562052"/>
    <w:rsid w:val="675674C7"/>
    <w:rsid w:val="67655612"/>
    <w:rsid w:val="6769328B"/>
    <w:rsid w:val="67797C93"/>
    <w:rsid w:val="677D07E0"/>
    <w:rsid w:val="677F3134"/>
    <w:rsid w:val="678E7979"/>
    <w:rsid w:val="67971CD4"/>
    <w:rsid w:val="679D1036"/>
    <w:rsid w:val="67A2508B"/>
    <w:rsid w:val="67A75D9F"/>
    <w:rsid w:val="67A83260"/>
    <w:rsid w:val="67A97AB8"/>
    <w:rsid w:val="67AA0BD8"/>
    <w:rsid w:val="67AE76AA"/>
    <w:rsid w:val="67B228DB"/>
    <w:rsid w:val="67B600D4"/>
    <w:rsid w:val="67B83316"/>
    <w:rsid w:val="67B87A7B"/>
    <w:rsid w:val="67C03814"/>
    <w:rsid w:val="67C1604C"/>
    <w:rsid w:val="67C250AA"/>
    <w:rsid w:val="67C465D6"/>
    <w:rsid w:val="67D14D80"/>
    <w:rsid w:val="67D509B8"/>
    <w:rsid w:val="67E52322"/>
    <w:rsid w:val="67E617C8"/>
    <w:rsid w:val="67EA0BB3"/>
    <w:rsid w:val="67FB346D"/>
    <w:rsid w:val="68044C6A"/>
    <w:rsid w:val="6806219B"/>
    <w:rsid w:val="680C2EF6"/>
    <w:rsid w:val="680E6B71"/>
    <w:rsid w:val="68121CDB"/>
    <w:rsid w:val="681500D4"/>
    <w:rsid w:val="681B11F6"/>
    <w:rsid w:val="681F36D2"/>
    <w:rsid w:val="68283A48"/>
    <w:rsid w:val="682D445B"/>
    <w:rsid w:val="68373BBF"/>
    <w:rsid w:val="683A0E57"/>
    <w:rsid w:val="683D6CF7"/>
    <w:rsid w:val="683E5FAA"/>
    <w:rsid w:val="68402912"/>
    <w:rsid w:val="68425D0B"/>
    <w:rsid w:val="684352D5"/>
    <w:rsid w:val="68476448"/>
    <w:rsid w:val="6848470F"/>
    <w:rsid w:val="6851299A"/>
    <w:rsid w:val="68565126"/>
    <w:rsid w:val="685C6B5E"/>
    <w:rsid w:val="68617509"/>
    <w:rsid w:val="686210D0"/>
    <w:rsid w:val="686A1DDB"/>
    <w:rsid w:val="686F3B6F"/>
    <w:rsid w:val="688E31D3"/>
    <w:rsid w:val="68905447"/>
    <w:rsid w:val="68911F90"/>
    <w:rsid w:val="689458B6"/>
    <w:rsid w:val="68A00231"/>
    <w:rsid w:val="68A3294C"/>
    <w:rsid w:val="68B30250"/>
    <w:rsid w:val="68B65F0B"/>
    <w:rsid w:val="68B8425D"/>
    <w:rsid w:val="68BE2BAE"/>
    <w:rsid w:val="68C67A5B"/>
    <w:rsid w:val="68CE59E7"/>
    <w:rsid w:val="68D76C6F"/>
    <w:rsid w:val="68DB4C13"/>
    <w:rsid w:val="68E22221"/>
    <w:rsid w:val="68E42048"/>
    <w:rsid w:val="68E679EB"/>
    <w:rsid w:val="68EC73F1"/>
    <w:rsid w:val="68F67191"/>
    <w:rsid w:val="68FA630D"/>
    <w:rsid w:val="69163812"/>
    <w:rsid w:val="69172B1E"/>
    <w:rsid w:val="691E5DC7"/>
    <w:rsid w:val="692A4053"/>
    <w:rsid w:val="692E1CB8"/>
    <w:rsid w:val="69302772"/>
    <w:rsid w:val="69380B9D"/>
    <w:rsid w:val="6945104C"/>
    <w:rsid w:val="69533066"/>
    <w:rsid w:val="695565FE"/>
    <w:rsid w:val="6955728D"/>
    <w:rsid w:val="695C2A77"/>
    <w:rsid w:val="695F253E"/>
    <w:rsid w:val="695F518C"/>
    <w:rsid w:val="6960306B"/>
    <w:rsid w:val="696841AC"/>
    <w:rsid w:val="696B07CA"/>
    <w:rsid w:val="696D48EE"/>
    <w:rsid w:val="697732EC"/>
    <w:rsid w:val="69817394"/>
    <w:rsid w:val="69864F42"/>
    <w:rsid w:val="69895EA4"/>
    <w:rsid w:val="698F6C7D"/>
    <w:rsid w:val="699225BF"/>
    <w:rsid w:val="699D6C9C"/>
    <w:rsid w:val="699E1CA7"/>
    <w:rsid w:val="69A0406C"/>
    <w:rsid w:val="69A06DC4"/>
    <w:rsid w:val="69A74C14"/>
    <w:rsid w:val="69C44E68"/>
    <w:rsid w:val="69D17174"/>
    <w:rsid w:val="69D67976"/>
    <w:rsid w:val="69DA0121"/>
    <w:rsid w:val="69EE1ABB"/>
    <w:rsid w:val="69EE5CB8"/>
    <w:rsid w:val="6A027670"/>
    <w:rsid w:val="6A09452A"/>
    <w:rsid w:val="6A1D0D12"/>
    <w:rsid w:val="6A222CC8"/>
    <w:rsid w:val="6A233CF0"/>
    <w:rsid w:val="6A255612"/>
    <w:rsid w:val="6A29413C"/>
    <w:rsid w:val="6A31372C"/>
    <w:rsid w:val="6A31740E"/>
    <w:rsid w:val="6A337DCD"/>
    <w:rsid w:val="6A350C4E"/>
    <w:rsid w:val="6A3A0A9B"/>
    <w:rsid w:val="6A402174"/>
    <w:rsid w:val="6A432291"/>
    <w:rsid w:val="6A4573B9"/>
    <w:rsid w:val="6A4946F9"/>
    <w:rsid w:val="6A5440F2"/>
    <w:rsid w:val="6A5863FB"/>
    <w:rsid w:val="6A664B22"/>
    <w:rsid w:val="6A6C1AD5"/>
    <w:rsid w:val="6A6D4D15"/>
    <w:rsid w:val="6A6F2835"/>
    <w:rsid w:val="6A7074A4"/>
    <w:rsid w:val="6A7554EE"/>
    <w:rsid w:val="6A7614E2"/>
    <w:rsid w:val="6A805C28"/>
    <w:rsid w:val="6A81063B"/>
    <w:rsid w:val="6A812180"/>
    <w:rsid w:val="6A824A29"/>
    <w:rsid w:val="6A8C25C3"/>
    <w:rsid w:val="6A8C70F1"/>
    <w:rsid w:val="6AA27A16"/>
    <w:rsid w:val="6AA62491"/>
    <w:rsid w:val="6AA64F87"/>
    <w:rsid w:val="6AA702A9"/>
    <w:rsid w:val="6AA815FD"/>
    <w:rsid w:val="6AB7064F"/>
    <w:rsid w:val="6ABB0076"/>
    <w:rsid w:val="6ABC0D8C"/>
    <w:rsid w:val="6AC031F2"/>
    <w:rsid w:val="6AC40947"/>
    <w:rsid w:val="6AC75D5C"/>
    <w:rsid w:val="6ACF5AC3"/>
    <w:rsid w:val="6AD24B4E"/>
    <w:rsid w:val="6AD2649C"/>
    <w:rsid w:val="6AE11CB7"/>
    <w:rsid w:val="6AE306AA"/>
    <w:rsid w:val="6AE318F1"/>
    <w:rsid w:val="6AEC013E"/>
    <w:rsid w:val="6AEC68CB"/>
    <w:rsid w:val="6AED526A"/>
    <w:rsid w:val="6AF05C35"/>
    <w:rsid w:val="6AF3242C"/>
    <w:rsid w:val="6AFC24B5"/>
    <w:rsid w:val="6B074BD2"/>
    <w:rsid w:val="6B075E8A"/>
    <w:rsid w:val="6B0B43A0"/>
    <w:rsid w:val="6B0D5727"/>
    <w:rsid w:val="6B2276DE"/>
    <w:rsid w:val="6B2410B7"/>
    <w:rsid w:val="6B275BCB"/>
    <w:rsid w:val="6B2A1A1B"/>
    <w:rsid w:val="6B2F3FC8"/>
    <w:rsid w:val="6B317EC3"/>
    <w:rsid w:val="6B321A32"/>
    <w:rsid w:val="6B360196"/>
    <w:rsid w:val="6B3F46E7"/>
    <w:rsid w:val="6B403D4E"/>
    <w:rsid w:val="6B497F8D"/>
    <w:rsid w:val="6B4D45C8"/>
    <w:rsid w:val="6B610496"/>
    <w:rsid w:val="6B692A70"/>
    <w:rsid w:val="6B7F0B16"/>
    <w:rsid w:val="6B7F14E4"/>
    <w:rsid w:val="6B822F1F"/>
    <w:rsid w:val="6B861005"/>
    <w:rsid w:val="6B9802BE"/>
    <w:rsid w:val="6B9E00BB"/>
    <w:rsid w:val="6BA2074F"/>
    <w:rsid w:val="6BA3265D"/>
    <w:rsid w:val="6BA85663"/>
    <w:rsid w:val="6BAB3813"/>
    <w:rsid w:val="6BAC4CF4"/>
    <w:rsid w:val="6BCB2BA5"/>
    <w:rsid w:val="6BCE6AFB"/>
    <w:rsid w:val="6BD0343F"/>
    <w:rsid w:val="6BD12BF8"/>
    <w:rsid w:val="6BD97F56"/>
    <w:rsid w:val="6BE83187"/>
    <w:rsid w:val="6BED190D"/>
    <w:rsid w:val="6BF37F0F"/>
    <w:rsid w:val="6BF5605F"/>
    <w:rsid w:val="6BF80D27"/>
    <w:rsid w:val="6BF8151D"/>
    <w:rsid w:val="6BFC6B5C"/>
    <w:rsid w:val="6C0B5AC7"/>
    <w:rsid w:val="6C0F6218"/>
    <w:rsid w:val="6C153A02"/>
    <w:rsid w:val="6C17795C"/>
    <w:rsid w:val="6C185210"/>
    <w:rsid w:val="6C2245AE"/>
    <w:rsid w:val="6C270F5C"/>
    <w:rsid w:val="6C3D64DF"/>
    <w:rsid w:val="6C48350C"/>
    <w:rsid w:val="6C4917AB"/>
    <w:rsid w:val="6C4B6BD4"/>
    <w:rsid w:val="6C4C0CEC"/>
    <w:rsid w:val="6C506213"/>
    <w:rsid w:val="6C511BD6"/>
    <w:rsid w:val="6C5F25D3"/>
    <w:rsid w:val="6C601246"/>
    <w:rsid w:val="6C693307"/>
    <w:rsid w:val="6C69533D"/>
    <w:rsid w:val="6C720327"/>
    <w:rsid w:val="6C7922B2"/>
    <w:rsid w:val="6C7A237F"/>
    <w:rsid w:val="6C7D4E04"/>
    <w:rsid w:val="6C87516A"/>
    <w:rsid w:val="6C875629"/>
    <w:rsid w:val="6C8A73C1"/>
    <w:rsid w:val="6C8B724B"/>
    <w:rsid w:val="6C8E4084"/>
    <w:rsid w:val="6C92017A"/>
    <w:rsid w:val="6C9672F5"/>
    <w:rsid w:val="6C973E5D"/>
    <w:rsid w:val="6C9A10BC"/>
    <w:rsid w:val="6C9C6D1D"/>
    <w:rsid w:val="6C9D6084"/>
    <w:rsid w:val="6C9F6DEA"/>
    <w:rsid w:val="6CA368BF"/>
    <w:rsid w:val="6CAB51F7"/>
    <w:rsid w:val="6CAD155D"/>
    <w:rsid w:val="6CAF4ACE"/>
    <w:rsid w:val="6CB45DEA"/>
    <w:rsid w:val="6CC603D4"/>
    <w:rsid w:val="6CC65BF3"/>
    <w:rsid w:val="6CD014A4"/>
    <w:rsid w:val="6CD6133A"/>
    <w:rsid w:val="6CD85C19"/>
    <w:rsid w:val="6CE07597"/>
    <w:rsid w:val="6CE23B7E"/>
    <w:rsid w:val="6CE35E14"/>
    <w:rsid w:val="6CF11C94"/>
    <w:rsid w:val="6CF779B4"/>
    <w:rsid w:val="6CFC77D9"/>
    <w:rsid w:val="6CFD3732"/>
    <w:rsid w:val="6D00242C"/>
    <w:rsid w:val="6D024FCD"/>
    <w:rsid w:val="6D0334D0"/>
    <w:rsid w:val="6D0614C1"/>
    <w:rsid w:val="6D10429B"/>
    <w:rsid w:val="6D1150FA"/>
    <w:rsid w:val="6D151973"/>
    <w:rsid w:val="6D156B14"/>
    <w:rsid w:val="6D19308D"/>
    <w:rsid w:val="6D1C2509"/>
    <w:rsid w:val="6D3205A4"/>
    <w:rsid w:val="6D3B0CC8"/>
    <w:rsid w:val="6D417B47"/>
    <w:rsid w:val="6D443964"/>
    <w:rsid w:val="6D473065"/>
    <w:rsid w:val="6D4B54F2"/>
    <w:rsid w:val="6D6056B9"/>
    <w:rsid w:val="6D64379C"/>
    <w:rsid w:val="6D6F1F5C"/>
    <w:rsid w:val="6D724301"/>
    <w:rsid w:val="6D777E1B"/>
    <w:rsid w:val="6D7B4BC9"/>
    <w:rsid w:val="6D8345B5"/>
    <w:rsid w:val="6D852DF4"/>
    <w:rsid w:val="6D893129"/>
    <w:rsid w:val="6D912673"/>
    <w:rsid w:val="6D935D99"/>
    <w:rsid w:val="6D93781D"/>
    <w:rsid w:val="6D9A78D4"/>
    <w:rsid w:val="6DA27870"/>
    <w:rsid w:val="6DA46301"/>
    <w:rsid w:val="6DA66D5B"/>
    <w:rsid w:val="6DAC0B36"/>
    <w:rsid w:val="6DBE4738"/>
    <w:rsid w:val="6DBF4D04"/>
    <w:rsid w:val="6DC326E3"/>
    <w:rsid w:val="6DC45730"/>
    <w:rsid w:val="6DCA3855"/>
    <w:rsid w:val="6DCA4F34"/>
    <w:rsid w:val="6DCB221C"/>
    <w:rsid w:val="6DCB4C09"/>
    <w:rsid w:val="6DCF03BB"/>
    <w:rsid w:val="6DCF0F99"/>
    <w:rsid w:val="6DD208B4"/>
    <w:rsid w:val="6DD54021"/>
    <w:rsid w:val="6DE2344E"/>
    <w:rsid w:val="6DE9150B"/>
    <w:rsid w:val="6DEB1268"/>
    <w:rsid w:val="6DEF37CC"/>
    <w:rsid w:val="6DF077D2"/>
    <w:rsid w:val="6DF32181"/>
    <w:rsid w:val="6DF61A26"/>
    <w:rsid w:val="6DF955DC"/>
    <w:rsid w:val="6E082446"/>
    <w:rsid w:val="6E1A21CC"/>
    <w:rsid w:val="6E1B7A5D"/>
    <w:rsid w:val="6E1D7C8A"/>
    <w:rsid w:val="6E1E7781"/>
    <w:rsid w:val="6E1F50EF"/>
    <w:rsid w:val="6E241BAB"/>
    <w:rsid w:val="6E2A4896"/>
    <w:rsid w:val="6E2C2501"/>
    <w:rsid w:val="6E2C43C6"/>
    <w:rsid w:val="6E3367A9"/>
    <w:rsid w:val="6E3C0EF6"/>
    <w:rsid w:val="6E3D238D"/>
    <w:rsid w:val="6E414913"/>
    <w:rsid w:val="6E4725C0"/>
    <w:rsid w:val="6E4C1BC0"/>
    <w:rsid w:val="6E505338"/>
    <w:rsid w:val="6E53384B"/>
    <w:rsid w:val="6E625F75"/>
    <w:rsid w:val="6E6615E9"/>
    <w:rsid w:val="6E7D0383"/>
    <w:rsid w:val="6E7E1258"/>
    <w:rsid w:val="6E8762FA"/>
    <w:rsid w:val="6E8B2D9A"/>
    <w:rsid w:val="6E9076EA"/>
    <w:rsid w:val="6E955922"/>
    <w:rsid w:val="6E9B683B"/>
    <w:rsid w:val="6E9D364C"/>
    <w:rsid w:val="6EA07D8F"/>
    <w:rsid w:val="6EAB08AA"/>
    <w:rsid w:val="6EB102B4"/>
    <w:rsid w:val="6EC13F56"/>
    <w:rsid w:val="6EC35B7C"/>
    <w:rsid w:val="6ECE081C"/>
    <w:rsid w:val="6EDD3662"/>
    <w:rsid w:val="6EDF02A4"/>
    <w:rsid w:val="6EEA34D8"/>
    <w:rsid w:val="6EF7062E"/>
    <w:rsid w:val="6EF821AF"/>
    <w:rsid w:val="6EFE0BCE"/>
    <w:rsid w:val="6EFF3171"/>
    <w:rsid w:val="6F081FEF"/>
    <w:rsid w:val="6F082BD5"/>
    <w:rsid w:val="6F087C89"/>
    <w:rsid w:val="6F0B4D6B"/>
    <w:rsid w:val="6F14455F"/>
    <w:rsid w:val="6F160B3A"/>
    <w:rsid w:val="6F204077"/>
    <w:rsid w:val="6F220D5E"/>
    <w:rsid w:val="6F2472E5"/>
    <w:rsid w:val="6F254291"/>
    <w:rsid w:val="6F2D1EF4"/>
    <w:rsid w:val="6F2F39E7"/>
    <w:rsid w:val="6F2F5111"/>
    <w:rsid w:val="6F3200E9"/>
    <w:rsid w:val="6F3623B8"/>
    <w:rsid w:val="6F3676B7"/>
    <w:rsid w:val="6F381D79"/>
    <w:rsid w:val="6F3E16A2"/>
    <w:rsid w:val="6F40438B"/>
    <w:rsid w:val="6F43488C"/>
    <w:rsid w:val="6F48632B"/>
    <w:rsid w:val="6F536812"/>
    <w:rsid w:val="6F5B6A68"/>
    <w:rsid w:val="6F5C3971"/>
    <w:rsid w:val="6F6171C2"/>
    <w:rsid w:val="6F7275BE"/>
    <w:rsid w:val="6F760730"/>
    <w:rsid w:val="6F7C5620"/>
    <w:rsid w:val="6F7F5D82"/>
    <w:rsid w:val="6F814F5A"/>
    <w:rsid w:val="6F834AF0"/>
    <w:rsid w:val="6F862890"/>
    <w:rsid w:val="6F8A5598"/>
    <w:rsid w:val="6F8B3D85"/>
    <w:rsid w:val="6F8D6E36"/>
    <w:rsid w:val="6F950D48"/>
    <w:rsid w:val="6F952192"/>
    <w:rsid w:val="6FA05970"/>
    <w:rsid w:val="6FA80BF8"/>
    <w:rsid w:val="6FA80C42"/>
    <w:rsid w:val="6FBB129A"/>
    <w:rsid w:val="6FBD5AB0"/>
    <w:rsid w:val="6FC10E57"/>
    <w:rsid w:val="6FC3346C"/>
    <w:rsid w:val="6FC60C16"/>
    <w:rsid w:val="6FCE7851"/>
    <w:rsid w:val="6FD42814"/>
    <w:rsid w:val="6FDA70AB"/>
    <w:rsid w:val="6FDB01D4"/>
    <w:rsid w:val="6FDE210B"/>
    <w:rsid w:val="6FE16B76"/>
    <w:rsid w:val="6FE24E6C"/>
    <w:rsid w:val="6FE269C1"/>
    <w:rsid w:val="6FE34CF9"/>
    <w:rsid w:val="6FE74FF9"/>
    <w:rsid w:val="6FF966A0"/>
    <w:rsid w:val="6FFB7F4E"/>
    <w:rsid w:val="700011E0"/>
    <w:rsid w:val="70031E79"/>
    <w:rsid w:val="700B3A82"/>
    <w:rsid w:val="70180417"/>
    <w:rsid w:val="70182BA3"/>
    <w:rsid w:val="701946BA"/>
    <w:rsid w:val="701F2839"/>
    <w:rsid w:val="7022535B"/>
    <w:rsid w:val="7028540B"/>
    <w:rsid w:val="70304457"/>
    <w:rsid w:val="70307807"/>
    <w:rsid w:val="703D73E9"/>
    <w:rsid w:val="70446C04"/>
    <w:rsid w:val="70455A98"/>
    <w:rsid w:val="70457DB1"/>
    <w:rsid w:val="70486207"/>
    <w:rsid w:val="704D4673"/>
    <w:rsid w:val="70510A79"/>
    <w:rsid w:val="705838E8"/>
    <w:rsid w:val="7064403B"/>
    <w:rsid w:val="706D3557"/>
    <w:rsid w:val="706D62C7"/>
    <w:rsid w:val="70730722"/>
    <w:rsid w:val="707C2900"/>
    <w:rsid w:val="707D2719"/>
    <w:rsid w:val="708B5167"/>
    <w:rsid w:val="708C66E1"/>
    <w:rsid w:val="709A3D91"/>
    <w:rsid w:val="70A80E97"/>
    <w:rsid w:val="70A943A7"/>
    <w:rsid w:val="70AE7A3E"/>
    <w:rsid w:val="70B358AA"/>
    <w:rsid w:val="70BA3C5B"/>
    <w:rsid w:val="70BE6CC7"/>
    <w:rsid w:val="70BF70C6"/>
    <w:rsid w:val="70C33AB3"/>
    <w:rsid w:val="70C46FB6"/>
    <w:rsid w:val="70C94EB9"/>
    <w:rsid w:val="70CB5BFA"/>
    <w:rsid w:val="70CE6B60"/>
    <w:rsid w:val="70D26A74"/>
    <w:rsid w:val="70DD1B4B"/>
    <w:rsid w:val="70DF1913"/>
    <w:rsid w:val="70DF6A2E"/>
    <w:rsid w:val="70F116E1"/>
    <w:rsid w:val="71097705"/>
    <w:rsid w:val="710F3CB8"/>
    <w:rsid w:val="7114435C"/>
    <w:rsid w:val="71176820"/>
    <w:rsid w:val="71182811"/>
    <w:rsid w:val="71264F95"/>
    <w:rsid w:val="71284563"/>
    <w:rsid w:val="712964A4"/>
    <w:rsid w:val="71313630"/>
    <w:rsid w:val="71343CE6"/>
    <w:rsid w:val="71392741"/>
    <w:rsid w:val="713A00CD"/>
    <w:rsid w:val="714877F4"/>
    <w:rsid w:val="714B138E"/>
    <w:rsid w:val="715065D0"/>
    <w:rsid w:val="7151760B"/>
    <w:rsid w:val="71590E1B"/>
    <w:rsid w:val="715C2C83"/>
    <w:rsid w:val="71624DCA"/>
    <w:rsid w:val="716414CD"/>
    <w:rsid w:val="71651B9D"/>
    <w:rsid w:val="7167606B"/>
    <w:rsid w:val="716A59EB"/>
    <w:rsid w:val="716F2D04"/>
    <w:rsid w:val="717326D8"/>
    <w:rsid w:val="71767403"/>
    <w:rsid w:val="717D25C5"/>
    <w:rsid w:val="7185042D"/>
    <w:rsid w:val="7186689B"/>
    <w:rsid w:val="718C3825"/>
    <w:rsid w:val="71934E01"/>
    <w:rsid w:val="719F7C80"/>
    <w:rsid w:val="71A75F78"/>
    <w:rsid w:val="71AB10F1"/>
    <w:rsid w:val="71AC7F59"/>
    <w:rsid w:val="71BF563D"/>
    <w:rsid w:val="71C51E6A"/>
    <w:rsid w:val="71CA3A43"/>
    <w:rsid w:val="71CB134B"/>
    <w:rsid w:val="71D40DF4"/>
    <w:rsid w:val="71D4362D"/>
    <w:rsid w:val="71D552A0"/>
    <w:rsid w:val="71E061C4"/>
    <w:rsid w:val="71E524C1"/>
    <w:rsid w:val="71E70736"/>
    <w:rsid w:val="71F557B6"/>
    <w:rsid w:val="71FB7C0C"/>
    <w:rsid w:val="71FF245C"/>
    <w:rsid w:val="72004797"/>
    <w:rsid w:val="720608D1"/>
    <w:rsid w:val="72070DAE"/>
    <w:rsid w:val="72111641"/>
    <w:rsid w:val="72183D17"/>
    <w:rsid w:val="721E2FAD"/>
    <w:rsid w:val="72251557"/>
    <w:rsid w:val="72270439"/>
    <w:rsid w:val="723934BE"/>
    <w:rsid w:val="723D7D39"/>
    <w:rsid w:val="723F3486"/>
    <w:rsid w:val="723F46C9"/>
    <w:rsid w:val="72460350"/>
    <w:rsid w:val="724C742F"/>
    <w:rsid w:val="72541E8D"/>
    <w:rsid w:val="725C2FB3"/>
    <w:rsid w:val="72784B9C"/>
    <w:rsid w:val="727B23F9"/>
    <w:rsid w:val="727C0E65"/>
    <w:rsid w:val="72885E14"/>
    <w:rsid w:val="72A57C62"/>
    <w:rsid w:val="72B47CE2"/>
    <w:rsid w:val="72BE74E1"/>
    <w:rsid w:val="72C3514B"/>
    <w:rsid w:val="72C903C7"/>
    <w:rsid w:val="72D059B7"/>
    <w:rsid w:val="72D765C7"/>
    <w:rsid w:val="72D97A83"/>
    <w:rsid w:val="72DF12D2"/>
    <w:rsid w:val="72EC6183"/>
    <w:rsid w:val="72EE442B"/>
    <w:rsid w:val="72F076F2"/>
    <w:rsid w:val="730140D4"/>
    <w:rsid w:val="730C5480"/>
    <w:rsid w:val="730C6A98"/>
    <w:rsid w:val="730F7BD2"/>
    <w:rsid w:val="731C03F8"/>
    <w:rsid w:val="731D12DA"/>
    <w:rsid w:val="73316143"/>
    <w:rsid w:val="733E73C4"/>
    <w:rsid w:val="7340007B"/>
    <w:rsid w:val="734A69D4"/>
    <w:rsid w:val="734C17D6"/>
    <w:rsid w:val="734D0FA7"/>
    <w:rsid w:val="734F31AB"/>
    <w:rsid w:val="735B3860"/>
    <w:rsid w:val="73605AB6"/>
    <w:rsid w:val="73631A72"/>
    <w:rsid w:val="736335D1"/>
    <w:rsid w:val="73673731"/>
    <w:rsid w:val="736921A5"/>
    <w:rsid w:val="73755474"/>
    <w:rsid w:val="73757CC1"/>
    <w:rsid w:val="73886840"/>
    <w:rsid w:val="738A1F32"/>
    <w:rsid w:val="73936355"/>
    <w:rsid w:val="739624F8"/>
    <w:rsid w:val="73985EB0"/>
    <w:rsid w:val="739A147E"/>
    <w:rsid w:val="739D725B"/>
    <w:rsid w:val="73A25653"/>
    <w:rsid w:val="73AC3A3A"/>
    <w:rsid w:val="73AE5DC2"/>
    <w:rsid w:val="73B262EE"/>
    <w:rsid w:val="73C80512"/>
    <w:rsid w:val="73CE3C77"/>
    <w:rsid w:val="73CF0058"/>
    <w:rsid w:val="73D05A79"/>
    <w:rsid w:val="73D15F47"/>
    <w:rsid w:val="73D74448"/>
    <w:rsid w:val="73E210D2"/>
    <w:rsid w:val="73EC1E31"/>
    <w:rsid w:val="73ED5FE6"/>
    <w:rsid w:val="73EE1ACA"/>
    <w:rsid w:val="73F14E0B"/>
    <w:rsid w:val="73F45E63"/>
    <w:rsid w:val="73FE52FF"/>
    <w:rsid w:val="74054E39"/>
    <w:rsid w:val="740C121C"/>
    <w:rsid w:val="740C6F73"/>
    <w:rsid w:val="741C7B58"/>
    <w:rsid w:val="74243611"/>
    <w:rsid w:val="74244353"/>
    <w:rsid w:val="74255263"/>
    <w:rsid w:val="742E37A4"/>
    <w:rsid w:val="743126A9"/>
    <w:rsid w:val="743618D1"/>
    <w:rsid w:val="743F7D58"/>
    <w:rsid w:val="74446F15"/>
    <w:rsid w:val="744775CD"/>
    <w:rsid w:val="7449483B"/>
    <w:rsid w:val="74500505"/>
    <w:rsid w:val="74512E95"/>
    <w:rsid w:val="745A0E57"/>
    <w:rsid w:val="745A13C1"/>
    <w:rsid w:val="74763AB9"/>
    <w:rsid w:val="7476716C"/>
    <w:rsid w:val="747A3CF8"/>
    <w:rsid w:val="74831B93"/>
    <w:rsid w:val="74857149"/>
    <w:rsid w:val="74867E1B"/>
    <w:rsid w:val="748A0FB5"/>
    <w:rsid w:val="748D6BDA"/>
    <w:rsid w:val="7492031B"/>
    <w:rsid w:val="749337D2"/>
    <w:rsid w:val="7495403D"/>
    <w:rsid w:val="749914D8"/>
    <w:rsid w:val="74A33CBC"/>
    <w:rsid w:val="74A97079"/>
    <w:rsid w:val="74AE2554"/>
    <w:rsid w:val="74B962EE"/>
    <w:rsid w:val="74BC4D4D"/>
    <w:rsid w:val="74BF3F35"/>
    <w:rsid w:val="74C23715"/>
    <w:rsid w:val="74C74B98"/>
    <w:rsid w:val="74CA3E53"/>
    <w:rsid w:val="74CB3325"/>
    <w:rsid w:val="74CC6D6C"/>
    <w:rsid w:val="74CE4EDB"/>
    <w:rsid w:val="74D21445"/>
    <w:rsid w:val="74D5689D"/>
    <w:rsid w:val="74D56AFE"/>
    <w:rsid w:val="74D9409D"/>
    <w:rsid w:val="74DB532A"/>
    <w:rsid w:val="74DF69B0"/>
    <w:rsid w:val="74E01433"/>
    <w:rsid w:val="74E5293A"/>
    <w:rsid w:val="74E80CD1"/>
    <w:rsid w:val="74EC0AA3"/>
    <w:rsid w:val="74F14151"/>
    <w:rsid w:val="74FA31C0"/>
    <w:rsid w:val="75045625"/>
    <w:rsid w:val="750605B4"/>
    <w:rsid w:val="751A7EE5"/>
    <w:rsid w:val="751C1388"/>
    <w:rsid w:val="751F1826"/>
    <w:rsid w:val="75261296"/>
    <w:rsid w:val="75307519"/>
    <w:rsid w:val="75395A37"/>
    <w:rsid w:val="753B247A"/>
    <w:rsid w:val="75426F63"/>
    <w:rsid w:val="7543664B"/>
    <w:rsid w:val="754462B9"/>
    <w:rsid w:val="754A663F"/>
    <w:rsid w:val="754D6730"/>
    <w:rsid w:val="754D7793"/>
    <w:rsid w:val="755A1EB0"/>
    <w:rsid w:val="755B731C"/>
    <w:rsid w:val="7561323F"/>
    <w:rsid w:val="75637F4F"/>
    <w:rsid w:val="75661F5B"/>
    <w:rsid w:val="756C42F2"/>
    <w:rsid w:val="756D5CB0"/>
    <w:rsid w:val="756E3266"/>
    <w:rsid w:val="75867E44"/>
    <w:rsid w:val="75882A3C"/>
    <w:rsid w:val="758C5550"/>
    <w:rsid w:val="7598764D"/>
    <w:rsid w:val="75A924F0"/>
    <w:rsid w:val="75A9337A"/>
    <w:rsid w:val="75AF5D58"/>
    <w:rsid w:val="75B02DAB"/>
    <w:rsid w:val="75B47DF2"/>
    <w:rsid w:val="75B75651"/>
    <w:rsid w:val="75C10933"/>
    <w:rsid w:val="75C11A0C"/>
    <w:rsid w:val="75C503E8"/>
    <w:rsid w:val="75C62BDE"/>
    <w:rsid w:val="75C9265A"/>
    <w:rsid w:val="75D62BB1"/>
    <w:rsid w:val="75E24EAB"/>
    <w:rsid w:val="75E43528"/>
    <w:rsid w:val="75E54E45"/>
    <w:rsid w:val="75E8586C"/>
    <w:rsid w:val="75F15DE6"/>
    <w:rsid w:val="75F53780"/>
    <w:rsid w:val="7600640B"/>
    <w:rsid w:val="76013E34"/>
    <w:rsid w:val="760B293A"/>
    <w:rsid w:val="761C7598"/>
    <w:rsid w:val="761E4275"/>
    <w:rsid w:val="761F1150"/>
    <w:rsid w:val="76236494"/>
    <w:rsid w:val="76267303"/>
    <w:rsid w:val="76341006"/>
    <w:rsid w:val="7641263F"/>
    <w:rsid w:val="764860FB"/>
    <w:rsid w:val="76494BB7"/>
    <w:rsid w:val="764E69C9"/>
    <w:rsid w:val="76566016"/>
    <w:rsid w:val="765C6193"/>
    <w:rsid w:val="76624D35"/>
    <w:rsid w:val="766A0041"/>
    <w:rsid w:val="766A042F"/>
    <w:rsid w:val="767158EF"/>
    <w:rsid w:val="76743F80"/>
    <w:rsid w:val="7682180D"/>
    <w:rsid w:val="76856F81"/>
    <w:rsid w:val="768A7621"/>
    <w:rsid w:val="768C1A73"/>
    <w:rsid w:val="76944F4E"/>
    <w:rsid w:val="76A53F80"/>
    <w:rsid w:val="76A56BC8"/>
    <w:rsid w:val="76A6017D"/>
    <w:rsid w:val="76B01A14"/>
    <w:rsid w:val="76B454A3"/>
    <w:rsid w:val="76C9147E"/>
    <w:rsid w:val="76CE5497"/>
    <w:rsid w:val="76CF6DE7"/>
    <w:rsid w:val="76E62F44"/>
    <w:rsid w:val="76EF1902"/>
    <w:rsid w:val="76EF72EB"/>
    <w:rsid w:val="76F559F1"/>
    <w:rsid w:val="76F61C12"/>
    <w:rsid w:val="76F776C0"/>
    <w:rsid w:val="76FD273C"/>
    <w:rsid w:val="76FF667E"/>
    <w:rsid w:val="77057579"/>
    <w:rsid w:val="77060309"/>
    <w:rsid w:val="77094935"/>
    <w:rsid w:val="770E2F52"/>
    <w:rsid w:val="77187B78"/>
    <w:rsid w:val="771D2D9B"/>
    <w:rsid w:val="7725549C"/>
    <w:rsid w:val="7725583E"/>
    <w:rsid w:val="772E3A49"/>
    <w:rsid w:val="772F4D78"/>
    <w:rsid w:val="77323D15"/>
    <w:rsid w:val="77370A20"/>
    <w:rsid w:val="77372D24"/>
    <w:rsid w:val="773875E5"/>
    <w:rsid w:val="773A7390"/>
    <w:rsid w:val="773E24B3"/>
    <w:rsid w:val="77460E25"/>
    <w:rsid w:val="774A3CBD"/>
    <w:rsid w:val="774E2327"/>
    <w:rsid w:val="774F4AEE"/>
    <w:rsid w:val="775250D0"/>
    <w:rsid w:val="77527A4D"/>
    <w:rsid w:val="77533B83"/>
    <w:rsid w:val="775A2693"/>
    <w:rsid w:val="775D334E"/>
    <w:rsid w:val="776F7047"/>
    <w:rsid w:val="777076C4"/>
    <w:rsid w:val="777A5D87"/>
    <w:rsid w:val="778076A9"/>
    <w:rsid w:val="77844628"/>
    <w:rsid w:val="778D7D30"/>
    <w:rsid w:val="77943FBA"/>
    <w:rsid w:val="779858F5"/>
    <w:rsid w:val="779D7651"/>
    <w:rsid w:val="77A14CC4"/>
    <w:rsid w:val="77A22598"/>
    <w:rsid w:val="77A53EC4"/>
    <w:rsid w:val="77A71D46"/>
    <w:rsid w:val="77A8540E"/>
    <w:rsid w:val="77AD72EC"/>
    <w:rsid w:val="77B20957"/>
    <w:rsid w:val="77B37261"/>
    <w:rsid w:val="77BF5824"/>
    <w:rsid w:val="77C15BE5"/>
    <w:rsid w:val="77C4596C"/>
    <w:rsid w:val="77CA01E9"/>
    <w:rsid w:val="77D11630"/>
    <w:rsid w:val="77D6129F"/>
    <w:rsid w:val="77E36411"/>
    <w:rsid w:val="77E37571"/>
    <w:rsid w:val="77E43CB3"/>
    <w:rsid w:val="77E4487F"/>
    <w:rsid w:val="77E872FF"/>
    <w:rsid w:val="77F033DC"/>
    <w:rsid w:val="77F0778F"/>
    <w:rsid w:val="77F30E66"/>
    <w:rsid w:val="780034E8"/>
    <w:rsid w:val="78037873"/>
    <w:rsid w:val="780B503F"/>
    <w:rsid w:val="78123587"/>
    <w:rsid w:val="78190606"/>
    <w:rsid w:val="78245FA1"/>
    <w:rsid w:val="782B28E8"/>
    <w:rsid w:val="782C16B0"/>
    <w:rsid w:val="783E7F31"/>
    <w:rsid w:val="783F56A5"/>
    <w:rsid w:val="784214D5"/>
    <w:rsid w:val="78446AE0"/>
    <w:rsid w:val="784516CF"/>
    <w:rsid w:val="784B5AE0"/>
    <w:rsid w:val="784C1D2E"/>
    <w:rsid w:val="784D6077"/>
    <w:rsid w:val="785517CD"/>
    <w:rsid w:val="7867080C"/>
    <w:rsid w:val="78706F81"/>
    <w:rsid w:val="78715199"/>
    <w:rsid w:val="78722BA8"/>
    <w:rsid w:val="78723099"/>
    <w:rsid w:val="78727CC2"/>
    <w:rsid w:val="78743EBF"/>
    <w:rsid w:val="7880578A"/>
    <w:rsid w:val="788260E0"/>
    <w:rsid w:val="78853276"/>
    <w:rsid w:val="788F3C92"/>
    <w:rsid w:val="788F7EC2"/>
    <w:rsid w:val="7890429B"/>
    <w:rsid w:val="78916A0D"/>
    <w:rsid w:val="789410E6"/>
    <w:rsid w:val="789755F7"/>
    <w:rsid w:val="78A735C9"/>
    <w:rsid w:val="78A8764D"/>
    <w:rsid w:val="78A91FBD"/>
    <w:rsid w:val="78BE0779"/>
    <w:rsid w:val="78BF79C0"/>
    <w:rsid w:val="78CC3D64"/>
    <w:rsid w:val="78E508E6"/>
    <w:rsid w:val="78EF54C0"/>
    <w:rsid w:val="78EF5972"/>
    <w:rsid w:val="78F3507D"/>
    <w:rsid w:val="79037D72"/>
    <w:rsid w:val="790A31DA"/>
    <w:rsid w:val="790B32F5"/>
    <w:rsid w:val="791026DA"/>
    <w:rsid w:val="7910379E"/>
    <w:rsid w:val="791E7841"/>
    <w:rsid w:val="79200259"/>
    <w:rsid w:val="79206F6D"/>
    <w:rsid w:val="79217C4A"/>
    <w:rsid w:val="7923473B"/>
    <w:rsid w:val="79254BD6"/>
    <w:rsid w:val="792627D5"/>
    <w:rsid w:val="792F27B8"/>
    <w:rsid w:val="79334369"/>
    <w:rsid w:val="79342304"/>
    <w:rsid w:val="79390120"/>
    <w:rsid w:val="794151F1"/>
    <w:rsid w:val="794975B5"/>
    <w:rsid w:val="794C096C"/>
    <w:rsid w:val="794F34B5"/>
    <w:rsid w:val="794F371F"/>
    <w:rsid w:val="79560E89"/>
    <w:rsid w:val="795B1D53"/>
    <w:rsid w:val="79697B50"/>
    <w:rsid w:val="7976024A"/>
    <w:rsid w:val="797C0647"/>
    <w:rsid w:val="7984469C"/>
    <w:rsid w:val="79877E35"/>
    <w:rsid w:val="798E0B5F"/>
    <w:rsid w:val="798F6D6D"/>
    <w:rsid w:val="79905EFA"/>
    <w:rsid w:val="79931836"/>
    <w:rsid w:val="79951A7B"/>
    <w:rsid w:val="799C26A1"/>
    <w:rsid w:val="79AE32BE"/>
    <w:rsid w:val="79B07F16"/>
    <w:rsid w:val="79C17278"/>
    <w:rsid w:val="79C30DCC"/>
    <w:rsid w:val="79C447AE"/>
    <w:rsid w:val="79C67B14"/>
    <w:rsid w:val="79CE14C0"/>
    <w:rsid w:val="79E07DAE"/>
    <w:rsid w:val="79E1708D"/>
    <w:rsid w:val="79E306EE"/>
    <w:rsid w:val="79E75F8D"/>
    <w:rsid w:val="79EC0D1A"/>
    <w:rsid w:val="79FC1511"/>
    <w:rsid w:val="79FE5A8E"/>
    <w:rsid w:val="7A0B19CB"/>
    <w:rsid w:val="7A0C3DFD"/>
    <w:rsid w:val="7A0F0937"/>
    <w:rsid w:val="7A1153E8"/>
    <w:rsid w:val="7A142589"/>
    <w:rsid w:val="7A1C6AF2"/>
    <w:rsid w:val="7A324703"/>
    <w:rsid w:val="7A3740AE"/>
    <w:rsid w:val="7A440EC9"/>
    <w:rsid w:val="7A452327"/>
    <w:rsid w:val="7A5C2227"/>
    <w:rsid w:val="7A5F338C"/>
    <w:rsid w:val="7A644992"/>
    <w:rsid w:val="7A644B6D"/>
    <w:rsid w:val="7A67359F"/>
    <w:rsid w:val="7A6E4270"/>
    <w:rsid w:val="7A7059B7"/>
    <w:rsid w:val="7A805DBE"/>
    <w:rsid w:val="7A833262"/>
    <w:rsid w:val="7A8370B3"/>
    <w:rsid w:val="7A89774E"/>
    <w:rsid w:val="7A954164"/>
    <w:rsid w:val="7A9D4C0F"/>
    <w:rsid w:val="7AAA0313"/>
    <w:rsid w:val="7AAB144B"/>
    <w:rsid w:val="7AB33336"/>
    <w:rsid w:val="7AB359C1"/>
    <w:rsid w:val="7AB4316A"/>
    <w:rsid w:val="7AB54212"/>
    <w:rsid w:val="7ABA1246"/>
    <w:rsid w:val="7ABF260E"/>
    <w:rsid w:val="7AC227C3"/>
    <w:rsid w:val="7AC426E1"/>
    <w:rsid w:val="7AC469FF"/>
    <w:rsid w:val="7AC50FC5"/>
    <w:rsid w:val="7AC64094"/>
    <w:rsid w:val="7ACE04BE"/>
    <w:rsid w:val="7AD10457"/>
    <w:rsid w:val="7AE34187"/>
    <w:rsid w:val="7AE446F6"/>
    <w:rsid w:val="7AE67E26"/>
    <w:rsid w:val="7AEA4A58"/>
    <w:rsid w:val="7AEB486D"/>
    <w:rsid w:val="7AEE3355"/>
    <w:rsid w:val="7AF20DB6"/>
    <w:rsid w:val="7AFA4A1D"/>
    <w:rsid w:val="7B073DA4"/>
    <w:rsid w:val="7B156721"/>
    <w:rsid w:val="7B196BB8"/>
    <w:rsid w:val="7B1C52F0"/>
    <w:rsid w:val="7B1E2009"/>
    <w:rsid w:val="7B1E699A"/>
    <w:rsid w:val="7B2207C7"/>
    <w:rsid w:val="7B244E0E"/>
    <w:rsid w:val="7B273CC8"/>
    <w:rsid w:val="7B2F4EA2"/>
    <w:rsid w:val="7B374272"/>
    <w:rsid w:val="7B421488"/>
    <w:rsid w:val="7B4552F2"/>
    <w:rsid w:val="7B4753B5"/>
    <w:rsid w:val="7B4D066F"/>
    <w:rsid w:val="7B5209C5"/>
    <w:rsid w:val="7B552B56"/>
    <w:rsid w:val="7B593278"/>
    <w:rsid w:val="7B5E3501"/>
    <w:rsid w:val="7B6919B8"/>
    <w:rsid w:val="7B697C63"/>
    <w:rsid w:val="7B743F5D"/>
    <w:rsid w:val="7B77603F"/>
    <w:rsid w:val="7B7A2A4C"/>
    <w:rsid w:val="7B7B79E9"/>
    <w:rsid w:val="7B83220E"/>
    <w:rsid w:val="7B8732D3"/>
    <w:rsid w:val="7B882CDC"/>
    <w:rsid w:val="7B8B5318"/>
    <w:rsid w:val="7B8F4482"/>
    <w:rsid w:val="7B993875"/>
    <w:rsid w:val="7BB4771D"/>
    <w:rsid w:val="7BCB6901"/>
    <w:rsid w:val="7BD262C0"/>
    <w:rsid w:val="7BD36D39"/>
    <w:rsid w:val="7BE16767"/>
    <w:rsid w:val="7BF20152"/>
    <w:rsid w:val="7BF26B15"/>
    <w:rsid w:val="7C02250B"/>
    <w:rsid w:val="7C064CA4"/>
    <w:rsid w:val="7C0E3B19"/>
    <w:rsid w:val="7C10637F"/>
    <w:rsid w:val="7C1476CC"/>
    <w:rsid w:val="7C1501DC"/>
    <w:rsid w:val="7C1728A9"/>
    <w:rsid w:val="7C1A0FFD"/>
    <w:rsid w:val="7C1A14BF"/>
    <w:rsid w:val="7C1D0623"/>
    <w:rsid w:val="7C1D3E9A"/>
    <w:rsid w:val="7C1F43F6"/>
    <w:rsid w:val="7C217C97"/>
    <w:rsid w:val="7C2D4FB3"/>
    <w:rsid w:val="7C31176E"/>
    <w:rsid w:val="7C337E87"/>
    <w:rsid w:val="7C3410C5"/>
    <w:rsid w:val="7C3A20F4"/>
    <w:rsid w:val="7C3C3055"/>
    <w:rsid w:val="7C3E3329"/>
    <w:rsid w:val="7C3F7356"/>
    <w:rsid w:val="7C466A93"/>
    <w:rsid w:val="7C487E97"/>
    <w:rsid w:val="7C502E86"/>
    <w:rsid w:val="7C521AC3"/>
    <w:rsid w:val="7C6064B9"/>
    <w:rsid w:val="7C69421C"/>
    <w:rsid w:val="7C7C5548"/>
    <w:rsid w:val="7C872A3F"/>
    <w:rsid w:val="7C941945"/>
    <w:rsid w:val="7C961F2A"/>
    <w:rsid w:val="7C964471"/>
    <w:rsid w:val="7C9F06D2"/>
    <w:rsid w:val="7CAC1243"/>
    <w:rsid w:val="7CB4508D"/>
    <w:rsid w:val="7CB57E99"/>
    <w:rsid w:val="7CB857E5"/>
    <w:rsid w:val="7CBB3A27"/>
    <w:rsid w:val="7CBC5D18"/>
    <w:rsid w:val="7CC6609C"/>
    <w:rsid w:val="7CCE2059"/>
    <w:rsid w:val="7CCF1313"/>
    <w:rsid w:val="7CD37650"/>
    <w:rsid w:val="7CD47031"/>
    <w:rsid w:val="7CD95438"/>
    <w:rsid w:val="7CE04240"/>
    <w:rsid w:val="7CE5395C"/>
    <w:rsid w:val="7CE55206"/>
    <w:rsid w:val="7CE917F1"/>
    <w:rsid w:val="7CF23401"/>
    <w:rsid w:val="7CF7658A"/>
    <w:rsid w:val="7CFB321F"/>
    <w:rsid w:val="7CFE461D"/>
    <w:rsid w:val="7CFF3B84"/>
    <w:rsid w:val="7D082D66"/>
    <w:rsid w:val="7D0B15D2"/>
    <w:rsid w:val="7D0E256B"/>
    <w:rsid w:val="7D105F42"/>
    <w:rsid w:val="7D16063A"/>
    <w:rsid w:val="7D1A671A"/>
    <w:rsid w:val="7D1A6DC0"/>
    <w:rsid w:val="7D3B43B0"/>
    <w:rsid w:val="7D4051E5"/>
    <w:rsid w:val="7D4169CC"/>
    <w:rsid w:val="7D4E21D6"/>
    <w:rsid w:val="7D5A509D"/>
    <w:rsid w:val="7D5C4682"/>
    <w:rsid w:val="7D5F4478"/>
    <w:rsid w:val="7D6807CF"/>
    <w:rsid w:val="7D6A3D77"/>
    <w:rsid w:val="7D73512F"/>
    <w:rsid w:val="7D790CE8"/>
    <w:rsid w:val="7D821EF4"/>
    <w:rsid w:val="7D8608C8"/>
    <w:rsid w:val="7D8D030B"/>
    <w:rsid w:val="7D9317C0"/>
    <w:rsid w:val="7DA01F28"/>
    <w:rsid w:val="7DA57406"/>
    <w:rsid w:val="7DAD07C8"/>
    <w:rsid w:val="7DB62EC0"/>
    <w:rsid w:val="7DCD3297"/>
    <w:rsid w:val="7DD11E98"/>
    <w:rsid w:val="7DD35364"/>
    <w:rsid w:val="7DDB188F"/>
    <w:rsid w:val="7DDF73F6"/>
    <w:rsid w:val="7DED0BF2"/>
    <w:rsid w:val="7DEF5EC6"/>
    <w:rsid w:val="7DF533AC"/>
    <w:rsid w:val="7E062A2C"/>
    <w:rsid w:val="7E062BD5"/>
    <w:rsid w:val="7E133096"/>
    <w:rsid w:val="7E1448D2"/>
    <w:rsid w:val="7E18123B"/>
    <w:rsid w:val="7E185822"/>
    <w:rsid w:val="7E1B6487"/>
    <w:rsid w:val="7E264C0C"/>
    <w:rsid w:val="7E2A02D7"/>
    <w:rsid w:val="7E2D36EC"/>
    <w:rsid w:val="7E2E1598"/>
    <w:rsid w:val="7E300A3B"/>
    <w:rsid w:val="7E301570"/>
    <w:rsid w:val="7E3C0012"/>
    <w:rsid w:val="7E43279E"/>
    <w:rsid w:val="7E537212"/>
    <w:rsid w:val="7E5B1409"/>
    <w:rsid w:val="7E605518"/>
    <w:rsid w:val="7E644453"/>
    <w:rsid w:val="7E644C78"/>
    <w:rsid w:val="7E661F32"/>
    <w:rsid w:val="7E707D36"/>
    <w:rsid w:val="7E7B7F37"/>
    <w:rsid w:val="7E7F56BB"/>
    <w:rsid w:val="7E806A4E"/>
    <w:rsid w:val="7E8126F8"/>
    <w:rsid w:val="7E835FB3"/>
    <w:rsid w:val="7E877AA0"/>
    <w:rsid w:val="7E8D5EDC"/>
    <w:rsid w:val="7E91263E"/>
    <w:rsid w:val="7EA80212"/>
    <w:rsid w:val="7EA85353"/>
    <w:rsid w:val="7EAD6969"/>
    <w:rsid w:val="7EB96A06"/>
    <w:rsid w:val="7EBA751C"/>
    <w:rsid w:val="7EC1132A"/>
    <w:rsid w:val="7EC46D2C"/>
    <w:rsid w:val="7EC76DD5"/>
    <w:rsid w:val="7EC949E0"/>
    <w:rsid w:val="7ECD58A8"/>
    <w:rsid w:val="7ECE6DFF"/>
    <w:rsid w:val="7ED00A55"/>
    <w:rsid w:val="7ED1303A"/>
    <w:rsid w:val="7ED56F24"/>
    <w:rsid w:val="7EDF17FF"/>
    <w:rsid w:val="7EE057CE"/>
    <w:rsid w:val="7EE306BE"/>
    <w:rsid w:val="7EEA42DC"/>
    <w:rsid w:val="7EF7182C"/>
    <w:rsid w:val="7EF7719D"/>
    <w:rsid w:val="7EF8095C"/>
    <w:rsid w:val="7EFD4D26"/>
    <w:rsid w:val="7EFD7A5A"/>
    <w:rsid w:val="7F0404FD"/>
    <w:rsid w:val="7F0A0A81"/>
    <w:rsid w:val="7F0D253A"/>
    <w:rsid w:val="7F141232"/>
    <w:rsid w:val="7F157373"/>
    <w:rsid w:val="7F165825"/>
    <w:rsid w:val="7F181AA9"/>
    <w:rsid w:val="7F2069CC"/>
    <w:rsid w:val="7F26584C"/>
    <w:rsid w:val="7F2701D8"/>
    <w:rsid w:val="7F290AE6"/>
    <w:rsid w:val="7F32481E"/>
    <w:rsid w:val="7F3A2D44"/>
    <w:rsid w:val="7F3B6D0B"/>
    <w:rsid w:val="7F474F6A"/>
    <w:rsid w:val="7F550E7F"/>
    <w:rsid w:val="7F5819C8"/>
    <w:rsid w:val="7F6175BC"/>
    <w:rsid w:val="7F623FB4"/>
    <w:rsid w:val="7F62618D"/>
    <w:rsid w:val="7F64793F"/>
    <w:rsid w:val="7F6C1788"/>
    <w:rsid w:val="7F6D69E0"/>
    <w:rsid w:val="7F72706E"/>
    <w:rsid w:val="7F740607"/>
    <w:rsid w:val="7F7857DB"/>
    <w:rsid w:val="7F7B154E"/>
    <w:rsid w:val="7F7F4AE8"/>
    <w:rsid w:val="7F802699"/>
    <w:rsid w:val="7F8075EB"/>
    <w:rsid w:val="7F863C3C"/>
    <w:rsid w:val="7F864A18"/>
    <w:rsid w:val="7F8F0293"/>
    <w:rsid w:val="7F8F676E"/>
    <w:rsid w:val="7F900F8E"/>
    <w:rsid w:val="7F956C85"/>
    <w:rsid w:val="7F9744C3"/>
    <w:rsid w:val="7FA03099"/>
    <w:rsid w:val="7FB007E8"/>
    <w:rsid w:val="7FB951ED"/>
    <w:rsid w:val="7FBB03BA"/>
    <w:rsid w:val="7FBE58EC"/>
    <w:rsid w:val="7FC257FA"/>
    <w:rsid w:val="7FCA3EDB"/>
    <w:rsid w:val="7FD61F1D"/>
    <w:rsid w:val="7FD755D8"/>
    <w:rsid w:val="7FDB1B4D"/>
    <w:rsid w:val="7FDB7234"/>
    <w:rsid w:val="7FE1372A"/>
    <w:rsid w:val="7FEB3965"/>
    <w:rsid w:val="7FF12880"/>
    <w:rsid w:val="7FF356F6"/>
    <w:rsid w:val="7FFC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autoRedefine/>
    <w:unhideWhenUsed/>
    <w:qFormat/>
    <w:uiPriority w:val="0"/>
    <w:pPr>
      <w:keepNext/>
      <w:keepLines/>
      <w:spacing w:beforeLines="0" w:beforeAutospacing="0" w:afterLines="0" w:afterAutospacing="0" w:line="360" w:lineRule="auto"/>
      <w:ind w:firstLine="0" w:firstLineChars="0"/>
      <w:jc w:val="left"/>
      <w:outlineLvl w:val="2"/>
    </w:pPr>
    <w:rPr>
      <w:rFonts w:ascii="Calibri" w:hAnsi="Calibri"/>
      <w:b/>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adjustRightInd w:val="0"/>
    </w:pPr>
    <w:rPr>
      <w:rFonts w:ascii="宋体" w:hAnsi="Courier New"/>
      <w:szCs w:val="20"/>
    </w:rPr>
  </w:style>
  <w:style w:type="paragraph" w:styleId="4">
    <w:name w:val="List 3"/>
    <w:basedOn w:val="1"/>
    <w:next w:val="1"/>
    <w:autoRedefine/>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8">
    <w:name w:val="Normal Indent"/>
    <w:basedOn w:val="1"/>
    <w:next w:val="9"/>
    <w:autoRedefine/>
    <w:qFormat/>
    <w:uiPriority w:val="0"/>
    <w:pPr>
      <w:adjustRightInd w:val="0"/>
      <w:ind w:firstLine="420"/>
      <w:jc w:val="left"/>
      <w:textAlignment w:val="baseline"/>
    </w:pPr>
    <w:rPr>
      <w:rFonts w:ascii="Calibri" w:hAnsi="Calibri" w:eastAsia="微软雅黑" w:cs="Times New Roman"/>
      <w:sz w:val="24"/>
    </w:rPr>
  </w:style>
  <w:style w:type="paragraph" w:customStyle="1" w:styleId="9">
    <w:name w:val="正文1"/>
    <w:basedOn w:val="1"/>
    <w:autoRedefine/>
    <w:qFormat/>
    <w:uiPriority w:val="0"/>
    <w:pPr>
      <w:ind w:firstLine="480"/>
    </w:pPr>
    <w:rPr>
      <w:rFonts w:cs="Times New Roman"/>
      <w:color w:val="auto"/>
      <w:kern w:val="0"/>
    </w:rPr>
  </w:style>
  <w:style w:type="paragraph" w:styleId="10">
    <w:name w:val="caption"/>
    <w:basedOn w:val="1"/>
    <w:next w:val="1"/>
    <w:autoRedefine/>
    <w:qFormat/>
    <w:uiPriority w:val="0"/>
    <w:pPr>
      <w:jc w:val="center"/>
    </w:pPr>
    <w:rPr>
      <w:rFonts w:ascii="Cambria" w:hAnsi="Cambria"/>
      <w:b/>
      <w:sz w:val="24"/>
      <w:szCs w:val="20"/>
    </w:rPr>
  </w:style>
  <w:style w:type="paragraph" w:styleId="11">
    <w:name w:val="annotation text"/>
    <w:basedOn w:val="1"/>
    <w:autoRedefine/>
    <w:qFormat/>
    <w:uiPriority w:val="0"/>
    <w:pPr>
      <w:jc w:val="left"/>
    </w:pPr>
  </w:style>
  <w:style w:type="paragraph" w:styleId="12">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13">
    <w:name w:val="Body Text Indent"/>
    <w:basedOn w:val="1"/>
    <w:next w:val="14"/>
    <w:autoRedefine/>
    <w:qFormat/>
    <w:uiPriority w:val="0"/>
    <w:pPr>
      <w:spacing w:after="120"/>
      <w:ind w:left="420" w:leftChars="200"/>
    </w:pPr>
    <w:rPr>
      <w:kern w:val="0"/>
      <w:sz w:val="24"/>
      <w:szCs w:val="20"/>
    </w:rPr>
  </w:style>
  <w:style w:type="paragraph" w:styleId="14">
    <w:name w:val="Body Text Indent 2"/>
    <w:basedOn w:val="1"/>
    <w:next w:val="15"/>
    <w:autoRedefine/>
    <w:unhideWhenUsed/>
    <w:qFormat/>
    <w:uiPriority w:val="99"/>
    <w:pPr>
      <w:spacing w:after="120" w:line="480" w:lineRule="auto"/>
      <w:ind w:left="420" w:leftChars="200"/>
    </w:pPr>
  </w:style>
  <w:style w:type="paragraph" w:styleId="15">
    <w:name w:val="Body Text First Indent 2"/>
    <w:basedOn w:val="13"/>
    <w:next w:val="1"/>
    <w:autoRedefine/>
    <w:qFormat/>
    <w:uiPriority w:val="0"/>
    <w:pPr>
      <w:ind w:firstLine="420"/>
    </w:pPr>
  </w:style>
  <w:style w:type="paragraph" w:styleId="16">
    <w:name w:val="Plain Text"/>
    <w:basedOn w:val="1"/>
    <w:autoRedefine/>
    <w:unhideWhenUsed/>
    <w:qFormat/>
    <w:uiPriority w:val="99"/>
    <w:rPr>
      <w:rFonts w:ascii="宋体" w:hAnsi="Courier New" w:cs="Courier New"/>
      <w:szCs w:val="21"/>
    </w:rPr>
  </w:style>
  <w:style w:type="paragraph" w:styleId="17">
    <w:name w:val="footer"/>
    <w:basedOn w:val="1"/>
    <w:autoRedefine/>
    <w:qFormat/>
    <w:uiPriority w:val="99"/>
    <w:pPr>
      <w:tabs>
        <w:tab w:val="center" w:pos="4153"/>
        <w:tab w:val="right" w:pos="8306"/>
      </w:tabs>
      <w:snapToGrid w:val="0"/>
      <w:jc w:val="left"/>
    </w:pPr>
    <w:rPr>
      <w:kern w:val="0"/>
      <w:sz w:val="18"/>
      <w:szCs w:val="20"/>
    </w:rPr>
  </w:style>
  <w:style w:type="paragraph" w:styleId="18">
    <w:name w:val="header"/>
    <w:basedOn w:val="1"/>
    <w:next w:val="12"/>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List"/>
    <w:basedOn w:val="1"/>
    <w:next w:val="12"/>
    <w:autoRedefine/>
    <w:qFormat/>
    <w:uiPriority w:val="99"/>
    <w:pPr>
      <w:widowControl/>
      <w:adjustRightInd w:val="0"/>
      <w:snapToGrid w:val="0"/>
      <w:spacing w:before="120" w:line="460" w:lineRule="atLeast"/>
      <w:ind w:left="420" w:hanging="420"/>
      <w:jc w:val="left"/>
    </w:pPr>
    <w:rPr>
      <w:rFonts w:ascii="宋体" w:cs="宋体"/>
      <w:b/>
      <w:bCs/>
      <w:kern w:val="0"/>
      <w:sz w:val="28"/>
      <w:szCs w:val="28"/>
      <w:lang w:eastAsia="en-US" w:bidi="en-US"/>
    </w:rPr>
  </w:style>
  <w:style w:type="paragraph" w:styleId="20">
    <w:name w:val="Body Text 2"/>
    <w:basedOn w:val="1"/>
    <w:autoRedefine/>
    <w:qFormat/>
    <w:uiPriority w:val="0"/>
    <w:rPr>
      <w:sz w:val="28"/>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2">
    <w:name w:val="Body Text First Indent"/>
    <w:basedOn w:val="12"/>
    <w:autoRedefine/>
    <w:unhideWhenUsed/>
    <w:qFormat/>
    <w:uiPriority w:val="99"/>
    <w:pPr>
      <w:widowControl w:val="0"/>
      <w:ind w:firstLine="420" w:firstLineChars="100"/>
      <w:jc w:val="both"/>
    </w:pPr>
    <w:rPr>
      <w:kern w:val="2"/>
      <w:sz w:val="21"/>
    </w:rPr>
  </w:style>
  <w:style w:type="table" w:styleId="24">
    <w:name w:val="Table Grid"/>
    <w:basedOn w:val="23"/>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rPr>
      <w:vanish/>
    </w:rPr>
  </w:style>
  <w:style w:type="character" w:styleId="30">
    <w:name w:val="HTML Definition"/>
    <w:basedOn w:val="25"/>
    <w:autoRedefine/>
    <w:qFormat/>
    <w:uiPriority w:val="0"/>
    <w:rPr>
      <w:i/>
      <w:iCs/>
    </w:rPr>
  </w:style>
  <w:style w:type="character" w:styleId="31">
    <w:name w:val="Hyperlink"/>
    <w:basedOn w:val="25"/>
    <w:autoRedefine/>
    <w:qFormat/>
    <w:uiPriority w:val="0"/>
    <w:rPr>
      <w:color w:val="0000FF"/>
      <w:u w:val="single"/>
    </w:rPr>
  </w:style>
  <w:style w:type="character" w:styleId="32">
    <w:name w:val="HTML Code"/>
    <w:basedOn w:val="25"/>
    <w:autoRedefine/>
    <w:qFormat/>
    <w:uiPriority w:val="0"/>
    <w:rPr>
      <w:rFonts w:ascii="monospace" w:hAnsi="monospace" w:eastAsia="monospace" w:cs="monospace"/>
      <w:sz w:val="21"/>
      <w:szCs w:val="21"/>
    </w:rPr>
  </w:style>
  <w:style w:type="character" w:styleId="33">
    <w:name w:val="HTML Keyboard"/>
    <w:basedOn w:val="25"/>
    <w:autoRedefine/>
    <w:qFormat/>
    <w:uiPriority w:val="0"/>
    <w:rPr>
      <w:rFonts w:hint="default" w:ascii="monospace" w:hAnsi="monospace" w:eastAsia="monospace" w:cs="monospace"/>
      <w:sz w:val="21"/>
      <w:szCs w:val="21"/>
    </w:rPr>
  </w:style>
  <w:style w:type="character" w:styleId="34">
    <w:name w:val="HTML Sample"/>
    <w:basedOn w:val="25"/>
    <w:autoRedefine/>
    <w:qFormat/>
    <w:uiPriority w:val="0"/>
    <w:rPr>
      <w:rFonts w:hint="default" w:ascii="monospace" w:hAnsi="monospace" w:eastAsia="monospace" w:cs="monospace"/>
      <w:sz w:val="21"/>
      <w:szCs w:val="21"/>
    </w:rPr>
  </w:style>
  <w:style w:type="paragraph" w:customStyle="1" w:styleId="35">
    <w:name w:val="Default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图、表标题"/>
    <w:basedOn w:val="1"/>
    <w:autoRedefine/>
    <w:qFormat/>
    <w:uiPriority w:val="0"/>
    <w:pPr>
      <w:jc w:val="center"/>
    </w:pPr>
    <w:rPr>
      <w:b/>
      <w:sz w:val="21"/>
    </w:rPr>
  </w:style>
  <w:style w:type="paragraph" w:customStyle="1" w:styleId="37">
    <w:name w:val="表格内容"/>
    <w:basedOn w:val="38"/>
    <w:next w:val="1"/>
    <w:autoRedefine/>
    <w:qFormat/>
    <w:uiPriority w:val="0"/>
    <w:pPr>
      <w:spacing w:line="240" w:lineRule="atLeast"/>
      <w:jc w:val="center"/>
    </w:pPr>
    <w:rPr>
      <w:rFonts w:eastAsia="宋体"/>
      <w:sz w:val="21"/>
    </w:rPr>
  </w:style>
  <w:style w:type="paragraph" w:customStyle="1" w:styleId="38">
    <w:name w:val="表格标题"/>
    <w:basedOn w:val="19"/>
    <w:next w:val="1"/>
    <w:autoRedefine/>
    <w:qFormat/>
    <w:uiPriority w:val="0"/>
    <w:pPr>
      <w:spacing w:before="0" w:beforeLines="0" w:line="360" w:lineRule="auto"/>
      <w:jc w:val="center"/>
    </w:pPr>
    <w:rPr>
      <w:rFonts w:ascii="Times New Roman" w:hAnsi="Times New Roman" w:eastAsia="黑体"/>
      <w:sz w:val="24"/>
      <w:szCs w:val="20"/>
    </w:rPr>
  </w:style>
  <w:style w:type="paragraph" w:customStyle="1" w:styleId="39">
    <w:name w:val="A-正文"/>
    <w:basedOn w:val="1"/>
    <w:autoRedefine/>
    <w:qFormat/>
    <w:uiPriority w:val="0"/>
    <w:pPr>
      <w:widowControl w:val="0"/>
      <w:adjustRightInd/>
      <w:snapToGrid/>
      <w:spacing w:line="560" w:lineRule="exact"/>
      <w:ind w:firstLine="560" w:firstLineChars="200"/>
    </w:pPr>
    <w:rPr>
      <w:rFonts w:ascii="Times New Roman" w:hAnsi="Times New Roman" w:eastAsia="仿宋_GB2312"/>
      <w:kern w:val="0"/>
      <w:sz w:val="24"/>
      <w:lang w:bidi="ar-SA"/>
    </w:rPr>
  </w:style>
  <w:style w:type="paragraph" w:customStyle="1" w:styleId="40">
    <w:name w:val="正文 + 仿宋_GB2312"/>
    <w:basedOn w:val="1"/>
    <w:autoRedefine/>
    <w:qFormat/>
    <w:uiPriority w:val="99"/>
    <w:pPr>
      <w:ind w:firstLine="480" w:firstLineChars="200"/>
    </w:pPr>
    <w:rPr>
      <w:rFonts w:ascii="仿宋_GB2312" w:hAnsi="Calibri" w:eastAsia="仿宋_GB2312" w:cs="Times New Roman"/>
      <w:sz w:val="24"/>
    </w:rPr>
  </w:style>
  <w:style w:type="paragraph" w:customStyle="1" w:styleId="41">
    <w:name w:val="胡正文"/>
    <w:basedOn w:val="1"/>
    <w:autoRedefine/>
    <w:qFormat/>
    <w:uiPriority w:val="0"/>
    <w:pPr>
      <w:spacing w:line="360" w:lineRule="auto"/>
      <w:ind w:firstLine="200" w:firstLineChars="200"/>
      <w:jc w:val="left"/>
    </w:pPr>
    <w:rPr>
      <w:rFonts w:ascii="宋体" w:hAnsi="宋体"/>
      <w:sz w:val="24"/>
      <w:szCs w:val="28"/>
    </w:rPr>
  </w:style>
  <w:style w:type="paragraph" w:customStyle="1" w:styleId="42">
    <w:name w:val="24磅正文"/>
    <w:basedOn w:val="1"/>
    <w:autoRedefine/>
    <w:qFormat/>
    <w:uiPriority w:val="0"/>
    <w:pPr>
      <w:spacing w:line="480" w:lineRule="exact"/>
      <w:ind w:firstLine="480" w:firstLineChars="200"/>
    </w:pPr>
    <w:rPr>
      <w:rFonts w:eastAsia="宋体"/>
    </w:rPr>
  </w:style>
  <w:style w:type="paragraph" w:customStyle="1" w:styleId="43">
    <w:name w:val="文字"/>
    <w:basedOn w:val="1"/>
    <w:autoRedefine/>
    <w:qFormat/>
    <w:uiPriority w:val="0"/>
    <w:pPr>
      <w:spacing w:line="360" w:lineRule="auto"/>
    </w:pPr>
  </w:style>
  <w:style w:type="paragraph" w:customStyle="1" w:styleId="44">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45">
    <w:name w:val="表内容"/>
    <w:basedOn w:val="42"/>
    <w:next w:val="1"/>
    <w:autoRedefine/>
    <w:qFormat/>
    <w:uiPriority w:val="0"/>
    <w:pPr>
      <w:spacing w:line="360" w:lineRule="exact"/>
      <w:ind w:firstLine="0" w:firstLineChars="0"/>
      <w:jc w:val="center"/>
    </w:pPr>
    <w:rPr>
      <w:szCs w:val="21"/>
    </w:rPr>
  </w:style>
  <w:style w:type="paragraph" w:customStyle="1" w:styleId="46">
    <w:name w:val="报告表正文"/>
    <w:basedOn w:val="1"/>
    <w:autoRedefine/>
    <w:qFormat/>
    <w:uiPriority w:val="0"/>
    <w:pPr>
      <w:ind w:firstLine="640" w:firstLineChars="200"/>
    </w:pPr>
  </w:style>
  <w:style w:type="paragraph" w:customStyle="1" w:styleId="47">
    <w:name w:val="xl27"/>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PMingLiU" w:eastAsia="PMingLiU" w:cs="Times New Roman"/>
      <w:kern w:val="0"/>
      <w:sz w:val="16"/>
      <w:szCs w:val="16"/>
      <w:lang w:eastAsia="zh-TW"/>
    </w:rPr>
  </w:style>
  <w:style w:type="paragraph" w:customStyle="1" w:styleId="48">
    <w:name w:val="图、表内容"/>
    <w:basedOn w:val="1"/>
    <w:autoRedefine/>
    <w:qFormat/>
    <w:uiPriority w:val="0"/>
    <w:pPr>
      <w:spacing w:line="240" w:lineRule="auto"/>
      <w:ind w:firstLine="0" w:firstLineChars="0"/>
      <w:jc w:val="center"/>
    </w:pPr>
    <w:rPr>
      <w:sz w:val="21"/>
    </w:rPr>
  </w:style>
  <w:style w:type="character" w:customStyle="1" w:styleId="49">
    <w:name w:val="img_title"/>
    <w:basedOn w:val="25"/>
    <w:autoRedefine/>
    <w:qFormat/>
    <w:uiPriority w:val="0"/>
    <w:rPr>
      <w:vanish/>
    </w:rPr>
  </w:style>
  <w:style w:type="character" w:customStyle="1" w:styleId="50">
    <w:name w:val="img_title1"/>
    <w:basedOn w:val="25"/>
    <w:autoRedefine/>
    <w:qFormat/>
    <w:uiPriority w:val="0"/>
    <w:rPr>
      <w:vanish/>
    </w:rPr>
  </w:style>
  <w:style w:type="character" w:customStyle="1" w:styleId="51">
    <w:name w:val="img_title2"/>
    <w:basedOn w:val="25"/>
    <w:autoRedefine/>
    <w:qFormat/>
    <w:uiPriority w:val="0"/>
    <w:rPr>
      <w:vanish/>
    </w:rPr>
  </w:style>
  <w:style w:type="character" w:customStyle="1" w:styleId="52">
    <w:name w:val="img_title3"/>
    <w:basedOn w:val="25"/>
    <w:autoRedefine/>
    <w:qFormat/>
    <w:uiPriority w:val="0"/>
    <w:rPr>
      <w:vanish/>
    </w:rPr>
  </w:style>
  <w:style w:type="character" w:customStyle="1" w:styleId="53">
    <w:name w:val="img_title4"/>
    <w:basedOn w:val="25"/>
    <w:autoRedefine/>
    <w:qFormat/>
    <w:uiPriority w:val="0"/>
    <w:rPr>
      <w:vanish/>
    </w:rPr>
  </w:style>
  <w:style w:type="character" w:customStyle="1" w:styleId="54">
    <w:name w:val="img_title5"/>
    <w:basedOn w:val="25"/>
    <w:autoRedefine/>
    <w:qFormat/>
    <w:uiPriority w:val="0"/>
    <w:rPr>
      <w:color w:val="666666"/>
      <w:sz w:val="21"/>
      <w:szCs w:val="21"/>
    </w:rPr>
  </w:style>
  <w:style w:type="character" w:customStyle="1" w:styleId="55">
    <w:name w:val="img_title6"/>
    <w:basedOn w:val="25"/>
    <w:autoRedefine/>
    <w:qFormat/>
    <w:uiPriority w:val="0"/>
    <w:rPr>
      <w:vanish/>
    </w:rPr>
  </w:style>
  <w:style w:type="character" w:customStyle="1" w:styleId="56">
    <w:name w:val="img_title7"/>
    <w:basedOn w:val="25"/>
    <w:autoRedefine/>
    <w:qFormat/>
    <w:uiPriority w:val="0"/>
    <w:rPr>
      <w:vanish/>
    </w:rPr>
  </w:style>
  <w:style w:type="character" w:customStyle="1" w:styleId="57">
    <w:name w:val="button"/>
    <w:basedOn w:val="25"/>
    <w:autoRedefine/>
    <w:qFormat/>
    <w:uiPriority w:val="0"/>
  </w:style>
  <w:style w:type="paragraph" w:customStyle="1" w:styleId="58">
    <w:name w:val="Other|1"/>
    <w:basedOn w:val="1"/>
    <w:autoRedefine/>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59">
    <w:name w:val="表头1"/>
    <w:basedOn w:val="16"/>
    <w:autoRedefine/>
    <w:qFormat/>
    <w:uiPriority w:val="0"/>
    <w:pPr>
      <w:spacing w:line="360" w:lineRule="auto"/>
      <w:jc w:val="center"/>
      <w:textAlignment w:val="baseline"/>
    </w:pPr>
    <w:rPr>
      <w:rFonts w:ascii="Times New Roman" w:hAnsi="Times New Roman"/>
      <w:b/>
      <w:color w:val="000000"/>
      <w:kern w:val="0"/>
      <w:sz w:val="24"/>
      <w:szCs w:val="20"/>
    </w:rPr>
  </w:style>
  <w:style w:type="paragraph" w:customStyle="1" w:styleId="60">
    <w:name w:val="文本正文"/>
    <w:basedOn w:val="1"/>
    <w:qFormat/>
    <w:uiPriority w:val="0"/>
    <w:pPr>
      <w:adjustRightInd/>
      <w:snapToGrid w:val="0"/>
      <w:jc w:val="left"/>
      <w:textAlignment w:val="auto"/>
    </w:pPr>
    <w:rPr>
      <w:kern w:val="24"/>
      <w:lang w:val="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2.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10681</Words>
  <Characters>11610</Characters>
  <Lines>0</Lines>
  <Paragraphs>0</Paragraphs>
  <TotalTime>6</TotalTime>
  <ScaleCrop>false</ScaleCrop>
  <LinksUpToDate>false</LinksUpToDate>
  <CharactersWithSpaces>11704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2021-04-22T08:03:00Z</dcterms:created>
  <dc:creator>XJ.W</dc:creator>
  <cp:lastModifiedBy>Administrator</cp:lastModifiedBy>
  <cp:lastPrinted>2025-07-03T08:37:00Z</cp:lastPrinted>
  <dcterms:modified xsi:type="dcterms:W3CDTF">2025-08-26T09:06:38Z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C350FAA4BCE940AE9AFE6207007326D8_13</vt:lpwstr>
  </property>
  <property fmtid="{D5CDD505-2E9C-101B-9397-08002B2CF9AE}" pid="4" name="commondata">
    <vt:lpwstr>eyJoZGlkIjoiOTM4MmE2NmNlMDMxNDc5MDIzOTI5MTEwYjBkYmJlZWQifQ==</vt:lpwstr>
  </property>
  <property fmtid="{D5CDD505-2E9C-101B-9397-08002B2CF9AE}" pid="5" name="KSOTemplateDocerSaveRecord">
    <vt:lpwstr>eyJoZGlkIjoiNWM5ZmJmYWUwNmFhNjFiMmJmNWFiMWViNGRjMTY4ZTgifQ==</vt:lpwstr>
  </property>
</Properties>
</file>